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33" w:rsidRPr="00426D15" w:rsidRDefault="00C10133" w:rsidP="00C10133">
      <w:pPr>
        <w:jc w:val="center"/>
        <w:rPr>
          <w:b/>
        </w:rPr>
      </w:pPr>
      <w:bookmarkStart w:id="0" w:name="_GoBack"/>
      <w:bookmarkEnd w:id="0"/>
      <w:r w:rsidRPr="00426D15">
        <w:rPr>
          <w:b/>
        </w:rPr>
        <w:t>ZÁKON</w:t>
      </w:r>
    </w:p>
    <w:p w:rsidR="00C10133" w:rsidRPr="00426D15" w:rsidRDefault="00C10133" w:rsidP="00C10133">
      <w:pPr>
        <w:jc w:val="center"/>
      </w:pPr>
      <w:r w:rsidRPr="00426D15">
        <w:t xml:space="preserve">ze dne </w:t>
      </w:r>
      <w:r>
        <w:t>…</w:t>
      </w:r>
      <w:proofErr w:type="gramStart"/>
      <w:r>
        <w:t>….</w:t>
      </w:r>
      <w:r w:rsidRPr="00426D15">
        <w:t>.... 2020</w:t>
      </w:r>
      <w:proofErr w:type="gramEnd"/>
    </w:p>
    <w:p w:rsidR="00C10133" w:rsidRPr="003B0F08" w:rsidRDefault="00C10133" w:rsidP="00C10133"/>
    <w:p w:rsidR="00C10133" w:rsidRPr="003B0F08" w:rsidRDefault="00C10133" w:rsidP="00C10133">
      <w:pPr>
        <w:jc w:val="center"/>
        <w:rPr>
          <w:b/>
        </w:rPr>
      </w:pPr>
      <w:r w:rsidRPr="003B0F08">
        <w:rPr>
          <w:b/>
        </w:rPr>
        <w:t xml:space="preserve">o některých opatřeních ke zmírnění dopadů epidemie </w:t>
      </w:r>
      <w:proofErr w:type="spellStart"/>
      <w:r w:rsidRPr="003B0F08">
        <w:rPr>
          <w:b/>
        </w:rPr>
        <w:t>koronaviru</w:t>
      </w:r>
      <w:proofErr w:type="spellEnd"/>
      <w:r w:rsidRPr="003B0F08">
        <w:rPr>
          <w:b/>
        </w:rPr>
        <w:t xml:space="preserve"> označovaného jako SARS-CoV-2 na odvětví cestovního ruchu</w:t>
      </w:r>
    </w:p>
    <w:p w:rsidR="00C10133" w:rsidRDefault="00C10133" w:rsidP="00C10133"/>
    <w:p w:rsidR="00C10133" w:rsidRDefault="00C10133" w:rsidP="00C10133"/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>Parlament se usnesl na tomto zákoně České republiky:</w:t>
      </w:r>
    </w:p>
    <w:p w:rsidR="00C10133" w:rsidRDefault="00C10133" w:rsidP="00C10133"/>
    <w:p w:rsidR="00C10133" w:rsidRPr="00426D15" w:rsidRDefault="00C10133" w:rsidP="00C10133">
      <w:pPr>
        <w:jc w:val="center"/>
      </w:pPr>
      <w:r w:rsidRPr="00426D15">
        <w:t xml:space="preserve">§ </w:t>
      </w:r>
      <w:r w:rsidR="00F12A8E">
        <w:fldChar w:fldCharType="begin"/>
      </w:r>
      <w:r w:rsidR="00F12A8E">
        <w:instrText xml:space="preserve"> SEQ § \* ARABIC </w:instrText>
      </w:r>
      <w:r w:rsidR="00F12A8E">
        <w:fldChar w:fldCharType="separate"/>
      </w:r>
      <w:r w:rsidR="00F12A8E">
        <w:rPr>
          <w:noProof/>
        </w:rPr>
        <w:t>1</w:t>
      </w:r>
      <w:r w:rsidR="00F12A8E">
        <w:fldChar w:fldCharType="end"/>
      </w:r>
    </w:p>
    <w:p w:rsidR="00C10133" w:rsidRPr="003B0F08" w:rsidRDefault="00C10133" w:rsidP="00C10133">
      <w:pPr>
        <w:jc w:val="center"/>
        <w:rPr>
          <w:b/>
        </w:rPr>
      </w:pPr>
      <w:r w:rsidRPr="003B0F08">
        <w:rPr>
          <w:b/>
        </w:rPr>
        <w:t>Předmět úpravy</w:t>
      </w:r>
    </w:p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 xml:space="preserve">Tento zákon upravuje některá opatření v oblasti cestovního ruchu v souvislosti s epidemií </w:t>
      </w:r>
      <w:proofErr w:type="spellStart"/>
      <w:r w:rsidRPr="00426D15">
        <w:t>koronaviru</w:t>
      </w:r>
      <w:proofErr w:type="spellEnd"/>
      <w:r w:rsidRPr="00426D15">
        <w:t xml:space="preserve"> označovaného jako SARS-CoV-2.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2</w:t>
      </w:r>
    </w:p>
    <w:p w:rsidR="00C10133" w:rsidRPr="003B0F08" w:rsidRDefault="00C10133" w:rsidP="00C10133">
      <w:pPr>
        <w:jc w:val="center"/>
        <w:rPr>
          <w:b/>
        </w:rPr>
      </w:pPr>
      <w:r w:rsidRPr="003B0F08">
        <w:rPr>
          <w:b/>
        </w:rPr>
        <w:t>Působnost</w:t>
      </w:r>
    </w:p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>Tento zákon se použije na zájezdy</w:t>
      </w:r>
      <w:r w:rsidR="0063260C">
        <w:rPr>
          <w:rStyle w:val="Znakapoznpodarou"/>
        </w:rPr>
        <w:footnoteReference w:customMarkFollows="1" w:id="1"/>
        <w:t>1</w:t>
      </w:r>
      <w:r w:rsidRPr="00426D15">
        <w:t>) s termínem zahájení od 20. února 2020 do 31.  srpna 2020.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3</w:t>
      </w:r>
    </w:p>
    <w:p w:rsidR="00C10133" w:rsidRPr="00F36B9C" w:rsidRDefault="00C10133" w:rsidP="00C10133">
      <w:pPr>
        <w:jc w:val="center"/>
        <w:rPr>
          <w:b/>
        </w:rPr>
      </w:pPr>
      <w:r w:rsidRPr="00F36B9C">
        <w:rPr>
          <w:b/>
        </w:rPr>
        <w:t>Ochranná doba</w:t>
      </w:r>
    </w:p>
    <w:p w:rsidR="00C10133" w:rsidRDefault="00C10133" w:rsidP="00C10133"/>
    <w:p w:rsidR="00C10133" w:rsidRDefault="00C10133" w:rsidP="00C10133">
      <w:pPr>
        <w:ind w:firstLine="708"/>
      </w:pPr>
      <w:r>
        <w:t xml:space="preserve">(1) </w:t>
      </w:r>
      <w:r w:rsidRPr="00426D15">
        <w:t>Ochranná doba je doba, o kterou se odkládá vrácení plateb uhrazených zákazníkem nebo v jeho prospěch za zájezd, jestliže tento peněžitý dluh vznikl pořadateli zájezdu (dále jen „pořadatel“) v důsledku odstoupení od smlouvy o zájezdu podle § 2535 nebo § 2536 odst. </w:t>
      </w:r>
      <w:r>
        <w:t>1 písm. b) občanského zákoníku.</w:t>
      </w:r>
    </w:p>
    <w:p w:rsidR="00C10133" w:rsidRPr="00426D15" w:rsidRDefault="00C10133" w:rsidP="00C10133"/>
    <w:p w:rsidR="00C10133" w:rsidRPr="00426D15" w:rsidRDefault="00C10133" w:rsidP="00C10133">
      <w:pPr>
        <w:ind w:firstLine="708"/>
      </w:pPr>
      <w:r>
        <w:t xml:space="preserve">(2) </w:t>
      </w:r>
      <w:r w:rsidRPr="00426D15">
        <w:t>Ochranná doba počíná běžet dnem doručení poukazu na zájezd</w:t>
      </w:r>
      <w:r w:rsidR="00214147">
        <w:rPr>
          <w:rStyle w:val="Znakapoznpodarou"/>
        </w:rPr>
        <w:footnoteReference w:customMarkFollows="1" w:id="2"/>
        <w:t>2</w:t>
      </w:r>
      <w:r w:rsidRPr="00426D15">
        <w:t>)</w:t>
      </w:r>
      <w:r>
        <w:t xml:space="preserve"> zákazníkovi a </w:t>
      </w:r>
      <w:r w:rsidRPr="00426D15">
        <w:t>končí dnem 31. srpna 2021, neskončí-li podle tohoto zákona dříve.</w:t>
      </w:r>
    </w:p>
    <w:p w:rsidR="00C10133" w:rsidRDefault="00C10133" w:rsidP="00C10133"/>
    <w:p w:rsidR="00C10133" w:rsidRDefault="00C10133" w:rsidP="00C10133">
      <w:pPr>
        <w:ind w:firstLine="708"/>
      </w:pPr>
      <w:r>
        <w:t xml:space="preserve">(3) </w:t>
      </w:r>
      <w:r w:rsidRPr="00426D15">
        <w:t>Je-li zákazníkem osoba, která je ke dni doručení oznámení pořadatele o využití ochranné doby držitelem průkazu osoby se zdravotním postižením</w:t>
      </w:r>
      <w:r w:rsidR="00214147">
        <w:rPr>
          <w:rStyle w:val="Znakapoznpodarou"/>
        </w:rPr>
        <w:footnoteReference w:customMarkFollows="1" w:id="3"/>
        <w:t>3</w:t>
      </w:r>
      <w:r w:rsidRPr="00426D15">
        <w:t>), osoba vedená v evidenci úřadu práce jako uchazeč o zaměstnání, osoba těhotná, osoba čerpající mateř</w:t>
      </w:r>
      <w:r w:rsidR="00A777AF">
        <w:t>skou nebo rodičovskou dovolenou,</w:t>
      </w:r>
      <w:r w:rsidRPr="00426D15">
        <w:t xml:space="preserve"> osoba starší 65 let</w:t>
      </w:r>
      <w:r w:rsidR="00A777AF">
        <w:t xml:space="preserve"> nebo osamělý rodič</w:t>
      </w:r>
      <w:r w:rsidR="00DE736F">
        <w:rPr>
          <w:rStyle w:val="Znakapoznpodarou"/>
        </w:rPr>
        <w:footnoteReference w:customMarkFollows="1" w:id="4"/>
        <w:t>4</w:t>
      </w:r>
      <w:r w:rsidR="00DE736F">
        <w:t>)</w:t>
      </w:r>
      <w:r w:rsidR="0074642A">
        <w:t xml:space="preserve"> pečující o nezaopatřené dítě</w:t>
      </w:r>
      <w:r w:rsidR="00B8653F">
        <w:rPr>
          <w:rStyle w:val="Znakapoznpodarou"/>
        </w:rPr>
        <w:footnoteReference w:customMarkFollows="1" w:id="5"/>
        <w:t>5</w:t>
      </w:r>
      <w:r w:rsidR="00B8653F">
        <w:t>)</w:t>
      </w:r>
      <w:r w:rsidR="0079467B">
        <w:t>,</w:t>
      </w:r>
      <w:r w:rsidRPr="00426D15">
        <w:t xml:space="preserve"> ochranná doba končí oznámením zák</w:t>
      </w:r>
      <w:r>
        <w:t>azníka o </w:t>
      </w:r>
      <w:r w:rsidRPr="00426D15">
        <w:t>odmítnutí poukazu na zájezd. Ochranná doba končí oznámením zákazníka o odmítnutí poukazu na zájezd dále v případě zaměstnance, který ke dni</w:t>
      </w:r>
      <w:r>
        <w:t xml:space="preserve"> doručení oznámení pořadatele o </w:t>
      </w:r>
      <w:r w:rsidRPr="00426D15">
        <w:t>využití ochranné doby nemohl po dobu nejméně 30 dnů konat práci pro jiné překážky na straně zaměstnavatele po</w:t>
      </w:r>
      <w:r>
        <w:t>dle § 208 a 209 zákoníku práce.</w:t>
      </w:r>
      <w:r w:rsidR="0074642A">
        <w:t xml:space="preserve"> </w:t>
      </w:r>
      <w:r w:rsidR="00D77BE7" w:rsidRPr="00784043">
        <w:lastRenderedPageBreak/>
        <w:t>Ochranná doba končí oznámením zákazníka o odmítnutí poukazu na zájezd také v případě škol a školských zařízení, které jsou zapsány do rejstříku škol a školských zařízení</w:t>
      </w:r>
      <w:r w:rsidR="00170EF6">
        <w:rPr>
          <w:rStyle w:val="Znakapoznpodarou"/>
        </w:rPr>
        <w:footnoteReference w:customMarkFollows="1" w:id="6"/>
        <w:t>6</w:t>
      </w:r>
      <w:r w:rsidR="00170EF6">
        <w:t>)</w:t>
      </w:r>
      <w:r w:rsidR="00C3165C">
        <w:t>.</w:t>
      </w:r>
    </w:p>
    <w:p w:rsidR="00C10133" w:rsidRDefault="00C10133" w:rsidP="00C10133"/>
    <w:p w:rsidR="00C10133" w:rsidRPr="00426D15" w:rsidRDefault="00C10133" w:rsidP="00C10133"/>
    <w:p w:rsidR="00C10133" w:rsidRPr="000C063D" w:rsidRDefault="00C10133" w:rsidP="00C10133">
      <w:pPr>
        <w:jc w:val="center"/>
        <w:rPr>
          <w:b/>
        </w:rPr>
      </w:pPr>
      <w:r w:rsidRPr="000C063D">
        <w:rPr>
          <w:b/>
        </w:rPr>
        <w:t>Poukaz na zájezd</w:t>
      </w:r>
    </w:p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4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 xml:space="preserve">(1) </w:t>
      </w:r>
      <w:r w:rsidRPr="00426D15">
        <w:t xml:space="preserve">Rozhodne-li se pořadatel využít ochrannou dobu, </w:t>
      </w:r>
      <w:r>
        <w:t>oznámí to písemně zákazníkovi a </w:t>
      </w:r>
      <w:r w:rsidRPr="00426D15">
        <w:t>vystaví mu poukaz na zájezd nejméně v</w:t>
      </w:r>
      <w:r w:rsidR="00406FDF">
        <w:t> </w:t>
      </w:r>
      <w:r w:rsidRPr="00426D15">
        <w:t>hodnotě</w:t>
      </w:r>
      <w:r w:rsidR="00406FDF">
        <w:t xml:space="preserve"> veškerých plateb uhrazených zákazníkem nebo v jeho prospěch za</w:t>
      </w:r>
      <w:r w:rsidRPr="00426D15">
        <w:t xml:space="preserve"> zájezd.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 xml:space="preserve">(2) </w:t>
      </w:r>
      <w:r w:rsidRPr="00426D15">
        <w:t>Poukaz na zájezd je platný po do</w:t>
      </w:r>
      <w:r>
        <w:t>bu trvání ochranné doby.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(3)</w:t>
      </w:r>
      <w:r w:rsidRPr="00426D15">
        <w:t xml:space="preserve"> Po</w:t>
      </w:r>
      <w:r>
        <w:t>ukaz na zájezd obsahuje zejména</w:t>
      </w:r>
    </w:p>
    <w:p w:rsidR="00C10133" w:rsidRPr="00426D15" w:rsidRDefault="00C10133" w:rsidP="00D65565">
      <w:pPr>
        <w:ind w:left="708" w:hanging="708"/>
      </w:pPr>
      <w:r w:rsidRPr="00426D15">
        <w:t>a)</w:t>
      </w:r>
      <w:r>
        <w:tab/>
      </w:r>
      <w:r w:rsidRPr="00426D15">
        <w:t xml:space="preserve">peněžní částku odpovídající </w:t>
      </w:r>
      <w:r>
        <w:t>hodnotě</w:t>
      </w:r>
      <w:r w:rsidR="00D65565">
        <w:t xml:space="preserve"> veškerých plateb uhrazených zákazníkem za</w:t>
      </w:r>
      <w:r>
        <w:t xml:space="preserve"> zájezd,</w:t>
      </w:r>
    </w:p>
    <w:p w:rsidR="00C10133" w:rsidRPr="00426D15" w:rsidRDefault="00C10133" w:rsidP="00C10133">
      <w:pPr>
        <w:ind w:left="708" w:hanging="708"/>
      </w:pPr>
      <w:r w:rsidRPr="00426D15">
        <w:t>b)</w:t>
      </w:r>
      <w:r>
        <w:tab/>
      </w:r>
      <w:r w:rsidRPr="00426D15">
        <w:t>obchodní firmu nebo název nebo jméno a příjmení pořadatele, jeho identifikační číslo osoby a adresu sídla a</w:t>
      </w:r>
    </w:p>
    <w:p w:rsidR="00C10133" w:rsidRPr="00426D15" w:rsidRDefault="00C10133" w:rsidP="00C10133">
      <w:r w:rsidRPr="00426D15">
        <w:t>c)</w:t>
      </w:r>
      <w:r>
        <w:tab/>
      </w:r>
      <w:r w:rsidRPr="00426D15">
        <w:t>datum začátku a konce platnosti poukazu na zájezd.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(4)</w:t>
      </w:r>
      <w:r w:rsidRPr="00426D15">
        <w:t xml:space="preserve"> Pořadatel předá zákazníkovi poukaz na zájezd v listinné podobě; v elektronické podobě je možné poukaz na zájezd zákazníkovi předat, jestliže byla původní smlouva o zájezdu uzavřena prostředky komunikace na dálku nebo s tím zákazník vyslovil souhlas.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 xml:space="preserve">(5) </w:t>
      </w:r>
      <w:r w:rsidRPr="00426D15">
        <w:t>Poukaz na zájezd musí být zajištěn pro případ úpadku pořadatele podle zákona upravujícího některé podmínky podnikání a výkon některých činností v oblasti cestovního ruchu.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5</w:t>
      </w:r>
    </w:p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>Zákazník, u něhož jsou splněny podmínky podle § 3 odst. 3, může odmítnout poukaz na zájezd oznámením pořadateli. Zákazník je současně povinen pořadateli vrátit vydaný poukaz na zájezd.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6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(1)</w:t>
      </w:r>
      <w:r w:rsidRPr="00426D15">
        <w:t xml:space="preserve"> Po dobu trvání ochranné doby na žádost zákazníka pořadatel nabídne zákazníkovi náhradní zájezd, stejné nebo vyšší jakosti, než jaká byla sjednána </w:t>
      </w:r>
      <w:r>
        <w:t>v původní smlouvě o zájezdu.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(2)</w:t>
      </w:r>
      <w:r w:rsidRPr="00426D15">
        <w:t xml:space="preserve"> Je-li navrhovaný náhradní zájezd stejné jakosti, nesmí pořadatel požadovat od zákazníka nad rámec poukazu na zájezd doplacení případného rozdílu v ceně oproti původní smlouvě o zájezdu. Je-li navrhovaný náhradní zájezd vyšší jakosti, je zákazník povinen zaplatit rozdíl v ceně jen tehdy, jestliže pořadatel zákazníkovi nabídl současně také zájezd stejné jakosti a zákazník této nabídky nevyužil.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lastRenderedPageBreak/>
        <w:t>(3)</w:t>
      </w:r>
      <w:r w:rsidRPr="00426D15">
        <w:t xml:space="preserve"> Ochranná doba končí, jestliže pořadatel nenabídl zákazníkovi náhradní zájezd do 30 dnů ode dne, kdy zákazník požádal pořadatele o nabídku náhradního zájezdu.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(4)</w:t>
      </w:r>
      <w:r w:rsidRPr="00426D15">
        <w:t xml:space="preserve"> Peněžitý dluh pořadatele, jehož plnění bylo odloženo po dobu trvání ochranné doby, se považuje za splněný využitím poukazu na zájezd k úhradě ceny náhradního zájezdu, která není nižší než peněžní částka podle § 4 odst. 3 písm. a).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 xml:space="preserve">(5) </w:t>
      </w:r>
      <w:r w:rsidRPr="00426D15">
        <w:t>V případě, že zákazník nepožádá pořadatele o náhradní zájezd nebo nevyužije nabídky pořadatele k uzavření smlouvy o zájezdu, vrátí pořadatel zákazníkovi veškeré uhrazené platby nejpozději do 14</w:t>
      </w:r>
      <w:r>
        <w:t xml:space="preserve"> dnů od skončení ochranné doby.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>§ 7</w:t>
      </w:r>
    </w:p>
    <w:p w:rsidR="00C10133" w:rsidRPr="000E2427" w:rsidRDefault="00C10133" w:rsidP="00C10133">
      <w:pPr>
        <w:jc w:val="center"/>
        <w:rPr>
          <w:b/>
        </w:rPr>
      </w:pPr>
      <w:r w:rsidRPr="000E2427">
        <w:rPr>
          <w:b/>
        </w:rPr>
        <w:t>Odstupné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(1)</w:t>
      </w:r>
      <w:r w:rsidRPr="00426D15">
        <w:t xml:space="preserve"> Zanikla-li smlouva o zájezdu podle § 2533 občanského zákoníku a bylo zaplaceno odstupné, vydá pořadatel zákazníkovi na jeho žádost poukaz na zájezd v hodnotě </w:t>
      </w:r>
      <w:r w:rsidR="000112FE">
        <w:t xml:space="preserve">nejméně 10 % </w:t>
      </w:r>
      <w:r w:rsidRPr="00426D15">
        <w:t>zaplaceného odstupného, a to do 14 dnů ode dne, kdy zákazník požádal pořadat</w:t>
      </w:r>
      <w:r>
        <w:t>ele o vydání poukazu na zájezd.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(2)</w:t>
      </w:r>
      <w:r w:rsidRPr="00426D15">
        <w:t xml:space="preserve"> O vydání poukazu na zájezd podle odstavce 1 může zákazník požádat do 3 měsíců ode dne zániku smlouvy o zájezdu podle odstavce 1.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(3)</w:t>
      </w:r>
      <w:r w:rsidRPr="00426D15">
        <w:t xml:space="preserve"> Doba platnosti poukazu na zájezd vydaného podle odstavce 1 je nejméně 12 měsíců ode dne jeho vydání.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>(4)</w:t>
      </w:r>
      <w:r w:rsidRPr="00426D15">
        <w:t xml:space="preserve"> Poukaz na zájezd vydaný po</w:t>
      </w:r>
      <w:r>
        <w:t>dle odstavce 1 obsahuje zejména</w:t>
      </w:r>
    </w:p>
    <w:p w:rsidR="00C10133" w:rsidRPr="00426D15" w:rsidRDefault="00C10133" w:rsidP="00C10133">
      <w:r w:rsidRPr="00426D15">
        <w:t>a)</w:t>
      </w:r>
      <w:r>
        <w:tab/>
      </w:r>
      <w:r w:rsidRPr="00426D15">
        <w:t>peněžní částku o</w:t>
      </w:r>
      <w:r>
        <w:t>dpovídající hodnotě odstupného,</w:t>
      </w:r>
    </w:p>
    <w:p w:rsidR="00C10133" w:rsidRPr="00426D15" w:rsidRDefault="00C10133" w:rsidP="00C10133">
      <w:pPr>
        <w:ind w:left="708" w:hanging="708"/>
      </w:pPr>
      <w:r w:rsidRPr="00426D15">
        <w:t>b)</w:t>
      </w:r>
      <w:r>
        <w:tab/>
      </w:r>
      <w:r w:rsidRPr="00426D15">
        <w:t>obchodní firmu nebo název nebo jméno a příjmení pořadatele, jeho identifikační číslo osoby a adresu sídla a</w:t>
      </w:r>
    </w:p>
    <w:p w:rsidR="00C10133" w:rsidRPr="00426D15" w:rsidRDefault="00C10133" w:rsidP="00C10133">
      <w:r w:rsidRPr="00426D15">
        <w:t>c)</w:t>
      </w:r>
      <w:r>
        <w:tab/>
      </w:r>
      <w:r w:rsidRPr="00426D15">
        <w:t>datum začátku a konce platnosti poukazu na zájezd.</w:t>
      </w:r>
    </w:p>
    <w:p w:rsidR="00C10133" w:rsidRDefault="00C10133" w:rsidP="00C10133"/>
    <w:p w:rsidR="00C10133" w:rsidRPr="00426D15" w:rsidRDefault="00C10133" w:rsidP="00C10133">
      <w:pPr>
        <w:ind w:firstLine="708"/>
      </w:pPr>
      <w:r>
        <w:t xml:space="preserve">(5) </w:t>
      </w:r>
      <w:r w:rsidRPr="00426D15">
        <w:t>Na poukaz na zájezd vydaný podle odstavce 1 se ustanovení § 3 až 6 nepoužijí, s výjimkou § 4 odst. 4 a 5.</w:t>
      </w:r>
    </w:p>
    <w:p w:rsidR="00C10133" w:rsidRDefault="00C10133" w:rsidP="00C10133"/>
    <w:p w:rsidR="00C10133" w:rsidRDefault="00C10133" w:rsidP="00C10133"/>
    <w:p w:rsidR="000112FE" w:rsidRPr="00B95E2A" w:rsidRDefault="000112FE" w:rsidP="000112FE">
      <w:pPr>
        <w:jc w:val="center"/>
      </w:pPr>
      <w:r w:rsidRPr="00B95E2A">
        <w:t>§ 8</w:t>
      </w:r>
    </w:p>
    <w:p w:rsidR="000112FE" w:rsidRDefault="000112FE" w:rsidP="000112FE"/>
    <w:p w:rsidR="000112FE" w:rsidRPr="00B95E2A" w:rsidRDefault="000112FE" w:rsidP="000112FE">
      <w:pPr>
        <w:ind w:firstLine="708"/>
      </w:pPr>
      <w:r w:rsidRPr="00B95E2A">
        <w:t>Pořadatel zájezdu jasným, srozumitelným a zřetelným způsobem písemně poučí zákazníka o jeho právech podle tohoto zákona. Učiní tak nejpozději při vystavení poukazu na zájezd či zániku smlouvy po</w:t>
      </w:r>
      <w:r>
        <w:t>dle § 2533 občanského zákoníku.</w:t>
      </w:r>
    </w:p>
    <w:p w:rsidR="000112FE" w:rsidRDefault="000112FE" w:rsidP="00C10133"/>
    <w:p w:rsidR="000112FE" w:rsidRDefault="000112FE" w:rsidP="00C10133"/>
    <w:p w:rsidR="000112FE" w:rsidRDefault="000112FE" w:rsidP="00C10133"/>
    <w:p w:rsidR="00C10133" w:rsidRPr="00426D15" w:rsidRDefault="00C10133" w:rsidP="00C10133">
      <w:pPr>
        <w:jc w:val="center"/>
      </w:pPr>
      <w:r w:rsidRPr="00426D15">
        <w:t xml:space="preserve">§ </w:t>
      </w:r>
      <w:r w:rsidR="000112FE">
        <w:t>9</w:t>
      </w:r>
    </w:p>
    <w:p w:rsidR="00C10133" w:rsidRPr="000E2427" w:rsidRDefault="00C10133" w:rsidP="00C10133">
      <w:pPr>
        <w:jc w:val="center"/>
        <w:rPr>
          <w:b/>
        </w:rPr>
      </w:pPr>
      <w:r w:rsidRPr="000E2427">
        <w:rPr>
          <w:b/>
        </w:rPr>
        <w:t>Společné ustanovení</w:t>
      </w:r>
    </w:p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>K ujednáním, která omezují nebo vylučují zvláštní práva stanovená tímto zákonem</w:t>
      </w:r>
      <w:r>
        <w:t xml:space="preserve"> k </w:t>
      </w:r>
      <w:r w:rsidRPr="00426D15">
        <w:t>ochraně zákazníka, se nepřihlíží.</w:t>
      </w:r>
    </w:p>
    <w:p w:rsidR="00C10133" w:rsidRDefault="00C10133" w:rsidP="00C10133"/>
    <w:p w:rsidR="00C10133" w:rsidRDefault="00C10133" w:rsidP="00C10133"/>
    <w:p w:rsidR="00C10133" w:rsidRPr="00426D15" w:rsidRDefault="00C10133" w:rsidP="00C10133">
      <w:pPr>
        <w:jc w:val="center"/>
      </w:pPr>
      <w:r w:rsidRPr="00426D15">
        <w:t xml:space="preserve">§ </w:t>
      </w:r>
      <w:r w:rsidR="000112FE">
        <w:t>10</w:t>
      </w:r>
    </w:p>
    <w:p w:rsidR="00C10133" w:rsidRPr="00926500" w:rsidRDefault="00C10133" w:rsidP="00C10133">
      <w:pPr>
        <w:jc w:val="center"/>
        <w:rPr>
          <w:b/>
        </w:rPr>
      </w:pPr>
      <w:r w:rsidRPr="00926500">
        <w:rPr>
          <w:b/>
        </w:rPr>
        <w:t>Účinnost</w:t>
      </w:r>
    </w:p>
    <w:p w:rsidR="00C10133" w:rsidRDefault="00C10133" w:rsidP="00C10133"/>
    <w:p w:rsidR="00C10133" w:rsidRPr="00426D15" w:rsidRDefault="00C10133" w:rsidP="00C10133">
      <w:pPr>
        <w:ind w:firstLine="708"/>
      </w:pPr>
      <w:r w:rsidRPr="00426D15">
        <w:t>Tento zákon nabývá účinnosti dnem jeho vyhlášení.</w:t>
      </w:r>
    </w:p>
    <w:p w:rsidR="00F6400F" w:rsidRDefault="00F6400F"/>
    <w:sectPr w:rsidR="00F6400F" w:rsidSect="003D43D3">
      <w:head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133" w:rsidRDefault="00C10133" w:rsidP="00C10133">
      <w:r>
        <w:separator/>
      </w:r>
    </w:p>
  </w:endnote>
  <w:endnote w:type="continuationSeparator" w:id="0">
    <w:p w:rsidR="00C10133" w:rsidRDefault="00C10133" w:rsidP="00C1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3D3" w:rsidRDefault="009B2778" w:rsidP="003D43D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12A8E">
      <w:rPr>
        <w:noProof/>
      </w:rPr>
      <w:t>4</w:t>
    </w:r>
    <w:r>
      <w:fldChar w:fldCharType="end"/>
    </w:r>
  </w:p>
  <w:p w:rsidR="003D43D3" w:rsidRDefault="00F12A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3D3" w:rsidRDefault="009B277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D43D3" w:rsidRDefault="00F12A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133" w:rsidRDefault="00C10133" w:rsidP="00C10133">
      <w:r>
        <w:separator/>
      </w:r>
    </w:p>
  </w:footnote>
  <w:footnote w:type="continuationSeparator" w:id="0">
    <w:p w:rsidR="00C10133" w:rsidRDefault="00C10133" w:rsidP="00C10133">
      <w:r>
        <w:continuationSeparator/>
      </w:r>
    </w:p>
  </w:footnote>
  <w:footnote w:id="1">
    <w:p w:rsidR="0063260C" w:rsidRDefault="0063260C">
      <w:pPr>
        <w:pStyle w:val="Textpoznpodarou"/>
      </w:pPr>
      <w:r>
        <w:rPr>
          <w:rStyle w:val="Znakapoznpodarou"/>
        </w:rPr>
        <w:t>1</w:t>
      </w:r>
      <w:r>
        <w:t>)</w:t>
      </w:r>
      <w:r>
        <w:tab/>
        <w:t>§ 1b zákona č. 159/1999 Sb., o některých podmínkách podnikání a o výkonu některých činností v oblasti cestovního ruchu, ve znění zákona č. 111/2018 Sb.</w:t>
      </w:r>
    </w:p>
  </w:footnote>
  <w:footnote w:id="2">
    <w:p w:rsidR="00214147" w:rsidRDefault="00214147">
      <w:pPr>
        <w:pStyle w:val="Textpoznpodarou"/>
      </w:pPr>
      <w:r>
        <w:rPr>
          <w:rStyle w:val="Znakapoznpodarou"/>
        </w:rPr>
        <w:t>2</w:t>
      </w:r>
      <w:r>
        <w:t>)</w:t>
      </w:r>
      <w:r>
        <w:tab/>
        <w:t>§ 4a zákona č. 159/1999 Sb., ve znění zákona č. 341/2015 Sb</w:t>
      </w:r>
      <w:r w:rsidR="009B2778">
        <w:t>.</w:t>
      </w:r>
    </w:p>
  </w:footnote>
  <w:footnote w:id="3">
    <w:p w:rsidR="00214147" w:rsidRDefault="00214147">
      <w:pPr>
        <w:pStyle w:val="Textpoznpodarou"/>
      </w:pPr>
      <w:r>
        <w:rPr>
          <w:rStyle w:val="Znakapoznpodarou"/>
        </w:rPr>
        <w:t>3</w:t>
      </w:r>
      <w:r>
        <w:t>)</w:t>
      </w:r>
      <w:r>
        <w:tab/>
        <w:t>§ 34 z</w:t>
      </w:r>
      <w:r w:rsidRPr="00085627">
        <w:t>ákon</w:t>
      </w:r>
      <w:r>
        <w:t xml:space="preserve">a č. 329/2011 Sb., </w:t>
      </w:r>
      <w:r w:rsidRPr="00085627">
        <w:t>o poskytování dávek osobám se zdravotním postižením a o změně souvisejících zákonů</w:t>
      </w:r>
      <w:r>
        <w:t>, ve znění pozdějších předpisů.</w:t>
      </w:r>
    </w:p>
  </w:footnote>
  <w:footnote w:id="4">
    <w:p w:rsidR="00DE736F" w:rsidRDefault="00DE736F">
      <w:pPr>
        <w:pStyle w:val="Textpoznpodarou"/>
      </w:pPr>
      <w:r>
        <w:rPr>
          <w:rStyle w:val="Znakapoznpodarou"/>
        </w:rPr>
        <w:t>4</w:t>
      </w:r>
      <w:r>
        <w:t>)</w:t>
      </w:r>
      <w:r>
        <w:tab/>
      </w:r>
      <w:r w:rsidRPr="00ED6FCC">
        <w:t>§ 7 odst. 7 zákona č. 117/1995 Sb., o státní sociální podpoře, ve znění pozdějších předpisů.</w:t>
      </w:r>
    </w:p>
  </w:footnote>
  <w:footnote w:id="5">
    <w:p w:rsidR="00B8653F" w:rsidRDefault="00B8653F">
      <w:pPr>
        <w:pStyle w:val="Textpoznpodarou"/>
      </w:pPr>
      <w:r>
        <w:rPr>
          <w:rStyle w:val="Znakapoznpodarou"/>
        </w:rPr>
        <w:t>5</w:t>
      </w:r>
      <w:r>
        <w:t>)</w:t>
      </w:r>
      <w:r>
        <w:tab/>
      </w:r>
      <w:r w:rsidRPr="00ED6FCC">
        <w:t>§ 11</w:t>
      </w:r>
      <w:r>
        <w:t xml:space="preserve"> odst. 1 zákona č. 117/1995 Sb.</w:t>
      </w:r>
      <w:r w:rsidR="00E77B09">
        <w:t>, ve znění zákona č. 366/2011 Sb.</w:t>
      </w:r>
    </w:p>
  </w:footnote>
  <w:footnote w:id="6">
    <w:p w:rsidR="00170EF6" w:rsidRDefault="00170EF6">
      <w:pPr>
        <w:pStyle w:val="Textpoznpodarou"/>
      </w:pPr>
      <w:r>
        <w:rPr>
          <w:rStyle w:val="Znakapoznpodarou"/>
        </w:rPr>
        <w:t>6</w:t>
      </w:r>
      <w:r>
        <w:t>)</w:t>
      </w:r>
      <w:r>
        <w:tab/>
      </w:r>
      <w:r w:rsidRPr="00ED6FCC">
        <w:t>Zákon č. 561/2004 Sb., o předškolním, základním, středním, vyšším odborném a jiném vzdělávání (školský zákon)</w:t>
      </w:r>
      <w:r>
        <w:t>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3D3" w:rsidRDefault="009B27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43D3" w:rsidRDefault="00F12A8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33"/>
    <w:rsid w:val="000112FE"/>
    <w:rsid w:val="00170EF6"/>
    <w:rsid w:val="00214147"/>
    <w:rsid w:val="00406FDF"/>
    <w:rsid w:val="00457BEC"/>
    <w:rsid w:val="0063260C"/>
    <w:rsid w:val="0074642A"/>
    <w:rsid w:val="00790E1F"/>
    <w:rsid w:val="0079467B"/>
    <w:rsid w:val="009B2778"/>
    <w:rsid w:val="00A777AF"/>
    <w:rsid w:val="00B8653F"/>
    <w:rsid w:val="00C10133"/>
    <w:rsid w:val="00C3165C"/>
    <w:rsid w:val="00D65565"/>
    <w:rsid w:val="00D77BE7"/>
    <w:rsid w:val="00DE736F"/>
    <w:rsid w:val="00E77B09"/>
    <w:rsid w:val="00F12A8E"/>
    <w:rsid w:val="00F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3D0B6-64BF-4EBF-8EC1-42D4F318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01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C101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1013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C10133"/>
  </w:style>
  <w:style w:type="paragraph" w:styleId="Zpat">
    <w:name w:val="footer"/>
    <w:basedOn w:val="Normln"/>
    <w:link w:val="ZpatChar"/>
    <w:rsid w:val="00C101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101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C10133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1013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101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B247B-A016-4679-B8EE-695478ED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815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Kvetonova Hana</cp:lastModifiedBy>
  <cp:revision>17</cp:revision>
  <cp:lastPrinted>2020-04-09T08:37:00Z</cp:lastPrinted>
  <dcterms:created xsi:type="dcterms:W3CDTF">2020-04-08T22:00:00Z</dcterms:created>
  <dcterms:modified xsi:type="dcterms:W3CDTF">2020-04-09T08:37:00Z</dcterms:modified>
</cp:coreProperties>
</file>