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A17" w:rsidRDefault="00B516AB">
      <w:pPr>
        <w:spacing w:line="259" w:lineRule="auto"/>
        <w:ind w:left="0" w:right="0" w:firstLine="0"/>
        <w:jc w:val="left"/>
      </w:pPr>
      <w:bookmarkStart w:id="0" w:name="_GoBack"/>
      <w:bookmarkEnd w:id="0"/>
      <w:r>
        <w:t xml:space="preserve"> </w:t>
      </w:r>
    </w:p>
    <w:p w:rsidR="00C55A17" w:rsidRDefault="00B516AB">
      <w:pPr>
        <w:spacing w:line="259" w:lineRule="auto"/>
        <w:ind w:right="46"/>
        <w:jc w:val="right"/>
      </w:pPr>
      <w:r>
        <w:t>PAŘÍŽ, 11. ŘÍJNA 1977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right="63"/>
        <w:jc w:val="center"/>
      </w:pPr>
      <w:r>
        <w:t xml:space="preserve">ORGANIZACE OSN PRO VĚDU, </w:t>
      </w:r>
      <w:proofErr w:type="gramStart"/>
      <w:r>
        <w:t>VZDĚLÁNÍ  A</w:t>
      </w:r>
      <w:proofErr w:type="gramEnd"/>
      <w:r>
        <w:t xml:space="preserve"> KULTURU</w:t>
      </w: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ind w:left="164" w:right="45"/>
      </w:pPr>
      <w:r>
        <w:t>STANOVY MEZINÁRODNÍHO CENTRA PRO REGISTRACI SERIÁLOVÝCH PUBLIKACÍ</w:t>
      </w: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ind w:left="0" w:right="45" w:firstLine="708"/>
      </w:pPr>
      <w:r>
        <w:t xml:space="preserve">Mezinárodní centrum pro registraci seriálových publikací </w:t>
      </w:r>
      <w:r>
        <w:t>bylo založeno v Paříži na základě dohody mezi UNESCO a vládou Francouzské republiky (</w:t>
      </w:r>
      <w:proofErr w:type="spellStart"/>
      <w:r>
        <w:t>ref</w:t>
      </w:r>
      <w:proofErr w:type="spellEnd"/>
      <w:r>
        <w:t>. dokument SC-76/WS/4, Paříž, leden 1976) s cílem zavést a provozovat automatizovaný systém pro registraci seriálových publikací pokrývající kompletní rozsah zaznamenan</w:t>
      </w:r>
      <w:r>
        <w:t>ých znalostí, známý jako Mezinárodní systém údajů o</w:t>
      </w:r>
      <w:r>
        <w:t xml:space="preserve"> </w:t>
      </w:r>
      <w:r>
        <w:t xml:space="preserve">seriálových publikacích (ISDS – International </w:t>
      </w:r>
      <w:proofErr w:type="spellStart"/>
      <w:r>
        <w:t>Serials</w:t>
      </w:r>
      <w:proofErr w:type="spellEnd"/>
      <w:r>
        <w:t xml:space="preserve"> Data </w:t>
      </w:r>
      <w:proofErr w:type="spellStart"/>
      <w:r>
        <w:t>System</w:t>
      </w:r>
      <w:proofErr w:type="spellEnd"/>
      <w:r>
        <w:t>).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left="0" w:right="45" w:firstLine="708"/>
      </w:pPr>
      <w:r>
        <w:t>Při svém prvním setkání, které se uskutečnilo v Paříži 11. a 12. října 1976, Valné shromáždění ISDS doplnilo text Stanov Mezinárodníh</w:t>
      </w:r>
      <w:r>
        <w:t xml:space="preserve">o centra, které tvoří Přílohu 1 k výše uvedené Dohodě. Upravený text Stanov je reprodukován v rámci tohoto dokumentu. 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right="45"/>
      </w:pPr>
      <w:r>
        <w:lastRenderedPageBreak/>
        <w:t>(PG1-77/WS/3)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left="164" w:right="45"/>
      </w:pPr>
      <w:r>
        <w:t>STANOVY MEZINÁRODNÍHO CENTRA PRO REGISTRACI SERIÁLOVÝCH PUBLIKACÍ</w:t>
      </w: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pStyle w:val="Nadpis1"/>
      </w:pPr>
      <w:r>
        <w:t>Článek 1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numPr>
          <w:ilvl w:val="0"/>
          <w:numId w:val="1"/>
        </w:numPr>
        <w:ind w:right="45" w:hanging="360"/>
      </w:pPr>
      <w:r>
        <w:t>Toto Centrum založené v Paříži je zodpovědné za zavedení a provoz automatizovaného systému pro registraci periodik ve všech oblastech vědění. Centrum v potřebném rozsahu spolu</w:t>
      </w:r>
      <w:r>
        <w:t>pracuje s</w:t>
      </w:r>
      <w:r>
        <w:t xml:space="preserve"> </w:t>
      </w:r>
      <w:r>
        <w:t>národními a regionálními centry, která působí ve stejném oboru.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1"/>
        </w:numPr>
        <w:ind w:right="45" w:hanging="360"/>
      </w:pPr>
      <w:r>
        <w:t>Centrum je autonomní institucí, jejíž činnost je prováděna ve prospěch členských států a</w:t>
      </w:r>
      <w:r>
        <w:t xml:space="preserve"> </w:t>
      </w:r>
      <w:r>
        <w:t xml:space="preserve">přidružených členů Organizace, a to způsobem určeným v rámci těchto Stanov. 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pStyle w:val="Nadpis1"/>
      </w:pPr>
      <w:r>
        <w:t>Článek 2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ind w:left="703" w:right="45"/>
      </w:pPr>
      <w:r>
        <w:t>Členské státy a přidružení členové Organizace, kteří chtějí činnost tohoto Centra využívat, o</w:t>
      </w:r>
      <w:r>
        <w:t xml:space="preserve"> </w:t>
      </w:r>
      <w:proofErr w:type="gramStart"/>
      <w:r>
        <w:t>tom  informují</w:t>
      </w:r>
      <w:proofErr w:type="gramEnd"/>
      <w:r>
        <w:t xml:space="preserve"> generálního ředitele Organizace oznámením, ve kterém uvedou, že přistupují k</w:t>
      </w:r>
      <w:r>
        <w:t xml:space="preserve"> </w:t>
      </w:r>
      <w:r>
        <w:t>těmto Stanovám. Generální ředitel o tomto oznámení informuje Centrum</w:t>
      </w:r>
      <w:r>
        <w:t>, členské státy a</w:t>
      </w:r>
      <w:r>
        <w:t xml:space="preserve"> </w:t>
      </w:r>
      <w:r>
        <w:t>přidružené členy.</w:t>
      </w:r>
      <w:r>
        <w:t xml:space="preserve"> </w:t>
      </w:r>
    </w:p>
    <w:p w:rsidR="00C55A17" w:rsidRDefault="00B516AB">
      <w:pPr>
        <w:spacing w:line="259" w:lineRule="auto"/>
        <w:ind w:left="708" w:right="0" w:firstLine="0"/>
        <w:jc w:val="left"/>
      </w:pPr>
      <w:r>
        <w:t xml:space="preserve"> </w:t>
      </w:r>
    </w:p>
    <w:p w:rsidR="00C55A17" w:rsidRDefault="00B516AB">
      <w:pPr>
        <w:pStyle w:val="Nadpis1"/>
      </w:pPr>
      <w:r>
        <w:t>Článek 3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ind w:left="703" w:right="45"/>
      </w:pPr>
      <w:r>
        <w:t>Orgány Centra jsou:</w:t>
      </w:r>
      <w:r>
        <w:t xml:space="preserve"> </w:t>
      </w:r>
    </w:p>
    <w:p w:rsidR="00C55A17" w:rsidRDefault="00B516AB">
      <w:pPr>
        <w:numPr>
          <w:ilvl w:val="0"/>
          <w:numId w:val="2"/>
        </w:numPr>
        <w:ind w:right="45" w:hanging="338"/>
      </w:pPr>
      <w:r>
        <w:t>Valné shromáždění;</w:t>
      </w:r>
      <w:r>
        <w:t xml:space="preserve"> </w:t>
      </w:r>
    </w:p>
    <w:p w:rsidR="00C55A17" w:rsidRDefault="00B516AB">
      <w:pPr>
        <w:numPr>
          <w:ilvl w:val="0"/>
          <w:numId w:val="2"/>
        </w:numPr>
        <w:ind w:right="45" w:hanging="338"/>
      </w:pPr>
      <w:r>
        <w:t>Řídicí výbor;</w:t>
      </w:r>
      <w:r>
        <w:t xml:space="preserve"> </w:t>
      </w:r>
    </w:p>
    <w:p w:rsidR="00C55A17" w:rsidRDefault="00B516AB">
      <w:pPr>
        <w:numPr>
          <w:ilvl w:val="0"/>
          <w:numId w:val="2"/>
        </w:numPr>
        <w:ind w:right="45" w:hanging="338"/>
      </w:pPr>
      <w:r>
        <w:t>Technický poradní výbor;</w:t>
      </w:r>
      <w:r>
        <w:t xml:space="preserve"> </w:t>
      </w:r>
      <w:r>
        <w:t>(4) Ředitel.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pStyle w:val="Nadpis1"/>
      </w:pPr>
      <w:r>
        <w:t>Článek 4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ind w:left="703" w:right="45"/>
      </w:pPr>
      <w:r>
        <w:t>Valné shromáždění se skládá z jednoho zástupce každého členského státu</w:t>
      </w:r>
      <w:r>
        <w:t xml:space="preserve"> </w:t>
      </w:r>
      <w:r>
        <w:t xml:space="preserve">a každého přidruženého </w:t>
      </w:r>
      <w:r>
        <w:t>člena Organizace, kteří přistoupili k</w:t>
      </w:r>
      <w:r>
        <w:t xml:space="preserve"> </w:t>
      </w:r>
      <w:r>
        <w:t xml:space="preserve">těmto Stanovám, a jednoho zástupce generálního ředitele. 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after="106"/>
        <w:ind w:left="703" w:right="45"/>
      </w:pPr>
      <w:r>
        <w:t>Schází se každé dva roky.</w:t>
      </w:r>
      <w:r>
        <w:t xml:space="preserve"> </w:t>
      </w:r>
    </w:p>
    <w:p w:rsidR="00C55A17" w:rsidRDefault="00B516AB">
      <w:pPr>
        <w:spacing w:after="106"/>
        <w:ind w:left="703" w:right="45"/>
      </w:pPr>
      <w:r>
        <w:t>Vytváří svůj vlastní jednací řád.</w:t>
      </w:r>
      <w:r>
        <w:t xml:space="preserve"> </w:t>
      </w:r>
    </w:p>
    <w:p w:rsidR="00C55A17" w:rsidRDefault="00B516AB">
      <w:pPr>
        <w:spacing w:after="106"/>
        <w:ind w:left="703" w:right="45"/>
      </w:pPr>
      <w:r>
        <w:t xml:space="preserve">Jmenuje členy Řídicího výboru, jak je uvedeno v článku 5 odst. 1 </w:t>
      </w:r>
      <w:proofErr w:type="spellStart"/>
      <w:r>
        <w:t>písm.c</w:t>
      </w:r>
      <w:proofErr w:type="spellEnd"/>
      <w:r>
        <w:t>).</w:t>
      </w:r>
      <w:r>
        <w:t xml:space="preserve"> </w:t>
      </w:r>
    </w:p>
    <w:p w:rsidR="00C55A17" w:rsidRDefault="00B516AB">
      <w:pPr>
        <w:spacing w:after="106"/>
        <w:ind w:left="703" w:right="45"/>
      </w:pPr>
      <w:r>
        <w:t>Stanoví obecné zásad</w:t>
      </w:r>
      <w:r>
        <w:t>y upravující činnost Centra.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left="703" w:right="45"/>
      </w:pPr>
      <w:r>
        <w:t>Určí částku příspěvků členských států a přidružených členů Organizace, kteří přistoupili k</w:t>
      </w:r>
      <w:r>
        <w:t xml:space="preserve"> </w:t>
      </w:r>
      <w:r>
        <w:t>těmto Stanovám. Finanční příspěvek jakéhokoliv členského státu, s výjimkou dobrovolných příspěvků, nesmí v</w:t>
      </w:r>
      <w:r>
        <w:t xml:space="preserve"> </w:t>
      </w:r>
      <w:r>
        <w:t>žádném případě překročit 20 procent dané části rozpočtu nepokrytého příspěvky jak Organizace, tak hostitelského státu.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left="703" w:right="45"/>
      </w:pPr>
      <w:r>
        <w:t>Může přijímat dodatky k těmto Stanovám na základě většinového hlasování včetně hlasů zástupce hostitelského státu a zástupce generální</w:t>
      </w:r>
      <w:r>
        <w:t>ho ředitele Organizace.</w:t>
      </w:r>
      <w:r>
        <w:t xml:space="preserve"> </w:t>
      </w:r>
    </w:p>
    <w:p w:rsidR="00C55A17" w:rsidRDefault="00B516AB">
      <w:pPr>
        <w:spacing w:line="259" w:lineRule="auto"/>
        <w:ind w:left="708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708" w:right="0" w:firstLine="0"/>
        <w:jc w:val="left"/>
      </w:pPr>
      <w:r>
        <w:lastRenderedPageBreak/>
        <w:t xml:space="preserve"> </w:t>
      </w:r>
    </w:p>
    <w:p w:rsidR="00C55A17" w:rsidRDefault="00B516AB">
      <w:pPr>
        <w:spacing w:line="259" w:lineRule="auto"/>
        <w:ind w:left="708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708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708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pStyle w:val="Nadpis1"/>
      </w:pPr>
      <w:r>
        <w:t>Článek 5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numPr>
          <w:ilvl w:val="0"/>
          <w:numId w:val="3"/>
        </w:numPr>
        <w:ind w:right="45" w:hanging="360"/>
      </w:pPr>
      <w:r>
        <w:t>Centrum je řízeno Řídicím výborem, který se skládá z: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1"/>
          <w:numId w:val="3"/>
        </w:numPr>
        <w:ind w:left="1031" w:right="45" w:hanging="338"/>
      </w:pPr>
      <w:r>
        <w:t>jednoho zástupce hostitelského státu;</w:t>
      </w:r>
      <w:r>
        <w:t xml:space="preserve"> </w:t>
      </w:r>
    </w:p>
    <w:p w:rsidR="00C55A17" w:rsidRDefault="00B516AB">
      <w:pPr>
        <w:numPr>
          <w:ilvl w:val="1"/>
          <w:numId w:val="3"/>
        </w:numPr>
        <w:ind w:left="1031" w:right="45" w:hanging="338"/>
      </w:pPr>
      <w:r>
        <w:t>jednoho zástupce generálního ředitele Organizace;</w:t>
      </w:r>
      <w:r>
        <w:t xml:space="preserve"> </w:t>
      </w:r>
    </w:p>
    <w:p w:rsidR="00C55A17" w:rsidRDefault="00B516AB">
      <w:pPr>
        <w:numPr>
          <w:ilvl w:val="1"/>
          <w:numId w:val="3"/>
        </w:numPr>
        <w:ind w:left="1031" w:right="45" w:hanging="338"/>
      </w:pPr>
      <w:r>
        <w:t>deseti zástupců států, které přistoupily k</w:t>
      </w:r>
      <w:r>
        <w:t xml:space="preserve"> </w:t>
      </w:r>
      <w:r>
        <w:t xml:space="preserve">těmto Stanovám; </w:t>
      </w:r>
      <w:r>
        <w:t>zástupci jsou voleni Valným shromážděním. Polovina států zastoupených v Řídicím výboru je obnovitelná každé dva roky;</w:t>
      </w:r>
      <w:r>
        <w:t xml:space="preserve"> </w:t>
      </w:r>
    </w:p>
    <w:p w:rsidR="00C55A17" w:rsidRDefault="00B516AB">
      <w:pPr>
        <w:numPr>
          <w:ilvl w:val="1"/>
          <w:numId w:val="3"/>
        </w:numPr>
        <w:ind w:left="1031" w:right="45" w:hanging="338"/>
      </w:pPr>
      <w:r>
        <w:t>jednoho zástupce Mezivládní rady pro Centrální informační program.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left="703" w:right="45"/>
      </w:pPr>
      <w:r>
        <w:t>Zástupcům jakýchkoliv dalších mezivládních nebo nevládních organiza</w:t>
      </w:r>
      <w:r>
        <w:t>cí, které přispívají k</w:t>
      </w:r>
      <w:r>
        <w:t xml:space="preserve"> </w:t>
      </w:r>
      <w:r>
        <w:t xml:space="preserve">provozu Centra, může být Řídicím výborem dovoleno účastnit se těchto zasedání, avšak bez práva volit. 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3"/>
        </w:numPr>
        <w:ind w:right="45" w:hanging="360"/>
      </w:pPr>
      <w:r>
        <w:t>Řídicí výbor si volí svého předsedu.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3"/>
        </w:numPr>
        <w:ind w:right="45" w:hanging="360"/>
      </w:pPr>
      <w:r>
        <w:t xml:space="preserve">Řídicí výbor má veškeré potřebné pravomoci pro správu Centra. Přijímá pracovní program </w:t>
      </w:r>
      <w:r>
        <w:t>Centra a jeho rozpočet. Schvaluje výroční zprávy zasílané mu ředitelem Centra.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3"/>
        </w:numPr>
        <w:ind w:right="45" w:hanging="360"/>
      </w:pPr>
      <w:r>
        <w:t xml:space="preserve">Řídicí výbor se schází pravidelně jednou ročně i mimořádně, pokud ho svolá jeho předseda, a to buď z jeho vlastní iniciativy, </w:t>
      </w:r>
      <w:r>
        <w:t>nebo z iniciativy generálního ředitele Organizace, nebo na základě požadavku poloviny členů Řídicího výboru.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3"/>
        </w:numPr>
        <w:ind w:right="45" w:hanging="360"/>
      </w:pPr>
      <w:r>
        <w:t>Řídicí výbor vytváří svůj jednací řád. Rozhoduje hlasováním prostou většinou, s výjimkou schvalování rozpočtu a rozhodnutí podle článku 10 odst.</w:t>
      </w:r>
      <w:r>
        <w:t xml:space="preserve"> 2, které vyžadují dvoutřetinovou většinu, včetně hlasů zástupce hostitelského státu a zástupce generálního ředitele Organizace.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3"/>
        </w:numPr>
        <w:ind w:right="45" w:hanging="360"/>
      </w:pPr>
      <w:r>
        <w:t>Po přechodné období může být na prvním zasedání Řídicího výboru počet zástupců států, které přistoupily k</w:t>
      </w:r>
      <w:r>
        <w:t xml:space="preserve"> </w:t>
      </w:r>
      <w:r>
        <w:t>těmto Stanovám, vo</w:t>
      </w:r>
      <w:r>
        <w:t>lených Valným shromážděním, nižší než 10; v takovém případě funkční období zástupců skončí druhým Valným shromážděním.</w:t>
      </w: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pStyle w:val="Nadpis1"/>
      </w:pPr>
      <w:r>
        <w:t>Článek 6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ind w:left="703" w:right="45"/>
      </w:pPr>
      <w:r>
        <w:t>Řediteli Centra bude nápomocen Technický poradní výbor. Členové tohoto výboru jsou vybíráni a jmenováni ředitelem Centra p</w:t>
      </w:r>
      <w:r>
        <w:t>o konzultaci s generálním ředitelem Organizace. Tato jmenování musí být schválena Řídicím výborem Centra.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pStyle w:val="Nadpis1"/>
      </w:pPr>
      <w:r>
        <w:t>Článek 7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numPr>
          <w:ilvl w:val="0"/>
          <w:numId w:val="4"/>
        </w:numPr>
        <w:ind w:right="45" w:hanging="360"/>
      </w:pPr>
      <w:r>
        <w:t xml:space="preserve">Centrum spravuje v součinnosti s personálem nezbytným pro provádění úkolů Centra ředitel, který je jmenován způsobem stanoveným </w:t>
      </w:r>
      <w:r>
        <w:t xml:space="preserve">v následujícím odstavci. 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4"/>
        </w:numPr>
        <w:ind w:right="45" w:hanging="360"/>
      </w:pPr>
      <w:r>
        <w:t>Ředitel je jmenován vládou hostitelského státu po dohodě s generálním ředitelem Organizace.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lastRenderedPageBreak/>
        <w:t xml:space="preserve"> </w:t>
      </w:r>
    </w:p>
    <w:p w:rsidR="00C55A17" w:rsidRDefault="00B516AB">
      <w:pPr>
        <w:numPr>
          <w:ilvl w:val="0"/>
          <w:numId w:val="4"/>
        </w:numPr>
        <w:ind w:right="45" w:hanging="360"/>
      </w:pPr>
      <w:r>
        <w:t>Sekretariát se skládá z osob jmenovaných ředitelem v souladu s postupy stanovenými Řídicím výborem.</w:t>
      </w: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pStyle w:val="Nadpis1"/>
      </w:pPr>
      <w:r>
        <w:t>Článek 8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left="703" w:right="45"/>
      </w:pPr>
      <w:r>
        <w:t>Ředitel Centra vykonává následující činnosti: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5"/>
        </w:numPr>
        <w:ind w:left="1031" w:right="45" w:hanging="338"/>
      </w:pPr>
      <w:r>
        <w:t>Řídí činnost Centra v souladu s programy a směrnicemi přijatými Řídicím výborem.</w:t>
      </w:r>
      <w:r>
        <w:t xml:space="preserve"> </w:t>
      </w:r>
    </w:p>
    <w:p w:rsidR="00C55A17" w:rsidRDefault="00B516AB">
      <w:pPr>
        <w:numPr>
          <w:ilvl w:val="0"/>
          <w:numId w:val="5"/>
        </w:numPr>
        <w:ind w:left="1031" w:right="45" w:hanging="338"/>
      </w:pPr>
      <w:r>
        <w:t>Předkládá Řídicímu výboru návrhy programů a návrhy ročního rozpočtu.</w:t>
      </w:r>
      <w:r>
        <w:t xml:space="preserve"> </w:t>
      </w:r>
    </w:p>
    <w:p w:rsidR="00C55A17" w:rsidRDefault="00B516AB">
      <w:pPr>
        <w:numPr>
          <w:ilvl w:val="0"/>
          <w:numId w:val="5"/>
        </w:numPr>
        <w:ind w:left="1031" w:right="45" w:hanging="338"/>
      </w:pPr>
      <w:r>
        <w:t>Svolává Valné shromáždění po konzultaci s generálním ře</w:t>
      </w:r>
      <w:r>
        <w:t>ditelem Organizace a připravuje jeho předběžný pořad jednání.</w:t>
      </w:r>
      <w:r>
        <w:t xml:space="preserve"> </w:t>
      </w:r>
    </w:p>
    <w:p w:rsidR="00C55A17" w:rsidRDefault="00B516AB">
      <w:pPr>
        <w:numPr>
          <w:ilvl w:val="0"/>
          <w:numId w:val="5"/>
        </w:numPr>
        <w:ind w:left="1031" w:right="45" w:hanging="338"/>
      </w:pPr>
      <w:r>
        <w:t>Svolává Řídicí výbor, připravuje předběžný pořad jeho jednání a předkládá mu jakékoliv návrhy, které pokládá za žádoucí pro provoz Centra.</w:t>
      </w:r>
      <w:r>
        <w:t xml:space="preserve"> </w:t>
      </w:r>
    </w:p>
    <w:p w:rsidR="00C55A17" w:rsidRDefault="00B516AB">
      <w:pPr>
        <w:numPr>
          <w:ilvl w:val="0"/>
          <w:numId w:val="5"/>
        </w:numPr>
        <w:ind w:left="1031" w:right="45" w:hanging="338"/>
      </w:pPr>
      <w:r>
        <w:t>Vypracovává a předkládá Řídicímu výboru a Valnému shr</w:t>
      </w:r>
      <w:r>
        <w:t>omáždění zprávy o aktivitách Centra.</w:t>
      </w:r>
      <w:r>
        <w:t xml:space="preserve"> </w:t>
      </w:r>
    </w:p>
    <w:p w:rsidR="00C55A17" w:rsidRDefault="00B516AB">
      <w:pPr>
        <w:numPr>
          <w:ilvl w:val="0"/>
          <w:numId w:val="5"/>
        </w:numPr>
        <w:ind w:left="1031" w:right="45" w:hanging="338"/>
      </w:pPr>
      <w:r>
        <w:t>Zastupuje Centrum v soudních řízeních a ve veškerých jeho právních jednáních coby právnické osoby.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pStyle w:val="Nadpis1"/>
      </w:pPr>
      <w:r>
        <w:t>Článek 9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numPr>
          <w:ilvl w:val="0"/>
          <w:numId w:val="6"/>
        </w:numPr>
        <w:ind w:right="45" w:hanging="360"/>
      </w:pPr>
      <w:r>
        <w:t>Zdroje Centra se skládají z příspěvků, které získává od Organizace a od vlády hostitelského státu, z pří</w:t>
      </w:r>
      <w:r>
        <w:t xml:space="preserve">spěvků, které může získávat od ostatních členských států nebo přidružených členů Organizace nebo od jiných organizací, a z úplaty, kterou může obdržet za dodání služeb během výkonu činnosti. 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left="703" w:right="45"/>
      </w:pPr>
      <w:r>
        <w:t>Příspěvky jiné než od členských států a přidružených členů bu</w:t>
      </w:r>
      <w:r>
        <w:t>dou předloženy Řídicímu výboru ke schválení.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6"/>
        </w:numPr>
        <w:ind w:right="45" w:hanging="360"/>
      </w:pPr>
      <w:r>
        <w:t>Příslušné příspěvky hostitelského státu a Organizace jsou určovány vždy na dobu dvou let výměnou dopisů mezi Centrem a jeho přispěvateli po každém zasedání Generální konference Organizace.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numPr>
          <w:ilvl w:val="0"/>
          <w:numId w:val="6"/>
        </w:numPr>
        <w:ind w:right="45" w:hanging="360"/>
      </w:pPr>
      <w:r>
        <w:t>Výše příspěvků dalších členských států nebo přidružených členů Organizace uvedených v</w:t>
      </w:r>
      <w:r>
        <w:t xml:space="preserve"> </w:t>
      </w:r>
      <w:r>
        <w:t>článku</w:t>
      </w:r>
      <w:r>
        <w:t xml:space="preserve"> </w:t>
      </w:r>
      <w:r>
        <w:t>2 těchto Stanov, je určována Valným shromážděním na základě návrhu Řídicího výboru podle ustanovení článku 4.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pStyle w:val="Nadpis1"/>
      </w:pPr>
      <w:r>
        <w:t>Článek 10</w:t>
      </w:r>
      <w:r>
        <w:rPr>
          <w:u w:val="none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t xml:space="preserve"> </w:t>
      </w:r>
    </w:p>
    <w:p w:rsidR="00C55A17" w:rsidRDefault="00B516AB">
      <w:pPr>
        <w:numPr>
          <w:ilvl w:val="0"/>
          <w:numId w:val="7"/>
        </w:numPr>
        <w:ind w:right="45" w:hanging="360"/>
      </w:pPr>
      <w:r>
        <w:t xml:space="preserve">Členské státy a přidružení členové </w:t>
      </w:r>
      <w:r>
        <w:t>Organizace, kteří přistoupili k</w:t>
      </w:r>
      <w:r>
        <w:t xml:space="preserve"> </w:t>
      </w:r>
      <w:r>
        <w:t>těmto Stanovám, mohou od Stanov odstoupit zasláním písemného oznámení řediteli Centra; ředitel Centra informuje všechny členské státy a přidružené členy, kteří přistoupili k</w:t>
      </w:r>
      <w:r>
        <w:t xml:space="preserve"> </w:t>
      </w:r>
      <w:r>
        <w:t xml:space="preserve">těmto Stanovám, o přijetí takového oznámení. Toto </w:t>
      </w:r>
      <w:r>
        <w:t>rozhodnutí bude účinné od přijetí tohoto oznámení ředitelem Centra, pokud v</w:t>
      </w:r>
      <w:r>
        <w:t xml:space="preserve"> </w:t>
      </w:r>
      <w:r>
        <w:t xml:space="preserve">tomto oznámení není uvedeno pozdější datum. Strana odstupující od těchto Stanov se vzdává všech podílů na majetku Centra. 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lastRenderedPageBreak/>
        <w:t xml:space="preserve"> </w:t>
      </w:r>
    </w:p>
    <w:p w:rsidR="00C55A17" w:rsidRDefault="00B516AB">
      <w:pPr>
        <w:numPr>
          <w:ilvl w:val="0"/>
          <w:numId w:val="7"/>
        </w:numPr>
        <w:ind w:right="45" w:hanging="360"/>
      </w:pPr>
      <w:r>
        <w:t>Pokud Organizace nebo hostitelský stát vystoupí z Cent</w:t>
      </w:r>
      <w:r>
        <w:t xml:space="preserve">ra, Centrum ukončí činnost </w:t>
      </w:r>
      <w:proofErr w:type="gramStart"/>
      <w:r>
        <w:t>likvidací  a</w:t>
      </w:r>
      <w:proofErr w:type="gramEnd"/>
      <w:r>
        <w:t xml:space="preserve"> </w:t>
      </w:r>
      <w:r>
        <w:t>Řídicí výbor podnikne veškerá opatření, která považuje za vhodná, zejména s</w:t>
      </w:r>
      <w:r>
        <w:t xml:space="preserve"> </w:t>
      </w:r>
      <w:r>
        <w:t xml:space="preserve">ohledem na likvidaci majetku Centra. Před vstupem do likvidace zváží Řídicí výbor veškeré možnosti </w:t>
      </w:r>
      <w:proofErr w:type="spellStart"/>
      <w:r>
        <w:t>přemíštění</w:t>
      </w:r>
      <w:proofErr w:type="spellEnd"/>
      <w:r>
        <w:t xml:space="preserve"> Centra do jiného členského stá</w:t>
      </w:r>
      <w:r>
        <w:t xml:space="preserve">tu nebo přidruženého člena Organizace. </w:t>
      </w:r>
      <w:r>
        <w:t xml:space="preserve"> </w:t>
      </w:r>
    </w:p>
    <w:p w:rsidR="00C55A17" w:rsidRDefault="00B516AB">
      <w:pPr>
        <w:spacing w:line="259" w:lineRule="auto"/>
        <w:ind w:left="72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right="2150"/>
        <w:jc w:val="right"/>
      </w:pPr>
      <w:r>
        <w:t>Kancelář mezinárodních standardů a právních záležitostí</w:t>
      </w:r>
      <w:r>
        <w:t xml:space="preserve"> </w:t>
      </w:r>
    </w:p>
    <w:p w:rsidR="00C55A17" w:rsidRDefault="00B516AB">
      <w:pPr>
        <w:spacing w:line="259" w:lineRule="auto"/>
        <w:ind w:right="60"/>
        <w:jc w:val="center"/>
      </w:pPr>
      <w:r>
        <w:t>Ověřená doslovná kopie</w:t>
      </w:r>
      <w: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rPr>
          <w:color w:val="FF0000"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rPr>
          <w:color w:val="FF0000"/>
        </w:rPr>
        <w:t xml:space="preserve"> </w:t>
      </w:r>
    </w:p>
    <w:p w:rsidR="00C55A17" w:rsidRDefault="00B516AB">
      <w:pPr>
        <w:ind w:right="45"/>
      </w:pPr>
      <w:r>
        <w:t>Ověřená doslovná kopie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right="45"/>
      </w:pPr>
      <w:r>
        <w:t>Paříž, 12. února 2020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right="45"/>
      </w:pPr>
      <w:r>
        <w:t xml:space="preserve">Santiago </w:t>
      </w:r>
      <w:proofErr w:type="spellStart"/>
      <w:r>
        <w:t>Villalpando</w:t>
      </w:r>
      <w:proofErr w:type="spellEnd"/>
      <w:r>
        <w:t xml:space="preserve"> </w:t>
      </w:r>
    </w:p>
    <w:p w:rsidR="00C55A17" w:rsidRDefault="00B516AB">
      <w:pPr>
        <w:ind w:right="45"/>
      </w:pPr>
      <w:r>
        <w:t>Právní poradce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right="45"/>
      </w:pPr>
      <w:r>
        <w:t>Právní poradce UNESCO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lastRenderedPageBreak/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right="56"/>
        <w:jc w:val="center"/>
      </w:pPr>
      <w:r>
        <w:rPr>
          <w:b/>
        </w:rPr>
        <w:t xml:space="preserve">Předepsané postupy přístupu ke Stanovám  </w:t>
      </w:r>
    </w:p>
    <w:p w:rsidR="00C55A17" w:rsidRDefault="00B516AB">
      <w:pPr>
        <w:spacing w:line="259" w:lineRule="auto"/>
        <w:ind w:right="57"/>
        <w:jc w:val="center"/>
      </w:pPr>
      <w:r>
        <w:rPr>
          <w:b/>
        </w:rPr>
        <w:t xml:space="preserve">Mezinárodního centra pro registraci seriálových publikací </w:t>
      </w:r>
    </w:p>
    <w:p w:rsidR="00C55A17" w:rsidRDefault="00B516AB">
      <w:pPr>
        <w:spacing w:line="259" w:lineRule="auto"/>
        <w:ind w:left="2" w:right="0" w:firstLine="0"/>
        <w:jc w:val="center"/>
      </w:pPr>
      <w:r>
        <w:rPr>
          <w:b/>
        </w:rPr>
        <w:t xml:space="preserve"> </w:t>
      </w:r>
    </w:p>
    <w:p w:rsidR="00C55A17" w:rsidRDefault="00B516AB">
      <w:pPr>
        <w:spacing w:line="259" w:lineRule="auto"/>
        <w:ind w:left="2" w:right="0" w:firstLine="0"/>
        <w:jc w:val="center"/>
      </w:pPr>
      <w:r>
        <w:rPr>
          <w:b/>
        </w:rPr>
        <w:t xml:space="preserve"> </w:t>
      </w:r>
    </w:p>
    <w:p w:rsidR="00C55A17" w:rsidRDefault="00B516AB">
      <w:pPr>
        <w:ind w:right="45"/>
      </w:pPr>
      <w:r>
        <w:t>Na základě čl. 2 Stanov Mezinárodního centra pro registraci seriálových publikací, členské státy a</w:t>
      </w:r>
      <w:r>
        <w:t xml:space="preserve"> </w:t>
      </w:r>
      <w:r>
        <w:t xml:space="preserve">přidružení členové UNESCO, kteří chtějí činnost Centra využívat, o tom informují generální ředitelku Organizace oznámením, ve kterém uvedenou, že přistupují </w:t>
      </w:r>
      <w:r>
        <w:t>ke</w:t>
      </w:r>
      <w:r>
        <w:t xml:space="preserve"> </w:t>
      </w:r>
      <w:r>
        <w:t xml:space="preserve">Stanovám Centra.  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ind w:right="45"/>
      </w:pPr>
      <w:r>
        <w:t>V</w:t>
      </w:r>
      <w:r>
        <w:t xml:space="preserve"> </w:t>
      </w:r>
      <w:r>
        <w:t>této souvislosti se generální ředitelka v</w:t>
      </w:r>
      <w:r>
        <w:t xml:space="preserve"> </w:t>
      </w:r>
      <w:r>
        <w:t>rámci plnění svých povinností depozitáře řídí diplomatickými zvyklostmi, podle nichž tato právně závazná oznámení musí být podepsána hlavou státu nebo hlavou vlády nebo ministrem zahranič</w:t>
      </w:r>
      <w:r>
        <w:t>ních věcí nebo osobou, která k</w:t>
      </w:r>
      <w:r>
        <w:t xml:space="preserve"> </w:t>
      </w:r>
      <w:r>
        <w:t>tomu byla jedním z</w:t>
      </w:r>
      <w:r>
        <w:t xml:space="preserve"> </w:t>
      </w:r>
      <w:r>
        <w:t>výše uvedených tří činitelů zmocněna.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right="46"/>
        <w:jc w:val="right"/>
      </w:pPr>
      <w:r>
        <w:t>Kancelář mezinárodních standardů a právních záležitostí UNESCO</w:t>
      </w: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p w:rsidR="00C55A17" w:rsidRDefault="00B516AB">
      <w:pPr>
        <w:spacing w:line="259" w:lineRule="auto"/>
        <w:ind w:left="0" w:right="0" w:firstLine="0"/>
        <w:jc w:val="left"/>
      </w:pPr>
      <w:r>
        <w:t xml:space="preserve"> </w:t>
      </w:r>
    </w:p>
    <w:sectPr w:rsidR="00C55A17">
      <w:footerReference w:type="even" r:id="rId7"/>
      <w:footerReference w:type="default" r:id="rId8"/>
      <w:footerReference w:type="first" r:id="rId9"/>
      <w:pgSz w:w="11906" w:h="16838"/>
      <w:pgMar w:top="1190" w:right="1085" w:bottom="114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6AB" w:rsidRDefault="00B516AB">
      <w:pPr>
        <w:spacing w:line="240" w:lineRule="auto"/>
      </w:pPr>
      <w:r>
        <w:separator/>
      </w:r>
    </w:p>
  </w:endnote>
  <w:endnote w:type="continuationSeparator" w:id="0">
    <w:p w:rsidR="00B516AB" w:rsidRDefault="00B516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A17" w:rsidRDefault="00B516AB">
    <w:pPr>
      <w:spacing w:line="259" w:lineRule="auto"/>
      <w:ind w:left="0" w:right="4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C55A17" w:rsidRDefault="00B516AB">
    <w:pPr>
      <w:spacing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A17" w:rsidRDefault="00B516AB">
    <w:pPr>
      <w:spacing w:line="259" w:lineRule="auto"/>
      <w:ind w:left="0" w:right="4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C55A17" w:rsidRDefault="00B516AB">
    <w:pPr>
      <w:spacing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A17" w:rsidRDefault="00B516AB">
    <w:pPr>
      <w:spacing w:line="259" w:lineRule="auto"/>
      <w:ind w:left="0" w:right="4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C55A17" w:rsidRDefault="00B516AB">
    <w:pPr>
      <w:spacing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6AB" w:rsidRDefault="00B516AB">
      <w:pPr>
        <w:spacing w:line="240" w:lineRule="auto"/>
      </w:pPr>
      <w:r>
        <w:separator/>
      </w:r>
    </w:p>
  </w:footnote>
  <w:footnote w:type="continuationSeparator" w:id="0">
    <w:p w:rsidR="00B516AB" w:rsidRDefault="00B516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B5F9B"/>
    <w:multiLevelType w:val="hybridMultilevel"/>
    <w:tmpl w:val="0B66B184"/>
    <w:lvl w:ilvl="0" w:tplc="A77A9042">
      <w:start w:val="1"/>
      <w:numFmt w:val="lowerLetter"/>
      <w:lvlText w:val="(%1)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1C4A9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453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8805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CC4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1058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0819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E654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E2B5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492675"/>
    <w:multiLevelType w:val="hybridMultilevel"/>
    <w:tmpl w:val="18EA1A2A"/>
    <w:lvl w:ilvl="0" w:tplc="3C32C1A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8A136">
      <w:start w:val="1"/>
      <w:numFmt w:val="lowerLetter"/>
      <w:lvlText w:val="(%2)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B2C84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20D08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CE8FA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EA3EF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6452A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FCF95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A3FD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76088C"/>
    <w:multiLevelType w:val="hybridMultilevel"/>
    <w:tmpl w:val="25383178"/>
    <w:lvl w:ilvl="0" w:tplc="3508D7C0">
      <w:start w:val="1"/>
      <w:numFmt w:val="decimal"/>
      <w:lvlText w:val="(%1)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C33A0">
      <w:start w:val="1"/>
      <w:numFmt w:val="lowerLetter"/>
      <w:lvlText w:val="%2"/>
      <w:lvlJc w:val="left"/>
      <w:pPr>
        <w:ind w:left="2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B8E3E0">
      <w:start w:val="1"/>
      <w:numFmt w:val="lowerRoman"/>
      <w:lvlText w:val="%3"/>
      <w:lvlJc w:val="left"/>
      <w:pPr>
        <w:ind w:left="3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9EB2E0">
      <w:start w:val="1"/>
      <w:numFmt w:val="decimal"/>
      <w:lvlText w:val="%4"/>
      <w:lvlJc w:val="left"/>
      <w:pPr>
        <w:ind w:left="3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6E22EE">
      <w:start w:val="1"/>
      <w:numFmt w:val="lowerLetter"/>
      <w:lvlText w:val="%5"/>
      <w:lvlJc w:val="left"/>
      <w:pPr>
        <w:ind w:left="4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B62630">
      <w:start w:val="1"/>
      <w:numFmt w:val="lowerRoman"/>
      <w:lvlText w:val="%6"/>
      <w:lvlJc w:val="left"/>
      <w:pPr>
        <w:ind w:left="5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6E27E">
      <w:start w:val="1"/>
      <w:numFmt w:val="decimal"/>
      <w:lvlText w:val="%7"/>
      <w:lvlJc w:val="left"/>
      <w:pPr>
        <w:ind w:left="6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2CE0EC">
      <w:start w:val="1"/>
      <w:numFmt w:val="lowerLetter"/>
      <w:lvlText w:val="%8"/>
      <w:lvlJc w:val="left"/>
      <w:pPr>
        <w:ind w:left="6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7E13F2">
      <w:start w:val="1"/>
      <w:numFmt w:val="lowerRoman"/>
      <w:lvlText w:val="%9"/>
      <w:lvlJc w:val="left"/>
      <w:pPr>
        <w:ind w:left="7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AE3B28"/>
    <w:multiLevelType w:val="hybridMultilevel"/>
    <w:tmpl w:val="814A907C"/>
    <w:lvl w:ilvl="0" w:tplc="470C15B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6A0EF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CADF4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3EBBF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2C20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E30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78605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4A4A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ACD50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1822FC"/>
    <w:multiLevelType w:val="hybridMultilevel"/>
    <w:tmpl w:val="AAFE876A"/>
    <w:lvl w:ilvl="0" w:tplc="642C8B9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6427A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CE765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203F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8E3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8C81F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92B9A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48CEC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D4507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DE46EA"/>
    <w:multiLevelType w:val="hybridMultilevel"/>
    <w:tmpl w:val="7CDC7F1C"/>
    <w:lvl w:ilvl="0" w:tplc="F040494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0142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6B3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48A37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5E9BC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DC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90A8D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CCA5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E0165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FC75149"/>
    <w:multiLevelType w:val="hybridMultilevel"/>
    <w:tmpl w:val="6884ECD6"/>
    <w:lvl w:ilvl="0" w:tplc="6630BD3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D03D2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A0E5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AE937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E6E20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BC908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F455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BE905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98F6A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A17"/>
    <w:rsid w:val="00A610F9"/>
    <w:rsid w:val="00B516AB"/>
    <w:rsid w:val="00C5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DA1F1-F0F4-49BC-ACBF-C475E9C8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0" w:line="249" w:lineRule="auto"/>
      <w:ind w:left="10" w:right="6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right="58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Truhlářová Eva</dc:creator>
  <cp:keywords/>
  <cp:lastModifiedBy>Truhlářová Eva</cp:lastModifiedBy>
  <cp:revision>2</cp:revision>
  <dcterms:created xsi:type="dcterms:W3CDTF">2020-02-28T09:56:00Z</dcterms:created>
  <dcterms:modified xsi:type="dcterms:W3CDTF">2020-02-28T09:56:00Z</dcterms:modified>
</cp:coreProperties>
</file>