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CBEA15" w14:textId="77777777" w:rsidR="00662781" w:rsidRDefault="00662781" w:rsidP="00662781">
      <w:pPr>
        <w:spacing w:before="240" w:after="240"/>
        <w:jc w:val="center"/>
        <w:rPr>
          <w:rFonts w:ascii="Times New Roman" w:hAnsi="Times New Roman"/>
          <w:b/>
          <w:sz w:val="24"/>
          <w:szCs w:val="24"/>
        </w:rPr>
      </w:pPr>
    </w:p>
    <w:p w14:paraId="3DC12F6F" w14:textId="77777777" w:rsidR="00E42872" w:rsidRPr="004C6CDB" w:rsidRDefault="00E42872" w:rsidP="00662781">
      <w:pPr>
        <w:spacing w:before="240" w:after="240"/>
        <w:jc w:val="center"/>
        <w:rPr>
          <w:rFonts w:ascii="Times New Roman" w:hAnsi="Times New Roman"/>
          <w:b/>
          <w:sz w:val="24"/>
          <w:szCs w:val="24"/>
        </w:rPr>
      </w:pPr>
    </w:p>
    <w:p w14:paraId="5AE01B18" w14:textId="77777777" w:rsidR="00662781" w:rsidRPr="00286395" w:rsidRDefault="00662781" w:rsidP="00286395">
      <w:pPr>
        <w:spacing w:before="480" w:after="480"/>
        <w:jc w:val="center"/>
        <w:rPr>
          <w:rFonts w:ascii="Times New Roman" w:hAnsi="Times New Roman"/>
          <w:b/>
          <w:caps/>
          <w:sz w:val="36"/>
          <w:szCs w:val="36"/>
        </w:rPr>
      </w:pPr>
      <w:r w:rsidRPr="00286395">
        <w:rPr>
          <w:rFonts w:ascii="Times New Roman" w:hAnsi="Times New Roman"/>
          <w:b/>
          <w:caps/>
          <w:sz w:val="36"/>
          <w:szCs w:val="36"/>
        </w:rPr>
        <w:t>Závěrečná zpráva z hodnocení dopadŮ</w:t>
      </w:r>
    </w:p>
    <w:p w14:paraId="627C3E09" w14:textId="77777777" w:rsidR="00662781" w:rsidRPr="00286395" w:rsidRDefault="00662781" w:rsidP="00286395">
      <w:pPr>
        <w:spacing w:before="480" w:after="480"/>
        <w:jc w:val="center"/>
        <w:rPr>
          <w:rFonts w:ascii="Times New Roman" w:hAnsi="Times New Roman"/>
          <w:b/>
          <w:caps/>
          <w:smallCaps/>
          <w:sz w:val="36"/>
          <w:szCs w:val="36"/>
        </w:rPr>
      </w:pPr>
      <w:r w:rsidRPr="00286395">
        <w:rPr>
          <w:rFonts w:ascii="Times New Roman" w:hAnsi="Times New Roman"/>
          <w:b/>
          <w:caps/>
          <w:sz w:val="36"/>
          <w:szCs w:val="36"/>
        </w:rPr>
        <w:t>regulace (RIA)</w:t>
      </w:r>
    </w:p>
    <w:p w14:paraId="5364C2B3" w14:textId="77777777" w:rsidR="00662781" w:rsidRPr="00286395" w:rsidRDefault="00662781" w:rsidP="00662781">
      <w:pPr>
        <w:spacing w:before="240" w:after="240"/>
        <w:jc w:val="both"/>
        <w:rPr>
          <w:rFonts w:ascii="Times New Roman" w:hAnsi="Times New Roman"/>
          <w:b/>
          <w:sz w:val="36"/>
          <w:szCs w:val="36"/>
        </w:rPr>
      </w:pPr>
    </w:p>
    <w:p w14:paraId="5B8E284A" w14:textId="77777777" w:rsidR="00662781" w:rsidRPr="00286395" w:rsidRDefault="00662781" w:rsidP="00662781">
      <w:pPr>
        <w:spacing w:before="240" w:after="240"/>
        <w:jc w:val="center"/>
        <w:rPr>
          <w:rFonts w:ascii="Times New Roman" w:hAnsi="Times New Roman"/>
          <w:b/>
          <w:sz w:val="36"/>
          <w:szCs w:val="36"/>
        </w:rPr>
      </w:pPr>
    </w:p>
    <w:p w14:paraId="77AC81DC" w14:textId="77777777" w:rsidR="00662781" w:rsidRPr="00286395" w:rsidRDefault="00D106EF" w:rsidP="00D106EF">
      <w:pPr>
        <w:spacing w:before="240" w:after="240"/>
        <w:jc w:val="center"/>
        <w:rPr>
          <w:rFonts w:ascii="Times New Roman" w:hAnsi="Times New Roman"/>
          <w:b/>
          <w:sz w:val="36"/>
          <w:szCs w:val="36"/>
        </w:rPr>
      </w:pPr>
      <w:r>
        <w:rPr>
          <w:rFonts w:ascii="Times New Roman" w:hAnsi="Times New Roman"/>
          <w:b/>
          <w:sz w:val="36"/>
          <w:szCs w:val="36"/>
        </w:rPr>
        <w:t>k n</w:t>
      </w:r>
      <w:r w:rsidR="00662781" w:rsidRPr="00286395">
        <w:rPr>
          <w:rFonts w:ascii="Times New Roman" w:hAnsi="Times New Roman"/>
          <w:b/>
          <w:sz w:val="36"/>
          <w:szCs w:val="36"/>
        </w:rPr>
        <w:t>ávrh</w:t>
      </w:r>
      <w:r>
        <w:rPr>
          <w:rFonts w:ascii="Times New Roman" w:hAnsi="Times New Roman"/>
          <w:b/>
          <w:sz w:val="36"/>
          <w:szCs w:val="36"/>
        </w:rPr>
        <w:t>u</w:t>
      </w:r>
      <w:r w:rsidR="00662781" w:rsidRPr="00286395">
        <w:rPr>
          <w:rFonts w:ascii="Times New Roman" w:hAnsi="Times New Roman"/>
          <w:b/>
          <w:sz w:val="36"/>
          <w:szCs w:val="36"/>
        </w:rPr>
        <w:t xml:space="preserve"> zákona, kterým se mění zákon č.</w:t>
      </w:r>
      <w:r w:rsidR="00737C30">
        <w:rPr>
          <w:rFonts w:ascii="Times New Roman" w:hAnsi="Times New Roman"/>
          <w:b/>
          <w:sz w:val="36"/>
          <w:szCs w:val="36"/>
        </w:rPr>
        <w:t> </w:t>
      </w:r>
      <w:r w:rsidR="00662781" w:rsidRPr="00286395">
        <w:rPr>
          <w:rFonts w:ascii="Times New Roman" w:hAnsi="Times New Roman"/>
          <w:b/>
          <w:sz w:val="36"/>
          <w:szCs w:val="36"/>
        </w:rPr>
        <w:t>58/1995 Sb.</w:t>
      </w:r>
      <w:r w:rsidR="00F36C6C">
        <w:rPr>
          <w:rFonts w:ascii="Times New Roman" w:hAnsi="Times New Roman"/>
          <w:b/>
          <w:sz w:val="36"/>
          <w:szCs w:val="36"/>
        </w:rPr>
        <w:t>,</w:t>
      </w:r>
      <w:r w:rsidR="00662781" w:rsidRPr="00286395">
        <w:rPr>
          <w:rFonts w:ascii="Times New Roman" w:hAnsi="Times New Roman"/>
          <w:b/>
          <w:sz w:val="36"/>
          <w:szCs w:val="36"/>
        </w:rPr>
        <w:t xml:space="preserve"> o</w:t>
      </w:r>
      <w:r w:rsidR="00E74ED6">
        <w:rPr>
          <w:rFonts w:ascii="Times New Roman" w:hAnsi="Times New Roman"/>
          <w:b/>
          <w:sz w:val="36"/>
          <w:szCs w:val="36"/>
        </w:rPr>
        <w:t> </w:t>
      </w:r>
      <w:r w:rsidR="00662781" w:rsidRPr="00286395">
        <w:rPr>
          <w:rFonts w:ascii="Times New Roman" w:hAnsi="Times New Roman"/>
          <w:b/>
          <w:sz w:val="36"/>
          <w:szCs w:val="36"/>
        </w:rPr>
        <w:t>pojišťování a financování vývozu se státní podporou a</w:t>
      </w:r>
      <w:r w:rsidR="00630D4C">
        <w:rPr>
          <w:rFonts w:ascii="Times New Roman" w:hAnsi="Times New Roman"/>
          <w:b/>
          <w:sz w:val="36"/>
          <w:szCs w:val="36"/>
        </w:rPr>
        <w:t> </w:t>
      </w:r>
      <w:r w:rsidR="00662781" w:rsidRPr="00286395">
        <w:rPr>
          <w:rFonts w:ascii="Times New Roman" w:hAnsi="Times New Roman"/>
          <w:b/>
          <w:sz w:val="36"/>
          <w:szCs w:val="36"/>
        </w:rPr>
        <w:t>o</w:t>
      </w:r>
      <w:r w:rsidR="00630D4C">
        <w:rPr>
          <w:rFonts w:ascii="Times New Roman" w:hAnsi="Times New Roman"/>
          <w:b/>
          <w:sz w:val="36"/>
          <w:szCs w:val="36"/>
        </w:rPr>
        <w:t> </w:t>
      </w:r>
      <w:r w:rsidR="00662781" w:rsidRPr="00286395">
        <w:rPr>
          <w:rFonts w:ascii="Times New Roman" w:hAnsi="Times New Roman"/>
          <w:b/>
          <w:sz w:val="36"/>
          <w:szCs w:val="36"/>
        </w:rPr>
        <w:t>doplnění zákona č.</w:t>
      </w:r>
      <w:r w:rsidR="00737C30">
        <w:rPr>
          <w:rFonts w:ascii="Times New Roman" w:hAnsi="Times New Roman"/>
          <w:b/>
          <w:sz w:val="36"/>
          <w:szCs w:val="36"/>
        </w:rPr>
        <w:t> </w:t>
      </w:r>
      <w:r w:rsidR="00662781" w:rsidRPr="00286395">
        <w:rPr>
          <w:rFonts w:ascii="Times New Roman" w:hAnsi="Times New Roman"/>
          <w:b/>
          <w:sz w:val="36"/>
          <w:szCs w:val="36"/>
        </w:rPr>
        <w:t>166/1993 Sb., o Nejvyšším kontrolním úřadu, ve znění pozdějších předpisů</w:t>
      </w:r>
      <w:r w:rsidR="00797451">
        <w:rPr>
          <w:rFonts w:ascii="Times New Roman" w:hAnsi="Times New Roman"/>
          <w:b/>
          <w:sz w:val="36"/>
          <w:szCs w:val="36"/>
        </w:rPr>
        <w:t>,</w:t>
      </w:r>
      <w:r w:rsidR="00C017B3" w:rsidRPr="00286395">
        <w:rPr>
          <w:rFonts w:ascii="Times New Roman" w:hAnsi="Times New Roman"/>
          <w:b/>
          <w:sz w:val="36"/>
          <w:szCs w:val="36"/>
        </w:rPr>
        <w:t xml:space="preserve"> </w:t>
      </w:r>
      <w:r w:rsidR="008B0214" w:rsidRPr="00286395">
        <w:rPr>
          <w:rFonts w:ascii="Times New Roman" w:hAnsi="Times New Roman"/>
          <w:b/>
          <w:sz w:val="36"/>
          <w:szCs w:val="36"/>
        </w:rPr>
        <w:t>ve znění pozdějších předpisů</w:t>
      </w:r>
      <w:r w:rsidR="008B0214">
        <w:rPr>
          <w:rFonts w:ascii="Times New Roman" w:hAnsi="Times New Roman"/>
          <w:b/>
          <w:sz w:val="36"/>
          <w:szCs w:val="36"/>
        </w:rPr>
        <w:t xml:space="preserve">, </w:t>
      </w:r>
      <w:r w:rsidR="00C017B3" w:rsidRPr="00286395">
        <w:rPr>
          <w:rFonts w:ascii="Times New Roman" w:hAnsi="Times New Roman"/>
          <w:b/>
          <w:sz w:val="36"/>
          <w:szCs w:val="36"/>
        </w:rPr>
        <w:t>a zákon č.</w:t>
      </w:r>
      <w:r w:rsidR="00630D4C">
        <w:rPr>
          <w:rFonts w:ascii="Times New Roman" w:hAnsi="Times New Roman"/>
          <w:b/>
          <w:sz w:val="36"/>
          <w:szCs w:val="36"/>
        </w:rPr>
        <w:t> </w:t>
      </w:r>
      <w:r w:rsidR="00C017B3" w:rsidRPr="00286395">
        <w:rPr>
          <w:rFonts w:ascii="Times New Roman" w:hAnsi="Times New Roman"/>
          <w:b/>
          <w:sz w:val="36"/>
          <w:szCs w:val="36"/>
        </w:rPr>
        <w:t>218/2000 Sb., o</w:t>
      </w:r>
      <w:r w:rsidR="008B0214">
        <w:rPr>
          <w:rFonts w:ascii="Times New Roman" w:hAnsi="Times New Roman"/>
          <w:b/>
          <w:sz w:val="36"/>
          <w:szCs w:val="36"/>
        </w:rPr>
        <w:t> </w:t>
      </w:r>
      <w:r w:rsidR="00C017B3" w:rsidRPr="00286395">
        <w:rPr>
          <w:rFonts w:ascii="Times New Roman" w:hAnsi="Times New Roman"/>
          <w:b/>
          <w:sz w:val="36"/>
          <w:szCs w:val="36"/>
        </w:rPr>
        <w:t>rozpočtových pravidlech a o změně některých souvisejících zákonů (rozpočtová pravidla), ve</w:t>
      </w:r>
      <w:r w:rsidR="00630D4C">
        <w:rPr>
          <w:rFonts w:ascii="Times New Roman" w:hAnsi="Times New Roman"/>
          <w:b/>
          <w:sz w:val="36"/>
          <w:szCs w:val="36"/>
        </w:rPr>
        <w:t> </w:t>
      </w:r>
      <w:r w:rsidR="00C017B3" w:rsidRPr="00286395">
        <w:rPr>
          <w:rFonts w:ascii="Times New Roman" w:hAnsi="Times New Roman"/>
          <w:b/>
          <w:sz w:val="36"/>
          <w:szCs w:val="36"/>
        </w:rPr>
        <w:t>znění pozdějších předpisů</w:t>
      </w:r>
    </w:p>
    <w:p w14:paraId="2FFED31A" w14:textId="77777777" w:rsidR="00C017B3" w:rsidRPr="00286395" w:rsidRDefault="00C017B3" w:rsidP="00662781">
      <w:pPr>
        <w:spacing w:before="240" w:after="240"/>
        <w:jc w:val="both"/>
        <w:rPr>
          <w:rFonts w:ascii="Times New Roman" w:hAnsi="Times New Roman"/>
          <w:b/>
          <w:sz w:val="24"/>
          <w:szCs w:val="24"/>
        </w:rPr>
      </w:pPr>
    </w:p>
    <w:p w14:paraId="5DF561CA" w14:textId="77777777" w:rsidR="00C017B3" w:rsidRPr="00286395" w:rsidRDefault="00C017B3" w:rsidP="00662781">
      <w:pPr>
        <w:spacing w:before="240" w:after="240"/>
        <w:jc w:val="both"/>
        <w:rPr>
          <w:rFonts w:ascii="Times New Roman" w:hAnsi="Times New Roman"/>
          <w:b/>
          <w:sz w:val="24"/>
          <w:szCs w:val="24"/>
        </w:rPr>
      </w:pPr>
    </w:p>
    <w:p w14:paraId="29B557F4" w14:textId="77777777" w:rsidR="00C017B3" w:rsidRPr="00286395" w:rsidRDefault="00C017B3" w:rsidP="00662781">
      <w:pPr>
        <w:spacing w:before="240" w:after="240"/>
        <w:jc w:val="both"/>
        <w:rPr>
          <w:rFonts w:ascii="Times New Roman" w:hAnsi="Times New Roman"/>
          <w:b/>
          <w:sz w:val="24"/>
          <w:szCs w:val="24"/>
        </w:rPr>
      </w:pPr>
    </w:p>
    <w:p w14:paraId="2CFBEFC0" w14:textId="77777777" w:rsidR="00C017B3" w:rsidRPr="00286395" w:rsidRDefault="00C017B3" w:rsidP="00662781">
      <w:pPr>
        <w:spacing w:before="240" w:after="240"/>
        <w:jc w:val="both"/>
        <w:rPr>
          <w:rFonts w:ascii="Times New Roman" w:hAnsi="Times New Roman"/>
          <w:b/>
          <w:sz w:val="24"/>
          <w:szCs w:val="24"/>
        </w:rPr>
      </w:pPr>
    </w:p>
    <w:p w14:paraId="582976DC" w14:textId="77777777" w:rsidR="00C017B3" w:rsidRPr="00286395" w:rsidRDefault="00C017B3" w:rsidP="00662781">
      <w:pPr>
        <w:spacing w:before="240" w:after="240"/>
        <w:jc w:val="both"/>
        <w:rPr>
          <w:rFonts w:ascii="Times New Roman" w:hAnsi="Times New Roman"/>
          <w:b/>
          <w:sz w:val="24"/>
          <w:szCs w:val="24"/>
        </w:rPr>
      </w:pPr>
    </w:p>
    <w:p w14:paraId="49C1B528" w14:textId="77777777" w:rsidR="00662781" w:rsidRPr="00286395" w:rsidRDefault="00662781" w:rsidP="00662781">
      <w:pPr>
        <w:overflowPunct/>
        <w:spacing w:after="0" w:line="240" w:lineRule="auto"/>
        <w:jc w:val="both"/>
        <w:textAlignment w:val="auto"/>
        <w:rPr>
          <w:rFonts w:ascii="Times New Roman" w:hAnsi="Times New Roman"/>
          <w:sz w:val="24"/>
          <w:szCs w:val="24"/>
        </w:rPr>
      </w:pPr>
      <w:r w:rsidRPr="00286395">
        <w:rPr>
          <w:rFonts w:ascii="Times New Roman" w:hAnsi="Times New Roman"/>
          <w:sz w:val="24"/>
          <w:szCs w:val="24"/>
        </w:rPr>
        <w:br w:type="page"/>
      </w:r>
    </w:p>
    <w:p w14:paraId="274F9434" w14:textId="77777777" w:rsidR="00662781" w:rsidRPr="00286395" w:rsidRDefault="00662781" w:rsidP="00662781">
      <w:pPr>
        <w:jc w:val="both"/>
        <w:rPr>
          <w:rFonts w:ascii="Times New Roman" w:hAnsi="Times New Roman"/>
          <w:sz w:val="24"/>
          <w:szCs w:val="24"/>
        </w:rPr>
        <w:sectPr w:rsidR="00662781" w:rsidRPr="00286395" w:rsidSect="00386D94">
          <w:headerReference w:type="default" r:id="rId8"/>
          <w:footerReference w:type="default" r:id="rId9"/>
          <w:pgSz w:w="11906" w:h="16838"/>
          <w:pgMar w:top="1417" w:right="1426" w:bottom="1417" w:left="1418" w:header="708" w:footer="708" w:gutter="0"/>
          <w:cols w:space="708"/>
          <w:formProt w:val="0"/>
          <w:docGrid w:linePitch="240" w:charSpace="-2049"/>
        </w:sectPr>
      </w:pPr>
    </w:p>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662781" w:rsidRPr="00286395" w14:paraId="07759103" w14:textId="77777777" w:rsidTr="00386D94">
        <w:trPr>
          <w:trHeight w:val="187"/>
        </w:trPr>
        <w:tc>
          <w:tcPr>
            <w:tcW w:w="9480" w:type="dxa"/>
            <w:tcBorders>
              <w:top w:val="single" w:sz="12" w:space="0" w:color="000001"/>
            </w:tcBorders>
            <w:shd w:val="clear" w:color="auto" w:fill="FFFFFF"/>
            <w:tcMar>
              <w:left w:w="0" w:type="dxa"/>
            </w:tcMar>
            <w:vAlign w:val="bottom"/>
          </w:tcPr>
          <w:p w14:paraId="32F54C1C" w14:textId="77777777" w:rsidR="00662781" w:rsidRPr="00286395" w:rsidRDefault="00662781" w:rsidP="00386D94">
            <w:pPr>
              <w:widowControl w:val="0"/>
              <w:tabs>
                <w:tab w:val="left" w:pos="6660"/>
              </w:tabs>
              <w:spacing w:before="240" w:after="240" w:line="264" w:lineRule="auto"/>
              <w:rPr>
                <w:rFonts w:ascii="Times New Roman" w:hAnsi="Times New Roman"/>
                <w:bCs/>
                <w:sz w:val="24"/>
                <w:szCs w:val="24"/>
              </w:rPr>
            </w:pPr>
            <w:r w:rsidRPr="00286395">
              <w:rPr>
                <w:rFonts w:ascii="Times New Roman" w:hAnsi="Times New Roman"/>
                <w:b/>
                <w:bCs/>
                <w:sz w:val="24"/>
                <w:szCs w:val="24"/>
              </w:rPr>
              <w:lastRenderedPageBreak/>
              <w:t>1. Základní identifikační údaje</w:t>
            </w: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662781" w:rsidRPr="00286395" w14:paraId="64F967DD" w14:textId="77777777" w:rsidTr="00386D94">
        <w:trPr>
          <w:trHeight w:val="187"/>
        </w:trPr>
        <w:tc>
          <w:tcPr>
            <w:tcW w:w="9480" w:type="dxa"/>
            <w:tcBorders>
              <w:top w:val="single" w:sz="12" w:space="0" w:color="000001"/>
            </w:tcBorders>
            <w:shd w:val="clear" w:color="auto" w:fill="FFFFFF"/>
            <w:tcMar>
              <w:left w:w="0" w:type="dxa"/>
            </w:tcMar>
            <w:vAlign w:val="bottom"/>
          </w:tcPr>
          <w:p w14:paraId="4448D477" w14:textId="77777777" w:rsidR="00662781" w:rsidRPr="00286395" w:rsidRDefault="00662781" w:rsidP="00386D94">
            <w:pPr>
              <w:widowControl w:val="0"/>
              <w:tabs>
                <w:tab w:val="left" w:pos="6660"/>
              </w:tabs>
              <w:spacing w:before="240" w:after="240" w:line="264" w:lineRule="auto"/>
              <w:jc w:val="center"/>
              <w:rPr>
                <w:rFonts w:ascii="Times New Roman" w:hAnsi="Times New Roman"/>
                <w:bCs/>
                <w:sz w:val="24"/>
                <w:szCs w:val="24"/>
              </w:rPr>
            </w:pPr>
            <w:r w:rsidRPr="00286395">
              <w:rPr>
                <w:rFonts w:ascii="Times New Roman" w:hAnsi="Times New Roman"/>
                <w:bCs/>
                <w:sz w:val="24"/>
                <w:szCs w:val="24"/>
              </w:rPr>
              <w:t xml:space="preserve">Název návrhu: </w:t>
            </w:r>
            <w:r w:rsidRPr="00286395">
              <w:rPr>
                <w:rFonts w:ascii="Times New Roman" w:hAnsi="Times New Roman"/>
                <w:bCs/>
                <w:sz w:val="24"/>
                <w:szCs w:val="24"/>
              </w:rPr>
              <w:t> </w:t>
            </w:r>
          </w:p>
          <w:p w14:paraId="390BB1CC" w14:textId="5D1355EA" w:rsidR="00662781" w:rsidRPr="00286395" w:rsidRDefault="00662781" w:rsidP="00C017B3">
            <w:pPr>
              <w:widowControl w:val="0"/>
              <w:jc w:val="both"/>
              <w:rPr>
                <w:rFonts w:ascii="Times New Roman" w:hAnsi="Times New Roman"/>
                <w:b/>
                <w:sz w:val="24"/>
                <w:szCs w:val="24"/>
              </w:rPr>
            </w:pPr>
            <w:r w:rsidRPr="00286395">
              <w:rPr>
                <w:rFonts w:ascii="Times New Roman" w:hAnsi="Times New Roman"/>
                <w:b/>
                <w:sz w:val="24"/>
                <w:szCs w:val="24"/>
              </w:rPr>
              <w:t>Návrh zákona, kterým se mění zákon č.</w:t>
            </w:r>
            <w:r w:rsidR="00737C30">
              <w:rPr>
                <w:rFonts w:ascii="Times New Roman" w:hAnsi="Times New Roman"/>
                <w:b/>
                <w:sz w:val="24"/>
                <w:szCs w:val="24"/>
              </w:rPr>
              <w:t> </w:t>
            </w:r>
            <w:r w:rsidRPr="00286395">
              <w:rPr>
                <w:rFonts w:ascii="Times New Roman" w:hAnsi="Times New Roman"/>
                <w:b/>
                <w:sz w:val="24"/>
                <w:szCs w:val="24"/>
              </w:rPr>
              <w:t>58/1995 Sb., o pojišťování a financování vývozu se</w:t>
            </w:r>
            <w:r w:rsidR="00FF76EB">
              <w:rPr>
                <w:rFonts w:ascii="Times New Roman" w:hAnsi="Times New Roman"/>
                <w:b/>
                <w:sz w:val="24"/>
                <w:szCs w:val="24"/>
              </w:rPr>
              <w:t> </w:t>
            </w:r>
            <w:r w:rsidRPr="00286395">
              <w:rPr>
                <w:rFonts w:ascii="Times New Roman" w:hAnsi="Times New Roman"/>
                <w:b/>
                <w:sz w:val="24"/>
                <w:szCs w:val="24"/>
              </w:rPr>
              <w:t>státní podporou a o doplnění zákona č.</w:t>
            </w:r>
            <w:r w:rsidR="00737C30">
              <w:rPr>
                <w:rFonts w:ascii="Times New Roman" w:hAnsi="Times New Roman"/>
                <w:b/>
                <w:sz w:val="24"/>
                <w:szCs w:val="24"/>
              </w:rPr>
              <w:t> </w:t>
            </w:r>
            <w:r w:rsidRPr="00286395">
              <w:rPr>
                <w:rFonts w:ascii="Times New Roman" w:hAnsi="Times New Roman"/>
                <w:b/>
                <w:sz w:val="24"/>
                <w:szCs w:val="24"/>
              </w:rPr>
              <w:t>166/1993 Sb., o Nejvyšším kontrolním úřadu, ve</w:t>
            </w:r>
            <w:r w:rsidR="00FF76EB">
              <w:rPr>
                <w:rFonts w:ascii="Times New Roman" w:hAnsi="Times New Roman"/>
                <w:b/>
                <w:sz w:val="24"/>
                <w:szCs w:val="24"/>
              </w:rPr>
              <w:t> </w:t>
            </w:r>
            <w:r w:rsidRPr="00286395">
              <w:rPr>
                <w:rFonts w:ascii="Times New Roman" w:hAnsi="Times New Roman"/>
                <w:b/>
                <w:sz w:val="24"/>
                <w:szCs w:val="24"/>
              </w:rPr>
              <w:t>znění pozdějších předpisů</w:t>
            </w:r>
            <w:r w:rsidR="00797451">
              <w:rPr>
                <w:rFonts w:ascii="Times New Roman" w:hAnsi="Times New Roman"/>
                <w:b/>
                <w:sz w:val="24"/>
                <w:szCs w:val="24"/>
              </w:rPr>
              <w:t>,</w:t>
            </w:r>
            <w:r w:rsidR="00C017B3" w:rsidRPr="00286395">
              <w:rPr>
                <w:rFonts w:ascii="Times New Roman" w:hAnsi="Times New Roman"/>
                <w:b/>
                <w:sz w:val="24"/>
                <w:szCs w:val="24"/>
              </w:rPr>
              <w:t xml:space="preserve"> </w:t>
            </w:r>
            <w:r w:rsidR="008B0214" w:rsidRPr="00286395">
              <w:rPr>
                <w:rFonts w:ascii="Times New Roman" w:hAnsi="Times New Roman"/>
                <w:b/>
                <w:sz w:val="24"/>
                <w:szCs w:val="24"/>
              </w:rPr>
              <w:t>ve znění pozdějších předpisů</w:t>
            </w:r>
            <w:r w:rsidR="008B0214">
              <w:rPr>
                <w:rFonts w:ascii="Times New Roman" w:hAnsi="Times New Roman"/>
                <w:b/>
                <w:sz w:val="24"/>
                <w:szCs w:val="24"/>
              </w:rPr>
              <w:t xml:space="preserve">, </w:t>
            </w:r>
            <w:r w:rsidR="00C017B3" w:rsidRPr="00286395">
              <w:rPr>
                <w:rFonts w:ascii="Times New Roman" w:hAnsi="Times New Roman"/>
                <w:b/>
                <w:sz w:val="24"/>
                <w:szCs w:val="24"/>
              </w:rPr>
              <w:t>a zákon č.</w:t>
            </w:r>
            <w:r w:rsidR="00737C30">
              <w:rPr>
                <w:rFonts w:ascii="Times New Roman" w:hAnsi="Times New Roman"/>
                <w:b/>
                <w:sz w:val="24"/>
                <w:szCs w:val="24"/>
              </w:rPr>
              <w:t> </w:t>
            </w:r>
            <w:r w:rsidR="00C017B3" w:rsidRPr="00286395">
              <w:rPr>
                <w:rFonts w:ascii="Times New Roman" w:hAnsi="Times New Roman"/>
                <w:b/>
                <w:sz w:val="24"/>
                <w:szCs w:val="24"/>
              </w:rPr>
              <w:t>218/2000 Sb., o</w:t>
            </w:r>
            <w:r w:rsidR="00F810B6">
              <w:rPr>
                <w:rFonts w:ascii="Times New Roman" w:hAnsi="Times New Roman"/>
                <w:b/>
                <w:sz w:val="24"/>
                <w:szCs w:val="24"/>
              </w:rPr>
              <w:t> </w:t>
            </w:r>
            <w:r w:rsidR="00C017B3" w:rsidRPr="00286395">
              <w:rPr>
                <w:rFonts w:ascii="Times New Roman" w:hAnsi="Times New Roman"/>
                <w:b/>
                <w:sz w:val="24"/>
                <w:szCs w:val="24"/>
              </w:rPr>
              <w:t>rozpočtových pravidlech a o změně některých souvisejících zákonů (rozpočtová pravidla), ve znění pozdějších předpisů</w:t>
            </w:r>
          </w:p>
          <w:p w14:paraId="10B0AD6A" w14:textId="77777777" w:rsidR="00662781" w:rsidRPr="00286395" w:rsidRDefault="00662781" w:rsidP="00386D94">
            <w:pPr>
              <w:widowControl w:val="0"/>
              <w:tabs>
                <w:tab w:val="left" w:pos="6660"/>
              </w:tabs>
              <w:spacing w:before="240" w:after="240" w:line="264" w:lineRule="auto"/>
              <w:jc w:val="center"/>
              <w:rPr>
                <w:rFonts w:ascii="Times New Roman" w:hAnsi="Times New Roman"/>
                <w:bCs/>
                <w:sz w:val="24"/>
                <w:szCs w:val="24"/>
              </w:rPr>
            </w:pPr>
            <w:r w:rsidRPr="00286395">
              <w:rPr>
                <w:rFonts w:ascii="Times New Roman" w:hAnsi="Times New Roman"/>
                <w:bCs/>
                <w:sz w:val="24"/>
                <w:szCs w:val="24"/>
              </w:rPr>
              <w:t> </w:t>
            </w:r>
            <w:r w:rsidRPr="00286395">
              <w:rPr>
                <w:rFonts w:ascii="Times New Roman" w:hAnsi="Times New Roman"/>
                <w:bCs/>
                <w:sz w:val="24"/>
                <w:szCs w:val="24"/>
              </w:rPr>
              <w:t> </w:t>
            </w:r>
          </w:p>
        </w:tc>
      </w:tr>
    </w:tbl>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4160"/>
        <w:gridCol w:w="5320"/>
      </w:tblGrid>
      <w:tr w:rsidR="00662781" w:rsidRPr="00286395" w14:paraId="61F75427" w14:textId="77777777" w:rsidTr="00386D94">
        <w:trPr>
          <w:trHeight w:val="979"/>
        </w:trPr>
        <w:tc>
          <w:tcPr>
            <w:tcW w:w="4160" w:type="dxa"/>
            <w:tcBorders>
              <w:right w:val="single" w:sz="4" w:space="0" w:color="000001"/>
            </w:tcBorders>
            <w:shd w:val="clear" w:color="auto" w:fill="FFFFFF"/>
            <w:tcMar>
              <w:left w:w="0" w:type="dxa"/>
            </w:tcMar>
            <w:vAlign w:val="center"/>
          </w:tcPr>
          <w:p w14:paraId="4F127781" w14:textId="77777777" w:rsidR="00662781" w:rsidRPr="00286395" w:rsidRDefault="00662781" w:rsidP="00386D94">
            <w:pPr>
              <w:widowControl w:val="0"/>
              <w:tabs>
                <w:tab w:val="left" w:pos="6660"/>
              </w:tabs>
              <w:spacing w:before="120" w:after="120" w:line="264" w:lineRule="auto"/>
              <w:jc w:val="center"/>
              <w:rPr>
                <w:rFonts w:ascii="Times New Roman" w:hAnsi="Times New Roman"/>
                <w:bCs/>
                <w:sz w:val="24"/>
                <w:szCs w:val="24"/>
              </w:rPr>
            </w:pPr>
            <w:r w:rsidRPr="00286395">
              <w:rPr>
                <w:rFonts w:ascii="Times New Roman" w:hAnsi="Times New Roman"/>
                <w:bCs/>
                <w:sz w:val="24"/>
                <w:szCs w:val="24"/>
              </w:rPr>
              <w:t xml:space="preserve">Zpracovatel / zástupce předkladatele: </w:t>
            </w:r>
          </w:p>
          <w:p w14:paraId="127F7120" w14:textId="77777777" w:rsidR="00662781" w:rsidRPr="00286395" w:rsidRDefault="00662781" w:rsidP="00386D94">
            <w:pPr>
              <w:widowControl w:val="0"/>
              <w:tabs>
                <w:tab w:val="left" w:pos="6660"/>
              </w:tabs>
              <w:spacing w:before="120" w:after="120" w:line="264" w:lineRule="auto"/>
              <w:jc w:val="center"/>
              <w:rPr>
                <w:rFonts w:ascii="Times New Roman" w:hAnsi="Times New Roman"/>
                <w:bCs/>
                <w:sz w:val="24"/>
                <w:szCs w:val="24"/>
              </w:rPr>
            </w:pPr>
            <w:r w:rsidRPr="00286395">
              <w:rPr>
                <w:rFonts w:ascii="Times New Roman" w:hAnsi="Times New Roman"/>
                <w:bCs/>
                <w:sz w:val="24"/>
                <w:szCs w:val="24"/>
              </w:rPr>
              <w:t>Ministerstvo průmyslu a obchodu</w:t>
            </w:r>
          </w:p>
        </w:tc>
        <w:tc>
          <w:tcPr>
            <w:tcW w:w="5320" w:type="dxa"/>
            <w:tcBorders>
              <w:left w:val="single" w:sz="4" w:space="0" w:color="000001"/>
            </w:tcBorders>
            <w:shd w:val="clear" w:color="auto" w:fill="FFFFFF"/>
            <w:tcMar>
              <w:left w:w="38" w:type="dxa"/>
            </w:tcMar>
            <w:vAlign w:val="center"/>
          </w:tcPr>
          <w:p w14:paraId="3E238342" w14:textId="77777777" w:rsidR="00662781" w:rsidRPr="00286395" w:rsidRDefault="00662781" w:rsidP="00386D94">
            <w:pPr>
              <w:widowControl w:val="0"/>
              <w:tabs>
                <w:tab w:val="left" w:pos="6660"/>
              </w:tabs>
              <w:spacing w:before="120" w:after="120" w:line="264" w:lineRule="auto"/>
              <w:jc w:val="center"/>
              <w:rPr>
                <w:rFonts w:ascii="Times New Roman" w:hAnsi="Times New Roman"/>
                <w:bCs/>
                <w:sz w:val="24"/>
                <w:szCs w:val="24"/>
              </w:rPr>
            </w:pPr>
          </w:p>
          <w:p w14:paraId="131DF031" w14:textId="6F4AF090" w:rsidR="00662781" w:rsidRPr="00286395" w:rsidRDefault="00662781" w:rsidP="00386D94">
            <w:pPr>
              <w:widowControl w:val="0"/>
              <w:tabs>
                <w:tab w:val="left" w:pos="6660"/>
              </w:tabs>
              <w:spacing w:before="120" w:after="120" w:line="264" w:lineRule="auto"/>
              <w:jc w:val="center"/>
              <w:rPr>
                <w:rFonts w:ascii="Times New Roman" w:hAnsi="Times New Roman"/>
                <w:bCs/>
                <w:sz w:val="24"/>
                <w:szCs w:val="24"/>
              </w:rPr>
            </w:pPr>
            <w:r w:rsidRPr="00286395">
              <w:rPr>
                <w:rFonts w:ascii="Times New Roman" w:hAnsi="Times New Roman"/>
                <w:bCs/>
                <w:sz w:val="24"/>
                <w:szCs w:val="24"/>
              </w:rPr>
              <w:t>Předpo</w:t>
            </w:r>
            <w:r w:rsidR="00E42872">
              <w:rPr>
                <w:rFonts w:ascii="Times New Roman" w:hAnsi="Times New Roman"/>
                <w:bCs/>
                <w:sz w:val="24"/>
                <w:szCs w:val="24"/>
              </w:rPr>
              <w:t>kládaný termín nabytí účinnosti:</w:t>
            </w:r>
          </w:p>
          <w:p w14:paraId="7E945041" w14:textId="5D54D608" w:rsidR="00662781" w:rsidRPr="00286395" w:rsidRDefault="00E42872" w:rsidP="00386D94">
            <w:pPr>
              <w:widowControl w:val="0"/>
              <w:tabs>
                <w:tab w:val="left" w:pos="6660"/>
              </w:tabs>
              <w:spacing w:before="120" w:after="120" w:line="264" w:lineRule="auto"/>
              <w:jc w:val="center"/>
              <w:rPr>
                <w:rFonts w:ascii="Times New Roman" w:hAnsi="Times New Roman"/>
                <w:bCs/>
                <w:sz w:val="24"/>
                <w:szCs w:val="24"/>
              </w:rPr>
            </w:pPr>
            <w:r w:rsidRPr="00E42872">
              <w:rPr>
                <w:rFonts w:ascii="Times New Roman" w:hAnsi="Times New Roman"/>
                <w:bCs/>
                <w:sz w:val="24"/>
                <w:szCs w:val="24"/>
              </w:rPr>
              <w:t>prvním dnem třetího kalendářního měsíce následujícího po jeho vyhlášení</w:t>
            </w:r>
          </w:p>
          <w:p w14:paraId="1AD7C042" w14:textId="77777777" w:rsidR="00662781" w:rsidRPr="00286395" w:rsidRDefault="00662781" w:rsidP="00386D94">
            <w:pPr>
              <w:spacing w:line="360" w:lineRule="auto"/>
              <w:jc w:val="both"/>
              <w:rPr>
                <w:rFonts w:ascii="Times New Roman" w:hAnsi="Times New Roman"/>
                <w:sz w:val="24"/>
                <w:szCs w:val="24"/>
              </w:rPr>
            </w:pP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662781" w:rsidRPr="00286395" w14:paraId="6C0AA7C3" w14:textId="77777777" w:rsidTr="00386D94">
        <w:trPr>
          <w:trHeight w:val="1080"/>
        </w:trPr>
        <w:tc>
          <w:tcPr>
            <w:tcW w:w="9480" w:type="dxa"/>
            <w:tcBorders>
              <w:top w:val="single" w:sz="12" w:space="0" w:color="000001"/>
            </w:tcBorders>
            <w:shd w:val="clear" w:color="auto" w:fill="FFFFFF"/>
            <w:tcMar>
              <w:left w:w="0" w:type="dxa"/>
            </w:tcMar>
            <w:vAlign w:val="center"/>
          </w:tcPr>
          <w:p w14:paraId="68645480" w14:textId="77777777" w:rsidR="00662781" w:rsidRPr="00286395" w:rsidRDefault="00662781" w:rsidP="00311C66">
            <w:pPr>
              <w:widowControl w:val="0"/>
              <w:tabs>
                <w:tab w:val="left" w:pos="6660"/>
              </w:tabs>
              <w:spacing w:before="120" w:after="120" w:line="264" w:lineRule="auto"/>
              <w:rPr>
                <w:rFonts w:ascii="Times New Roman" w:hAnsi="Times New Roman"/>
                <w:bCs/>
                <w:sz w:val="24"/>
                <w:szCs w:val="24"/>
              </w:rPr>
            </w:pPr>
            <w:r w:rsidRPr="00286395">
              <w:rPr>
                <w:rFonts w:ascii="Times New Roman" w:hAnsi="Times New Roman"/>
                <w:bCs/>
                <w:sz w:val="24"/>
                <w:szCs w:val="24"/>
              </w:rPr>
              <w:t xml:space="preserve">Implementace práva EU: </w:t>
            </w:r>
            <w:r w:rsidR="00311C66">
              <w:rPr>
                <w:rFonts w:ascii="Times New Roman" w:hAnsi="Times New Roman"/>
                <w:bCs/>
                <w:sz w:val="24"/>
                <w:szCs w:val="24"/>
              </w:rPr>
              <w:t>ANO</w:t>
            </w:r>
          </w:p>
        </w:tc>
      </w:tr>
    </w:tbl>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662781" w:rsidRPr="00286395" w14:paraId="044D5C2B" w14:textId="77777777" w:rsidTr="00386D94">
        <w:tc>
          <w:tcPr>
            <w:tcW w:w="9480" w:type="dxa"/>
            <w:tcBorders>
              <w:top w:val="single" w:sz="12" w:space="0" w:color="000001"/>
              <w:bottom w:val="single" w:sz="12" w:space="0" w:color="000001"/>
            </w:tcBorders>
            <w:shd w:val="clear" w:color="auto" w:fill="99CCFF"/>
            <w:tcMar>
              <w:left w:w="0" w:type="dxa"/>
            </w:tcMar>
          </w:tcPr>
          <w:p w14:paraId="6FD2C7F1" w14:textId="77777777" w:rsidR="00662781" w:rsidRPr="00286395" w:rsidRDefault="00662781" w:rsidP="00386D94">
            <w:pPr>
              <w:widowControl w:val="0"/>
              <w:tabs>
                <w:tab w:val="left" w:pos="6660"/>
              </w:tabs>
              <w:spacing w:before="120" w:after="120" w:line="264" w:lineRule="auto"/>
              <w:rPr>
                <w:rFonts w:ascii="Times New Roman" w:hAnsi="Times New Roman"/>
                <w:bCs/>
                <w:sz w:val="24"/>
                <w:szCs w:val="24"/>
              </w:rPr>
            </w:pPr>
            <w:r w:rsidRPr="00286395">
              <w:rPr>
                <w:rFonts w:ascii="Times New Roman" w:hAnsi="Times New Roman"/>
                <w:bCs/>
                <w:sz w:val="24"/>
                <w:szCs w:val="24"/>
              </w:rPr>
              <w:t xml:space="preserve">2. Cíl návrhu zákona </w:t>
            </w: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662781" w:rsidRPr="00286395" w14:paraId="32B59AD9" w14:textId="77777777" w:rsidTr="00386D94">
        <w:tc>
          <w:tcPr>
            <w:tcW w:w="9480" w:type="dxa"/>
            <w:tcBorders>
              <w:top w:val="single" w:sz="12" w:space="0" w:color="000001"/>
              <w:bottom w:val="single" w:sz="12" w:space="0" w:color="000001"/>
            </w:tcBorders>
            <w:shd w:val="clear" w:color="auto" w:fill="FFFFFF"/>
            <w:tcMar>
              <w:left w:w="0" w:type="dxa"/>
            </w:tcMar>
          </w:tcPr>
          <w:p w14:paraId="26D59B97" w14:textId="77777777" w:rsidR="00662781" w:rsidRPr="00286395" w:rsidRDefault="00662781" w:rsidP="00386D94">
            <w:pPr>
              <w:jc w:val="both"/>
              <w:rPr>
                <w:rFonts w:ascii="Times New Roman" w:hAnsi="Times New Roman"/>
                <w:bCs/>
                <w:iCs/>
                <w:sz w:val="24"/>
                <w:szCs w:val="24"/>
              </w:rPr>
            </w:pPr>
            <w:r w:rsidRPr="00286395">
              <w:rPr>
                <w:rFonts w:ascii="Times New Roman" w:hAnsi="Times New Roman"/>
                <w:bCs/>
                <w:iCs/>
                <w:sz w:val="24"/>
                <w:szCs w:val="24"/>
              </w:rPr>
              <w:t xml:space="preserve">Účelem návrhu novely zákona </w:t>
            </w:r>
            <w:r w:rsidR="00164C7C" w:rsidRPr="0073392D">
              <w:rPr>
                <w:rFonts w:ascii="Times New Roman" w:hAnsi="Times New Roman"/>
                <w:sz w:val="24"/>
                <w:szCs w:val="24"/>
              </w:rPr>
              <w:t>č.</w:t>
            </w:r>
            <w:r w:rsidR="00737C30">
              <w:rPr>
                <w:rFonts w:ascii="Times New Roman" w:hAnsi="Times New Roman"/>
                <w:sz w:val="24"/>
                <w:szCs w:val="24"/>
              </w:rPr>
              <w:t> </w:t>
            </w:r>
            <w:r w:rsidR="00164C7C" w:rsidRPr="0073392D">
              <w:rPr>
                <w:rFonts w:ascii="Times New Roman" w:hAnsi="Times New Roman"/>
                <w:sz w:val="24"/>
                <w:szCs w:val="24"/>
              </w:rPr>
              <w:t>58/1995 Sb.</w:t>
            </w:r>
            <w:r w:rsidR="00D07835" w:rsidRPr="0073392D">
              <w:rPr>
                <w:rFonts w:ascii="Times New Roman" w:hAnsi="Times New Roman"/>
                <w:sz w:val="24"/>
                <w:szCs w:val="24"/>
              </w:rPr>
              <w:t>, o pojišťování a financování vývozu se státní podporou a o doplnění zákona č.</w:t>
            </w:r>
            <w:r w:rsidR="00D07835">
              <w:rPr>
                <w:rFonts w:ascii="Times New Roman" w:hAnsi="Times New Roman"/>
                <w:sz w:val="24"/>
                <w:szCs w:val="24"/>
              </w:rPr>
              <w:t> </w:t>
            </w:r>
            <w:r w:rsidR="00D07835" w:rsidRPr="0073392D">
              <w:rPr>
                <w:rFonts w:ascii="Times New Roman" w:hAnsi="Times New Roman"/>
                <w:sz w:val="24"/>
                <w:szCs w:val="24"/>
              </w:rPr>
              <w:t>166/1993 Sb., o Nejvyšším kontrolním úřadu, ve znění pozdějších předpisů</w:t>
            </w:r>
            <w:r w:rsidR="008B0214">
              <w:rPr>
                <w:rFonts w:ascii="Times New Roman" w:hAnsi="Times New Roman"/>
                <w:sz w:val="24"/>
                <w:szCs w:val="24"/>
              </w:rPr>
              <w:t xml:space="preserve">, </w:t>
            </w:r>
            <w:r w:rsidR="008B0214" w:rsidRPr="0073392D">
              <w:rPr>
                <w:rFonts w:ascii="Times New Roman" w:hAnsi="Times New Roman"/>
                <w:sz w:val="24"/>
                <w:szCs w:val="24"/>
              </w:rPr>
              <w:t>ve znění pozdějších předpisů</w:t>
            </w:r>
            <w:r w:rsidR="007810D2">
              <w:rPr>
                <w:rFonts w:ascii="Times New Roman" w:hAnsi="Times New Roman"/>
                <w:sz w:val="24"/>
                <w:szCs w:val="24"/>
              </w:rPr>
              <w:t>,</w:t>
            </w:r>
            <w:r w:rsidR="00D07835" w:rsidRPr="0073392D">
              <w:rPr>
                <w:rFonts w:ascii="Times New Roman" w:hAnsi="Times New Roman"/>
                <w:sz w:val="24"/>
                <w:szCs w:val="24"/>
              </w:rPr>
              <w:t xml:space="preserve"> (dále jen „zákon č.</w:t>
            </w:r>
            <w:r w:rsidR="00D07835">
              <w:rPr>
                <w:rFonts w:ascii="Times New Roman" w:hAnsi="Times New Roman"/>
                <w:sz w:val="24"/>
                <w:szCs w:val="24"/>
              </w:rPr>
              <w:t> </w:t>
            </w:r>
            <w:r w:rsidR="00D07835" w:rsidRPr="0073392D">
              <w:rPr>
                <w:rFonts w:ascii="Times New Roman" w:hAnsi="Times New Roman"/>
                <w:sz w:val="24"/>
                <w:szCs w:val="24"/>
              </w:rPr>
              <w:t>58/1995 Sb.“)</w:t>
            </w:r>
            <w:r w:rsidR="00164C7C">
              <w:rPr>
                <w:rFonts w:ascii="Times New Roman" w:hAnsi="Times New Roman"/>
                <w:sz w:val="24"/>
                <w:szCs w:val="24"/>
              </w:rPr>
              <w:t xml:space="preserve"> </w:t>
            </w:r>
            <w:r w:rsidRPr="00286395">
              <w:rPr>
                <w:rFonts w:ascii="Times New Roman" w:hAnsi="Times New Roman"/>
                <w:bCs/>
                <w:iCs/>
                <w:sz w:val="24"/>
                <w:szCs w:val="24"/>
              </w:rPr>
              <w:t>jsou zejména následující změny:</w:t>
            </w:r>
          </w:p>
          <w:p w14:paraId="6BBEABA5" w14:textId="77777777" w:rsidR="00662781" w:rsidRPr="00286395" w:rsidRDefault="00662781" w:rsidP="00386D94">
            <w:pPr>
              <w:jc w:val="both"/>
              <w:rPr>
                <w:rFonts w:ascii="Times New Roman" w:hAnsi="Times New Roman"/>
                <w:b/>
                <w:sz w:val="24"/>
                <w:szCs w:val="24"/>
              </w:rPr>
            </w:pPr>
            <w:r w:rsidRPr="00286395">
              <w:rPr>
                <w:rFonts w:ascii="Times New Roman" w:hAnsi="Times New Roman"/>
                <w:b/>
                <w:sz w:val="24"/>
                <w:szCs w:val="24"/>
              </w:rPr>
              <w:t>Flexibilnější nabídka exportní pojišťovny a exportní banky</w:t>
            </w:r>
          </w:p>
          <w:p w14:paraId="0CCBD733" w14:textId="5829565F" w:rsidR="00662781" w:rsidRPr="00286395" w:rsidRDefault="00662781" w:rsidP="00386D94">
            <w:pPr>
              <w:jc w:val="both"/>
              <w:rPr>
                <w:rFonts w:ascii="Times New Roman" w:hAnsi="Times New Roman"/>
                <w:sz w:val="24"/>
                <w:szCs w:val="24"/>
              </w:rPr>
            </w:pPr>
            <w:r w:rsidRPr="00286395">
              <w:rPr>
                <w:rFonts w:ascii="Times New Roman" w:hAnsi="Times New Roman"/>
                <w:sz w:val="24"/>
                <w:szCs w:val="24"/>
              </w:rPr>
              <w:t xml:space="preserve">Oproti dosavadnímu stavu, kdy zákon </w:t>
            </w:r>
            <w:r w:rsidR="00164C7C" w:rsidRPr="0073392D">
              <w:rPr>
                <w:rFonts w:ascii="Times New Roman" w:hAnsi="Times New Roman"/>
                <w:sz w:val="24"/>
                <w:szCs w:val="24"/>
              </w:rPr>
              <w:t>č.</w:t>
            </w:r>
            <w:r w:rsidR="00737C30">
              <w:rPr>
                <w:rFonts w:ascii="Times New Roman" w:hAnsi="Times New Roman"/>
                <w:sz w:val="24"/>
                <w:szCs w:val="24"/>
              </w:rPr>
              <w:t> </w:t>
            </w:r>
            <w:r w:rsidR="00164C7C" w:rsidRPr="0073392D">
              <w:rPr>
                <w:rFonts w:ascii="Times New Roman" w:hAnsi="Times New Roman"/>
                <w:sz w:val="24"/>
                <w:szCs w:val="24"/>
              </w:rPr>
              <w:t>58/1995 Sb.</w:t>
            </w:r>
            <w:r w:rsidR="00164C7C">
              <w:rPr>
                <w:rFonts w:ascii="Times New Roman" w:hAnsi="Times New Roman"/>
                <w:sz w:val="24"/>
                <w:szCs w:val="24"/>
              </w:rPr>
              <w:t xml:space="preserve"> </w:t>
            </w:r>
            <w:r w:rsidRPr="00286395">
              <w:rPr>
                <w:rFonts w:ascii="Times New Roman" w:hAnsi="Times New Roman"/>
                <w:sz w:val="24"/>
                <w:szCs w:val="24"/>
              </w:rPr>
              <w:t>pracuje v § 1 odst.</w:t>
            </w:r>
            <w:r w:rsidR="007810D2">
              <w:rPr>
                <w:rFonts w:ascii="Times New Roman" w:hAnsi="Times New Roman"/>
                <w:sz w:val="24"/>
                <w:szCs w:val="24"/>
              </w:rPr>
              <w:t> </w:t>
            </w:r>
            <w:r w:rsidRPr="00286395">
              <w:rPr>
                <w:rFonts w:ascii="Times New Roman" w:hAnsi="Times New Roman"/>
                <w:sz w:val="24"/>
                <w:szCs w:val="24"/>
              </w:rPr>
              <w:t>2</w:t>
            </w:r>
            <w:r w:rsidR="007810D2">
              <w:rPr>
                <w:rFonts w:ascii="Times New Roman" w:hAnsi="Times New Roman"/>
                <w:sz w:val="24"/>
                <w:szCs w:val="24"/>
              </w:rPr>
              <w:t>,</w:t>
            </w:r>
            <w:r w:rsidRPr="00286395">
              <w:rPr>
                <w:rFonts w:ascii="Times New Roman" w:hAnsi="Times New Roman"/>
                <w:sz w:val="24"/>
                <w:szCs w:val="24"/>
              </w:rPr>
              <w:t xml:space="preserve"> resp. odst.</w:t>
            </w:r>
            <w:r w:rsidR="007810D2">
              <w:rPr>
                <w:rFonts w:ascii="Times New Roman" w:hAnsi="Times New Roman"/>
                <w:sz w:val="24"/>
                <w:szCs w:val="24"/>
              </w:rPr>
              <w:t> </w:t>
            </w:r>
            <w:r w:rsidRPr="00286395">
              <w:rPr>
                <w:rFonts w:ascii="Times New Roman" w:hAnsi="Times New Roman"/>
                <w:sz w:val="24"/>
                <w:szCs w:val="24"/>
              </w:rPr>
              <w:t>3</w:t>
            </w:r>
            <w:r w:rsidR="007810D2">
              <w:rPr>
                <w:rFonts w:ascii="Times New Roman" w:hAnsi="Times New Roman"/>
                <w:sz w:val="24"/>
                <w:szCs w:val="24"/>
              </w:rPr>
              <w:t>,</w:t>
            </w:r>
            <w:r w:rsidRPr="00286395">
              <w:rPr>
                <w:rFonts w:ascii="Times New Roman" w:hAnsi="Times New Roman"/>
                <w:sz w:val="24"/>
                <w:szCs w:val="24"/>
              </w:rPr>
              <w:t xml:space="preserve"> s taxativním výčtem nástrojů pojištění vývozních úvěrových rizik a podpořeného financování, nová textace reflektuje posun v globálních ekonomických vztazích, kdy účelem činnosti exportní pojišťovny a</w:t>
            </w:r>
            <w:r w:rsidR="007E4028">
              <w:rPr>
                <w:rFonts w:ascii="Times New Roman" w:hAnsi="Times New Roman"/>
                <w:sz w:val="24"/>
                <w:szCs w:val="24"/>
              </w:rPr>
              <w:t> </w:t>
            </w:r>
            <w:r w:rsidRPr="00286395">
              <w:rPr>
                <w:rFonts w:ascii="Times New Roman" w:hAnsi="Times New Roman"/>
                <w:sz w:val="24"/>
                <w:szCs w:val="24"/>
              </w:rPr>
              <w:t xml:space="preserve">exportní banky není jen podpora vývozu, ale i </w:t>
            </w:r>
            <w:r w:rsidR="00F810B6">
              <w:rPr>
                <w:rFonts w:ascii="Times New Roman" w:hAnsi="Times New Roman"/>
                <w:sz w:val="24"/>
                <w:szCs w:val="24"/>
              </w:rPr>
              <w:t xml:space="preserve">tuzemských </w:t>
            </w:r>
            <w:r w:rsidRPr="00286395">
              <w:rPr>
                <w:rFonts w:ascii="Times New Roman" w:hAnsi="Times New Roman"/>
                <w:sz w:val="24"/>
                <w:szCs w:val="24"/>
              </w:rPr>
              <w:t>investic v zahraničí. Přesun nástrojů pojištění vývozních úvěrových rizik a podpořeného financování do prováděcího právního předpisu je navržen za účelem ponechání možnosti reagovat v nabídce exportní pojišťovny a</w:t>
            </w:r>
            <w:r w:rsidR="00F810B6">
              <w:rPr>
                <w:rFonts w:ascii="Times New Roman" w:hAnsi="Times New Roman"/>
                <w:sz w:val="24"/>
                <w:szCs w:val="24"/>
              </w:rPr>
              <w:t> </w:t>
            </w:r>
            <w:r w:rsidRPr="00286395">
              <w:rPr>
                <w:rFonts w:ascii="Times New Roman" w:hAnsi="Times New Roman"/>
                <w:sz w:val="24"/>
                <w:szCs w:val="24"/>
              </w:rPr>
              <w:t>exportní banky na vý</w:t>
            </w:r>
            <w:r w:rsidR="001A1851">
              <w:rPr>
                <w:rFonts w:ascii="Times New Roman" w:hAnsi="Times New Roman"/>
                <w:sz w:val="24"/>
                <w:szCs w:val="24"/>
              </w:rPr>
              <w:t>voj na exportním trhu. Nové</w:t>
            </w:r>
            <w:r w:rsidRPr="00286395">
              <w:rPr>
                <w:rFonts w:ascii="Times New Roman" w:hAnsi="Times New Roman"/>
                <w:sz w:val="24"/>
                <w:szCs w:val="24"/>
              </w:rPr>
              <w:t xml:space="preserve"> </w:t>
            </w:r>
            <w:r w:rsidR="00DC77ED">
              <w:rPr>
                <w:rFonts w:ascii="Times New Roman" w:hAnsi="Times New Roman"/>
                <w:sz w:val="24"/>
                <w:szCs w:val="24"/>
              </w:rPr>
              <w:t>nástroje</w:t>
            </w:r>
            <w:r w:rsidRPr="00286395">
              <w:rPr>
                <w:rFonts w:ascii="Times New Roman" w:hAnsi="Times New Roman"/>
                <w:sz w:val="24"/>
                <w:szCs w:val="24"/>
              </w:rPr>
              <w:t xml:space="preserve"> budou schvalovány v reakci na požadavky trhu postupem uvedeným </w:t>
            </w:r>
            <w:r w:rsidR="00E9380E">
              <w:rPr>
                <w:rFonts w:ascii="Times New Roman" w:hAnsi="Times New Roman"/>
                <w:sz w:val="24"/>
                <w:szCs w:val="24"/>
              </w:rPr>
              <w:t>v zákoně</w:t>
            </w:r>
            <w:r w:rsidRPr="00286395">
              <w:rPr>
                <w:rFonts w:ascii="Times New Roman" w:hAnsi="Times New Roman"/>
                <w:sz w:val="24"/>
                <w:szCs w:val="24"/>
              </w:rPr>
              <w:t>.</w:t>
            </w:r>
          </w:p>
          <w:p w14:paraId="030B758E" w14:textId="77777777" w:rsidR="007305E1" w:rsidRPr="00286395" w:rsidRDefault="00D5413C" w:rsidP="00386D94">
            <w:pPr>
              <w:jc w:val="both"/>
              <w:rPr>
                <w:rFonts w:ascii="Times New Roman" w:hAnsi="Times New Roman"/>
                <w:b/>
                <w:sz w:val="24"/>
                <w:szCs w:val="24"/>
              </w:rPr>
            </w:pPr>
            <w:r w:rsidRPr="00286395">
              <w:rPr>
                <w:rFonts w:ascii="Times New Roman" w:hAnsi="Times New Roman"/>
                <w:b/>
                <w:sz w:val="24"/>
                <w:szCs w:val="24"/>
              </w:rPr>
              <w:t xml:space="preserve">Vedení </w:t>
            </w:r>
            <w:r w:rsidR="004D2804">
              <w:rPr>
                <w:rFonts w:ascii="Times New Roman" w:hAnsi="Times New Roman"/>
                <w:b/>
                <w:sz w:val="24"/>
                <w:szCs w:val="24"/>
              </w:rPr>
              <w:t>peněžní</w:t>
            </w:r>
            <w:r w:rsidRPr="00286395">
              <w:rPr>
                <w:rFonts w:ascii="Times New Roman" w:hAnsi="Times New Roman"/>
                <w:b/>
                <w:sz w:val="24"/>
                <w:szCs w:val="24"/>
              </w:rPr>
              <w:t>ch prostředků exportní pojišťovny a exportní banky poskytnutých ze</w:t>
            </w:r>
            <w:r w:rsidR="00F457D0">
              <w:rPr>
                <w:rFonts w:ascii="Times New Roman" w:hAnsi="Times New Roman"/>
                <w:b/>
                <w:sz w:val="24"/>
                <w:szCs w:val="24"/>
              </w:rPr>
              <w:t> </w:t>
            </w:r>
            <w:r w:rsidRPr="00286395">
              <w:rPr>
                <w:rFonts w:ascii="Times New Roman" w:hAnsi="Times New Roman"/>
                <w:b/>
                <w:sz w:val="24"/>
                <w:szCs w:val="24"/>
              </w:rPr>
              <w:t>státního rozpočtu na účtech vedených u centrální banky</w:t>
            </w:r>
          </w:p>
          <w:p w14:paraId="69A97AA3" w14:textId="5052C4F2" w:rsidR="007305E1" w:rsidRPr="000D6595" w:rsidRDefault="006D7F30" w:rsidP="00386D94">
            <w:pPr>
              <w:jc w:val="both"/>
              <w:rPr>
                <w:rFonts w:ascii="Times New Roman" w:hAnsi="Times New Roman"/>
                <w:bCs/>
                <w:sz w:val="24"/>
                <w:szCs w:val="24"/>
              </w:rPr>
            </w:pPr>
            <w:r w:rsidRPr="00286395">
              <w:rPr>
                <w:rFonts w:ascii="Times New Roman" w:hAnsi="Times New Roman"/>
                <w:bCs/>
                <w:sz w:val="24"/>
                <w:szCs w:val="24"/>
              </w:rPr>
              <w:t>Navrhuje se uložit</w:t>
            </w:r>
            <w:r w:rsidR="00D5413C" w:rsidRPr="00286395">
              <w:rPr>
                <w:rFonts w:ascii="Times New Roman" w:hAnsi="Times New Roman"/>
                <w:bCs/>
                <w:sz w:val="24"/>
                <w:szCs w:val="24"/>
              </w:rPr>
              <w:t xml:space="preserve"> exportní pojišťovně a exportní bance</w:t>
            </w:r>
            <w:r w:rsidR="00922E11">
              <w:rPr>
                <w:rFonts w:ascii="Times New Roman" w:hAnsi="Times New Roman"/>
                <w:bCs/>
                <w:sz w:val="24"/>
                <w:szCs w:val="24"/>
              </w:rPr>
              <w:t xml:space="preserve"> povinnost</w:t>
            </w:r>
            <w:r w:rsidR="00D5413C" w:rsidRPr="00286395">
              <w:rPr>
                <w:rFonts w:ascii="Times New Roman" w:hAnsi="Times New Roman"/>
                <w:bCs/>
                <w:sz w:val="24"/>
                <w:szCs w:val="24"/>
              </w:rPr>
              <w:t xml:space="preserve"> vést </w:t>
            </w:r>
            <w:r w:rsidR="004D2804" w:rsidRPr="004D2804">
              <w:rPr>
                <w:rFonts w:ascii="Times New Roman" w:hAnsi="Times New Roman"/>
                <w:sz w:val="24"/>
                <w:szCs w:val="24"/>
              </w:rPr>
              <w:t>peněžní</w:t>
            </w:r>
            <w:r w:rsidR="00D5413C" w:rsidRPr="004D2804">
              <w:rPr>
                <w:rFonts w:ascii="Times New Roman" w:hAnsi="Times New Roman"/>
                <w:bCs/>
                <w:sz w:val="24"/>
                <w:szCs w:val="24"/>
              </w:rPr>
              <w:t xml:space="preserve"> </w:t>
            </w:r>
            <w:r w:rsidR="00D5413C" w:rsidRPr="00286395">
              <w:rPr>
                <w:rFonts w:ascii="Times New Roman" w:hAnsi="Times New Roman"/>
                <w:bCs/>
                <w:sz w:val="24"/>
                <w:szCs w:val="24"/>
              </w:rPr>
              <w:t>prostředky poskytované jim ze státního rozpočtu na svých bankovních účtech podřízených státní pokladně vedených u České národní banky</w:t>
            </w:r>
            <w:r w:rsidR="0072379A">
              <w:rPr>
                <w:rFonts w:ascii="Times New Roman" w:hAnsi="Times New Roman"/>
                <w:bCs/>
                <w:sz w:val="24"/>
                <w:szCs w:val="24"/>
              </w:rPr>
              <w:t xml:space="preserve"> (dále „ČNB“)</w:t>
            </w:r>
            <w:r w:rsidR="00D5413C" w:rsidRPr="00286395">
              <w:rPr>
                <w:rFonts w:ascii="Times New Roman" w:hAnsi="Times New Roman"/>
                <w:bCs/>
                <w:sz w:val="24"/>
                <w:szCs w:val="24"/>
              </w:rPr>
              <w:t>. Zapojení exportní pojišťovny a exportní banky do centrálního systému řízení likvidity souhrnných účtů státní pokladny představuje pro stát ekonomické výhody. V souvislosti s tímto návrhem je navržena i úprava zákona č.</w:t>
            </w:r>
            <w:r w:rsidR="00737C30">
              <w:rPr>
                <w:rFonts w:ascii="Times New Roman" w:hAnsi="Times New Roman"/>
                <w:bCs/>
                <w:sz w:val="24"/>
                <w:szCs w:val="24"/>
              </w:rPr>
              <w:t> </w:t>
            </w:r>
            <w:r w:rsidR="00D5413C" w:rsidRPr="00286395">
              <w:rPr>
                <w:rFonts w:ascii="Times New Roman" w:hAnsi="Times New Roman"/>
                <w:bCs/>
                <w:sz w:val="24"/>
                <w:szCs w:val="24"/>
              </w:rPr>
              <w:t xml:space="preserve">218/2000 Sb., </w:t>
            </w:r>
            <w:r w:rsidR="000D6595" w:rsidRPr="000D6595">
              <w:rPr>
                <w:rFonts w:ascii="Times New Roman" w:hAnsi="Times New Roman"/>
                <w:bCs/>
                <w:sz w:val="24"/>
                <w:szCs w:val="24"/>
              </w:rPr>
              <w:t>o</w:t>
            </w:r>
            <w:r w:rsidR="00384ABA">
              <w:rPr>
                <w:rFonts w:ascii="Times New Roman" w:hAnsi="Times New Roman"/>
                <w:bCs/>
                <w:sz w:val="24"/>
                <w:szCs w:val="24"/>
              </w:rPr>
              <w:t> </w:t>
            </w:r>
            <w:r w:rsidR="000D6595" w:rsidRPr="000D6595">
              <w:rPr>
                <w:rFonts w:ascii="Times New Roman" w:hAnsi="Times New Roman"/>
                <w:bCs/>
                <w:sz w:val="24"/>
                <w:szCs w:val="24"/>
              </w:rPr>
              <w:t>rozpočtových pravidlech a o změně některých souvisejících zákonů (rozpočtová pravidla), ve</w:t>
            </w:r>
            <w:r w:rsidR="00384ABA">
              <w:rPr>
                <w:rFonts w:ascii="Times New Roman" w:hAnsi="Times New Roman"/>
                <w:bCs/>
                <w:sz w:val="24"/>
                <w:szCs w:val="24"/>
              </w:rPr>
              <w:t> </w:t>
            </w:r>
            <w:r w:rsidR="000D6595" w:rsidRPr="000D6595">
              <w:rPr>
                <w:rFonts w:ascii="Times New Roman" w:hAnsi="Times New Roman"/>
                <w:bCs/>
                <w:sz w:val="24"/>
                <w:szCs w:val="24"/>
              </w:rPr>
              <w:t>znění pozdějších předpisů</w:t>
            </w:r>
            <w:r w:rsidR="000D6595">
              <w:rPr>
                <w:rFonts w:ascii="Times New Roman" w:hAnsi="Times New Roman"/>
                <w:bCs/>
                <w:sz w:val="24"/>
                <w:szCs w:val="24"/>
              </w:rPr>
              <w:t xml:space="preserve"> (dále jen „zákon </w:t>
            </w:r>
            <w:r w:rsidR="000D6595" w:rsidRPr="00286395">
              <w:rPr>
                <w:rFonts w:ascii="Times New Roman" w:hAnsi="Times New Roman"/>
                <w:bCs/>
                <w:sz w:val="24"/>
                <w:szCs w:val="24"/>
              </w:rPr>
              <w:t>o rozpočtových pravidlech</w:t>
            </w:r>
            <w:r w:rsidR="000D6595">
              <w:rPr>
                <w:rFonts w:ascii="Times New Roman" w:hAnsi="Times New Roman"/>
                <w:bCs/>
                <w:sz w:val="24"/>
                <w:szCs w:val="24"/>
              </w:rPr>
              <w:t>“)</w:t>
            </w:r>
            <w:r w:rsidRPr="00286395">
              <w:rPr>
                <w:rFonts w:ascii="Times New Roman" w:hAnsi="Times New Roman"/>
                <w:bCs/>
                <w:sz w:val="24"/>
                <w:szCs w:val="24"/>
              </w:rPr>
              <w:t>.</w:t>
            </w:r>
          </w:p>
          <w:p w14:paraId="25D2A5F2" w14:textId="12D7A17F" w:rsidR="00662781" w:rsidRPr="00286395" w:rsidRDefault="00662781" w:rsidP="00386D94">
            <w:pPr>
              <w:jc w:val="both"/>
              <w:rPr>
                <w:rFonts w:ascii="Times New Roman" w:hAnsi="Times New Roman"/>
                <w:b/>
                <w:sz w:val="24"/>
                <w:szCs w:val="24"/>
              </w:rPr>
            </w:pPr>
            <w:r w:rsidRPr="00286395">
              <w:rPr>
                <w:rFonts w:ascii="Times New Roman" w:hAnsi="Times New Roman"/>
                <w:b/>
                <w:sz w:val="24"/>
                <w:szCs w:val="24"/>
              </w:rPr>
              <w:t xml:space="preserve">Rozšíření možností </w:t>
            </w:r>
            <w:r w:rsidR="001813BC">
              <w:rPr>
                <w:rFonts w:ascii="Times New Roman" w:hAnsi="Times New Roman"/>
                <w:b/>
                <w:sz w:val="24"/>
                <w:szCs w:val="24"/>
              </w:rPr>
              <w:t xml:space="preserve">zakládání právnických osob a </w:t>
            </w:r>
            <w:r w:rsidRPr="00286395">
              <w:rPr>
                <w:rFonts w:ascii="Times New Roman" w:hAnsi="Times New Roman"/>
                <w:b/>
                <w:sz w:val="24"/>
                <w:szCs w:val="24"/>
              </w:rPr>
              <w:t xml:space="preserve">nabývání podílů v právnických osobách exportní pojišťovnou a exportní bankou  </w:t>
            </w:r>
          </w:p>
          <w:p w14:paraId="1D350085" w14:textId="01DFD7F4" w:rsidR="00662781" w:rsidRPr="00286395" w:rsidRDefault="00662781" w:rsidP="00386D94">
            <w:pPr>
              <w:jc w:val="both"/>
              <w:rPr>
                <w:rFonts w:ascii="Times New Roman" w:hAnsi="Times New Roman"/>
                <w:sz w:val="24"/>
                <w:szCs w:val="24"/>
              </w:rPr>
            </w:pPr>
            <w:r w:rsidRPr="00286395">
              <w:rPr>
                <w:rFonts w:ascii="Times New Roman" w:hAnsi="Times New Roman"/>
                <w:sz w:val="24"/>
                <w:szCs w:val="24"/>
              </w:rPr>
              <w:t xml:space="preserve">Navrhovanou změnou dochází k rozšíření možnosti </w:t>
            </w:r>
            <w:r w:rsidR="001813BC">
              <w:rPr>
                <w:rFonts w:ascii="Times New Roman" w:hAnsi="Times New Roman"/>
                <w:sz w:val="24"/>
                <w:szCs w:val="24"/>
              </w:rPr>
              <w:t xml:space="preserve">zakládat právnické osoby a </w:t>
            </w:r>
            <w:r w:rsidRPr="00286395">
              <w:rPr>
                <w:rFonts w:ascii="Times New Roman" w:hAnsi="Times New Roman"/>
                <w:sz w:val="24"/>
                <w:szCs w:val="24"/>
              </w:rPr>
              <w:t>nabývat podíly v </w:t>
            </w:r>
            <w:r w:rsidR="001813BC">
              <w:rPr>
                <w:rFonts w:ascii="Times New Roman" w:hAnsi="Times New Roman"/>
                <w:sz w:val="24"/>
                <w:szCs w:val="24"/>
              </w:rPr>
              <w:t>nich</w:t>
            </w:r>
            <w:r w:rsidRPr="00286395">
              <w:rPr>
                <w:rFonts w:ascii="Times New Roman" w:hAnsi="Times New Roman"/>
                <w:sz w:val="24"/>
                <w:szCs w:val="24"/>
              </w:rPr>
              <w:t xml:space="preserve"> v souladu s praxí vymáhání pohledávek nebo předcházení škod. Činnost vedoucí k</w:t>
            </w:r>
            <w:r w:rsidR="00384ABA">
              <w:rPr>
                <w:rFonts w:ascii="Times New Roman" w:hAnsi="Times New Roman"/>
                <w:sz w:val="24"/>
                <w:szCs w:val="24"/>
              </w:rPr>
              <w:t> </w:t>
            </w:r>
            <w:r w:rsidRPr="00286395">
              <w:rPr>
                <w:rFonts w:ascii="Times New Roman" w:hAnsi="Times New Roman"/>
                <w:sz w:val="24"/>
                <w:szCs w:val="24"/>
              </w:rPr>
              <w:t>předcházení vzniku škod a zmírňování jejich následků není blíže specifikována, neboť poznatky z praxe ukazují, že se jedná o velmi rozsáhlou skupinu právních, ekonomických a</w:t>
            </w:r>
            <w:r w:rsidR="00384ABA">
              <w:rPr>
                <w:rFonts w:ascii="Times New Roman" w:hAnsi="Times New Roman"/>
                <w:sz w:val="24"/>
                <w:szCs w:val="24"/>
              </w:rPr>
              <w:t> </w:t>
            </w:r>
            <w:r w:rsidRPr="00286395">
              <w:rPr>
                <w:rFonts w:ascii="Times New Roman" w:hAnsi="Times New Roman"/>
                <w:sz w:val="24"/>
                <w:szCs w:val="24"/>
              </w:rPr>
              <w:t>technických činností a</w:t>
            </w:r>
            <w:r w:rsidR="007E4028">
              <w:rPr>
                <w:rFonts w:ascii="Times New Roman" w:hAnsi="Times New Roman"/>
                <w:sz w:val="24"/>
                <w:szCs w:val="24"/>
              </w:rPr>
              <w:t> </w:t>
            </w:r>
            <w:r w:rsidRPr="00286395">
              <w:rPr>
                <w:rFonts w:ascii="Times New Roman" w:hAnsi="Times New Roman"/>
                <w:sz w:val="24"/>
                <w:szCs w:val="24"/>
              </w:rPr>
              <w:t xml:space="preserve">bližší definice by mohla být omezující. Jako korektiv tohoto rozšíření se navrhuje povinný souhlas Ministerstva financí </w:t>
            </w:r>
            <w:r w:rsidR="0072379A">
              <w:rPr>
                <w:rFonts w:ascii="Times New Roman" w:hAnsi="Times New Roman"/>
                <w:sz w:val="24"/>
                <w:szCs w:val="24"/>
              </w:rPr>
              <w:t xml:space="preserve">(dále „MF“) </w:t>
            </w:r>
            <w:r w:rsidRPr="00286395">
              <w:rPr>
                <w:rFonts w:ascii="Times New Roman" w:hAnsi="Times New Roman"/>
                <w:sz w:val="24"/>
                <w:szCs w:val="24"/>
              </w:rPr>
              <w:t>s nabytím podílu v právnické osobě.</w:t>
            </w:r>
          </w:p>
          <w:p w14:paraId="1561AC5C" w14:textId="77777777" w:rsidR="00B24EAE" w:rsidRPr="00286395" w:rsidRDefault="00B24EAE" w:rsidP="00B24EAE">
            <w:pPr>
              <w:jc w:val="both"/>
              <w:rPr>
                <w:rFonts w:ascii="Times New Roman" w:hAnsi="Times New Roman"/>
                <w:b/>
                <w:sz w:val="24"/>
                <w:szCs w:val="24"/>
              </w:rPr>
            </w:pPr>
            <w:r w:rsidRPr="00286395">
              <w:rPr>
                <w:rFonts w:ascii="Times New Roman" w:hAnsi="Times New Roman"/>
                <w:b/>
                <w:sz w:val="24"/>
                <w:szCs w:val="24"/>
              </w:rPr>
              <w:t>Nastavení limitů pro schvalování obchodních případů od určitého objemu vládou</w:t>
            </w:r>
          </w:p>
          <w:p w14:paraId="5F1E082E" w14:textId="4B37B94C" w:rsidR="00B24EAE" w:rsidRDefault="00B24EAE" w:rsidP="00B24EAE">
            <w:pPr>
              <w:jc w:val="both"/>
              <w:rPr>
                <w:rFonts w:ascii="Times New Roman" w:hAnsi="Times New Roman"/>
                <w:sz w:val="24"/>
                <w:szCs w:val="24"/>
              </w:rPr>
            </w:pPr>
            <w:r w:rsidRPr="00286395">
              <w:rPr>
                <w:rFonts w:ascii="Times New Roman" w:hAnsi="Times New Roman"/>
                <w:sz w:val="24"/>
                <w:szCs w:val="24"/>
              </w:rPr>
              <w:t>V současném znění zákona</w:t>
            </w:r>
            <w:r w:rsidR="00967D49">
              <w:rPr>
                <w:rFonts w:ascii="Times New Roman" w:hAnsi="Times New Roman"/>
                <w:sz w:val="24"/>
                <w:szCs w:val="24"/>
              </w:rPr>
              <w:t xml:space="preserve"> </w:t>
            </w:r>
            <w:r w:rsidR="00164C7C" w:rsidRPr="0073392D">
              <w:rPr>
                <w:rFonts w:ascii="Times New Roman" w:hAnsi="Times New Roman"/>
                <w:sz w:val="24"/>
                <w:szCs w:val="24"/>
              </w:rPr>
              <w:t>č.</w:t>
            </w:r>
            <w:r w:rsidR="00737C30">
              <w:rPr>
                <w:rFonts w:ascii="Times New Roman" w:hAnsi="Times New Roman"/>
                <w:sz w:val="24"/>
                <w:szCs w:val="24"/>
              </w:rPr>
              <w:t> </w:t>
            </w:r>
            <w:r w:rsidR="00164C7C" w:rsidRPr="0073392D">
              <w:rPr>
                <w:rFonts w:ascii="Times New Roman" w:hAnsi="Times New Roman"/>
                <w:sz w:val="24"/>
                <w:szCs w:val="24"/>
              </w:rPr>
              <w:t>58/1995 Sb.</w:t>
            </w:r>
            <w:r w:rsidR="00164C7C">
              <w:rPr>
                <w:rFonts w:ascii="Times New Roman" w:hAnsi="Times New Roman"/>
                <w:sz w:val="24"/>
                <w:szCs w:val="24"/>
              </w:rPr>
              <w:t xml:space="preserve"> </w:t>
            </w:r>
            <w:r w:rsidRPr="00286395">
              <w:rPr>
                <w:rFonts w:ascii="Times New Roman" w:hAnsi="Times New Roman"/>
                <w:sz w:val="24"/>
                <w:szCs w:val="24"/>
              </w:rPr>
              <w:t>byly limity pro schvalování obchodních případů exportní pojišťovny vládou vázány na procento pojistné kapacity exportní pojišťovny, a to ve</w:t>
            </w:r>
            <w:r w:rsidR="00384ABA">
              <w:rPr>
                <w:rFonts w:ascii="Times New Roman" w:hAnsi="Times New Roman"/>
                <w:sz w:val="24"/>
                <w:szCs w:val="24"/>
              </w:rPr>
              <w:t> </w:t>
            </w:r>
            <w:r w:rsidRPr="00286395">
              <w:rPr>
                <w:rFonts w:ascii="Times New Roman" w:hAnsi="Times New Roman"/>
                <w:sz w:val="24"/>
                <w:szCs w:val="24"/>
              </w:rPr>
              <w:t>výši, jež prakticky převyšovala objem jakéhokoli realizovaného obchodního případu. Schvalování obchodních případů exportní banky vládou zákon</w:t>
            </w:r>
            <w:r w:rsidR="00164C7C">
              <w:rPr>
                <w:rFonts w:ascii="Times New Roman" w:hAnsi="Times New Roman"/>
                <w:sz w:val="24"/>
                <w:szCs w:val="24"/>
              </w:rPr>
              <w:t xml:space="preserve"> </w:t>
            </w:r>
            <w:r w:rsidR="00164C7C" w:rsidRPr="0073392D">
              <w:rPr>
                <w:rFonts w:ascii="Times New Roman" w:hAnsi="Times New Roman"/>
                <w:sz w:val="24"/>
                <w:szCs w:val="24"/>
              </w:rPr>
              <w:t>č.</w:t>
            </w:r>
            <w:r w:rsidR="00737C30">
              <w:rPr>
                <w:rFonts w:ascii="Times New Roman" w:hAnsi="Times New Roman"/>
                <w:sz w:val="24"/>
                <w:szCs w:val="24"/>
              </w:rPr>
              <w:t> </w:t>
            </w:r>
            <w:r w:rsidR="00164C7C" w:rsidRPr="0073392D">
              <w:rPr>
                <w:rFonts w:ascii="Times New Roman" w:hAnsi="Times New Roman"/>
                <w:sz w:val="24"/>
                <w:szCs w:val="24"/>
              </w:rPr>
              <w:t>58/1995 Sb.</w:t>
            </w:r>
            <w:r w:rsidRPr="00286395">
              <w:rPr>
                <w:rFonts w:ascii="Times New Roman" w:hAnsi="Times New Roman"/>
                <w:sz w:val="24"/>
                <w:szCs w:val="24"/>
              </w:rPr>
              <w:t xml:space="preserve"> vůbec nepředpokládal. Praxe ukazuje, že s ohledem na značná rizika spojená s neúspěšnými obchodními případy, jež mají značné dopady především na státní rozpočet a představují reputační riziko i pro ČR, je třeba zavést transparentní schvalování obchodních případů od</w:t>
            </w:r>
            <w:r w:rsidR="00384ABA">
              <w:rPr>
                <w:rFonts w:ascii="Times New Roman" w:hAnsi="Times New Roman"/>
                <w:sz w:val="24"/>
                <w:szCs w:val="24"/>
              </w:rPr>
              <w:t> </w:t>
            </w:r>
            <w:r w:rsidRPr="00286395">
              <w:rPr>
                <w:rFonts w:ascii="Times New Roman" w:hAnsi="Times New Roman"/>
                <w:sz w:val="24"/>
                <w:szCs w:val="24"/>
              </w:rPr>
              <w:t>určitého objemu vládou.</w:t>
            </w:r>
          </w:p>
          <w:p w14:paraId="1E2CC6D9" w14:textId="77777777" w:rsidR="00D6380D" w:rsidRPr="00286395" w:rsidRDefault="00372A02" w:rsidP="00B24EAE">
            <w:pPr>
              <w:jc w:val="both"/>
              <w:rPr>
                <w:rFonts w:ascii="Times New Roman" w:hAnsi="Times New Roman"/>
                <w:b/>
                <w:sz w:val="24"/>
                <w:szCs w:val="24"/>
              </w:rPr>
            </w:pPr>
            <w:r w:rsidRPr="00286395">
              <w:rPr>
                <w:rFonts w:ascii="Times New Roman" w:hAnsi="Times New Roman"/>
                <w:b/>
                <w:sz w:val="24"/>
                <w:szCs w:val="24"/>
              </w:rPr>
              <w:t>Zjednodušení rozpočtování a vyúčtování záloh na dorovnávání úrokových rozdílů</w:t>
            </w:r>
          </w:p>
          <w:p w14:paraId="36D52928" w14:textId="20A69A13" w:rsidR="00C66F61" w:rsidRPr="00286395" w:rsidRDefault="00D6380D" w:rsidP="00B24EAE">
            <w:pPr>
              <w:jc w:val="both"/>
              <w:rPr>
                <w:rFonts w:ascii="Times New Roman" w:hAnsi="Times New Roman"/>
                <w:sz w:val="24"/>
                <w:szCs w:val="24"/>
              </w:rPr>
            </w:pPr>
            <w:r w:rsidRPr="00286395">
              <w:rPr>
                <w:rFonts w:ascii="Times New Roman" w:hAnsi="Times New Roman"/>
                <w:sz w:val="24"/>
                <w:szCs w:val="24"/>
              </w:rPr>
              <w:t>Navrhuje se nahrazení závazku státu poskytovat každoročně exportní bance finanční částku ve</w:t>
            </w:r>
            <w:r w:rsidR="00384ABA">
              <w:rPr>
                <w:rFonts w:ascii="Times New Roman" w:hAnsi="Times New Roman"/>
                <w:sz w:val="24"/>
                <w:szCs w:val="24"/>
              </w:rPr>
              <w:t> </w:t>
            </w:r>
            <w:r w:rsidRPr="00286395">
              <w:rPr>
                <w:rFonts w:ascii="Times New Roman" w:hAnsi="Times New Roman"/>
                <w:sz w:val="24"/>
                <w:szCs w:val="24"/>
              </w:rPr>
              <w:t>výši 250 mil. Kč na dorovnávání úrokových rozdílů obecnějším poskytováním záloh ze strany M</w:t>
            </w:r>
            <w:r w:rsidR="0072379A">
              <w:rPr>
                <w:rFonts w:ascii="Times New Roman" w:hAnsi="Times New Roman"/>
                <w:sz w:val="24"/>
                <w:szCs w:val="24"/>
              </w:rPr>
              <w:t>F</w:t>
            </w:r>
            <w:r w:rsidRPr="00286395">
              <w:rPr>
                <w:rFonts w:ascii="Times New Roman" w:hAnsi="Times New Roman"/>
                <w:sz w:val="24"/>
                <w:szCs w:val="24"/>
              </w:rPr>
              <w:t xml:space="preserve"> a zjednodušení procesu vyúčtování záloh, které M</w:t>
            </w:r>
            <w:r w:rsidR="0072379A">
              <w:rPr>
                <w:rFonts w:ascii="Times New Roman" w:hAnsi="Times New Roman"/>
                <w:sz w:val="24"/>
                <w:szCs w:val="24"/>
              </w:rPr>
              <w:t>F</w:t>
            </w:r>
            <w:r w:rsidRPr="00286395">
              <w:rPr>
                <w:rFonts w:ascii="Times New Roman" w:hAnsi="Times New Roman"/>
                <w:sz w:val="24"/>
                <w:szCs w:val="24"/>
              </w:rPr>
              <w:t xml:space="preserve"> exportní bance poskytne na dorovnávání úrokových rozdílů, ze strany exportní banky</w:t>
            </w:r>
            <w:r w:rsidR="00014D0D" w:rsidRPr="00286395">
              <w:rPr>
                <w:rFonts w:ascii="Times New Roman" w:hAnsi="Times New Roman"/>
                <w:sz w:val="24"/>
                <w:szCs w:val="24"/>
              </w:rPr>
              <w:t>.</w:t>
            </w:r>
          </w:p>
          <w:p w14:paraId="2A98B175" w14:textId="49A01C8B" w:rsidR="00662781" w:rsidRPr="00286395" w:rsidRDefault="00662781" w:rsidP="00386D94">
            <w:pPr>
              <w:jc w:val="both"/>
              <w:rPr>
                <w:rFonts w:ascii="Times New Roman" w:hAnsi="Times New Roman"/>
                <w:b/>
                <w:sz w:val="24"/>
                <w:szCs w:val="24"/>
              </w:rPr>
            </w:pPr>
            <w:r w:rsidRPr="00286395">
              <w:rPr>
                <w:rFonts w:ascii="Times New Roman" w:hAnsi="Times New Roman"/>
                <w:b/>
                <w:sz w:val="24"/>
                <w:szCs w:val="24"/>
              </w:rPr>
              <w:t>Rozšíření kontrolní pravomoci M</w:t>
            </w:r>
            <w:r w:rsidR="0072379A">
              <w:rPr>
                <w:rFonts w:ascii="Times New Roman" w:hAnsi="Times New Roman"/>
                <w:b/>
                <w:sz w:val="24"/>
                <w:szCs w:val="24"/>
              </w:rPr>
              <w:t>F</w:t>
            </w:r>
            <w:r w:rsidRPr="00286395">
              <w:rPr>
                <w:rFonts w:ascii="Times New Roman" w:hAnsi="Times New Roman"/>
                <w:b/>
                <w:sz w:val="24"/>
                <w:szCs w:val="24"/>
              </w:rPr>
              <w:t xml:space="preserve"> vůči exportní pojišťovně</w:t>
            </w:r>
          </w:p>
          <w:p w14:paraId="3EDCABBF" w14:textId="0209DDF3" w:rsidR="0058082A" w:rsidRPr="00286395" w:rsidRDefault="00662781" w:rsidP="00FF76EB">
            <w:pPr>
              <w:jc w:val="both"/>
              <w:rPr>
                <w:rFonts w:ascii="Times New Roman" w:hAnsi="Times New Roman"/>
                <w:bCs/>
                <w:sz w:val="24"/>
                <w:szCs w:val="24"/>
              </w:rPr>
            </w:pPr>
            <w:r w:rsidRPr="00286395">
              <w:rPr>
                <w:rFonts w:ascii="Times New Roman" w:hAnsi="Times New Roman"/>
                <w:sz w:val="24"/>
                <w:szCs w:val="24"/>
              </w:rPr>
              <w:t>Nové ustanovení doplňuje kontrolní pravomoc M</w:t>
            </w:r>
            <w:r w:rsidR="0072379A">
              <w:rPr>
                <w:rFonts w:ascii="Times New Roman" w:hAnsi="Times New Roman"/>
                <w:sz w:val="24"/>
                <w:szCs w:val="24"/>
              </w:rPr>
              <w:t>F</w:t>
            </w:r>
            <w:r w:rsidRPr="00286395">
              <w:rPr>
                <w:rFonts w:ascii="Times New Roman" w:hAnsi="Times New Roman"/>
                <w:sz w:val="24"/>
                <w:szCs w:val="24"/>
              </w:rPr>
              <w:t xml:space="preserve"> vůči exportní pojišťovně v souvislosti s poskytováním dotací ze státního rozpočtu na její činnost, a to analogicky k ustanovení o</w:t>
            </w:r>
            <w:r w:rsidR="00FF76EB">
              <w:rPr>
                <w:rFonts w:ascii="Times New Roman" w:hAnsi="Times New Roman"/>
                <w:sz w:val="24"/>
                <w:szCs w:val="24"/>
              </w:rPr>
              <w:t> </w:t>
            </w:r>
            <w:r w:rsidRPr="00286395">
              <w:rPr>
                <w:rFonts w:ascii="Times New Roman" w:hAnsi="Times New Roman"/>
                <w:sz w:val="24"/>
                <w:szCs w:val="24"/>
              </w:rPr>
              <w:t>provádění kontroly M</w:t>
            </w:r>
            <w:r w:rsidR="0072379A">
              <w:rPr>
                <w:rFonts w:ascii="Times New Roman" w:hAnsi="Times New Roman"/>
                <w:sz w:val="24"/>
                <w:szCs w:val="24"/>
              </w:rPr>
              <w:t>F</w:t>
            </w:r>
            <w:r w:rsidRPr="00286395">
              <w:rPr>
                <w:rFonts w:ascii="Times New Roman" w:hAnsi="Times New Roman"/>
                <w:sz w:val="24"/>
                <w:szCs w:val="24"/>
              </w:rPr>
              <w:t xml:space="preserve"> u poskytování dotací exportní bance, kde je oprávnění M</w:t>
            </w:r>
            <w:r w:rsidR="0072379A">
              <w:rPr>
                <w:rFonts w:ascii="Times New Roman" w:hAnsi="Times New Roman"/>
                <w:sz w:val="24"/>
                <w:szCs w:val="24"/>
              </w:rPr>
              <w:t>F</w:t>
            </w:r>
            <w:r w:rsidRPr="00286395">
              <w:rPr>
                <w:rFonts w:ascii="Times New Roman" w:hAnsi="Times New Roman"/>
                <w:sz w:val="24"/>
                <w:szCs w:val="24"/>
              </w:rPr>
              <w:t xml:space="preserve"> ke kontrole explicitně uvedeno.</w:t>
            </w:r>
            <w:r w:rsidRPr="00286395">
              <w:rPr>
                <w:rFonts w:ascii="Times New Roman" w:hAnsi="Times New Roman"/>
                <w:bCs/>
                <w:iCs/>
                <w:sz w:val="24"/>
                <w:szCs w:val="24"/>
              </w:rPr>
              <w:t xml:space="preserve"> </w:t>
            </w:r>
          </w:p>
        </w:tc>
      </w:tr>
    </w:tbl>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662781" w:rsidRPr="00286395" w14:paraId="00B25E97" w14:textId="77777777" w:rsidTr="00386D94">
        <w:tc>
          <w:tcPr>
            <w:tcW w:w="9480" w:type="dxa"/>
            <w:tcBorders>
              <w:bottom w:val="single" w:sz="12" w:space="0" w:color="000001"/>
            </w:tcBorders>
            <w:shd w:val="clear" w:color="auto" w:fill="99CCFF"/>
            <w:tcMar>
              <w:left w:w="0" w:type="dxa"/>
            </w:tcMar>
          </w:tcPr>
          <w:p w14:paraId="7C025636" w14:textId="77777777" w:rsidR="00662781" w:rsidRPr="00286395" w:rsidRDefault="00662781" w:rsidP="00386D94">
            <w:pPr>
              <w:widowControl w:val="0"/>
              <w:tabs>
                <w:tab w:val="left" w:pos="1037"/>
              </w:tabs>
              <w:spacing w:before="120" w:after="120" w:line="264" w:lineRule="auto"/>
              <w:rPr>
                <w:rFonts w:ascii="Times New Roman" w:hAnsi="Times New Roman"/>
                <w:bCs/>
                <w:sz w:val="24"/>
                <w:szCs w:val="24"/>
              </w:rPr>
            </w:pPr>
            <w:r w:rsidRPr="00286395">
              <w:rPr>
                <w:rFonts w:ascii="Times New Roman" w:hAnsi="Times New Roman"/>
                <w:bCs/>
                <w:sz w:val="24"/>
                <w:szCs w:val="24"/>
              </w:rPr>
              <w:t>3. Agregované dopady návrhu zákona</w:t>
            </w: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662781" w:rsidRPr="00286395" w14:paraId="13125DF8" w14:textId="77777777" w:rsidTr="00386D94">
        <w:tc>
          <w:tcPr>
            <w:tcW w:w="9480" w:type="dxa"/>
            <w:tcBorders>
              <w:bottom w:val="single" w:sz="12" w:space="0" w:color="000001"/>
            </w:tcBorders>
            <w:shd w:val="clear" w:color="auto" w:fill="99CCFF"/>
            <w:tcMar>
              <w:left w:w="0" w:type="dxa"/>
            </w:tcMar>
          </w:tcPr>
          <w:p w14:paraId="55E37BD4" w14:textId="77777777" w:rsidR="00662781" w:rsidRPr="00286395" w:rsidRDefault="00662781" w:rsidP="00386D94">
            <w:pPr>
              <w:widowControl w:val="0"/>
              <w:tabs>
                <w:tab w:val="left" w:pos="1037"/>
              </w:tabs>
              <w:spacing w:before="120" w:after="120" w:line="264" w:lineRule="auto"/>
              <w:rPr>
                <w:rFonts w:ascii="Times New Roman" w:hAnsi="Times New Roman"/>
                <w:bCs/>
                <w:sz w:val="24"/>
                <w:szCs w:val="24"/>
              </w:rPr>
            </w:pPr>
            <w:r w:rsidRPr="00286395">
              <w:rPr>
                <w:rFonts w:ascii="Times New Roman" w:hAnsi="Times New Roman"/>
                <w:bCs/>
                <w:sz w:val="24"/>
                <w:szCs w:val="24"/>
              </w:rPr>
              <w:t>3.1 Dopady na státní rozpočet a ostatní veřejné rozpočty: Ano</w:t>
            </w:r>
          </w:p>
        </w:tc>
      </w:tr>
    </w:tbl>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662781" w:rsidRPr="00286395" w14:paraId="1F097DBF" w14:textId="77777777" w:rsidTr="00386D94">
        <w:tc>
          <w:tcPr>
            <w:tcW w:w="9480" w:type="dxa"/>
            <w:tcBorders>
              <w:bottom w:val="single" w:sz="12" w:space="0" w:color="000001"/>
            </w:tcBorders>
            <w:tcMar>
              <w:left w:w="0" w:type="dxa"/>
            </w:tcMar>
          </w:tcPr>
          <w:p w14:paraId="42ABABE4" w14:textId="77777777" w:rsidR="00662781" w:rsidRPr="00286395" w:rsidRDefault="00662781" w:rsidP="00386D94">
            <w:pPr>
              <w:widowControl w:val="0"/>
              <w:tabs>
                <w:tab w:val="left" w:pos="1037"/>
              </w:tabs>
              <w:spacing w:before="120" w:after="120" w:line="264" w:lineRule="auto"/>
              <w:jc w:val="both"/>
              <w:rPr>
                <w:rFonts w:ascii="Times New Roman" w:hAnsi="Times New Roman"/>
                <w:sz w:val="24"/>
                <w:szCs w:val="24"/>
              </w:rPr>
            </w:pPr>
            <w:r w:rsidRPr="00286395">
              <w:rPr>
                <w:rFonts w:ascii="Times New Roman" w:hAnsi="Times New Roman"/>
                <w:bCs/>
                <w:sz w:val="24"/>
                <w:szCs w:val="24"/>
              </w:rPr>
              <w:t xml:space="preserve">Změny navržené zákonem </w:t>
            </w:r>
            <w:r w:rsidR="00164C7C" w:rsidRPr="0073392D">
              <w:rPr>
                <w:rFonts w:ascii="Times New Roman" w:hAnsi="Times New Roman"/>
                <w:sz w:val="24"/>
                <w:szCs w:val="24"/>
              </w:rPr>
              <w:t>č.</w:t>
            </w:r>
            <w:r w:rsidR="007379DE">
              <w:rPr>
                <w:rFonts w:ascii="Times New Roman" w:hAnsi="Times New Roman"/>
                <w:sz w:val="24"/>
                <w:szCs w:val="24"/>
              </w:rPr>
              <w:t> </w:t>
            </w:r>
            <w:r w:rsidR="00164C7C" w:rsidRPr="0073392D">
              <w:rPr>
                <w:rFonts w:ascii="Times New Roman" w:hAnsi="Times New Roman"/>
                <w:sz w:val="24"/>
                <w:szCs w:val="24"/>
              </w:rPr>
              <w:t>58/1995 Sb.</w:t>
            </w:r>
            <w:r w:rsidR="00164C7C">
              <w:rPr>
                <w:rFonts w:ascii="Times New Roman" w:hAnsi="Times New Roman"/>
                <w:sz w:val="24"/>
                <w:szCs w:val="24"/>
              </w:rPr>
              <w:t xml:space="preserve"> </w:t>
            </w:r>
            <w:r w:rsidRPr="00286395">
              <w:rPr>
                <w:rFonts w:ascii="Times New Roman" w:hAnsi="Times New Roman"/>
                <w:bCs/>
                <w:sz w:val="24"/>
                <w:szCs w:val="24"/>
              </w:rPr>
              <w:t xml:space="preserve">by měly v dlouhodobém horizontu vést ke snížení dopadů </w:t>
            </w:r>
            <w:r w:rsidRPr="00286395">
              <w:rPr>
                <w:rFonts w:ascii="Times New Roman" w:hAnsi="Times New Roman"/>
                <w:sz w:val="24"/>
                <w:szCs w:val="24"/>
              </w:rPr>
              <w:t>pojišťování a financování vývozu se státní podporou na státní rozpočet, a to snížením nároků exportní pojišťovny na dotaci a snížením nákladů na úhradu ztrát exportní banky vyplývajících z provozování podpořeného financování v důsledku zefektivnění kontroly, mj.</w:t>
            </w:r>
            <w:r w:rsidR="007E4028">
              <w:rPr>
                <w:rFonts w:ascii="Times New Roman" w:hAnsi="Times New Roman"/>
                <w:sz w:val="24"/>
                <w:szCs w:val="24"/>
              </w:rPr>
              <w:t> </w:t>
            </w:r>
            <w:r w:rsidRPr="00286395">
              <w:rPr>
                <w:rFonts w:ascii="Times New Roman" w:hAnsi="Times New Roman"/>
                <w:sz w:val="24"/>
                <w:szCs w:val="24"/>
              </w:rPr>
              <w:t>schvalováním obchodních případů od určitého objemu vládou.</w:t>
            </w:r>
          </w:p>
          <w:p w14:paraId="4EEE1787" w14:textId="77777777" w:rsidR="00662781" w:rsidRPr="00286395" w:rsidRDefault="00662781" w:rsidP="00386D94">
            <w:pPr>
              <w:widowControl w:val="0"/>
              <w:tabs>
                <w:tab w:val="left" w:pos="1037"/>
              </w:tabs>
              <w:spacing w:before="120" w:after="120" w:line="264" w:lineRule="auto"/>
              <w:jc w:val="both"/>
              <w:rPr>
                <w:rFonts w:ascii="Times New Roman" w:hAnsi="Times New Roman"/>
                <w:bCs/>
                <w:sz w:val="24"/>
                <w:szCs w:val="24"/>
                <w:highlight w:val="yellow"/>
              </w:rPr>
            </w:pPr>
            <w:r w:rsidRPr="00286395">
              <w:rPr>
                <w:rFonts w:ascii="Times New Roman" w:hAnsi="Times New Roman"/>
                <w:sz w:val="24"/>
                <w:szCs w:val="24"/>
              </w:rPr>
              <w:t xml:space="preserve">Dále je </w:t>
            </w:r>
            <w:r w:rsidRPr="00286395">
              <w:rPr>
                <w:rFonts w:ascii="Times New Roman" w:hAnsi="Times New Roman"/>
                <w:bCs/>
                <w:sz w:val="24"/>
                <w:szCs w:val="24"/>
              </w:rPr>
              <w:t>odstraněn závazek státu poskytovat každoročně exportní bance konkrétní finanční částku ve výši 250 mil. Kč na dorovnávání úrokových rozdílů; tím, že nebude nutné částku každoročně vyčlenit ve státním rozpočtu, poklesnou náklady na řízení veřejných financí.</w:t>
            </w: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662781" w:rsidRPr="00286395" w14:paraId="4057C518" w14:textId="77777777" w:rsidTr="00386D94">
        <w:tc>
          <w:tcPr>
            <w:tcW w:w="9480" w:type="dxa"/>
            <w:tcBorders>
              <w:bottom w:val="single" w:sz="12" w:space="0" w:color="000001"/>
            </w:tcBorders>
            <w:shd w:val="clear" w:color="auto" w:fill="99CCFF"/>
            <w:tcMar>
              <w:left w:w="0" w:type="dxa"/>
            </w:tcMar>
          </w:tcPr>
          <w:p w14:paraId="4A29CAD9" w14:textId="77777777" w:rsidR="00662781" w:rsidRPr="00286395" w:rsidRDefault="00662781" w:rsidP="00386D94">
            <w:pPr>
              <w:widowControl w:val="0"/>
              <w:tabs>
                <w:tab w:val="left" w:pos="1037"/>
              </w:tabs>
              <w:spacing w:before="120" w:after="120" w:line="264" w:lineRule="auto"/>
              <w:rPr>
                <w:rFonts w:ascii="Times New Roman" w:hAnsi="Times New Roman"/>
                <w:bCs/>
                <w:sz w:val="24"/>
                <w:szCs w:val="24"/>
              </w:rPr>
            </w:pPr>
            <w:r w:rsidRPr="00286395">
              <w:rPr>
                <w:rFonts w:ascii="Times New Roman" w:hAnsi="Times New Roman"/>
                <w:bCs/>
                <w:sz w:val="24"/>
                <w:szCs w:val="24"/>
              </w:rPr>
              <w:t xml:space="preserve">3.2 Dopady na podnikatelské subjekty: Ano </w:t>
            </w:r>
          </w:p>
        </w:tc>
      </w:tr>
      <w:tr w:rsidR="00662781" w:rsidRPr="00286395" w14:paraId="34038804" w14:textId="77777777" w:rsidTr="00386D94">
        <w:trPr>
          <w:trHeight w:val="369"/>
        </w:trPr>
        <w:tc>
          <w:tcPr>
            <w:tcW w:w="9480" w:type="dxa"/>
            <w:tcBorders>
              <w:bottom w:val="single" w:sz="12" w:space="0" w:color="000001"/>
            </w:tcBorders>
            <w:shd w:val="clear" w:color="auto" w:fill="FFFFFF"/>
            <w:tcMar>
              <w:left w:w="0" w:type="dxa"/>
            </w:tcMar>
          </w:tcPr>
          <w:p w14:paraId="0230F088" w14:textId="77777777" w:rsidR="00662781" w:rsidRPr="00286395" w:rsidRDefault="00662781" w:rsidP="00386D94">
            <w:pPr>
              <w:tabs>
                <w:tab w:val="left" w:pos="6660"/>
              </w:tabs>
              <w:spacing w:before="120" w:after="120" w:line="240" w:lineRule="auto"/>
              <w:jc w:val="both"/>
              <w:rPr>
                <w:rFonts w:ascii="Times New Roman" w:hAnsi="Times New Roman"/>
                <w:bCs/>
                <w:iCs/>
                <w:sz w:val="24"/>
                <w:szCs w:val="24"/>
              </w:rPr>
            </w:pPr>
            <w:r w:rsidRPr="00286395">
              <w:rPr>
                <w:rFonts w:ascii="Times New Roman" w:hAnsi="Times New Roman"/>
                <w:bCs/>
                <w:iCs/>
                <w:sz w:val="24"/>
                <w:szCs w:val="24"/>
              </w:rPr>
              <w:t>Navrhovaná právní úprava má přímý dopad na exportní pojišťovnu a exportní banku. Nepřímý dopad má rovněž na komerční banky, popř. na exportně orientované podniky.</w:t>
            </w:r>
          </w:p>
          <w:p w14:paraId="2A883779" w14:textId="635B0D82" w:rsidR="00662781" w:rsidRPr="00286395" w:rsidRDefault="00662781" w:rsidP="00386D94">
            <w:pPr>
              <w:tabs>
                <w:tab w:val="left" w:pos="6660"/>
              </w:tabs>
              <w:spacing w:before="120" w:after="120" w:line="240" w:lineRule="auto"/>
              <w:jc w:val="both"/>
              <w:rPr>
                <w:rFonts w:ascii="Times New Roman" w:hAnsi="Times New Roman"/>
                <w:bCs/>
                <w:iCs/>
                <w:sz w:val="24"/>
                <w:szCs w:val="24"/>
              </w:rPr>
            </w:pPr>
            <w:r w:rsidRPr="00286395">
              <w:rPr>
                <w:rFonts w:ascii="Times New Roman" w:hAnsi="Times New Roman"/>
                <w:bCs/>
                <w:iCs/>
                <w:sz w:val="24"/>
                <w:szCs w:val="24"/>
              </w:rPr>
              <w:t xml:space="preserve">Podnikatelské subjekty, kterých se týká část navrhovaných úprav zákona </w:t>
            </w:r>
            <w:r w:rsidR="006E067E" w:rsidRPr="0073392D">
              <w:rPr>
                <w:rFonts w:ascii="Times New Roman" w:hAnsi="Times New Roman"/>
                <w:sz w:val="24"/>
                <w:szCs w:val="24"/>
              </w:rPr>
              <w:t>č.</w:t>
            </w:r>
            <w:r w:rsidR="007379DE">
              <w:rPr>
                <w:rFonts w:ascii="Times New Roman" w:hAnsi="Times New Roman"/>
                <w:sz w:val="24"/>
                <w:szCs w:val="24"/>
              </w:rPr>
              <w:t> </w:t>
            </w:r>
            <w:r w:rsidR="006E067E" w:rsidRPr="0073392D">
              <w:rPr>
                <w:rFonts w:ascii="Times New Roman" w:hAnsi="Times New Roman"/>
                <w:sz w:val="24"/>
                <w:szCs w:val="24"/>
              </w:rPr>
              <w:t xml:space="preserve">58/1995 </w:t>
            </w:r>
            <w:proofErr w:type="gramStart"/>
            <w:r w:rsidR="006E067E" w:rsidRPr="0073392D">
              <w:rPr>
                <w:rFonts w:ascii="Times New Roman" w:hAnsi="Times New Roman"/>
                <w:sz w:val="24"/>
                <w:szCs w:val="24"/>
              </w:rPr>
              <w:t>Sb.</w:t>
            </w:r>
            <w:r w:rsidR="006E067E" w:rsidRPr="00286395">
              <w:rPr>
                <w:rFonts w:ascii="Times New Roman" w:hAnsi="Times New Roman"/>
                <w:bCs/>
                <w:iCs/>
                <w:sz w:val="24"/>
                <w:szCs w:val="24"/>
              </w:rPr>
              <w:t xml:space="preserve"> </w:t>
            </w:r>
            <w:r w:rsidR="006E067E">
              <w:rPr>
                <w:rFonts w:ascii="Times New Roman" w:hAnsi="Times New Roman"/>
                <w:bCs/>
                <w:iCs/>
                <w:sz w:val="24"/>
                <w:szCs w:val="24"/>
              </w:rPr>
              <w:t xml:space="preserve"> </w:t>
            </w:r>
            <w:r w:rsidRPr="00286395">
              <w:rPr>
                <w:rFonts w:ascii="Times New Roman" w:hAnsi="Times New Roman"/>
                <w:bCs/>
                <w:iCs/>
                <w:sz w:val="24"/>
                <w:szCs w:val="24"/>
              </w:rPr>
              <w:t>(flexibilnější</w:t>
            </w:r>
            <w:proofErr w:type="gramEnd"/>
            <w:r w:rsidRPr="00286395">
              <w:rPr>
                <w:rFonts w:ascii="Times New Roman" w:hAnsi="Times New Roman"/>
                <w:bCs/>
                <w:iCs/>
                <w:sz w:val="24"/>
                <w:szCs w:val="24"/>
              </w:rPr>
              <w:t xml:space="preserve"> nabídka exportní pojišťovny a exportní banky, rozšíření možností</w:t>
            </w:r>
            <w:r w:rsidR="008911DD">
              <w:rPr>
                <w:rFonts w:ascii="Times New Roman" w:hAnsi="Times New Roman"/>
                <w:bCs/>
                <w:iCs/>
                <w:sz w:val="24"/>
                <w:szCs w:val="24"/>
              </w:rPr>
              <w:t xml:space="preserve"> zakládání právnických osob a </w:t>
            </w:r>
            <w:r w:rsidRPr="00286395">
              <w:rPr>
                <w:rFonts w:ascii="Times New Roman" w:hAnsi="Times New Roman"/>
                <w:bCs/>
                <w:iCs/>
                <w:sz w:val="24"/>
                <w:szCs w:val="24"/>
              </w:rPr>
              <w:t>nabývání podílů v právnických osobách exportní pojišťovnou a exportní bankou, lepší nastavení limitů pro schvalování obchodních případů od určitého objemu vládou)</w:t>
            </w:r>
            <w:r w:rsidR="001139DF">
              <w:rPr>
                <w:rFonts w:ascii="Times New Roman" w:hAnsi="Times New Roman"/>
                <w:bCs/>
                <w:iCs/>
                <w:sz w:val="24"/>
                <w:szCs w:val="24"/>
              </w:rPr>
              <w:t>,</w:t>
            </w:r>
            <w:r w:rsidRPr="00286395">
              <w:rPr>
                <w:rFonts w:ascii="Times New Roman" w:hAnsi="Times New Roman"/>
                <w:bCs/>
                <w:iCs/>
                <w:sz w:val="24"/>
                <w:szCs w:val="24"/>
              </w:rPr>
              <w:t xml:space="preserve"> získají větší právní jistotu při výkonu své podnikatelské činnosti. Exportně orientované podniky a komerční banky díky větší flexibilitě nabídky exportní pojišťovny a exportní banky nadto získají lepší přístup k nástrojům státem podpořeného financování a pojišťování. </w:t>
            </w:r>
          </w:p>
          <w:p w14:paraId="46C4DAED" w14:textId="77777777" w:rsidR="00662781" w:rsidRPr="00286395" w:rsidRDefault="00662781" w:rsidP="00386D94">
            <w:pPr>
              <w:tabs>
                <w:tab w:val="left" w:pos="6660"/>
              </w:tabs>
              <w:spacing w:before="120" w:after="120" w:line="240" w:lineRule="auto"/>
              <w:jc w:val="both"/>
              <w:rPr>
                <w:rFonts w:ascii="Times New Roman" w:hAnsi="Times New Roman"/>
                <w:bCs/>
                <w:iCs/>
                <w:sz w:val="24"/>
                <w:szCs w:val="24"/>
              </w:rPr>
            </w:pPr>
            <w:r w:rsidRPr="00286395">
              <w:rPr>
                <w:rFonts w:ascii="Times New Roman" w:hAnsi="Times New Roman"/>
                <w:bCs/>
                <w:iCs/>
                <w:sz w:val="24"/>
                <w:szCs w:val="24"/>
              </w:rPr>
              <w:t>Zjednodušením úředních postupů v případě žádosti o zařazení do systému dorovnávání úrokových rozdílů dojde ke snížení byrokratické zátěže pro komerční banky (mj. eliminací nákladů na překlad smlouvy o vývozním úvěru sjednané v anglickém jazyce).</w:t>
            </w:r>
          </w:p>
          <w:p w14:paraId="090F88E6" w14:textId="77777777" w:rsidR="00662781" w:rsidRPr="00286395" w:rsidRDefault="00662781" w:rsidP="00386D94">
            <w:pPr>
              <w:spacing w:before="120" w:after="120" w:line="264" w:lineRule="auto"/>
              <w:jc w:val="both"/>
              <w:rPr>
                <w:rFonts w:ascii="Times New Roman" w:hAnsi="Times New Roman"/>
                <w:sz w:val="24"/>
                <w:szCs w:val="24"/>
              </w:rPr>
            </w:pPr>
            <w:r w:rsidRPr="00286395">
              <w:rPr>
                <w:rFonts w:ascii="Times New Roman" w:hAnsi="Times New Roman"/>
                <w:bCs/>
                <w:iCs/>
                <w:sz w:val="24"/>
                <w:szCs w:val="24"/>
              </w:rPr>
              <w:t>V návrhu uvažované změny zákona nebudou mít žádný dopad na trh práce.</w:t>
            </w:r>
          </w:p>
        </w:tc>
      </w:tr>
    </w:tbl>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662781" w:rsidRPr="00286395" w14:paraId="58B9183A" w14:textId="77777777" w:rsidTr="00386D94">
        <w:trPr>
          <w:trHeight w:val="369"/>
        </w:trPr>
        <w:tc>
          <w:tcPr>
            <w:tcW w:w="9480" w:type="dxa"/>
            <w:tcBorders>
              <w:bottom w:val="single" w:sz="12" w:space="0" w:color="000001"/>
            </w:tcBorders>
            <w:shd w:val="clear" w:color="auto" w:fill="99CCFF"/>
            <w:tcMar>
              <w:left w:w="0" w:type="dxa"/>
            </w:tcMar>
          </w:tcPr>
          <w:p w14:paraId="0685DE98" w14:textId="77777777" w:rsidR="00662781" w:rsidRPr="00286395" w:rsidRDefault="00662781" w:rsidP="00386D94">
            <w:pPr>
              <w:widowControl w:val="0"/>
              <w:tabs>
                <w:tab w:val="left" w:pos="1037"/>
              </w:tabs>
              <w:spacing w:before="120" w:after="120" w:line="264" w:lineRule="auto"/>
              <w:jc w:val="both"/>
              <w:rPr>
                <w:rFonts w:ascii="Times New Roman" w:hAnsi="Times New Roman"/>
                <w:bCs/>
                <w:sz w:val="24"/>
                <w:szCs w:val="24"/>
              </w:rPr>
            </w:pPr>
            <w:r w:rsidRPr="00286395">
              <w:rPr>
                <w:rFonts w:ascii="Times New Roman" w:hAnsi="Times New Roman"/>
                <w:bCs/>
                <w:sz w:val="24"/>
                <w:szCs w:val="24"/>
              </w:rPr>
              <w:t>3.3 Dopady na mezinárodní konkurenceschopnost ČR: Ano</w:t>
            </w: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662781" w:rsidRPr="00286395" w14:paraId="3DE08D52" w14:textId="77777777" w:rsidTr="00386D94">
        <w:trPr>
          <w:trHeight w:val="369"/>
        </w:trPr>
        <w:tc>
          <w:tcPr>
            <w:tcW w:w="9480" w:type="dxa"/>
            <w:tcBorders>
              <w:bottom w:val="single" w:sz="12" w:space="0" w:color="000001"/>
            </w:tcBorders>
            <w:shd w:val="clear" w:color="auto" w:fill="FFFFFF"/>
            <w:tcMar>
              <w:left w:w="0" w:type="dxa"/>
            </w:tcMar>
          </w:tcPr>
          <w:p w14:paraId="4FE34CF3" w14:textId="77777777" w:rsidR="00662781" w:rsidRPr="00286395" w:rsidRDefault="00662781" w:rsidP="00386D94">
            <w:pPr>
              <w:widowControl w:val="0"/>
              <w:tabs>
                <w:tab w:val="left" w:pos="1037"/>
              </w:tabs>
              <w:spacing w:before="120" w:after="120" w:line="264" w:lineRule="auto"/>
              <w:jc w:val="both"/>
              <w:rPr>
                <w:rFonts w:ascii="Times New Roman" w:hAnsi="Times New Roman"/>
                <w:sz w:val="24"/>
                <w:szCs w:val="24"/>
              </w:rPr>
            </w:pPr>
            <w:r w:rsidRPr="00286395">
              <w:rPr>
                <w:rFonts w:ascii="Times New Roman" w:hAnsi="Times New Roman"/>
                <w:sz w:val="24"/>
                <w:szCs w:val="24"/>
              </w:rPr>
              <w:t>Ke zvýšení mezinárodní konkurenceschopnosti ČR přispívá modernější pojetí celého systému státem podpořeného exportního pojišťování a financování, jmenovitě jde o následující opatření a</w:t>
            </w:r>
            <w:r w:rsidR="00797451">
              <w:rPr>
                <w:rFonts w:ascii="Times New Roman" w:hAnsi="Times New Roman"/>
                <w:sz w:val="24"/>
                <w:szCs w:val="24"/>
              </w:rPr>
              <w:t> </w:t>
            </w:r>
            <w:r w:rsidRPr="00286395">
              <w:rPr>
                <w:rFonts w:ascii="Times New Roman" w:hAnsi="Times New Roman"/>
                <w:sz w:val="24"/>
                <w:szCs w:val="24"/>
              </w:rPr>
              <w:t>nástroje:</w:t>
            </w:r>
          </w:p>
          <w:p w14:paraId="5E0BE4FC" w14:textId="77777777" w:rsidR="00662781" w:rsidRPr="00286395" w:rsidRDefault="00662781" w:rsidP="00662781">
            <w:pPr>
              <w:pStyle w:val="Odstavecseseznamem"/>
              <w:widowControl w:val="0"/>
              <w:numPr>
                <w:ilvl w:val="0"/>
                <w:numId w:val="29"/>
              </w:numPr>
              <w:tabs>
                <w:tab w:val="left" w:pos="1037"/>
              </w:tabs>
              <w:spacing w:after="120" w:line="264" w:lineRule="auto"/>
              <w:ind w:left="714" w:hanging="357"/>
              <w:jc w:val="both"/>
              <w:rPr>
                <w:rFonts w:ascii="Times New Roman" w:hAnsi="Times New Roman"/>
                <w:sz w:val="24"/>
                <w:szCs w:val="24"/>
              </w:rPr>
            </w:pPr>
            <w:r w:rsidRPr="00286395">
              <w:rPr>
                <w:rFonts w:ascii="Times New Roman" w:hAnsi="Times New Roman"/>
                <w:bCs/>
                <w:iCs/>
                <w:sz w:val="24"/>
                <w:szCs w:val="24"/>
              </w:rPr>
              <w:t xml:space="preserve">reflexe </w:t>
            </w:r>
            <w:r w:rsidRPr="00286395">
              <w:rPr>
                <w:rFonts w:ascii="Times New Roman" w:hAnsi="Times New Roman"/>
                <w:sz w:val="24"/>
                <w:szCs w:val="24"/>
              </w:rPr>
              <w:t xml:space="preserve">posunu v globálních ekonomických vztazích, kdy účelem činnosti exportní pojišťovny a exportní banky není jen podpora vývozu, ale i investic v zahraničí, </w:t>
            </w:r>
          </w:p>
          <w:p w14:paraId="095C882B" w14:textId="77777777" w:rsidR="00662781" w:rsidRPr="00286395" w:rsidRDefault="00662781" w:rsidP="00797451">
            <w:pPr>
              <w:pStyle w:val="Odstavecseseznamem"/>
              <w:widowControl w:val="0"/>
              <w:numPr>
                <w:ilvl w:val="0"/>
                <w:numId w:val="29"/>
              </w:numPr>
              <w:tabs>
                <w:tab w:val="left" w:pos="1037"/>
              </w:tabs>
              <w:spacing w:after="120" w:line="264" w:lineRule="auto"/>
              <w:ind w:left="714" w:hanging="357"/>
              <w:jc w:val="both"/>
              <w:rPr>
                <w:rFonts w:ascii="Times New Roman" w:hAnsi="Times New Roman"/>
                <w:bCs/>
                <w:sz w:val="24"/>
                <w:szCs w:val="24"/>
              </w:rPr>
            </w:pPr>
            <w:r w:rsidRPr="00286395">
              <w:rPr>
                <w:rFonts w:ascii="Times New Roman" w:hAnsi="Times New Roman"/>
                <w:sz w:val="24"/>
                <w:szCs w:val="24"/>
              </w:rPr>
              <w:t>zvýšení možnosti reagovat v nabídce exportní pojišťovny a exportní banky na vývoj na</w:t>
            </w:r>
            <w:r w:rsidR="00797451">
              <w:rPr>
                <w:rFonts w:ascii="Times New Roman" w:hAnsi="Times New Roman"/>
                <w:sz w:val="24"/>
                <w:szCs w:val="24"/>
              </w:rPr>
              <w:t> </w:t>
            </w:r>
            <w:r w:rsidRPr="00286395">
              <w:rPr>
                <w:rFonts w:ascii="Times New Roman" w:hAnsi="Times New Roman"/>
                <w:sz w:val="24"/>
                <w:szCs w:val="24"/>
              </w:rPr>
              <w:t>exportním trhu.</w:t>
            </w:r>
          </w:p>
        </w:tc>
      </w:tr>
    </w:tbl>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662781" w:rsidRPr="00286395" w14:paraId="40C9082D" w14:textId="77777777" w:rsidTr="00386D94">
        <w:tc>
          <w:tcPr>
            <w:tcW w:w="9480" w:type="dxa"/>
            <w:tcBorders>
              <w:bottom w:val="single" w:sz="12" w:space="0" w:color="000001"/>
            </w:tcBorders>
            <w:shd w:val="clear" w:color="auto" w:fill="99CCFF"/>
            <w:tcMar>
              <w:left w:w="0" w:type="dxa"/>
            </w:tcMar>
          </w:tcPr>
          <w:p w14:paraId="6A9A695D" w14:textId="77777777" w:rsidR="00662781" w:rsidRPr="00286395" w:rsidRDefault="00662781" w:rsidP="00386D94">
            <w:pPr>
              <w:widowControl w:val="0"/>
              <w:tabs>
                <w:tab w:val="left" w:pos="1037"/>
              </w:tabs>
              <w:spacing w:before="120" w:after="120" w:line="264" w:lineRule="auto"/>
              <w:rPr>
                <w:rFonts w:ascii="Times New Roman" w:hAnsi="Times New Roman"/>
                <w:bCs/>
                <w:sz w:val="24"/>
                <w:szCs w:val="24"/>
              </w:rPr>
            </w:pPr>
            <w:r w:rsidRPr="00286395">
              <w:rPr>
                <w:rFonts w:ascii="Times New Roman" w:hAnsi="Times New Roman"/>
                <w:bCs/>
                <w:sz w:val="24"/>
                <w:szCs w:val="24"/>
              </w:rPr>
              <w:t>3.4 Dopady na územní samosprávné celky (obce, kraje): Ne</w:t>
            </w: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662781" w:rsidRPr="00286395" w14:paraId="18EF1538" w14:textId="77777777" w:rsidTr="00386D94">
        <w:tc>
          <w:tcPr>
            <w:tcW w:w="9480" w:type="dxa"/>
            <w:tcBorders>
              <w:bottom w:val="single" w:sz="12" w:space="0" w:color="000001"/>
            </w:tcBorders>
            <w:shd w:val="clear" w:color="auto" w:fill="FFFFFF"/>
            <w:tcMar>
              <w:left w:w="0" w:type="dxa"/>
            </w:tcMar>
          </w:tcPr>
          <w:p w14:paraId="7B4B75B2" w14:textId="77777777" w:rsidR="00662781" w:rsidRPr="00286395" w:rsidRDefault="00662781" w:rsidP="00386D94">
            <w:pPr>
              <w:widowControl w:val="0"/>
              <w:tabs>
                <w:tab w:val="left" w:pos="1037"/>
              </w:tabs>
              <w:spacing w:before="120" w:after="120" w:line="264" w:lineRule="auto"/>
              <w:jc w:val="both"/>
              <w:rPr>
                <w:rFonts w:ascii="Times New Roman" w:hAnsi="Times New Roman"/>
                <w:bCs/>
                <w:sz w:val="24"/>
                <w:szCs w:val="24"/>
              </w:rPr>
            </w:pPr>
            <w:r w:rsidRPr="00286395">
              <w:rPr>
                <w:rFonts w:ascii="Times New Roman" w:hAnsi="Times New Roman"/>
                <w:bCs/>
                <w:sz w:val="24"/>
                <w:szCs w:val="24"/>
              </w:rPr>
              <w:t>---</w:t>
            </w:r>
          </w:p>
        </w:tc>
      </w:tr>
    </w:tbl>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662781" w:rsidRPr="00286395" w14:paraId="54A61FE4" w14:textId="77777777" w:rsidTr="00386D94">
        <w:tc>
          <w:tcPr>
            <w:tcW w:w="9480" w:type="dxa"/>
            <w:tcBorders>
              <w:bottom w:val="single" w:sz="12" w:space="0" w:color="000001"/>
            </w:tcBorders>
            <w:shd w:val="clear" w:color="auto" w:fill="99CCFF"/>
            <w:tcMar>
              <w:left w:w="0" w:type="dxa"/>
            </w:tcMar>
          </w:tcPr>
          <w:p w14:paraId="270DBA05" w14:textId="77777777" w:rsidR="00662781" w:rsidRPr="00286395" w:rsidRDefault="00662781" w:rsidP="00386D94">
            <w:pPr>
              <w:widowControl w:val="0"/>
              <w:tabs>
                <w:tab w:val="left" w:pos="1037"/>
                <w:tab w:val="left" w:pos="3970"/>
              </w:tabs>
              <w:spacing w:before="120" w:after="120" w:line="264" w:lineRule="auto"/>
              <w:rPr>
                <w:rFonts w:ascii="Times New Roman" w:hAnsi="Times New Roman"/>
                <w:bCs/>
                <w:sz w:val="24"/>
                <w:szCs w:val="24"/>
              </w:rPr>
            </w:pPr>
            <w:r w:rsidRPr="00286395">
              <w:rPr>
                <w:rFonts w:ascii="Times New Roman" w:hAnsi="Times New Roman"/>
                <w:bCs/>
                <w:sz w:val="24"/>
                <w:szCs w:val="24"/>
              </w:rPr>
              <w:t>3.5 Sociální dopady: Ne</w:t>
            </w: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662781" w:rsidRPr="00286395" w14:paraId="33B0EAF2" w14:textId="77777777" w:rsidTr="00386D94">
        <w:tc>
          <w:tcPr>
            <w:tcW w:w="9480" w:type="dxa"/>
            <w:tcBorders>
              <w:bottom w:val="single" w:sz="12" w:space="0" w:color="000001"/>
            </w:tcBorders>
            <w:shd w:val="clear" w:color="auto" w:fill="FFFFFF"/>
            <w:tcMar>
              <w:left w:w="0" w:type="dxa"/>
            </w:tcMar>
          </w:tcPr>
          <w:p w14:paraId="04225203" w14:textId="77777777" w:rsidR="00662781" w:rsidRPr="00286395" w:rsidRDefault="00662781" w:rsidP="00386D94">
            <w:pPr>
              <w:widowControl w:val="0"/>
              <w:tabs>
                <w:tab w:val="left" w:pos="1037"/>
              </w:tabs>
              <w:spacing w:before="120" w:after="120" w:line="264" w:lineRule="auto"/>
              <w:jc w:val="both"/>
              <w:rPr>
                <w:rFonts w:ascii="Times New Roman" w:hAnsi="Times New Roman"/>
                <w:bCs/>
                <w:sz w:val="24"/>
                <w:szCs w:val="24"/>
              </w:rPr>
            </w:pPr>
            <w:r w:rsidRPr="00286395">
              <w:rPr>
                <w:rFonts w:ascii="Times New Roman" w:hAnsi="Times New Roman"/>
                <w:bCs/>
                <w:sz w:val="24"/>
                <w:szCs w:val="24"/>
              </w:rPr>
              <w:t>---</w:t>
            </w:r>
          </w:p>
        </w:tc>
      </w:tr>
    </w:tbl>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662781" w:rsidRPr="00286395" w14:paraId="0FEA75ED" w14:textId="77777777" w:rsidTr="00386D94">
        <w:tc>
          <w:tcPr>
            <w:tcW w:w="9480" w:type="dxa"/>
            <w:tcBorders>
              <w:bottom w:val="single" w:sz="12" w:space="0" w:color="000001"/>
            </w:tcBorders>
            <w:shd w:val="clear" w:color="auto" w:fill="99CCFF"/>
            <w:tcMar>
              <w:left w:w="0" w:type="dxa"/>
            </w:tcMar>
          </w:tcPr>
          <w:p w14:paraId="2532260D" w14:textId="77777777" w:rsidR="00662781" w:rsidRPr="00286395" w:rsidRDefault="00662781" w:rsidP="00386D94">
            <w:pPr>
              <w:widowControl w:val="0"/>
              <w:tabs>
                <w:tab w:val="left" w:pos="1037"/>
              </w:tabs>
              <w:spacing w:before="120" w:after="120" w:line="264" w:lineRule="auto"/>
              <w:jc w:val="both"/>
              <w:rPr>
                <w:rFonts w:ascii="Times New Roman" w:hAnsi="Times New Roman"/>
                <w:bCs/>
                <w:sz w:val="24"/>
                <w:szCs w:val="24"/>
              </w:rPr>
            </w:pPr>
            <w:r w:rsidRPr="00286395">
              <w:rPr>
                <w:rFonts w:ascii="Times New Roman" w:hAnsi="Times New Roman"/>
                <w:bCs/>
                <w:sz w:val="24"/>
                <w:szCs w:val="24"/>
              </w:rPr>
              <w:t>3.6 Dopady na spotřebitele: Ne</w:t>
            </w: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662781" w:rsidRPr="00286395" w14:paraId="0613F368" w14:textId="77777777" w:rsidTr="00386D94">
        <w:tc>
          <w:tcPr>
            <w:tcW w:w="9480" w:type="dxa"/>
            <w:tcBorders>
              <w:bottom w:val="single" w:sz="12" w:space="0" w:color="000001"/>
            </w:tcBorders>
            <w:shd w:val="clear" w:color="auto" w:fill="FFFFFF"/>
            <w:tcMar>
              <w:left w:w="0" w:type="dxa"/>
            </w:tcMar>
          </w:tcPr>
          <w:p w14:paraId="30BAB73A" w14:textId="77777777" w:rsidR="00662781" w:rsidRPr="00286395" w:rsidRDefault="00662781" w:rsidP="00386D94">
            <w:pPr>
              <w:rPr>
                <w:rFonts w:ascii="Times New Roman" w:hAnsi="Times New Roman"/>
                <w:bCs/>
                <w:sz w:val="24"/>
                <w:szCs w:val="24"/>
              </w:rPr>
            </w:pPr>
          </w:p>
        </w:tc>
      </w:tr>
    </w:tbl>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662781" w:rsidRPr="00286395" w14:paraId="73D10AD2" w14:textId="77777777" w:rsidTr="00386D94">
        <w:tc>
          <w:tcPr>
            <w:tcW w:w="9480" w:type="dxa"/>
            <w:tcBorders>
              <w:bottom w:val="single" w:sz="12" w:space="0" w:color="000001"/>
            </w:tcBorders>
            <w:shd w:val="clear" w:color="auto" w:fill="99CCFF"/>
            <w:tcMar>
              <w:left w:w="0" w:type="dxa"/>
            </w:tcMar>
          </w:tcPr>
          <w:p w14:paraId="466D8D43" w14:textId="77777777" w:rsidR="00662781" w:rsidRPr="00286395" w:rsidRDefault="00662781" w:rsidP="00386D94">
            <w:pPr>
              <w:widowControl w:val="0"/>
              <w:tabs>
                <w:tab w:val="left" w:pos="1037"/>
              </w:tabs>
              <w:spacing w:before="120" w:after="120" w:line="264" w:lineRule="auto"/>
              <w:jc w:val="both"/>
              <w:rPr>
                <w:rFonts w:ascii="Times New Roman" w:hAnsi="Times New Roman"/>
                <w:bCs/>
                <w:sz w:val="24"/>
                <w:szCs w:val="24"/>
              </w:rPr>
            </w:pPr>
            <w:r w:rsidRPr="00286395">
              <w:rPr>
                <w:rFonts w:ascii="Times New Roman" w:hAnsi="Times New Roman"/>
                <w:bCs/>
                <w:sz w:val="24"/>
                <w:szCs w:val="24"/>
              </w:rPr>
              <w:t>3.7 Dopady na životní prostředí: Ne</w:t>
            </w: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662781" w:rsidRPr="00286395" w14:paraId="497E14DA" w14:textId="77777777" w:rsidTr="00386D94">
        <w:tc>
          <w:tcPr>
            <w:tcW w:w="9480" w:type="dxa"/>
            <w:tcBorders>
              <w:bottom w:val="single" w:sz="12" w:space="0" w:color="000001"/>
            </w:tcBorders>
            <w:shd w:val="clear" w:color="auto" w:fill="FFFFFF"/>
            <w:tcMar>
              <w:left w:w="0" w:type="dxa"/>
            </w:tcMar>
          </w:tcPr>
          <w:p w14:paraId="3598FF12" w14:textId="77777777" w:rsidR="00662781" w:rsidRPr="00286395" w:rsidRDefault="00662781" w:rsidP="00386D94">
            <w:pPr>
              <w:widowControl w:val="0"/>
              <w:tabs>
                <w:tab w:val="left" w:pos="1037"/>
              </w:tabs>
              <w:spacing w:before="120" w:after="120" w:line="264" w:lineRule="auto"/>
              <w:jc w:val="both"/>
              <w:rPr>
                <w:rFonts w:ascii="Times New Roman" w:hAnsi="Times New Roman"/>
                <w:bCs/>
                <w:sz w:val="24"/>
                <w:szCs w:val="24"/>
              </w:rPr>
            </w:pPr>
            <w:r w:rsidRPr="00286395">
              <w:rPr>
                <w:rFonts w:ascii="Times New Roman" w:hAnsi="Times New Roman"/>
                <w:bCs/>
                <w:sz w:val="24"/>
                <w:szCs w:val="24"/>
              </w:rPr>
              <w:t>---</w:t>
            </w:r>
          </w:p>
        </w:tc>
      </w:tr>
    </w:tbl>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662781" w:rsidRPr="00286395" w14:paraId="73E2EFBD" w14:textId="77777777" w:rsidTr="00386D94">
        <w:tc>
          <w:tcPr>
            <w:tcW w:w="9480" w:type="dxa"/>
            <w:tcBorders>
              <w:bottom w:val="single" w:sz="12" w:space="0" w:color="000001"/>
            </w:tcBorders>
            <w:shd w:val="clear" w:color="auto" w:fill="99CCFF"/>
            <w:tcMar>
              <w:left w:w="0" w:type="dxa"/>
            </w:tcMar>
          </w:tcPr>
          <w:p w14:paraId="04F2DBB2" w14:textId="77777777" w:rsidR="00662781" w:rsidRPr="00286395" w:rsidRDefault="00662781" w:rsidP="00386D94">
            <w:pPr>
              <w:widowControl w:val="0"/>
              <w:tabs>
                <w:tab w:val="left" w:pos="1037"/>
              </w:tabs>
              <w:spacing w:before="120" w:after="120" w:line="264" w:lineRule="auto"/>
              <w:jc w:val="both"/>
              <w:rPr>
                <w:rFonts w:ascii="Times New Roman" w:hAnsi="Times New Roman"/>
                <w:bCs/>
                <w:sz w:val="24"/>
                <w:szCs w:val="24"/>
              </w:rPr>
            </w:pPr>
            <w:r w:rsidRPr="00286395">
              <w:rPr>
                <w:rFonts w:ascii="Times New Roman" w:hAnsi="Times New Roman"/>
                <w:sz w:val="24"/>
                <w:szCs w:val="24"/>
              </w:rPr>
              <w:t>3.8 Dopady ve vztahu k zákazu diskriminace a ve vztahu k rovnosti žen a mužů</w:t>
            </w:r>
            <w:r w:rsidRPr="00286395">
              <w:rPr>
                <w:rFonts w:ascii="Times New Roman" w:hAnsi="Times New Roman"/>
                <w:bCs/>
                <w:sz w:val="24"/>
                <w:szCs w:val="24"/>
              </w:rPr>
              <w:t>: Ne</w:t>
            </w: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662781" w:rsidRPr="00286395" w14:paraId="6F9F3369" w14:textId="77777777" w:rsidTr="00386D94">
        <w:tc>
          <w:tcPr>
            <w:tcW w:w="9480" w:type="dxa"/>
            <w:tcBorders>
              <w:bottom w:val="single" w:sz="12" w:space="0" w:color="000001"/>
            </w:tcBorders>
            <w:shd w:val="clear" w:color="auto" w:fill="FFFFFF"/>
            <w:tcMar>
              <w:left w:w="0" w:type="dxa"/>
            </w:tcMar>
          </w:tcPr>
          <w:p w14:paraId="641408B7" w14:textId="77777777" w:rsidR="00662781" w:rsidRPr="00286395" w:rsidRDefault="00662781" w:rsidP="00386D94">
            <w:pPr>
              <w:widowControl w:val="0"/>
              <w:tabs>
                <w:tab w:val="left" w:pos="1037"/>
              </w:tabs>
              <w:spacing w:before="120" w:after="120" w:line="264" w:lineRule="auto"/>
              <w:jc w:val="both"/>
              <w:rPr>
                <w:rFonts w:ascii="Times New Roman" w:hAnsi="Times New Roman"/>
                <w:bCs/>
                <w:sz w:val="24"/>
                <w:szCs w:val="24"/>
              </w:rPr>
            </w:pPr>
            <w:r w:rsidRPr="00286395">
              <w:rPr>
                <w:rFonts w:ascii="Times New Roman" w:hAnsi="Times New Roman"/>
                <w:bCs/>
                <w:sz w:val="24"/>
                <w:szCs w:val="24"/>
              </w:rPr>
              <w:t>---</w:t>
            </w:r>
          </w:p>
        </w:tc>
      </w:tr>
    </w:tbl>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662781" w:rsidRPr="00286395" w14:paraId="72E495F8" w14:textId="77777777" w:rsidTr="00386D94">
        <w:tc>
          <w:tcPr>
            <w:tcW w:w="9480" w:type="dxa"/>
            <w:tcBorders>
              <w:bottom w:val="single" w:sz="12" w:space="0" w:color="000001"/>
            </w:tcBorders>
            <w:shd w:val="clear" w:color="auto" w:fill="99CCFF"/>
            <w:tcMar>
              <w:left w:w="0" w:type="dxa"/>
            </w:tcMar>
          </w:tcPr>
          <w:p w14:paraId="498448AB" w14:textId="77777777" w:rsidR="00662781" w:rsidRPr="00286395" w:rsidRDefault="00662781" w:rsidP="00386D94">
            <w:pPr>
              <w:widowControl w:val="0"/>
              <w:tabs>
                <w:tab w:val="left" w:pos="1037"/>
              </w:tabs>
              <w:spacing w:before="120" w:after="120" w:line="264" w:lineRule="auto"/>
              <w:jc w:val="both"/>
              <w:rPr>
                <w:rFonts w:ascii="Times New Roman" w:hAnsi="Times New Roman"/>
                <w:bCs/>
                <w:sz w:val="24"/>
                <w:szCs w:val="24"/>
              </w:rPr>
            </w:pPr>
            <w:r w:rsidRPr="00286395">
              <w:rPr>
                <w:rFonts w:ascii="Times New Roman" w:hAnsi="Times New Roman"/>
                <w:bCs/>
                <w:sz w:val="24"/>
                <w:szCs w:val="24"/>
              </w:rPr>
              <w:t>3.9 Dopady na výkon státní statistické služby: Ne</w:t>
            </w: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662781" w:rsidRPr="00286395" w14:paraId="0F7226AB" w14:textId="77777777" w:rsidTr="00386D94">
        <w:tc>
          <w:tcPr>
            <w:tcW w:w="9480" w:type="dxa"/>
            <w:tcBorders>
              <w:bottom w:val="single" w:sz="12" w:space="0" w:color="000001"/>
            </w:tcBorders>
            <w:shd w:val="clear" w:color="auto" w:fill="FFFFFF"/>
            <w:tcMar>
              <w:left w:w="0" w:type="dxa"/>
            </w:tcMar>
          </w:tcPr>
          <w:p w14:paraId="465A40BB" w14:textId="77777777" w:rsidR="00662781" w:rsidRPr="00286395" w:rsidRDefault="00662781" w:rsidP="00386D94">
            <w:pPr>
              <w:widowControl w:val="0"/>
              <w:tabs>
                <w:tab w:val="left" w:pos="1037"/>
              </w:tabs>
              <w:spacing w:before="120" w:after="120" w:line="264" w:lineRule="auto"/>
              <w:jc w:val="both"/>
              <w:rPr>
                <w:rFonts w:ascii="Times New Roman" w:hAnsi="Times New Roman"/>
                <w:bCs/>
                <w:sz w:val="24"/>
                <w:szCs w:val="24"/>
              </w:rPr>
            </w:pPr>
            <w:r w:rsidRPr="00286395">
              <w:rPr>
                <w:rFonts w:ascii="Times New Roman" w:hAnsi="Times New Roman"/>
                <w:bCs/>
                <w:sz w:val="24"/>
                <w:szCs w:val="24"/>
              </w:rPr>
              <w:t>---</w:t>
            </w:r>
          </w:p>
        </w:tc>
      </w:tr>
    </w:tbl>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662781" w:rsidRPr="00286395" w14:paraId="6BECBB46" w14:textId="77777777" w:rsidTr="00386D94">
        <w:tc>
          <w:tcPr>
            <w:tcW w:w="9480" w:type="dxa"/>
            <w:tcBorders>
              <w:bottom w:val="single" w:sz="12" w:space="0" w:color="000001"/>
            </w:tcBorders>
            <w:shd w:val="clear" w:color="auto" w:fill="99CCFF"/>
            <w:tcMar>
              <w:left w:w="0" w:type="dxa"/>
            </w:tcMar>
          </w:tcPr>
          <w:p w14:paraId="294234B5" w14:textId="77777777" w:rsidR="00662781" w:rsidRPr="00286395" w:rsidRDefault="00662781" w:rsidP="00386D94">
            <w:pPr>
              <w:widowControl w:val="0"/>
              <w:tabs>
                <w:tab w:val="left" w:pos="1037"/>
              </w:tabs>
              <w:spacing w:before="120" w:after="120" w:line="264" w:lineRule="auto"/>
              <w:rPr>
                <w:rFonts w:ascii="Times New Roman" w:hAnsi="Times New Roman"/>
                <w:bCs/>
                <w:sz w:val="24"/>
                <w:szCs w:val="24"/>
              </w:rPr>
            </w:pPr>
            <w:r w:rsidRPr="00286395">
              <w:rPr>
                <w:rFonts w:ascii="Times New Roman" w:hAnsi="Times New Roman"/>
                <w:bCs/>
                <w:sz w:val="24"/>
                <w:szCs w:val="24"/>
              </w:rPr>
              <w:t>3.10 Korupční rizika: Ne</w:t>
            </w: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662781" w:rsidRPr="00286395" w14:paraId="74D64F4A" w14:textId="77777777" w:rsidTr="00386D94">
        <w:trPr>
          <w:trHeight w:val="281"/>
        </w:trPr>
        <w:tc>
          <w:tcPr>
            <w:tcW w:w="9480" w:type="dxa"/>
            <w:shd w:val="clear" w:color="auto" w:fill="FFFFFF"/>
            <w:tcMar>
              <w:left w:w="0" w:type="dxa"/>
            </w:tcMar>
          </w:tcPr>
          <w:p w14:paraId="73D95D1E" w14:textId="77777777" w:rsidR="00662781" w:rsidRPr="00286395" w:rsidRDefault="00662781" w:rsidP="00386D94">
            <w:pPr>
              <w:widowControl w:val="0"/>
              <w:tabs>
                <w:tab w:val="left" w:pos="1037"/>
              </w:tabs>
              <w:spacing w:before="120" w:after="120" w:line="264" w:lineRule="auto"/>
              <w:jc w:val="both"/>
              <w:rPr>
                <w:rFonts w:ascii="Times New Roman" w:hAnsi="Times New Roman"/>
                <w:sz w:val="24"/>
                <w:szCs w:val="24"/>
              </w:rPr>
            </w:pPr>
            <w:r w:rsidRPr="00286395">
              <w:rPr>
                <w:rFonts w:ascii="Times New Roman" w:hAnsi="Times New Roman"/>
                <w:bCs/>
                <w:sz w:val="24"/>
                <w:szCs w:val="24"/>
              </w:rPr>
              <w:t>---</w:t>
            </w:r>
          </w:p>
        </w:tc>
      </w:tr>
    </w:tbl>
    <w:tbl>
      <w:tblPr>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662781" w:rsidRPr="00286395" w14:paraId="6D1EF0BC" w14:textId="77777777" w:rsidTr="00386D94">
        <w:trPr>
          <w:trHeight w:val="281"/>
        </w:trPr>
        <w:tc>
          <w:tcPr>
            <w:tcW w:w="9480" w:type="dxa"/>
            <w:shd w:val="clear" w:color="auto" w:fill="99CCFF"/>
            <w:tcMar>
              <w:left w:w="0" w:type="dxa"/>
            </w:tcMar>
          </w:tcPr>
          <w:p w14:paraId="5CACD2C6" w14:textId="77777777" w:rsidR="00662781" w:rsidRPr="00286395" w:rsidRDefault="00662781" w:rsidP="00386D94">
            <w:pPr>
              <w:widowControl w:val="0"/>
              <w:tabs>
                <w:tab w:val="left" w:pos="1037"/>
              </w:tabs>
              <w:spacing w:before="120" w:after="120" w:line="264" w:lineRule="auto"/>
              <w:jc w:val="both"/>
              <w:rPr>
                <w:rFonts w:ascii="Times New Roman" w:hAnsi="Times New Roman"/>
                <w:bCs/>
                <w:sz w:val="24"/>
                <w:szCs w:val="24"/>
              </w:rPr>
            </w:pPr>
            <w:r w:rsidRPr="00286395">
              <w:rPr>
                <w:rFonts w:ascii="Times New Roman" w:hAnsi="Times New Roman"/>
                <w:bCs/>
                <w:sz w:val="24"/>
                <w:szCs w:val="24"/>
              </w:rPr>
              <w:t>3.11 Dopady na bezpečnost nebo obranu státu: Ne</w:t>
            </w:r>
          </w:p>
        </w:tc>
      </w:tr>
    </w:tbl>
    <w:tbl>
      <w:tblPr>
        <w:tblStyle w:val="Mkatabulky"/>
        <w:tblW w:w="9480" w:type="dxa"/>
        <w:tblInd w:w="-12" w:type="dxa"/>
        <w:tblBorders>
          <w:top w:val="single" w:sz="12" w:space="0" w:color="000001"/>
          <w:left w:val="single" w:sz="12" w:space="0" w:color="000001"/>
          <w:bottom w:val="single" w:sz="4" w:space="0" w:color="000001"/>
          <w:right w:val="single" w:sz="12" w:space="0" w:color="000001"/>
          <w:insideH w:val="single" w:sz="4" w:space="0" w:color="000001"/>
          <w:insideV w:val="single" w:sz="12" w:space="0" w:color="000001"/>
        </w:tblBorders>
        <w:tblCellMar>
          <w:left w:w="0" w:type="dxa"/>
        </w:tblCellMar>
        <w:tblLook w:val="00A0" w:firstRow="1" w:lastRow="0" w:firstColumn="1" w:lastColumn="0" w:noHBand="0" w:noVBand="0"/>
      </w:tblPr>
      <w:tblGrid>
        <w:gridCol w:w="9480"/>
      </w:tblGrid>
      <w:tr w:rsidR="00662781" w:rsidRPr="00286395" w14:paraId="286B1F98" w14:textId="77777777" w:rsidTr="00386D94">
        <w:trPr>
          <w:trHeight w:val="281"/>
        </w:trPr>
        <w:tc>
          <w:tcPr>
            <w:tcW w:w="9480" w:type="dxa"/>
            <w:tcBorders>
              <w:bottom w:val="single" w:sz="12" w:space="0" w:color="000001"/>
            </w:tcBorders>
            <w:shd w:val="clear" w:color="auto" w:fill="FFFFFF"/>
            <w:tcMar>
              <w:left w:w="0" w:type="dxa"/>
            </w:tcMar>
          </w:tcPr>
          <w:p w14:paraId="57065155" w14:textId="77777777" w:rsidR="00662781" w:rsidRPr="00286395" w:rsidRDefault="00662781" w:rsidP="00386D94">
            <w:pPr>
              <w:widowControl w:val="0"/>
              <w:tabs>
                <w:tab w:val="left" w:pos="1037"/>
              </w:tabs>
              <w:spacing w:before="120" w:after="120" w:line="264" w:lineRule="auto"/>
              <w:jc w:val="both"/>
              <w:rPr>
                <w:rFonts w:ascii="Times New Roman" w:hAnsi="Times New Roman"/>
                <w:bCs/>
                <w:sz w:val="24"/>
                <w:szCs w:val="24"/>
              </w:rPr>
            </w:pPr>
            <w:r w:rsidRPr="00286395">
              <w:rPr>
                <w:rFonts w:ascii="Times New Roman" w:hAnsi="Times New Roman"/>
                <w:bCs/>
                <w:sz w:val="24"/>
                <w:szCs w:val="24"/>
              </w:rPr>
              <w:t>---</w:t>
            </w:r>
          </w:p>
        </w:tc>
      </w:tr>
    </w:tbl>
    <w:p w14:paraId="30A7CB68" w14:textId="77777777" w:rsidR="003A363C" w:rsidRDefault="003A363C" w:rsidP="00662781">
      <w:pPr>
        <w:pStyle w:val="Obsah1"/>
        <w:rPr>
          <w:rFonts w:ascii="Times New Roman" w:hAnsi="Times New Roman" w:cs="Times New Roman"/>
          <w:sz w:val="24"/>
        </w:rPr>
      </w:pPr>
    </w:p>
    <w:p w14:paraId="30332FAC" w14:textId="77777777" w:rsidR="003A363C" w:rsidRDefault="003A363C">
      <w:pPr>
        <w:overflowPunct/>
        <w:autoSpaceDE/>
        <w:autoSpaceDN/>
        <w:adjustRightInd/>
        <w:spacing w:after="0" w:line="240" w:lineRule="auto"/>
        <w:textAlignment w:val="auto"/>
        <w:rPr>
          <w:rFonts w:ascii="Times New Roman" w:eastAsia="MS Mincho" w:hAnsi="Times New Roman"/>
          <w:b/>
          <w:sz w:val="24"/>
          <w:szCs w:val="24"/>
          <w:lang w:eastAsia="en-US"/>
        </w:rPr>
      </w:pPr>
      <w:r>
        <w:rPr>
          <w:rFonts w:ascii="Times New Roman" w:hAnsi="Times New Roman"/>
          <w:sz w:val="24"/>
        </w:rPr>
        <w:br w:type="page"/>
      </w:r>
    </w:p>
    <w:p w14:paraId="36B899A0" w14:textId="77777777" w:rsidR="00F051FD" w:rsidRPr="00286395" w:rsidRDefault="00F051FD" w:rsidP="00F051FD">
      <w:pPr>
        <w:pStyle w:val="Obsah1"/>
        <w:rPr>
          <w:rFonts w:ascii="Times New Roman" w:hAnsi="Times New Roman" w:cs="Times New Roman"/>
          <w:sz w:val="24"/>
        </w:rPr>
      </w:pPr>
      <w:r w:rsidRPr="00286395">
        <w:rPr>
          <w:rFonts w:ascii="Times New Roman" w:hAnsi="Times New Roman" w:cs="Times New Roman"/>
          <w:sz w:val="24"/>
        </w:rPr>
        <w:t>Hodnocení dopadů regulace</w:t>
      </w:r>
    </w:p>
    <w:p w14:paraId="62EA552E" w14:textId="77777777" w:rsidR="00F051FD" w:rsidRPr="00567999" w:rsidRDefault="00F051FD" w:rsidP="00F051FD">
      <w:pPr>
        <w:rPr>
          <w:rFonts w:ascii="Times New Roman" w:hAnsi="Times New Roman"/>
          <w:b/>
          <w:sz w:val="24"/>
          <w:szCs w:val="24"/>
        </w:rPr>
      </w:pPr>
    </w:p>
    <w:p w14:paraId="52D2BF8B" w14:textId="77777777" w:rsidR="00F051FD" w:rsidRPr="00567999" w:rsidRDefault="00F051FD" w:rsidP="00D5455B">
      <w:pPr>
        <w:pStyle w:val="Odstavecseseznamem"/>
        <w:numPr>
          <w:ilvl w:val="0"/>
          <w:numId w:val="26"/>
        </w:numPr>
        <w:spacing w:before="120" w:after="120"/>
        <w:jc w:val="both"/>
        <w:rPr>
          <w:rFonts w:ascii="Times New Roman" w:hAnsi="Times New Roman"/>
          <w:b/>
          <w:sz w:val="24"/>
          <w:szCs w:val="24"/>
          <w:lang w:eastAsia="en-US"/>
        </w:rPr>
      </w:pPr>
      <w:r w:rsidRPr="00567999">
        <w:rPr>
          <w:rFonts w:ascii="Times New Roman" w:hAnsi="Times New Roman"/>
          <w:b/>
          <w:sz w:val="24"/>
          <w:szCs w:val="24"/>
          <w:lang w:eastAsia="en-US"/>
        </w:rPr>
        <w:t>Důvod předložení a cíle</w:t>
      </w:r>
    </w:p>
    <w:p w14:paraId="7A0B1EAB" w14:textId="77777777" w:rsidR="00467D3F" w:rsidRDefault="00F051FD" w:rsidP="00D5455B">
      <w:pPr>
        <w:spacing w:before="120" w:after="120"/>
        <w:ind w:left="360"/>
        <w:jc w:val="both"/>
        <w:rPr>
          <w:rFonts w:ascii="Times New Roman" w:hAnsi="Times New Roman"/>
          <w:b/>
          <w:color w:val="000000" w:themeColor="text1"/>
          <w:sz w:val="24"/>
          <w:szCs w:val="24"/>
        </w:rPr>
      </w:pPr>
      <w:r w:rsidRPr="00567999">
        <w:rPr>
          <w:rFonts w:ascii="Times New Roman" w:hAnsi="Times New Roman"/>
          <w:b/>
          <w:color w:val="000000" w:themeColor="text1"/>
          <w:sz w:val="24"/>
          <w:szCs w:val="24"/>
        </w:rPr>
        <w:t>1.1.</w:t>
      </w:r>
      <w:r w:rsidRPr="00286395">
        <w:rPr>
          <w:rFonts w:ascii="Times New Roman" w:hAnsi="Times New Roman"/>
          <w:b/>
          <w:color w:val="000000" w:themeColor="text1"/>
          <w:sz w:val="24"/>
          <w:szCs w:val="24"/>
        </w:rPr>
        <w:t xml:space="preserve"> Název</w:t>
      </w:r>
    </w:p>
    <w:p w14:paraId="17A48AE6" w14:textId="77777777" w:rsidR="00F051FD" w:rsidRDefault="00D8098F" w:rsidP="00467D3F">
      <w:pPr>
        <w:spacing w:before="120" w:after="120"/>
        <w:ind w:left="360"/>
        <w:jc w:val="both"/>
        <w:rPr>
          <w:rFonts w:ascii="Times New Roman" w:hAnsi="Times New Roman"/>
          <w:b/>
          <w:color w:val="000000" w:themeColor="text1"/>
          <w:sz w:val="24"/>
          <w:szCs w:val="24"/>
        </w:rPr>
      </w:pPr>
      <w:r w:rsidRPr="00286395">
        <w:rPr>
          <w:rFonts w:ascii="Times New Roman" w:hAnsi="Times New Roman"/>
          <w:b/>
          <w:sz w:val="24"/>
          <w:szCs w:val="24"/>
        </w:rPr>
        <w:t>Návrh zákona, kterým se mění zákon č.</w:t>
      </w:r>
      <w:r w:rsidR="007379DE">
        <w:rPr>
          <w:rFonts w:ascii="Times New Roman" w:hAnsi="Times New Roman"/>
          <w:b/>
          <w:sz w:val="24"/>
          <w:szCs w:val="24"/>
        </w:rPr>
        <w:t> </w:t>
      </w:r>
      <w:r w:rsidRPr="00286395">
        <w:rPr>
          <w:rFonts w:ascii="Times New Roman" w:hAnsi="Times New Roman"/>
          <w:b/>
          <w:sz w:val="24"/>
          <w:szCs w:val="24"/>
        </w:rPr>
        <w:t>58/1995 Sb., o pojišťování a financování vývozu se státní podporou a o doplnění zákona č.</w:t>
      </w:r>
      <w:r w:rsidR="007379DE">
        <w:rPr>
          <w:rFonts w:ascii="Times New Roman" w:hAnsi="Times New Roman"/>
          <w:b/>
          <w:sz w:val="24"/>
          <w:szCs w:val="24"/>
        </w:rPr>
        <w:t> </w:t>
      </w:r>
      <w:r w:rsidRPr="00286395">
        <w:rPr>
          <w:rFonts w:ascii="Times New Roman" w:hAnsi="Times New Roman"/>
          <w:b/>
          <w:sz w:val="24"/>
          <w:szCs w:val="24"/>
        </w:rPr>
        <w:t>166/1993 Sb., o Nejvyšším kontrolním úřadu, ve znění pozdějších předpisů</w:t>
      </w:r>
      <w:r w:rsidR="007E4028">
        <w:rPr>
          <w:rFonts w:ascii="Times New Roman" w:hAnsi="Times New Roman"/>
          <w:b/>
          <w:sz w:val="24"/>
          <w:szCs w:val="24"/>
        </w:rPr>
        <w:t>,</w:t>
      </w:r>
      <w:r w:rsidRPr="00286395">
        <w:rPr>
          <w:rFonts w:ascii="Times New Roman" w:hAnsi="Times New Roman"/>
          <w:b/>
          <w:sz w:val="24"/>
          <w:szCs w:val="24"/>
        </w:rPr>
        <w:t xml:space="preserve"> </w:t>
      </w:r>
      <w:r w:rsidR="004C7143" w:rsidRPr="00286395">
        <w:rPr>
          <w:rFonts w:ascii="Times New Roman" w:hAnsi="Times New Roman"/>
          <w:b/>
          <w:sz w:val="24"/>
          <w:szCs w:val="24"/>
        </w:rPr>
        <w:t>ve znění pozdějších předpisů</w:t>
      </w:r>
      <w:r w:rsidR="004C7143">
        <w:rPr>
          <w:rFonts w:ascii="Times New Roman" w:hAnsi="Times New Roman"/>
          <w:b/>
          <w:sz w:val="24"/>
          <w:szCs w:val="24"/>
        </w:rPr>
        <w:t xml:space="preserve">, </w:t>
      </w:r>
      <w:r w:rsidRPr="00286395">
        <w:rPr>
          <w:rFonts w:ascii="Times New Roman" w:hAnsi="Times New Roman"/>
          <w:b/>
          <w:sz w:val="24"/>
          <w:szCs w:val="24"/>
        </w:rPr>
        <w:t>a</w:t>
      </w:r>
      <w:r w:rsidR="004C7143">
        <w:rPr>
          <w:rFonts w:ascii="Times New Roman" w:hAnsi="Times New Roman"/>
          <w:b/>
          <w:sz w:val="24"/>
          <w:szCs w:val="24"/>
        </w:rPr>
        <w:t> </w:t>
      </w:r>
      <w:r w:rsidRPr="00286395">
        <w:rPr>
          <w:rFonts w:ascii="Times New Roman" w:hAnsi="Times New Roman"/>
          <w:b/>
          <w:sz w:val="24"/>
          <w:szCs w:val="24"/>
        </w:rPr>
        <w:t>zákon č.</w:t>
      </w:r>
      <w:r w:rsidR="007379DE">
        <w:rPr>
          <w:rFonts w:ascii="Times New Roman" w:hAnsi="Times New Roman"/>
          <w:b/>
          <w:sz w:val="24"/>
          <w:szCs w:val="24"/>
        </w:rPr>
        <w:t> </w:t>
      </w:r>
      <w:r w:rsidRPr="00286395">
        <w:rPr>
          <w:rFonts w:ascii="Times New Roman" w:hAnsi="Times New Roman"/>
          <w:b/>
          <w:sz w:val="24"/>
          <w:szCs w:val="24"/>
        </w:rPr>
        <w:t>218/2000 Sb., o</w:t>
      </w:r>
      <w:r w:rsidR="007E4028">
        <w:rPr>
          <w:rFonts w:ascii="Times New Roman" w:hAnsi="Times New Roman"/>
          <w:b/>
          <w:sz w:val="24"/>
          <w:szCs w:val="24"/>
        </w:rPr>
        <w:t> </w:t>
      </w:r>
      <w:r w:rsidRPr="00286395">
        <w:rPr>
          <w:rFonts w:ascii="Times New Roman" w:hAnsi="Times New Roman"/>
          <w:b/>
          <w:sz w:val="24"/>
          <w:szCs w:val="24"/>
        </w:rPr>
        <w:t>rozpočtových pravidlech a o změně některých souvisejících zákonů (rozpočtová pravidla), ve znění pozdějších předpisů</w:t>
      </w:r>
      <w:r w:rsidR="00F051FD" w:rsidRPr="00286395">
        <w:rPr>
          <w:rFonts w:ascii="Times New Roman" w:hAnsi="Times New Roman"/>
          <w:b/>
          <w:color w:val="000000" w:themeColor="text1"/>
          <w:sz w:val="24"/>
          <w:szCs w:val="24"/>
        </w:rPr>
        <w:t>.</w:t>
      </w:r>
    </w:p>
    <w:p w14:paraId="7F7D142E" w14:textId="77777777" w:rsidR="0087638B" w:rsidRPr="00286395" w:rsidRDefault="0087638B" w:rsidP="00467D3F">
      <w:pPr>
        <w:spacing w:before="120" w:after="120"/>
        <w:ind w:left="360"/>
        <w:jc w:val="both"/>
        <w:rPr>
          <w:rFonts w:ascii="Times New Roman" w:hAnsi="Times New Roman"/>
          <w:color w:val="000000" w:themeColor="text1"/>
          <w:sz w:val="24"/>
          <w:szCs w:val="24"/>
        </w:rPr>
      </w:pPr>
    </w:p>
    <w:p w14:paraId="1E7147F0" w14:textId="77777777" w:rsidR="00F051FD" w:rsidRPr="00286395" w:rsidRDefault="0003162B" w:rsidP="00D5455B">
      <w:pPr>
        <w:pStyle w:val="Odstavecseseznamem"/>
        <w:numPr>
          <w:ilvl w:val="1"/>
          <w:numId w:val="26"/>
        </w:numPr>
        <w:spacing w:before="120" w:after="120"/>
        <w:jc w:val="both"/>
        <w:rPr>
          <w:rFonts w:ascii="Times New Roman" w:hAnsi="Times New Roman"/>
          <w:b/>
          <w:sz w:val="24"/>
          <w:szCs w:val="24"/>
          <w:lang w:eastAsia="en-US"/>
        </w:rPr>
      </w:pPr>
      <w:r>
        <w:rPr>
          <w:rFonts w:ascii="Times New Roman" w:hAnsi="Times New Roman"/>
          <w:b/>
          <w:sz w:val="24"/>
          <w:szCs w:val="24"/>
          <w:lang w:eastAsia="en-US"/>
        </w:rPr>
        <w:t xml:space="preserve"> </w:t>
      </w:r>
      <w:r w:rsidR="00F051FD" w:rsidRPr="00286395">
        <w:rPr>
          <w:rFonts w:ascii="Times New Roman" w:hAnsi="Times New Roman"/>
          <w:b/>
          <w:sz w:val="24"/>
          <w:szCs w:val="24"/>
          <w:lang w:eastAsia="en-US"/>
        </w:rPr>
        <w:t>Definice problému</w:t>
      </w:r>
    </w:p>
    <w:p w14:paraId="7AE1865E" w14:textId="17A295A4" w:rsidR="0086445B" w:rsidRDefault="0086445B" w:rsidP="00556B61">
      <w:pPr>
        <w:spacing w:before="120" w:after="120"/>
        <w:ind w:left="357"/>
        <w:jc w:val="both"/>
        <w:rPr>
          <w:rFonts w:ascii="Times New Roman" w:hAnsi="Times New Roman"/>
          <w:sz w:val="24"/>
          <w:szCs w:val="24"/>
          <w:lang w:eastAsia="en-US"/>
        </w:rPr>
      </w:pPr>
      <w:r>
        <w:rPr>
          <w:rFonts w:ascii="Times New Roman" w:hAnsi="Times New Roman"/>
          <w:sz w:val="24"/>
          <w:szCs w:val="24"/>
          <w:lang w:eastAsia="en-US"/>
        </w:rPr>
        <w:t xml:space="preserve">Předmětný návrh se týká </w:t>
      </w:r>
      <w:r w:rsidRPr="0086445B">
        <w:rPr>
          <w:rFonts w:ascii="Times New Roman" w:hAnsi="Times New Roman"/>
          <w:sz w:val="24"/>
          <w:szCs w:val="24"/>
          <w:lang w:eastAsia="en-US"/>
        </w:rPr>
        <w:t>systém</w:t>
      </w:r>
      <w:r>
        <w:rPr>
          <w:rFonts w:ascii="Times New Roman" w:hAnsi="Times New Roman"/>
          <w:sz w:val="24"/>
          <w:szCs w:val="24"/>
          <w:lang w:eastAsia="en-US"/>
        </w:rPr>
        <w:t>u</w:t>
      </w:r>
      <w:r w:rsidRPr="0086445B">
        <w:rPr>
          <w:rFonts w:ascii="Times New Roman" w:hAnsi="Times New Roman"/>
          <w:sz w:val="24"/>
          <w:szCs w:val="24"/>
          <w:lang w:eastAsia="en-US"/>
        </w:rPr>
        <w:t xml:space="preserve"> pojišťování a financování vývozu se státní podporou</w:t>
      </w:r>
      <w:r w:rsidR="008765E3">
        <w:rPr>
          <w:rFonts w:ascii="Times New Roman" w:hAnsi="Times New Roman"/>
          <w:sz w:val="24"/>
          <w:szCs w:val="24"/>
          <w:lang w:eastAsia="en-US"/>
        </w:rPr>
        <w:t xml:space="preserve">, který je v České republice realizován pomocí dvou institucí: </w:t>
      </w:r>
      <w:r w:rsidR="007432DC">
        <w:rPr>
          <w:rFonts w:ascii="Times New Roman" w:hAnsi="Times New Roman"/>
          <w:sz w:val="24"/>
          <w:szCs w:val="24"/>
          <w:lang w:eastAsia="en-US"/>
        </w:rPr>
        <w:t>Exportní garanční a</w:t>
      </w:r>
      <w:r w:rsidR="006548C4">
        <w:rPr>
          <w:rFonts w:ascii="Times New Roman" w:hAnsi="Times New Roman"/>
          <w:sz w:val="24"/>
          <w:szCs w:val="24"/>
          <w:lang w:eastAsia="en-US"/>
        </w:rPr>
        <w:t> </w:t>
      </w:r>
      <w:r w:rsidR="007432DC">
        <w:rPr>
          <w:rFonts w:ascii="Times New Roman" w:hAnsi="Times New Roman"/>
          <w:sz w:val="24"/>
          <w:szCs w:val="24"/>
          <w:lang w:eastAsia="en-US"/>
        </w:rPr>
        <w:t>pojišťovací společnosti, a.s.</w:t>
      </w:r>
      <w:r w:rsidR="00C21954">
        <w:rPr>
          <w:rFonts w:ascii="Times New Roman" w:hAnsi="Times New Roman"/>
          <w:sz w:val="24"/>
          <w:szCs w:val="24"/>
          <w:lang w:eastAsia="en-US"/>
        </w:rPr>
        <w:t>,</w:t>
      </w:r>
      <w:r w:rsidR="007432DC">
        <w:rPr>
          <w:rFonts w:ascii="Times New Roman" w:hAnsi="Times New Roman"/>
          <w:sz w:val="24"/>
          <w:szCs w:val="24"/>
          <w:lang w:eastAsia="en-US"/>
        </w:rPr>
        <w:t xml:space="preserve"> (dále také </w:t>
      </w:r>
      <w:r w:rsidR="00411A6C">
        <w:rPr>
          <w:rFonts w:ascii="Times New Roman" w:hAnsi="Times New Roman"/>
          <w:sz w:val="24"/>
          <w:szCs w:val="24"/>
          <w:lang w:eastAsia="en-US"/>
        </w:rPr>
        <w:t xml:space="preserve">„EGAP“ nebo </w:t>
      </w:r>
      <w:r w:rsidR="007432DC">
        <w:rPr>
          <w:rFonts w:ascii="Times New Roman" w:hAnsi="Times New Roman"/>
          <w:sz w:val="24"/>
          <w:szCs w:val="24"/>
          <w:lang w:eastAsia="en-US"/>
        </w:rPr>
        <w:t xml:space="preserve">„exportní pojišťovna“) a </w:t>
      </w:r>
      <w:r w:rsidR="008765E3">
        <w:rPr>
          <w:rFonts w:ascii="Times New Roman" w:hAnsi="Times New Roman"/>
          <w:sz w:val="24"/>
          <w:szCs w:val="24"/>
          <w:lang w:eastAsia="en-US"/>
        </w:rPr>
        <w:t>České exportní banky, a.s.</w:t>
      </w:r>
      <w:r w:rsidR="00C21954">
        <w:rPr>
          <w:rFonts w:ascii="Times New Roman" w:hAnsi="Times New Roman"/>
          <w:sz w:val="24"/>
          <w:szCs w:val="24"/>
          <w:lang w:eastAsia="en-US"/>
        </w:rPr>
        <w:t>,</w:t>
      </w:r>
      <w:r w:rsidR="008765E3">
        <w:rPr>
          <w:rFonts w:ascii="Times New Roman" w:hAnsi="Times New Roman"/>
          <w:sz w:val="24"/>
          <w:szCs w:val="24"/>
          <w:lang w:eastAsia="en-US"/>
        </w:rPr>
        <w:t xml:space="preserve"> (dále také</w:t>
      </w:r>
      <w:r w:rsidR="00411A6C">
        <w:rPr>
          <w:rFonts w:ascii="Times New Roman" w:hAnsi="Times New Roman"/>
          <w:sz w:val="24"/>
          <w:szCs w:val="24"/>
          <w:lang w:eastAsia="en-US"/>
        </w:rPr>
        <w:t xml:space="preserve"> „ČEB“ nebo </w:t>
      </w:r>
      <w:r w:rsidR="008765E3">
        <w:rPr>
          <w:rFonts w:ascii="Times New Roman" w:hAnsi="Times New Roman"/>
          <w:sz w:val="24"/>
          <w:szCs w:val="24"/>
          <w:lang w:eastAsia="en-US"/>
        </w:rPr>
        <w:t>„exportní banka“)</w:t>
      </w:r>
      <w:r w:rsidR="007432DC">
        <w:rPr>
          <w:rFonts w:ascii="Times New Roman" w:hAnsi="Times New Roman"/>
          <w:sz w:val="24"/>
          <w:szCs w:val="24"/>
          <w:lang w:eastAsia="en-US"/>
        </w:rPr>
        <w:t xml:space="preserve">. Obě instituce jsou určeny pro podporu </w:t>
      </w:r>
      <w:r w:rsidR="00B765DC">
        <w:rPr>
          <w:rFonts w:ascii="Times New Roman" w:hAnsi="Times New Roman"/>
          <w:sz w:val="24"/>
          <w:szCs w:val="24"/>
          <w:lang w:eastAsia="en-US"/>
        </w:rPr>
        <w:t xml:space="preserve">exportu, přičemž je v České republice, stejně jako v ostatních zemích Organizace pro hospodářskou spolupráci a rozvoj (OECD) obvyklé, že </w:t>
      </w:r>
      <w:r w:rsidR="00B765DC" w:rsidRPr="0086445B">
        <w:rPr>
          <w:rFonts w:ascii="Times New Roman" w:hAnsi="Times New Roman"/>
          <w:sz w:val="24"/>
          <w:szCs w:val="24"/>
          <w:lang w:eastAsia="en-US"/>
        </w:rPr>
        <w:t>systém pojišťování a financování vývozu se státní podporou</w:t>
      </w:r>
      <w:r w:rsidR="00B765DC">
        <w:rPr>
          <w:rFonts w:ascii="Times New Roman" w:hAnsi="Times New Roman"/>
          <w:sz w:val="24"/>
          <w:szCs w:val="24"/>
          <w:lang w:eastAsia="en-US"/>
        </w:rPr>
        <w:t xml:space="preserve"> se dotýká pouze zhruba jednoho procenta objemu celkového vývozu</w:t>
      </w:r>
      <w:r w:rsidR="00CE0371">
        <w:rPr>
          <w:rFonts w:ascii="Times New Roman" w:hAnsi="Times New Roman"/>
          <w:sz w:val="24"/>
          <w:szCs w:val="24"/>
          <w:lang w:eastAsia="en-US"/>
        </w:rPr>
        <w:t xml:space="preserve"> uvedených zemí.</w:t>
      </w:r>
    </w:p>
    <w:p w14:paraId="38ECCF97" w14:textId="2A7C86A1" w:rsidR="00AE097E" w:rsidRPr="00602F63" w:rsidRDefault="00D8098F" w:rsidP="00AE097E">
      <w:pPr>
        <w:spacing w:before="120" w:after="120"/>
        <w:ind w:left="357"/>
        <w:jc w:val="both"/>
        <w:rPr>
          <w:rFonts w:ascii="Times New Roman" w:hAnsi="Times New Roman"/>
          <w:sz w:val="24"/>
          <w:szCs w:val="24"/>
          <w:lang w:eastAsia="en-US"/>
        </w:rPr>
      </w:pPr>
      <w:r w:rsidRPr="00286395">
        <w:rPr>
          <w:rFonts w:ascii="Times New Roman" w:hAnsi="Times New Roman"/>
          <w:sz w:val="24"/>
          <w:szCs w:val="24"/>
          <w:lang w:eastAsia="en-US"/>
        </w:rPr>
        <w:t>S ohledem na aktuální ekonomickou situaci v České republice byly vedeny debaty o tom, jaká národohospodářská opatření by měl stát uplatnit, aby se podařilo posunout Českou republiku dále na cestu rychlejšího přibližování k ekonomikám vyspělých států a</w:t>
      </w:r>
      <w:r w:rsidR="00797451">
        <w:rPr>
          <w:rFonts w:ascii="Times New Roman" w:hAnsi="Times New Roman"/>
          <w:sz w:val="24"/>
          <w:szCs w:val="24"/>
          <w:lang w:eastAsia="en-US"/>
        </w:rPr>
        <w:t> </w:t>
      </w:r>
      <w:r w:rsidRPr="00286395">
        <w:rPr>
          <w:rFonts w:ascii="Times New Roman" w:hAnsi="Times New Roman"/>
          <w:sz w:val="24"/>
          <w:szCs w:val="24"/>
          <w:lang w:eastAsia="en-US"/>
        </w:rPr>
        <w:t>udržitelnému ekonomickému růstu, čemuž by měl odpovídat i systém státní podpory exportu. Systém státem podpořeného exportního pojišťování a financování je do budoucna bez výraznějších úprav ekonomicky neudržitelný a vede k </w:t>
      </w:r>
      <w:proofErr w:type="spellStart"/>
      <w:r w:rsidRPr="00286395">
        <w:rPr>
          <w:rFonts w:ascii="Times New Roman" w:hAnsi="Times New Roman"/>
          <w:sz w:val="24"/>
          <w:szCs w:val="24"/>
          <w:lang w:eastAsia="en-US"/>
        </w:rPr>
        <w:t>suboptimálnímu</w:t>
      </w:r>
      <w:proofErr w:type="spellEnd"/>
      <w:r w:rsidRPr="00286395">
        <w:rPr>
          <w:rFonts w:ascii="Times New Roman" w:hAnsi="Times New Roman"/>
          <w:sz w:val="24"/>
          <w:szCs w:val="24"/>
          <w:lang w:eastAsia="en-US"/>
        </w:rPr>
        <w:t xml:space="preserve"> vynakládání prostředků státního rozpočtu bez odpovídajícího ekonomického přínosu</w:t>
      </w:r>
      <w:r w:rsidR="00544AD9">
        <w:rPr>
          <w:rFonts w:ascii="Times New Roman" w:hAnsi="Times New Roman"/>
          <w:sz w:val="24"/>
          <w:szCs w:val="24"/>
          <w:lang w:eastAsia="en-US"/>
        </w:rPr>
        <w:t xml:space="preserve">, </w:t>
      </w:r>
      <w:r w:rsidR="00544AD9" w:rsidRPr="00BD695E">
        <w:rPr>
          <w:rFonts w:ascii="Times New Roman" w:hAnsi="Times New Roman"/>
          <w:sz w:val="24"/>
          <w:szCs w:val="24"/>
          <w:lang w:eastAsia="en-US"/>
        </w:rPr>
        <w:t>jak je číselně doložen</w:t>
      </w:r>
      <w:r w:rsidR="00544AD9" w:rsidRPr="00602F63">
        <w:rPr>
          <w:rFonts w:ascii="Times New Roman" w:hAnsi="Times New Roman"/>
          <w:sz w:val="24"/>
          <w:szCs w:val="24"/>
          <w:lang w:eastAsia="en-US"/>
        </w:rPr>
        <w:t>o níže</w:t>
      </w:r>
      <w:r w:rsidRPr="00602F63">
        <w:rPr>
          <w:rFonts w:ascii="Times New Roman" w:hAnsi="Times New Roman"/>
          <w:sz w:val="24"/>
          <w:szCs w:val="24"/>
          <w:lang w:eastAsia="en-US"/>
        </w:rPr>
        <w:t xml:space="preserve">. </w:t>
      </w:r>
      <w:r w:rsidR="00462832" w:rsidRPr="00602F63">
        <w:rPr>
          <w:rFonts w:ascii="Times New Roman" w:hAnsi="Times New Roman"/>
          <w:sz w:val="24"/>
          <w:szCs w:val="24"/>
          <w:lang w:eastAsia="en-US"/>
        </w:rPr>
        <w:t>I proto vláda svým u</w:t>
      </w:r>
      <w:r w:rsidR="00C8048B" w:rsidRPr="00602F63">
        <w:rPr>
          <w:rFonts w:ascii="Times New Roman" w:hAnsi="Times New Roman"/>
          <w:sz w:val="24"/>
          <w:szCs w:val="24"/>
          <w:lang w:eastAsia="en-US"/>
        </w:rPr>
        <w:t xml:space="preserve">snesením </w:t>
      </w:r>
      <w:r w:rsidR="00AE097E" w:rsidRPr="00602F63">
        <w:rPr>
          <w:rFonts w:ascii="Times New Roman" w:hAnsi="Times New Roman"/>
          <w:sz w:val="24"/>
          <w:szCs w:val="24"/>
          <w:lang w:eastAsia="en-US"/>
        </w:rPr>
        <w:t>ze dne 25. listopadu 2019 č. 839 schválila vlastnickou konsolidaci Č</w:t>
      </w:r>
      <w:r w:rsidR="00D25FFA">
        <w:rPr>
          <w:rFonts w:ascii="Times New Roman" w:hAnsi="Times New Roman"/>
          <w:sz w:val="24"/>
          <w:szCs w:val="24"/>
          <w:lang w:eastAsia="en-US"/>
        </w:rPr>
        <w:t>EB</w:t>
      </w:r>
      <w:r w:rsidR="00AE097E" w:rsidRPr="00602F63">
        <w:rPr>
          <w:rFonts w:ascii="Times New Roman" w:hAnsi="Times New Roman"/>
          <w:sz w:val="24"/>
          <w:szCs w:val="24"/>
          <w:lang w:eastAsia="en-US"/>
        </w:rPr>
        <w:t xml:space="preserve"> jako 100% dceřiné společnosti E</w:t>
      </w:r>
      <w:r w:rsidR="00D25FFA">
        <w:rPr>
          <w:rFonts w:ascii="Times New Roman" w:hAnsi="Times New Roman"/>
          <w:sz w:val="24"/>
          <w:szCs w:val="24"/>
          <w:lang w:eastAsia="en-US"/>
        </w:rPr>
        <w:t>GAP</w:t>
      </w:r>
      <w:r w:rsidR="00AE097E" w:rsidRPr="00602F63">
        <w:rPr>
          <w:rFonts w:ascii="Times New Roman" w:hAnsi="Times New Roman"/>
          <w:sz w:val="24"/>
          <w:szCs w:val="24"/>
          <w:lang w:eastAsia="en-US"/>
        </w:rPr>
        <w:t xml:space="preserve"> jako variantu nového institucionálního uspořádání státní podpory exportu.</w:t>
      </w:r>
      <w:r w:rsidR="002A72DA" w:rsidRPr="00602F63">
        <w:rPr>
          <w:rFonts w:ascii="Times New Roman" w:hAnsi="Times New Roman"/>
          <w:sz w:val="24"/>
          <w:szCs w:val="24"/>
          <w:lang w:eastAsia="en-US"/>
        </w:rPr>
        <w:t xml:space="preserve"> </w:t>
      </w:r>
      <w:r w:rsidR="00462832" w:rsidRPr="00602F63">
        <w:rPr>
          <w:rFonts w:ascii="Times New Roman" w:hAnsi="Times New Roman"/>
          <w:sz w:val="24"/>
          <w:szCs w:val="24"/>
          <w:lang w:eastAsia="en-US"/>
        </w:rPr>
        <w:t xml:space="preserve">Předložená právní úprava by měla </w:t>
      </w:r>
      <w:r w:rsidR="00097181" w:rsidRPr="00602F63">
        <w:rPr>
          <w:rFonts w:ascii="Times New Roman" w:hAnsi="Times New Roman"/>
          <w:sz w:val="24"/>
          <w:szCs w:val="24"/>
          <w:lang w:eastAsia="en-US"/>
        </w:rPr>
        <w:t>dočasně</w:t>
      </w:r>
      <w:r w:rsidR="00462832" w:rsidRPr="00602F63">
        <w:rPr>
          <w:rFonts w:ascii="Times New Roman" w:hAnsi="Times New Roman"/>
          <w:sz w:val="24"/>
          <w:szCs w:val="24"/>
          <w:lang w:eastAsia="en-US"/>
        </w:rPr>
        <w:t xml:space="preserve"> situaci aspoň částečně vyřešit</w:t>
      </w:r>
      <w:r w:rsidR="0011141D" w:rsidRPr="00602F63">
        <w:rPr>
          <w:rFonts w:ascii="Times New Roman" w:hAnsi="Times New Roman"/>
          <w:sz w:val="24"/>
          <w:szCs w:val="24"/>
          <w:lang w:eastAsia="en-US"/>
        </w:rPr>
        <w:t xml:space="preserve"> </w:t>
      </w:r>
      <w:r w:rsidR="00462832" w:rsidRPr="00602F63">
        <w:rPr>
          <w:rFonts w:ascii="Times New Roman" w:hAnsi="Times New Roman"/>
          <w:sz w:val="24"/>
          <w:szCs w:val="24"/>
          <w:lang w:eastAsia="en-US"/>
        </w:rPr>
        <w:t xml:space="preserve">a zajistit udržení konkurenceschopnosti českých exportérů v soutěži na světovém trhu. Následně by předkladatel přistoupil k návrhu komplexní nové právní úpravy systému státní podpory exportu. </w:t>
      </w:r>
    </w:p>
    <w:p w14:paraId="6FE4AF0A" w14:textId="0645A7CF" w:rsidR="00D8098F" w:rsidRPr="00286395" w:rsidRDefault="00462832" w:rsidP="00EB147E">
      <w:pPr>
        <w:spacing w:before="120" w:after="120"/>
        <w:ind w:left="360"/>
        <w:jc w:val="both"/>
        <w:rPr>
          <w:rFonts w:ascii="Times New Roman" w:hAnsi="Times New Roman"/>
          <w:sz w:val="24"/>
          <w:szCs w:val="24"/>
          <w:lang w:eastAsia="en-US"/>
        </w:rPr>
      </w:pPr>
      <w:r w:rsidRPr="00602F63">
        <w:rPr>
          <w:rFonts w:ascii="Times New Roman" w:hAnsi="Times New Roman"/>
          <w:sz w:val="24"/>
          <w:szCs w:val="24"/>
          <w:lang w:eastAsia="en-US"/>
        </w:rPr>
        <w:t>Momentálně j</w:t>
      </w:r>
      <w:r w:rsidR="00D8098F" w:rsidRPr="00602F63">
        <w:rPr>
          <w:rFonts w:ascii="Times New Roman" w:hAnsi="Times New Roman"/>
          <w:sz w:val="24"/>
          <w:szCs w:val="24"/>
          <w:lang w:eastAsia="en-US"/>
        </w:rPr>
        <w:t>e nutné, aby exportní pojišťovna i exportní b</w:t>
      </w:r>
      <w:r w:rsidR="00D8098F" w:rsidRPr="00286395">
        <w:rPr>
          <w:rFonts w:ascii="Times New Roman" w:hAnsi="Times New Roman"/>
          <w:sz w:val="24"/>
          <w:szCs w:val="24"/>
          <w:lang w:eastAsia="en-US"/>
        </w:rPr>
        <w:t xml:space="preserve">anka dokázaly pružně reagovat na změny v přístupu </w:t>
      </w:r>
      <w:r w:rsidR="00971070" w:rsidRPr="00286395">
        <w:rPr>
          <w:rFonts w:ascii="Times New Roman" w:hAnsi="Times New Roman"/>
          <w:bCs/>
          <w:iCs/>
          <w:sz w:val="24"/>
          <w:szCs w:val="24"/>
        </w:rPr>
        <w:t>zahraničních agentur pro státní podporu vývozních úvěrů (</w:t>
      </w:r>
      <w:r w:rsidR="00971070">
        <w:rPr>
          <w:rFonts w:ascii="Times New Roman" w:hAnsi="Times New Roman"/>
          <w:bCs/>
          <w:iCs/>
          <w:sz w:val="24"/>
          <w:szCs w:val="24"/>
        </w:rPr>
        <w:t>označovaných mezinárodně jako „</w:t>
      </w:r>
      <w:r w:rsidR="00971070" w:rsidRPr="00286395">
        <w:rPr>
          <w:rFonts w:ascii="Times New Roman" w:hAnsi="Times New Roman"/>
          <w:bCs/>
          <w:iCs/>
          <w:sz w:val="24"/>
          <w:szCs w:val="24"/>
        </w:rPr>
        <w:t xml:space="preserve">Export </w:t>
      </w:r>
      <w:proofErr w:type="spellStart"/>
      <w:r w:rsidR="00971070" w:rsidRPr="00286395">
        <w:rPr>
          <w:rFonts w:ascii="Times New Roman" w:hAnsi="Times New Roman"/>
          <w:bCs/>
          <w:iCs/>
          <w:sz w:val="24"/>
          <w:szCs w:val="24"/>
        </w:rPr>
        <w:t>Credit</w:t>
      </w:r>
      <w:proofErr w:type="spellEnd"/>
      <w:r w:rsidR="00971070" w:rsidRPr="00286395">
        <w:rPr>
          <w:rFonts w:ascii="Times New Roman" w:hAnsi="Times New Roman"/>
          <w:bCs/>
          <w:iCs/>
          <w:sz w:val="24"/>
          <w:szCs w:val="24"/>
        </w:rPr>
        <w:t xml:space="preserve"> </w:t>
      </w:r>
      <w:proofErr w:type="spellStart"/>
      <w:r w:rsidR="00971070" w:rsidRPr="00286395">
        <w:rPr>
          <w:rFonts w:ascii="Times New Roman" w:hAnsi="Times New Roman"/>
          <w:bCs/>
          <w:iCs/>
          <w:sz w:val="24"/>
          <w:szCs w:val="24"/>
        </w:rPr>
        <w:t>Agencies</w:t>
      </w:r>
      <w:proofErr w:type="spellEnd"/>
      <w:r w:rsidR="00971070">
        <w:rPr>
          <w:rFonts w:ascii="Times New Roman" w:hAnsi="Times New Roman"/>
          <w:bCs/>
          <w:iCs/>
          <w:sz w:val="24"/>
          <w:szCs w:val="24"/>
        </w:rPr>
        <w:t>“</w:t>
      </w:r>
      <w:r w:rsidR="00971070" w:rsidRPr="00286395">
        <w:rPr>
          <w:rFonts w:ascii="Times New Roman" w:hAnsi="Times New Roman"/>
          <w:bCs/>
          <w:iCs/>
          <w:sz w:val="24"/>
          <w:szCs w:val="24"/>
        </w:rPr>
        <w:t xml:space="preserve"> </w:t>
      </w:r>
      <w:r w:rsidR="00971070">
        <w:rPr>
          <w:rFonts w:ascii="Times New Roman" w:hAnsi="Times New Roman"/>
          <w:bCs/>
          <w:iCs/>
          <w:sz w:val="24"/>
          <w:szCs w:val="24"/>
        </w:rPr>
        <w:t>–</w:t>
      </w:r>
      <w:r w:rsidR="00971070" w:rsidRPr="00286395">
        <w:rPr>
          <w:rFonts w:ascii="Times New Roman" w:hAnsi="Times New Roman"/>
          <w:bCs/>
          <w:iCs/>
          <w:sz w:val="24"/>
          <w:szCs w:val="24"/>
        </w:rPr>
        <w:t xml:space="preserve"> </w:t>
      </w:r>
      <w:r w:rsidR="00971070">
        <w:rPr>
          <w:rFonts w:ascii="Times New Roman" w:hAnsi="Times New Roman"/>
          <w:bCs/>
          <w:iCs/>
          <w:sz w:val="24"/>
          <w:szCs w:val="24"/>
        </w:rPr>
        <w:t>dále jen „</w:t>
      </w:r>
      <w:proofErr w:type="spellStart"/>
      <w:r w:rsidR="00971070" w:rsidRPr="00286395">
        <w:rPr>
          <w:rFonts w:ascii="Times New Roman" w:hAnsi="Times New Roman"/>
          <w:bCs/>
          <w:iCs/>
          <w:sz w:val="24"/>
          <w:szCs w:val="24"/>
        </w:rPr>
        <w:t>ECAs</w:t>
      </w:r>
      <w:proofErr w:type="spellEnd"/>
      <w:r w:rsidR="00971070">
        <w:rPr>
          <w:rFonts w:ascii="Times New Roman" w:hAnsi="Times New Roman"/>
          <w:bCs/>
          <w:iCs/>
          <w:sz w:val="24"/>
          <w:szCs w:val="24"/>
        </w:rPr>
        <w:t>“</w:t>
      </w:r>
      <w:r w:rsidR="00971070" w:rsidRPr="00286395">
        <w:rPr>
          <w:rFonts w:ascii="Times New Roman" w:hAnsi="Times New Roman"/>
          <w:bCs/>
          <w:iCs/>
          <w:sz w:val="24"/>
          <w:szCs w:val="24"/>
        </w:rPr>
        <w:t>)</w:t>
      </w:r>
      <w:r w:rsidR="00D8098F" w:rsidRPr="00286395">
        <w:rPr>
          <w:rFonts w:ascii="Times New Roman" w:hAnsi="Times New Roman"/>
          <w:sz w:val="24"/>
          <w:szCs w:val="24"/>
          <w:lang w:eastAsia="en-US"/>
        </w:rPr>
        <w:t xml:space="preserve"> ve vztahu ke svým exportérům. Proto je navržen přesun výčtu jejich </w:t>
      </w:r>
      <w:r w:rsidR="00DC77ED">
        <w:rPr>
          <w:rFonts w:ascii="Times New Roman" w:hAnsi="Times New Roman"/>
          <w:sz w:val="24"/>
          <w:szCs w:val="24"/>
          <w:lang w:eastAsia="en-US"/>
        </w:rPr>
        <w:t>nástroj</w:t>
      </w:r>
      <w:r w:rsidR="00D8098F" w:rsidRPr="00286395">
        <w:rPr>
          <w:rFonts w:ascii="Times New Roman" w:hAnsi="Times New Roman"/>
          <w:sz w:val="24"/>
          <w:szCs w:val="24"/>
          <w:lang w:eastAsia="en-US"/>
        </w:rPr>
        <w:t xml:space="preserve">ů do prováděcího právního předpisu, aby mohlo být pružně reagováno na změny na globálním trhu. </w:t>
      </w:r>
    </w:p>
    <w:p w14:paraId="331C1502" w14:textId="7416C683" w:rsidR="00D8098F" w:rsidRPr="00286395" w:rsidRDefault="00D8098F" w:rsidP="001E4EF9">
      <w:pPr>
        <w:spacing w:before="120" w:after="120"/>
        <w:ind w:left="360"/>
        <w:jc w:val="both"/>
        <w:rPr>
          <w:rFonts w:ascii="Times New Roman" w:hAnsi="Times New Roman"/>
          <w:sz w:val="24"/>
          <w:szCs w:val="24"/>
          <w:lang w:eastAsia="en-US"/>
        </w:rPr>
      </w:pPr>
      <w:r w:rsidRPr="00286395">
        <w:rPr>
          <w:rFonts w:ascii="Times New Roman" w:hAnsi="Times New Roman"/>
          <w:sz w:val="24"/>
          <w:szCs w:val="24"/>
          <w:lang w:eastAsia="en-US"/>
        </w:rPr>
        <w:t>Po zkušenostech obou institucí při řešení problematických pohledávek v minulých letech vznikla potřeba upravit možnosti</w:t>
      </w:r>
      <w:r w:rsidR="005E62C5">
        <w:rPr>
          <w:rFonts w:ascii="Times New Roman" w:hAnsi="Times New Roman"/>
          <w:sz w:val="24"/>
          <w:szCs w:val="24"/>
          <w:lang w:eastAsia="en-US"/>
        </w:rPr>
        <w:t xml:space="preserve"> zakládat právnické osoby a</w:t>
      </w:r>
      <w:r w:rsidRPr="00286395">
        <w:rPr>
          <w:rFonts w:ascii="Times New Roman" w:hAnsi="Times New Roman"/>
          <w:sz w:val="24"/>
          <w:szCs w:val="24"/>
          <w:lang w:eastAsia="en-US"/>
        </w:rPr>
        <w:t xml:space="preserve"> nabývat podíly v právnických osobách exportní pojišťovnou a exportní bankou tak, aby bylo zajištěné efektivní vymáhání pohledávek a</w:t>
      </w:r>
      <w:r w:rsidR="00797451">
        <w:rPr>
          <w:rFonts w:ascii="Times New Roman" w:hAnsi="Times New Roman"/>
          <w:sz w:val="24"/>
          <w:szCs w:val="24"/>
          <w:lang w:eastAsia="en-US"/>
        </w:rPr>
        <w:t> </w:t>
      </w:r>
      <w:r w:rsidRPr="00286395">
        <w:rPr>
          <w:rFonts w:ascii="Times New Roman" w:hAnsi="Times New Roman"/>
          <w:sz w:val="24"/>
          <w:szCs w:val="24"/>
          <w:lang w:eastAsia="en-US"/>
        </w:rPr>
        <w:t xml:space="preserve">zmírňování negativních dopadů </w:t>
      </w:r>
      <w:r w:rsidR="001E4EF9">
        <w:rPr>
          <w:rFonts w:ascii="Times New Roman" w:hAnsi="Times New Roman"/>
          <w:sz w:val="24"/>
          <w:szCs w:val="24"/>
          <w:lang w:eastAsia="en-US"/>
        </w:rPr>
        <w:t>na</w:t>
      </w:r>
      <w:r w:rsidRPr="00286395">
        <w:rPr>
          <w:rFonts w:ascii="Times New Roman" w:hAnsi="Times New Roman"/>
          <w:sz w:val="24"/>
          <w:szCs w:val="24"/>
          <w:lang w:eastAsia="en-US"/>
        </w:rPr>
        <w:t xml:space="preserve"> státní rozpoč</w:t>
      </w:r>
      <w:r w:rsidR="001E4EF9">
        <w:rPr>
          <w:rFonts w:ascii="Times New Roman" w:hAnsi="Times New Roman"/>
          <w:sz w:val="24"/>
          <w:szCs w:val="24"/>
          <w:lang w:eastAsia="en-US"/>
        </w:rPr>
        <w:t>e</w:t>
      </w:r>
      <w:r w:rsidRPr="00286395">
        <w:rPr>
          <w:rFonts w:ascii="Times New Roman" w:hAnsi="Times New Roman"/>
          <w:sz w:val="24"/>
          <w:szCs w:val="24"/>
          <w:lang w:eastAsia="en-US"/>
        </w:rPr>
        <w:t>t.</w:t>
      </w:r>
    </w:p>
    <w:p w14:paraId="575EC9AA" w14:textId="54C8780C" w:rsidR="00D8098F" w:rsidRPr="00286395" w:rsidRDefault="00E74C71" w:rsidP="00EB147E">
      <w:pPr>
        <w:spacing w:before="120" w:after="120"/>
        <w:ind w:left="360"/>
        <w:jc w:val="both"/>
        <w:rPr>
          <w:rFonts w:ascii="Times New Roman" w:hAnsi="Times New Roman"/>
          <w:sz w:val="24"/>
          <w:szCs w:val="24"/>
          <w:lang w:eastAsia="en-US"/>
        </w:rPr>
      </w:pPr>
      <w:r>
        <w:rPr>
          <w:rFonts w:ascii="Times New Roman" w:hAnsi="Times New Roman"/>
          <w:sz w:val="24"/>
          <w:szCs w:val="24"/>
          <w:lang w:eastAsia="en-US"/>
        </w:rPr>
        <w:t>V</w:t>
      </w:r>
      <w:r w:rsidR="00D8098F" w:rsidRPr="00286395">
        <w:rPr>
          <w:rFonts w:ascii="Times New Roman" w:hAnsi="Times New Roman"/>
          <w:sz w:val="24"/>
          <w:szCs w:val="24"/>
          <w:lang w:eastAsia="en-US"/>
        </w:rPr>
        <w:t xml:space="preserve"> minulých let</w:t>
      </w:r>
      <w:r>
        <w:rPr>
          <w:rFonts w:ascii="Times New Roman" w:hAnsi="Times New Roman"/>
          <w:sz w:val="24"/>
          <w:szCs w:val="24"/>
          <w:lang w:eastAsia="en-US"/>
        </w:rPr>
        <w:t>ech rovněž</w:t>
      </w:r>
      <w:r w:rsidR="00D8098F" w:rsidRPr="00286395">
        <w:rPr>
          <w:rFonts w:ascii="Times New Roman" w:hAnsi="Times New Roman"/>
          <w:sz w:val="24"/>
          <w:szCs w:val="24"/>
          <w:lang w:eastAsia="en-US"/>
        </w:rPr>
        <w:t xml:space="preserve"> došlo k nárůstu nesplácených úvěrů v portfoliu obou společností</w:t>
      </w:r>
      <w:r>
        <w:rPr>
          <w:rFonts w:ascii="Times New Roman" w:hAnsi="Times New Roman"/>
          <w:sz w:val="24"/>
          <w:szCs w:val="24"/>
          <w:lang w:eastAsia="en-US"/>
        </w:rPr>
        <w:t>, a proto se ukazuje jako vhodné</w:t>
      </w:r>
      <w:r w:rsidR="00D8098F" w:rsidRPr="00286395">
        <w:rPr>
          <w:rFonts w:ascii="Times New Roman" w:hAnsi="Times New Roman"/>
          <w:sz w:val="24"/>
          <w:szCs w:val="24"/>
          <w:lang w:eastAsia="en-US"/>
        </w:rPr>
        <w:t xml:space="preserve">, aby vláda souhlasila s poskytnutím exportního pojištění obchodních případů </w:t>
      </w:r>
      <w:r w:rsidR="00711CE3">
        <w:rPr>
          <w:rFonts w:ascii="Times New Roman" w:hAnsi="Times New Roman"/>
          <w:sz w:val="24"/>
          <w:szCs w:val="24"/>
          <w:lang w:eastAsia="en-US"/>
        </w:rPr>
        <w:t xml:space="preserve">v objemu, který se stanoví </w:t>
      </w:r>
      <w:r w:rsidR="00D8098F" w:rsidRPr="00286395">
        <w:rPr>
          <w:rFonts w:ascii="Times New Roman" w:hAnsi="Times New Roman"/>
          <w:sz w:val="24"/>
          <w:szCs w:val="24"/>
          <w:lang w:eastAsia="en-US"/>
        </w:rPr>
        <w:t>od určité pevně stanovené výše a ne navázáním na procento pojistné kapacity, která je v jednotlivých letech různá. Stejný proces schvalování obchodních případů pro exportní banku ve</w:t>
      </w:r>
      <w:r w:rsidR="006548C4">
        <w:rPr>
          <w:rFonts w:ascii="Times New Roman" w:hAnsi="Times New Roman"/>
          <w:sz w:val="24"/>
          <w:szCs w:val="24"/>
          <w:lang w:eastAsia="en-US"/>
        </w:rPr>
        <w:t> </w:t>
      </w:r>
      <w:r w:rsidR="00D8098F" w:rsidRPr="00286395">
        <w:rPr>
          <w:rFonts w:ascii="Times New Roman" w:hAnsi="Times New Roman"/>
          <w:sz w:val="24"/>
          <w:szCs w:val="24"/>
          <w:lang w:eastAsia="en-US"/>
        </w:rPr>
        <w:t>stávající právní úpravě chybí, proto je nově navržen v předkládaném návrhu.</w:t>
      </w:r>
    </w:p>
    <w:p w14:paraId="6A6B53B9" w14:textId="2DAA1B6B" w:rsidR="00D8098F" w:rsidRPr="00286395" w:rsidRDefault="00D8098F" w:rsidP="00EB147E">
      <w:pPr>
        <w:spacing w:before="120" w:after="120"/>
        <w:ind w:left="360"/>
        <w:jc w:val="both"/>
        <w:rPr>
          <w:rFonts w:ascii="Times New Roman" w:hAnsi="Times New Roman"/>
          <w:sz w:val="24"/>
          <w:szCs w:val="24"/>
          <w:lang w:eastAsia="en-US"/>
        </w:rPr>
      </w:pPr>
      <w:r w:rsidRPr="00286395">
        <w:rPr>
          <w:rFonts w:ascii="Times New Roman" w:hAnsi="Times New Roman"/>
          <w:sz w:val="24"/>
          <w:szCs w:val="24"/>
          <w:lang w:eastAsia="en-US"/>
        </w:rPr>
        <w:t>Vzhledem k tomu, že M</w:t>
      </w:r>
      <w:r w:rsidR="00935E09">
        <w:rPr>
          <w:rFonts w:ascii="Times New Roman" w:hAnsi="Times New Roman"/>
          <w:sz w:val="24"/>
          <w:szCs w:val="24"/>
          <w:lang w:eastAsia="en-US"/>
        </w:rPr>
        <w:t>F</w:t>
      </w:r>
      <w:r w:rsidR="00D25FFA">
        <w:rPr>
          <w:rFonts w:ascii="Times New Roman" w:hAnsi="Times New Roman"/>
          <w:sz w:val="24"/>
          <w:szCs w:val="24"/>
          <w:lang w:eastAsia="en-US"/>
        </w:rPr>
        <w:t xml:space="preserve"> </w:t>
      </w:r>
      <w:r w:rsidRPr="00286395">
        <w:rPr>
          <w:rFonts w:ascii="Times New Roman" w:hAnsi="Times New Roman"/>
          <w:sz w:val="24"/>
          <w:szCs w:val="24"/>
          <w:lang w:eastAsia="en-US"/>
        </w:rPr>
        <w:t>poskytuje exportní pojišťovně dotaci ze</w:t>
      </w:r>
      <w:r w:rsidR="006548C4">
        <w:rPr>
          <w:rFonts w:ascii="Times New Roman" w:hAnsi="Times New Roman"/>
          <w:sz w:val="24"/>
          <w:szCs w:val="24"/>
          <w:lang w:eastAsia="en-US"/>
        </w:rPr>
        <w:t> </w:t>
      </w:r>
      <w:r w:rsidRPr="00286395">
        <w:rPr>
          <w:rFonts w:ascii="Times New Roman" w:hAnsi="Times New Roman"/>
          <w:sz w:val="24"/>
          <w:szCs w:val="24"/>
          <w:lang w:eastAsia="en-US"/>
        </w:rPr>
        <w:t>státního rozpočtu</w:t>
      </w:r>
      <w:r w:rsidR="00F31F76">
        <w:rPr>
          <w:rFonts w:ascii="Times New Roman" w:hAnsi="Times New Roman"/>
          <w:sz w:val="24"/>
          <w:szCs w:val="24"/>
          <w:lang w:eastAsia="en-US"/>
        </w:rPr>
        <w:t>,</w:t>
      </w:r>
      <w:r w:rsidRPr="00286395">
        <w:rPr>
          <w:rFonts w:ascii="Times New Roman" w:hAnsi="Times New Roman"/>
          <w:sz w:val="24"/>
          <w:szCs w:val="24"/>
          <w:lang w:eastAsia="en-US"/>
        </w:rPr>
        <w:t xml:space="preserve"> je </w:t>
      </w:r>
      <w:r w:rsidR="00A10DAE">
        <w:rPr>
          <w:rFonts w:ascii="Times New Roman" w:hAnsi="Times New Roman"/>
          <w:sz w:val="24"/>
          <w:szCs w:val="24"/>
          <w:lang w:eastAsia="en-US"/>
        </w:rPr>
        <w:t>vhodné</w:t>
      </w:r>
      <w:r w:rsidR="00A10DAE" w:rsidRPr="00286395">
        <w:rPr>
          <w:rFonts w:ascii="Times New Roman" w:hAnsi="Times New Roman"/>
          <w:sz w:val="24"/>
          <w:szCs w:val="24"/>
          <w:lang w:eastAsia="en-US"/>
        </w:rPr>
        <w:t xml:space="preserve"> </w:t>
      </w:r>
      <w:r w:rsidRPr="00286395">
        <w:rPr>
          <w:rFonts w:ascii="Times New Roman" w:hAnsi="Times New Roman"/>
          <w:sz w:val="24"/>
          <w:szCs w:val="24"/>
          <w:lang w:eastAsia="en-US"/>
        </w:rPr>
        <w:t>v</w:t>
      </w:r>
      <w:r w:rsidR="00FD6BC7">
        <w:rPr>
          <w:rFonts w:ascii="Times New Roman" w:hAnsi="Times New Roman"/>
          <w:sz w:val="24"/>
          <w:szCs w:val="24"/>
          <w:lang w:eastAsia="en-US"/>
        </w:rPr>
        <w:t> </w:t>
      </w:r>
      <w:r w:rsidRPr="00286395">
        <w:rPr>
          <w:rFonts w:ascii="Times New Roman" w:hAnsi="Times New Roman"/>
          <w:sz w:val="24"/>
          <w:szCs w:val="24"/>
          <w:lang w:eastAsia="en-US"/>
        </w:rPr>
        <w:t>zákoně</w:t>
      </w:r>
      <w:r w:rsidR="00FD6BC7" w:rsidRPr="00FD6BC7">
        <w:rPr>
          <w:rFonts w:ascii="Times New Roman" w:hAnsi="Times New Roman"/>
          <w:b/>
          <w:sz w:val="24"/>
          <w:szCs w:val="24"/>
        </w:rPr>
        <w:t xml:space="preserve"> </w:t>
      </w:r>
      <w:r w:rsidR="00FD6BC7" w:rsidRPr="0073392D">
        <w:rPr>
          <w:rFonts w:ascii="Times New Roman" w:hAnsi="Times New Roman"/>
          <w:sz w:val="24"/>
          <w:szCs w:val="24"/>
        </w:rPr>
        <w:t>č.</w:t>
      </w:r>
      <w:r w:rsidR="007379DE">
        <w:rPr>
          <w:rFonts w:ascii="Times New Roman" w:hAnsi="Times New Roman"/>
          <w:sz w:val="24"/>
          <w:szCs w:val="24"/>
        </w:rPr>
        <w:t> </w:t>
      </w:r>
      <w:r w:rsidR="00FD6BC7" w:rsidRPr="0073392D">
        <w:rPr>
          <w:rFonts w:ascii="Times New Roman" w:hAnsi="Times New Roman"/>
          <w:sz w:val="24"/>
          <w:szCs w:val="24"/>
        </w:rPr>
        <w:t>58/1995 Sb.</w:t>
      </w:r>
      <w:r w:rsidRPr="0073392D">
        <w:rPr>
          <w:rFonts w:ascii="Times New Roman" w:hAnsi="Times New Roman"/>
          <w:sz w:val="24"/>
          <w:szCs w:val="24"/>
          <w:lang w:eastAsia="en-US"/>
        </w:rPr>
        <w:t xml:space="preserve"> </w:t>
      </w:r>
      <w:r w:rsidRPr="00286395">
        <w:rPr>
          <w:rFonts w:ascii="Times New Roman" w:hAnsi="Times New Roman"/>
          <w:sz w:val="24"/>
          <w:szCs w:val="24"/>
          <w:lang w:eastAsia="en-US"/>
        </w:rPr>
        <w:t>vymezit rozsah kontrolní pravomoci M</w:t>
      </w:r>
      <w:r w:rsidR="00D25FFA">
        <w:rPr>
          <w:rFonts w:ascii="Times New Roman" w:hAnsi="Times New Roman"/>
          <w:sz w:val="24"/>
          <w:szCs w:val="24"/>
          <w:lang w:eastAsia="en-US"/>
        </w:rPr>
        <w:t>F</w:t>
      </w:r>
      <w:r w:rsidRPr="00286395">
        <w:rPr>
          <w:rFonts w:ascii="Times New Roman" w:hAnsi="Times New Roman"/>
          <w:sz w:val="24"/>
          <w:szCs w:val="24"/>
          <w:lang w:eastAsia="en-US"/>
        </w:rPr>
        <w:t xml:space="preserve"> ve vztahu k hospodaření exportní pojišťovny. Jedná se o</w:t>
      </w:r>
      <w:r w:rsidR="006548C4">
        <w:rPr>
          <w:rFonts w:ascii="Times New Roman" w:hAnsi="Times New Roman"/>
          <w:sz w:val="24"/>
          <w:szCs w:val="24"/>
          <w:lang w:eastAsia="en-US"/>
        </w:rPr>
        <w:t> </w:t>
      </w:r>
      <w:r w:rsidRPr="00286395">
        <w:rPr>
          <w:rFonts w:ascii="Times New Roman" w:hAnsi="Times New Roman"/>
          <w:sz w:val="24"/>
          <w:szCs w:val="24"/>
          <w:lang w:eastAsia="en-US"/>
        </w:rPr>
        <w:t>analogii stávající právní úpravy kontrolní pravomoci M</w:t>
      </w:r>
      <w:r w:rsidR="00D25FFA">
        <w:rPr>
          <w:rFonts w:ascii="Times New Roman" w:hAnsi="Times New Roman"/>
          <w:sz w:val="24"/>
          <w:szCs w:val="24"/>
          <w:lang w:eastAsia="en-US"/>
        </w:rPr>
        <w:t>F</w:t>
      </w:r>
      <w:r w:rsidRPr="00286395">
        <w:rPr>
          <w:rFonts w:ascii="Times New Roman" w:hAnsi="Times New Roman"/>
          <w:sz w:val="24"/>
          <w:szCs w:val="24"/>
          <w:lang w:eastAsia="en-US"/>
        </w:rPr>
        <w:t xml:space="preserve"> ve</w:t>
      </w:r>
      <w:r w:rsidR="004D2FC5">
        <w:rPr>
          <w:rFonts w:ascii="Times New Roman" w:hAnsi="Times New Roman"/>
          <w:sz w:val="24"/>
          <w:szCs w:val="24"/>
          <w:lang w:eastAsia="en-US"/>
        </w:rPr>
        <w:t> </w:t>
      </w:r>
      <w:r w:rsidRPr="00286395">
        <w:rPr>
          <w:rFonts w:ascii="Times New Roman" w:hAnsi="Times New Roman"/>
          <w:sz w:val="24"/>
          <w:szCs w:val="24"/>
          <w:lang w:eastAsia="en-US"/>
        </w:rPr>
        <w:t>vztahu k exportní bance.</w:t>
      </w:r>
    </w:p>
    <w:p w14:paraId="3277DFA9" w14:textId="236B6D7F" w:rsidR="00D8098F" w:rsidRPr="00286395" w:rsidRDefault="00D8098F" w:rsidP="00EB147E">
      <w:pPr>
        <w:spacing w:before="120" w:after="120"/>
        <w:ind w:left="360"/>
        <w:jc w:val="both"/>
        <w:rPr>
          <w:rFonts w:ascii="Times New Roman" w:hAnsi="Times New Roman"/>
          <w:sz w:val="24"/>
          <w:szCs w:val="24"/>
          <w:lang w:eastAsia="en-US"/>
        </w:rPr>
      </w:pPr>
      <w:r w:rsidRPr="00286395">
        <w:rPr>
          <w:rFonts w:ascii="Times New Roman" w:hAnsi="Times New Roman"/>
          <w:sz w:val="24"/>
          <w:szCs w:val="24"/>
          <w:lang w:eastAsia="en-US"/>
        </w:rPr>
        <w:t>Na základě návrhu M</w:t>
      </w:r>
      <w:r w:rsidR="00D25FFA">
        <w:rPr>
          <w:rFonts w:ascii="Times New Roman" w:hAnsi="Times New Roman"/>
          <w:sz w:val="24"/>
          <w:szCs w:val="24"/>
          <w:lang w:eastAsia="en-US"/>
        </w:rPr>
        <w:t>F</w:t>
      </w:r>
      <w:r w:rsidRPr="00286395">
        <w:rPr>
          <w:rFonts w:ascii="Times New Roman" w:hAnsi="Times New Roman"/>
          <w:sz w:val="24"/>
          <w:szCs w:val="24"/>
          <w:lang w:eastAsia="en-US"/>
        </w:rPr>
        <w:t xml:space="preserve"> se nově ukládá exportní pojišťovně a exportní bance vést </w:t>
      </w:r>
      <w:r w:rsidR="004D2804" w:rsidRPr="004D2804">
        <w:rPr>
          <w:rFonts w:ascii="Times New Roman" w:hAnsi="Times New Roman"/>
          <w:sz w:val="24"/>
          <w:szCs w:val="24"/>
        </w:rPr>
        <w:t>peněžní</w:t>
      </w:r>
      <w:r w:rsidRPr="00286395">
        <w:rPr>
          <w:rFonts w:ascii="Times New Roman" w:hAnsi="Times New Roman"/>
          <w:sz w:val="24"/>
          <w:szCs w:val="24"/>
          <w:lang w:eastAsia="en-US"/>
        </w:rPr>
        <w:t xml:space="preserve"> prostředky na svých bankovních účtech podřízených státní pokladně </w:t>
      </w:r>
      <w:r w:rsidR="00DC2CC6">
        <w:rPr>
          <w:rFonts w:ascii="Times New Roman" w:hAnsi="Times New Roman"/>
          <w:sz w:val="24"/>
          <w:szCs w:val="24"/>
          <w:lang w:eastAsia="en-US"/>
        </w:rPr>
        <w:t>a</w:t>
      </w:r>
      <w:r w:rsidR="00602F63">
        <w:rPr>
          <w:rFonts w:ascii="Times New Roman" w:hAnsi="Times New Roman"/>
          <w:sz w:val="24"/>
          <w:szCs w:val="24"/>
          <w:lang w:eastAsia="en-US"/>
        </w:rPr>
        <w:t> </w:t>
      </w:r>
      <w:r w:rsidRPr="00286395">
        <w:rPr>
          <w:rFonts w:ascii="Times New Roman" w:hAnsi="Times New Roman"/>
          <w:sz w:val="24"/>
          <w:szCs w:val="24"/>
          <w:lang w:eastAsia="en-US"/>
        </w:rPr>
        <w:t>vedených u Č</w:t>
      </w:r>
      <w:r w:rsidR="00935E09">
        <w:rPr>
          <w:rFonts w:ascii="Times New Roman" w:hAnsi="Times New Roman"/>
          <w:sz w:val="24"/>
          <w:szCs w:val="24"/>
          <w:lang w:eastAsia="en-US"/>
        </w:rPr>
        <w:t>NB</w:t>
      </w:r>
      <w:r w:rsidRPr="00286395">
        <w:rPr>
          <w:rFonts w:ascii="Times New Roman" w:hAnsi="Times New Roman"/>
          <w:sz w:val="24"/>
          <w:szCs w:val="24"/>
          <w:lang w:eastAsia="en-US"/>
        </w:rPr>
        <w:t>. Zapojení exportní pojišťovny a exportní banky do</w:t>
      </w:r>
      <w:r w:rsidR="00602F63">
        <w:rPr>
          <w:rFonts w:ascii="Times New Roman" w:hAnsi="Times New Roman"/>
          <w:sz w:val="24"/>
          <w:szCs w:val="24"/>
          <w:lang w:eastAsia="en-US"/>
        </w:rPr>
        <w:t> </w:t>
      </w:r>
      <w:r w:rsidRPr="00286395">
        <w:rPr>
          <w:rFonts w:ascii="Times New Roman" w:hAnsi="Times New Roman"/>
          <w:sz w:val="24"/>
          <w:szCs w:val="24"/>
          <w:lang w:eastAsia="en-US"/>
        </w:rPr>
        <w:t>centrálního systému řízení likvidity souhrnných účtů státní pokladny představuje pro</w:t>
      </w:r>
      <w:r w:rsidR="00602F63">
        <w:rPr>
          <w:rFonts w:ascii="Times New Roman" w:hAnsi="Times New Roman"/>
          <w:sz w:val="24"/>
          <w:szCs w:val="24"/>
          <w:lang w:eastAsia="en-US"/>
        </w:rPr>
        <w:t> </w:t>
      </w:r>
      <w:r w:rsidRPr="00286395">
        <w:rPr>
          <w:rFonts w:ascii="Times New Roman" w:hAnsi="Times New Roman"/>
          <w:sz w:val="24"/>
          <w:szCs w:val="24"/>
          <w:lang w:eastAsia="en-US"/>
        </w:rPr>
        <w:t xml:space="preserve">stát ekonomické výhody. V souvislosti s tímto návrhem je </w:t>
      </w:r>
      <w:r w:rsidR="00435856">
        <w:rPr>
          <w:rFonts w:ascii="Times New Roman" w:hAnsi="Times New Roman"/>
          <w:sz w:val="24"/>
          <w:szCs w:val="24"/>
          <w:lang w:eastAsia="en-US"/>
        </w:rPr>
        <w:t xml:space="preserve">proto </w:t>
      </w:r>
      <w:r w:rsidRPr="00286395">
        <w:rPr>
          <w:rFonts w:ascii="Times New Roman" w:hAnsi="Times New Roman"/>
          <w:sz w:val="24"/>
          <w:szCs w:val="24"/>
          <w:lang w:eastAsia="en-US"/>
        </w:rPr>
        <w:t>navržena i úprava zákona o rozpočtových pravidlech.</w:t>
      </w:r>
      <w:r w:rsidR="00A10DAE">
        <w:rPr>
          <w:rFonts w:ascii="Times New Roman" w:hAnsi="Times New Roman"/>
          <w:sz w:val="24"/>
          <w:szCs w:val="24"/>
          <w:lang w:eastAsia="en-US"/>
        </w:rPr>
        <w:t xml:space="preserve"> Zároveň je v právním předpise upravena výjimka pro</w:t>
      </w:r>
      <w:r w:rsidR="006548C4">
        <w:rPr>
          <w:rFonts w:ascii="Times New Roman" w:hAnsi="Times New Roman"/>
          <w:sz w:val="24"/>
          <w:szCs w:val="24"/>
          <w:lang w:eastAsia="en-US"/>
        </w:rPr>
        <w:t> </w:t>
      </w:r>
      <w:r w:rsidR="00A10DAE">
        <w:rPr>
          <w:rFonts w:ascii="Times New Roman" w:hAnsi="Times New Roman"/>
          <w:sz w:val="24"/>
          <w:szCs w:val="24"/>
          <w:lang w:eastAsia="en-US"/>
        </w:rPr>
        <w:t>určitý druh prostředků (např. základní kapitál exportní banky).</w:t>
      </w:r>
    </w:p>
    <w:p w14:paraId="3BCC2F1C" w14:textId="03E85958" w:rsidR="00D8098F" w:rsidRPr="00286395" w:rsidRDefault="00D8098F" w:rsidP="00EB147E">
      <w:pPr>
        <w:spacing w:before="120" w:after="120"/>
        <w:ind w:left="360"/>
        <w:jc w:val="both"/>
        <w:rPr>
          <w:rFonts w:ascii="Times New Roman" w:hAnsi="Times New Roman"/>
          <w:sz w:val="24"/>
          <w:szCs w:val="24"/>
          <w:lang w:eastAsia="en-US"/>
        </w:rPr>
      </w:pPr>
      <w:r w:rsidRPr="00286395">
        <w:rPr>
          <w:rFonts w:ascii="Times New Roman" w:hAnsi="Times New Roman"/>
          <w:sz w:val="24"/>
          <w:szCs w:val="24"/>
          <w:lang w:eastAsia="en-US"/>
        </w:rPr>
        <w:t>Vzhledem k tomu, že systém dorovnávání úrokových rozdílů nebyl nikdy zaveden do</w:t>
      </w:r>
      <w:r w:rsidR="006548C4">
        <w:rPr>
          <w:rFonts w:ascii="Times New Roman" w:hAnsi="Times New Roman"/>
          <w:sz w:val="24"/>
          <w:szCs w:val="24"/>
          <w:lang w:eastAsia="en-US"/>
        </w:rPr>
        <w:t> p</w:t>
      </w:r>
      <w:r w:rsidRPr="00286395">
        <w:rPr>
          <w:rFonts w:ascii="Times New Roman" w:hAnsi="Times New Roman"/>
          <w:sz w:val="24"/>
          <w:szCs w:val="24"/>
          <w:lang w:eastAsia="en-US"/>
        </w:rPr>
        <w:t>raxe</w:t>
      </w:r>
      <w:r w:rsidR="006F0857">
        <w:rPr>
          <w:rFonts w:ascii="Times New Roman" w:hAnsi="Times New Roman"/>
          <w:sz w:val="24"/>
          <w:szCs w:val="24"/>
          <w:lang w:eastAsia="en-US"/>
        </w:rPr>
        <w:t>,</w:t>
      </w:r>
      <w:r w:rsidRPr="00286395">
        <w:rPr>
          <w:rFonts w:ascii="Times New Roman" w:hAnsi="Times New Roman"/>
          <w:sz w:val="24"/>
          <w:szCs w:val="24"/>
          <w:lang w:eastAsia="en-US"/>
        </w:rPr>
        <w:t xml:space="preserve"> a přesto bylo M</w:t>
      </w:r>
      <w:r w:rsidR="00D25FFA">
        <w:rPr>
          <w:rFonts w:ascii="Times New Roman" w:hAnsi="Times New Roman"/>
          <w:sz w:val="24"/>
          <w:szCs w:val="24"/>
          <w:lang w:eastAsia="en-US"/>
        </w:rPr>
        <w:t>F</w:t>
      </w:r>
      <w:r w:rsidRPr="00286395">
        <w:rPr>
          <w:rFonts w:ascii="Times New Roman" w:hAnsi="Times New Roman"/>
          <w:sz w:val="24"/>
          <w:szCs w:val="24"/>
          <w:lang w:eastAsia="en-US"/>
        </w:rPr>
        <w:t xml:space="preserve"> povinné každoročně rozpočtovat částku 250</w:t>
      </w:r>
      <w:r w:rsidR="00602F63">
        <w:rPr>
          <w:rFonts w:ascii="Times New Roman" w:hAnsi="Times New Roman"/>
          <w:sz w:val="24"/>
          <w:szCs w:val="24"/>
          <w:lang w:eastAsia="en-US"/>
        </w:rPr>
        <w:t> </w:t>
      </w:r>
      <w:r w:rsidRPr="00286395">
        <w:rPr>
          <w:rFonts w:ascii="Times New Roman" w:hAnsi="Times New Roman"/>
          <w:sz w:val="24"/>
          <w:szCs w:val="24"/>
          <w:lang w:eastAsia="en-US"/>
        </w:rPr>
        <w:t xml:space="preserve"> mil.</w:t>
      </w:r>
      <w:r w:rsidR="007E5A8E">
        <w:rPr>
          <w:rFonts w:ascii="Times New Roman" w:hAnsi="Times New Roman"/>
          <w:sz w:val="24"/>
          <w:szCs w:val="24"/>
          <w:lang w:eastAsia="en-US"/>
        </w:rPr>
        <w:t> </w:t>
      </w:r>
      <w:r w:rsidRPr="00286395">
        <w:rPr>
          <w:rFonts w:ascii="Times New Roman" w:hAnsi="Times New Roman"/>
          <w:sz w:val="24"/>
          <w:szCs w:val="24"/>
          <w:lang w:eastAsia="en-US"/>
        </w:rPr>
        <w:t>Kč na</w:t>
      </w:r>
      <w:r w:rsidR="007E5A8E">
        <w:rPr>
          <w:rFonts w:ascii="Times New Roman" w:hAnsi="Times New Roman"/>
          <w:sz w:val="24"/>
          <w:szCs w:val="24"/>
          <w:lang w:eastAsia="en-US"/>
        </w:rPr>
        <w:t> </w:t>
      </w:r>
      <w:r w:rsidRPr="00286395">
        <w:rPr>
          <w:rFonts w:ascii="Times New Roman" w:hAnsi="Times New Roman"/>
          <w:sz w:val="24"/>
          <w:szCs w:val="24"/>
          <w:lang w:eastAsia="en-US"/>
        </w:rPr>
        <w:t>úhradu dorovnávání úrokových rozdílů</w:t>
      </w:r>
      <w:r w:rsidR="006F0857">
        <w:rPr>
          <w:rFonts w:ascii="Times New Roman" w:hAnsi="Times New Roman"/>
          <w:sz w:val="24"/>
          <w:szCs w:val="24"/>
          <w:lang w:eastAsia="en-US"/>
        </w:rPr>
        <w:t>,</w:t>
      </w:r>
      <w:r w:rsidRPr="00286395">
        <w:rPr>
          <w:rFonts w:ascii="Times New Roman" w:hAnsi="Times New Roman"/>
          <w:sz w:val="24"/>
          <w:szCs w:val="24"/>
          <w:lang w:eastAsia="en-US"/>
        </w:rPr>
        <w:t xml:space="preserve"> je tento závazek nahrazen mechanismem doplňování </w:t>
      </w:r>
      <w:r w:rsidR="004D2804" w:rsidRPr="004D2804">
        <w:rPr>
          <w:rFonts w:ascii="Times New Roman" w:hAnsi="Times New Roman"/>
          <w:sz w:val="24"/>
          <w:szCs w:val="24"/>
        </w:rPr>
        <w:t>peněžní</w:t>
      </w:r>
      <w:r w:rsidRPr="00286395">
        <w:rPr>
          <w:rFonts w:ascii="Times New Roman" w:hAnsi="Times New Roman"/>
          <w:sz w:val="24"/>
          <w:szCs w:val="24"/>
          <w:lang w:eastAsia="en-US"/>
        </w:rPr>
        <w:t xml:space="preserve">ch prostředků formou záloh na financování systému, případně převodem </w:t>
      </w:r>
      <w:r w:rsidR="004D2804" w:rsidRPr="004D2804">
        <w:rPr>
          <w:rFonts w:ascii="Times New Roman" w:hAnsi="Times New Roman"/>
          <w:sz w:val="24"/>
          <w:szCs w:val="24"/>
        </w:rPr>
        <w:t>peněžní</w:t>
      </w:r>
      <w:r w:rsidRPr="00286395">
        <w:rPr>
          <w:rFonts w:ascii="Times New Roman" w:hAnsi="Times New Roman"/>
          <w:sz w:val="24"/>
          <w:szCs w:val="24"/>
          <w:lang w:eastAsia="en-US"/>
        </w:rPr>
        <w:t>ch prostředků zpět ve prospěch M</w:t>
      </w:r>
      <w:r w:rsidR="00D25FFA">
        <w:rPr>
          <w:rFonts w:ascii="Times New Roman" w:hAnsi="Times New Roman"/>
          <w:sz w:val="24"/>
          <w:szCs w:val="24"/>
          <w:lang w:eastAsia="en-US"/>
        </w:rPr>
        <w:t>F</w:t>
      </w:r>
      <w:r w:rsidRPr="00286395">
        <w:rPr>
          <w:rFonts w:ascii="Times New Roman" w:hAnsi="Times New Roman"/>
          <w:sz w:val="24"/>
          <w:szCs w:val="24"/>
          <w:lang w:eastAsia="en-US"/>
        </w:rPr>
        <w:t>.</w:t>
      </w:r>
    </w:p>
    <w:p w14:paraId="23382169" w14:textId="77777777" w:rsidR="00D8098F" w:rsidRPr="00286395" w:rsidRDefault="00D8098F" w:rsidP="00EB147E">
      <w:pPr>
        <w:spacing w:before="120" w:after="120"/>
        <w:ind w:left="360"/>
        <w:jc w:val="both"/>
        <w:rPr>
          <w:rFonts w:ascii="Times New Roman" w:hAnsi="Times New Roman"/>
          <w:sz w:val="24"/>
          <w:szCs w:val="24"/>
          <w:lang w:eastAsia="en-US"/>
        </w:rPr>
      </w:pPr>
      <w:r w:rsidRPr="00286395">
        <w:rPr>
          <w:rFonts w:ascii="Times New Roman" w:hAnsi="Times New Roman"/>
          <w:sz w:val="24"/>
          <w:szCs w:val="24"/>
          <w:lang w:eastAsia="en-US"/>
        </w:rPr>
        <w:t xml:space="preserve">Další návrhy </w:t>
      </w:r>
      <w:r w:rsidR="00AD4F80">
        <w:rPr>
          <w:rFonts w:ascii="Times New Roman" w:hAnsi="Times New Roman"/>
          <w:sz w:val="24"/>
          <w:szCs w:val="24"/>
          <w:lang w:eastAsia="en-US"/>
        </w:rPr>
        <w:t>na změnu</w:t>
      </w:r>
      <w:r w:rsidR="00AD4F80" w:rsidRPr="00286395">
        <w:rPr>
          <w:rFonts w:ascii="Times New Roman" w:hAnsi="Times New Roman"/>
          <w:sz w:val="24"/>
          <w:szCs w:val="24"/>
          <w:lang w:eastAsia="en-US"/>
        </w:rPr>
        <w:t xml:space="preserve"> </w:t>
      </w:r>
      <w:r w:rsidRPr="00286395">
        <w:rPr>
          <w:rFonts w:ascii="Times New Roman" w:hAnsi="Times New Roman"/>
          <w:sz w:val="24"/>
          <w:szCs w:val="24"/>
          <w:lang w:eastAsia="en-US"/>
        </w:rPr>
        <w:t>zákona</w:t>
      </w:r>
      <w:r w:rsidR="0073392D">
        <w:rPr>
          <w:rFonts w:ascii="Times New Roman" w:hAnsi="Times New Roman"/>
          <w:sz w:val="24"/>
          <w:szCs w:val="24"/>
          <w:lang w:eastAsia="en-US"/>
        </w:rPr>
        <w:t xml:space="preserve"> </w:t>
      </w:r>
      <w:r w:rsidR="0073392D" w:rsidRPr="0073392D">
        <w:rPr>
          <w:rFonts w:ascii="Times New Roman" w:hAnsi="Times New Roman"/>
          <w:sz w:val="24"/>
          <w:szCs w:val="24"/>
        </w:rPr>
        <w:t>č.</w:t>
      </w:r>
      <w:r w:rsidR="007379DE">
        <w:rPr>
          <w:rFonts w:ascii="Times New Roman" w:hAnsi="Times New Roman"/>
          <w:sz w:val="24"/>
          <w:szCs w:val="24"/>
        </w:rPr>
        <w:t> </w:t>
      </w:r>
      <w:r w:rsidR="0073392D" w:rsidRPr="0073392D">
        <w:rPr>
          <w:rFonts w:ascii="Times New Roman" w:hAnsi="Times New Roman"/>
          <w:sz w:val="24"/>
          <w:szCs w:val="24"/>
        </w:rPr>
        <w:t>58/1995 Sb.</w:t>
      </w:r>
      <w:r w:rsidRPr="00286395">
        <w:rPr>
          <w:rFonts w:ascii="Times New Roman" w:hAnsi="Times New Roman"/>
          <w:sz w:val="24"/>
          <w:szCs w:val="24"/>
          <w:lang w:eastAsia="en-US"/>
        </w:rPr>
        <w:t xml:space="preserve"> mají zpřesňující a legislativně technický charakter.</w:t>
      </w:r>
    </w:p>
    <w:p w14:paraId="1211ABE8" w14:textId="77777777" w:rsidR="0087638B" w:rsidRDefault="0087638B" w:rsidP="00EB147E">
      <w:pPr>
        <w:spacing w:before="120" w:after="120"/>
        <w:ind w:left="360"/>
        <w:jc w:val="both"/>
        <w:rPr>
          <w:rFonts w:ascii="Times New Roman" w:hAnsi="Times New Roman"/>
          <w:b/>
          <w:sz w:val="24"/>
          <w:szCs w:val="24"/>
          <w:lang w:eastAsia="en-US"/>
        </w:rPr>
      </w:pPr>
    </w:p>
    <w:p w14:paraId="3B6683A0" w14:textId="77777777" w:rsidR="00F051FD" w:rsidRPr="00286395" w:rsidRDefault="00F051FD" w:rsidP="00EB147E">
      <w:pPr>
        <w:spacing w:before="120" w:after="120"/>
        <w:ind w:left="360"/>
        <w:jc w:val="both"/>
        <w:rPr>
          <w:rFonts w:ascii="Times New Roman" w:hAnsi="Times New Roman"/>
          <w:b/>
          <w:sz w:val="24"/>
          <w:szCs w:val="24"/>
          <w:lang w:eastAsia="en-US"/>
        </w:rPr>
      </w:pPr>
      <w:r w:rsidRPr="00286395">
        <w:rPr>
          <w:rFonts w:ascii="Times New Roman" w:hAnsi="Times New Roman"/>
          <w:b/>
          <w:sz w:val="24"/>
          <w:szCs w:val="24"/>
          <w:lang w:eastAsia="en-US"/>
        </w:rPr>
        <w:t>1.3. Popis existujícího právního stavu</w:t>
      </w:r>
    </w:p>
    <w:p w14:paraId="66D459BA" w14:textId="53537098" w:rsidR="008D2621" w:rsidRDefault="006A7E5D" w:rsidP="00EB147E">
      <w:pPr>
        <w:spacing w:before="120" w:after="120"/>
        <w:ind w:left="360"/>
        <w:jc w:val="both"/>
        <w:rPr>
          <w:rFonts w:ascii="Times New Roman" w:hAnsi="Times New Roman"/>
          <w:sz w:val="24"/>
          <w:szCs w:val="24"/>
          <w:lang w:eastAsia="en-US"/>
        </w:rPr>
      </w:pPr>
      <w:r>
        <w:rPr>
          <w:rFonts w:ascii="Times New Roman" w:hAnsi="Times New Roman"/>
          <w:sz w:val="24"/>
          <w:szCs w:val="24"/>
          <w:lang w:eastAsia="en-US"/>
        </w:rPr>
        <w:t xml:space="preserve">Legislativní úprava </w:t>
      </w:r>
      <w:r w:rsidR="00E262DD" w:rsidRPr="00286395">
        <w:rPr>
          <w:rFonts w:ascii="Times New Roman" w:hAnsi="Times New Roman"/>
          <w:sz w:val="24"/>
          <w:szCs w:val="24"/>
          <w:lang w:eastAsia="en-US"/>
        </w:rPr>
        <w:t xml:space="preserve">pojišťování a financování vývozu se státní podporou </w:t>
      </w:r>
      <w:r>
        <w:rPr>
          <w:rFonts w:ascii="Times New Roman" w:hAnsi="Times New Roman"/>
          <w:sz w:val="24"/>
          <w:szCs w:val="24"/>
          <w:lang w:eastAsia="en-US"/>
        </w:rPr>
        <w:t xml:space="preserve">formou zákona </w:t>
      </w:r>
      <w:r w:rsidRPr="0073392D">
        <w:rPr>
          <w:rFonts w:ascii="Times New Roman" w:hAnsi="Times New Roman"/>
          <w:sz w:val="24"/>
          <w:szCs w:val="24"/>
        </w:rPr>
        <w:t>č.</w:t>
      </w:r>
      <w:r w:rsidR="007E5A8E">
        <w:rPr>
          <w:rFonts w:ascii="Times New Roman" w:hAnsi="Times New Roman"/>
          <w:sz w:val="24"/>
          <w:szCs w:val="24"/>
        </w:rPr>
        <w:t> </w:t>
      </w:r>
      <w:r w:rsidRPr="0073392D">
        <w:rPr>
          <w:rFonts w:ascii="Times New Roman" w:hAnsi="Times New Roman"/>
          <w:sz w:val="24"/>
          <w:szCs w:val="24"/>
        </w:rPr>
        <w:t>58/1995 Sb.</w:t>
      </w:r>
      <w:r>
        <w:rPr>
          <w:rFonts w:ascii="Times New Roman" w:hAnsi="Times New Roman"/>
          <w:sz w:val="24"/>
          <w:szCs w:val="24"/>
        </w:rPr>
        <w:t xml:space="preserve"> </w:t>
      </w:r>
      <w:r w:rsidR="00E262DD" w:rsidRPr="00286395">
        <w:rPr>
          <w:rFonts w:ascii="Times New Roman" w:hAnsi="Times New Roman"/>
          <w:sz w:val="24"/>
          <w:szCs w:val="24"/>
          <w:lang w:eastAsia="en-US"/>
        </w:rPr>
        <w:t xml:space="preserve">existuje od roku 1995 a i po řadě </w:t>
      </w:r>
      <w:r w:rsidR="00C21954">
        <w:rPr>
          <w:rFonts w:ascii="Times New Roman" w:hAnsi="Times New Roman"/>
          <w:sz w:val="24"/>
          <w:szCs w:val="24"/>
          <w:lang w:eastAsia="en-US"/>
        </w:rPr>
        <w:t xml:space="preserve">dílčích </w:t>
      </w:r>
      <w:r w:rsidR="00E262DD" w:rsidRPr="00286395">
        <w:rPr>
          <w:rFonts w:ascii="Times New Roman" w:hAnsi="Times New Roman"/>
          <w:sz w:val="24"/>
          <w:szCs w:val="24"/>
          <w:lang w:eastAsia="en-US"/>
        </w:rPr>
        <w:t>novelizací zůstává je</w:t>
      </w:r>
      <w:r>
        <w:rPr>
          <w:rFonts w:ascii="Times New Roman" w:hAnsi="Times New Roman"/>
          <w:sz w:val="24"/>
          <w:szCs w:val="24"/>
          <w:lang w:eastAsia="en-US"/>
        </w:rPr>
        <w:t>jím</w:t>
      </w:r>
      <w:r w:rsidR="00E262DD" w:rsidRPr="00286395">
        <w:rPr>
          <w:rFonts w:ascii="Times New Roman" w:hAnsi="Times New Roman"/>
          <w:sz w:val="24"/>
          <w:szCs w:val="24"/>
          <w:lang w:eastAsia="en-US"/>
        </w:rPr>
        <w:t xml:space="preserve"> účelem vytvořit legislativní předpoklady pro státní podporu exportu ve finanční oblasti a stanovit základní oblasti, formy, subjekty a podmínky takové podpory. </w:t>
      </w:r>
    </w:p>
    <w:p w14:paraId="26A3C5CD" w14:textId="46A60FD4" w:rsidR="00AB14EF" w:rsidRDefault="00AB14EF" w:rsidP="00602F63">
      <w:pPr>
        <w:spacing w:before="120" w:after="120"/>
        <w:ind w:left="360"/>
        <w:jc w:val="both"/>
        <w:rPr>
          <w:rFonts w:ascii="Times New Roman" w:hAnsi="Times New Roman"/>
          <w:sz w:val="24"/>
          <w:szCs w:val="24"/>
          <w:lang w:eastAsia="en-US"/>
        </w:rPr>
      </w:pPr>
      <w:r w:rsidRPr="00AB14EF">
        <w:rPr>
          <w:rFonts w:ascii="Times New Roman" w:hAnsi="Times New Roman"/>
          <w:sz w:val="24"/>
          <w:szCs w:val="24"/>
          <w:lang w:eastAsia="en-US"/>
        </w:rPr>
        <w:t>Podpor</w:t>
      </w:r>
      <w:r w:rsidR="00C21954">
        <w:rPr>
          <w:rFonts w:ascii="Times New Roman" w:hAnsi="Times New Roman"/>
          <w:sz w:val="24"/>
          <w:szCs w:val="24"/>
          <w:lang w:eastAsia="en-US"/>
        </w:rPr>
        <w:t>a</w:t>
      </w:r>
      <w:r>
        <w:rPr>
          <w:rFonts w:ascii="Times New Roman" w:hAnsi="Times New Roman"/>
          <w:sz w:val="24"/>
          <w:szCs w:val="24"/>
          <w:lang w:eastAsia="en-US"/>
        </w:rPr>
        <w:t xml:space="preserve"> </w:t>
      </w:r>
      <w:r w:rsidRPr="00602F63">
        <w:rPr>
          <w:rFonts w:ascii="Times New Roman" w:hAnsi="Times New Roman"/>
          <w:sz w:val="24"/>
          <w:szCs w:val="24"/>
          <w:lang w:eastAsia="en-US"/>
        </w:rPr>
        <w:t>exportu</w:t>
      </w:r>
      <w:r>
        <w:rPr>
          <w:rFonts w:ascii="Times New Roman" w:hAnsi="Times New Roman"/>
          <w:sz w:val="24"/>
          <w:szCs w:val="24"/>
          <w:lang w:eastAsia="en-US"/>
        </w:rPr>
        <w:t xml:space="preserve"> </w:t>
      </w:r>
      <w:r w:rsidR="00C21954">
        <w:rPr>
          <w:rFonts w:ascii="Times New Roman" w:hAnsi="Times New Roman"/>
          <w:sz w:val="24"/>
          <w:szCs w:val="24"/>
          <w:lang w:eastAsia="en-US"/>
        </w:rPr>
        <w:t xml:space="preserve">je však zahrnuta i v koncepčních a strategických dokumentech vlády ČR a </w:t>
      </w:r>
      <w:r>
        <w:rPr>
          <w:rFonts w:ascii="Times New Roman" w:hAnsi="Times New Roman"/>
          <w:sz w:val="24"/>
          <w:szCs w:val="24"/>
          <w:lang w:eastAsia="en-US"/>
        </w:rPr>
        <w:t xml:space="preserve">je nutné </w:t>
      </w:r>
      <w:r w:rsidR="00C21954">
        <w:rPr>
          <w:rFonts w:ascii="Times New Roman" w:hAnsi="Times New Roman"/>
          <w:sz w:val="24"/>
          <w:szCs w:val="24"/>
          <w:lang w:eastAsia="en-US"/>
        </w:rPr>
        <w:t xml:space="preserve">ji </w:t>
      </w:r>
      <w:r>
        <w:rPr>
          <w:rFonts w:ascii="Times New Roman" w:hAnsi="Times New Roman"/>
          <w:sz w:val="24"/>
          <w:szCs w:val="24"/>
          <w:lang w:eastAsia="en-US"/>
        </w:rPr>
        <w:t xml:space="preserve">vnímat v mnohem širším národohospodářském </w:t>
      </w:r>
      <w:r w:rsidRPr="00602F63">
        <w:rPr>
          <w:rFonts w:ascii="Times New Roman" w:hAnsi="Times New Roman"/>
          <w:sz w:val="24"/>
          <w:szCs w:val="24"/>
          <w:lang w:eastAsia="en-US"/>
        </w:rPr>
        <w:t>kontextu</w:t>
      </w:r>
      <w:r>
        <w:rPr>
          <w:rFonts w:ascii="Times New Roman" w:hAnsi="Times New Roman"/>
          <w:sz w:val="24"/>
          <w:szCs w:val="24"/>
          <w:lang w:eastAsia="en-US"/>
        </w:rPr>
        <w:t>.</w:t>
      </w:r>
    </w:p>
    <w:p w14:paraId="00069A9E" w14:textId="0512BE5D" w:rsidR="00716524" w:rsidRPr="00612277" w:rsidRDefault="00716524" w:rsidP="00612277">
      <w:pPr>
        <w:spacing w:before="120" w:after="120"/>
        <w:ind w:left="360"/>
        <w:jc w:val="both"/>
        <w:rPr>
          <w:rFonts w:ascii="Times New Roman" w:hAnsi="Times New Roman"/>
          <w:sz w:val="24"/>
          <w:szCs w:val="24"/>
          <w:lang w:eastAsia="en-US"/>
        </w:rPr>
      </w:pPr>
      <w:r w:rsidRPr="00612277">
        <w:rPr>
          <w:rFonts w:ascii="Times New Roman" w:hAnsi="Times New Roman"/>
          <w:sz w:val="24"/>
          <w:szCs w:val="24"/>
          <w:lang w:eastAsia="en-US"/>
        </w:rPr>
        <w:t>Exportní strategi</w:t>
      </w:r>
      <w:r w:rsidR="00B95CA7">
        <w:rPr>
          <w:rFonts w:ascii="Times New Roman" w:hAnsi="Times New Roman"/>
          <w:sz w:val="24"/>
          <w:szCs w:val="24"/>
          <w:lang w:eastAsia="en-US"/>
        </w:rPr>
        <w:t>e</w:t>
      </w:r>
      <w:r w:rsidRPr="00612277">
        <w:rPr>
          <w:rFonts w:ascii="Times New Roman" w:hAnsi="Times New Roman"/>
          <w:sz w:val="24"/>
          <w:szCs w:val="24"/>
          <w:lang w:eastAsia="en-US"/>
        </w:rPr>
        <w:t xml:space="preserve"> České republiky pro období 2012 až 2020</w:t>
      </w:r>
      <w:r w:rsidR="00B95CA7">
        <w:rPr>
          <w:rFonts w:ascii="Times New Roman" w:hAnsi="Times New Roman"/>
          <w:sz w:val="24"/>
          <w:szCs w:val="24"/>
          <w:lang w:eastAsia="en-US"/>
        </w:rPr>
        <w:t>, vč. její aktualizace z roku 2016</w:t>
      </w:r>
      <w:r w:rsidRPr="00612277">
        <w:rPr>
          <w:rFonts w:ascii="Times New Roman" w:hAnsi="Times New Roman"/>
          <w:sz w:val="24"/>
          <w:szCs w:val="24"/>
          <w:lang w:eastAsia="en-US"/>
        </w:rPr>
        <w:t xml:space="preserve">, </w:t>
      </w:r>
      <w:r w:rsidR="00B95CA7">
        <w:rPr>
          <w:rFonts w:ascii="Times New Roman" w:hAnsi="Times New Roman"/>
          <w:sz w:val="24"/>
          <w:szCs w:val="24"/>
          <w:lang w:eastAsia="en-US"/>
        </w:rPr>
        <w:t>s</w:t>
      </w:r>
      <w:r w:rsidRPr="00612277">
        <w:rPr>
          <w:rFonts w:ascii="Times New Roman" w:hAnsi="Times New Roman"/>
          <w:sz w:val="24"/>
          <w:szCs w:val="24"/>
          <w:lang w:eastAsia="en-US"/>
        </w:rPr>
        <w:t>hrnuje celkovou vizi proexportních aktivit státu. Exportní strategie vychází ze současného stavu české ekonomiky (kondice českých firem, jejich oborové složení, kapitálová síla, technická i technologická úroveň českých výrobků a</w:t>
      </w:r>
      <w:r w:rsidR="006548C4">
        <w:rPr>
          <w:rFonts w:ascii="Times New Roman" w:hAnsi="Times New Roman"/>
          <w:sz w:val="24"/>
          <w:szCs w:val="24"/>
          <w:lang w:eastAsia="en-US"/>
        </w:rPr>
        <w:t> </w:t>
      </w:r>
      <w:r w:rsidRPr="00612277">
        <w:rPr>
          <w:rFonts w:ascii="Times New Roman" w:hAnsi="Times New Roman"/>
          <w:sz w:val="24"/>
          <w:szCs w:val="24"/>
          <w:lang w:eastAsia="en-US"/>
        </w:rPr>
        <w:t>služeb apod.) a</w:t>
      </w:r>
      <w:r w:rsidR="006F7E1F">
        <w:rPr>
          <w:rFonts w:ascii="Times New Roman" w:hAnsi="Times New Roman"/>
          <w:sz w:val="24"/>
          <w:szCs w:val="24"/>
          <w:lang w:eastAsia="en-US"/>
        </w:rPr>
        <w:t> </w:t>
      </w:r>
      <w:r w:rsidRPr="00612277">
        <w:rPr>
          <w:rFonts w:ascii="Times New Roman" w:hAnsi="Times New Roman"/>
          <w:sz w:val="24"/>
          <w:szCs w:val="24"/>
          <w:lang w:eastAsia="en-US"/>
        </w:rPr>
        <w:t>situace na evropských a světových trzích (vývoj na hlavních vývozních trzích České republiky, otevřené otázky EU, nerovnoměrný růst světové ekonomiky, situace na globálních finančních trzích apod.)., vymezuje strategický rámec proexportní politiky do roku 2020 a</w:t>
      </w:r>
      <w:r w:rsidR="006C6E16">
        <w:rPr>
          <w:rFonts w:ascii="Times New Roman" w:hAnsi="Times New Roman"/>
          <w:sz w:val="24"/>
          <w:szCs w:val="24"/>
          <w:lang w:eastAsia="en-US"/>
        </w:rPr>
        <w:t> </w:t>
      </w:r>
      <w:r w:rsidRPr="00612277">
        <w:rPr>
          <w:rFonts w:ascii="Times New Roman" w:hAnsi="Times New Roman"/>
          <w:sz w:val="24"/>
          <w:szCs w:val="24"/>
          <w:lang w:eastAsia="en-US"/>
        </w:rPr>
        <w:t>shrnuje celkovou vizi proexportních aktivit státu, jejich cíle a rovněž opatření, jejichž prostřednictvím má dojít k naplnění těchto cílů. Exportní strategie se snaží přistupovat k</w:t>
      </w:r>
      <w:r w:rsidR="006C6E16">
        <w:rPr>
          <w:rFonts w:ascii="Times New Roman" w:hAnsi="Times New Roman"/>
          <w:sz w:val="24"/>
          <w:szCs w:val="24"/>
          <w:lang w:eastAsia="en-US"/>
        </w:rPr>
        <w:t> </w:t>
      </w:r>
      <w:r w:rsidRPr="00612277">
        <w:rPr>
          <w:rFonts w:ascii="Times New Roman" w:hAnsi="Times New Roman"/>
          <w:sz w:val="24"/>
          <w:szCs w:val="24"/>
          <w:lang w:eastAsia="en-US"/>
        </w:rPr>
        <w:t>proexportním činnostem relativně široce - to znamená, že se zaměřuje nejen na činnosti a</w:t>
      </w:r>
      <w:r w:rsidR="006C6E16">
        <w:rPr>
          <w:rFonts w:ascii="Times New Roman" w:hAnsi="Times New Roman"/>
          <w:sz w:val="24"/>
          <w:szCs w:val="24"/>
          <w:lang w:eastAsia="en-US"/>
        </w:rPr>
        <w:t> </w:t>
      </w:r>
      <w:r w:rsidRPr="00612277">
        <w:rPr>
          <w:rFonts w:ascii="Times New Roman" w:hAnsi="Times New Roman"/>
          <w:sz w:val="24"/>
          <w:szCs w:val="24"/>
          <w:lang w:eastAsia="en-US"/>
        </w:rPr>
        <w:t>postupy, které mají přímý a výhradní vztah k</w:t>
      </w:r>
      <w:r w:rsidR="006548C4">
        <w:rPr>
          <w:rFonts w:ascii="Times New Roman" w:hAnsi="Times New Roman"/>
          <w:sz w:val="24"/>
          <w:szCs w:val="24"/>
          <w:lang w:eastAsia="en-US"/>
        </w:rPr>
        <w:t> </w:t>
      </w:r>
      <w:r w:rsidRPr="00612277">
        <w:rPr>
          <w:rFonts w:ascii="Times New Roman" w:hAnsi="Times New Roman"/>
          <w:sz w:val="24"/>
          <w:szCs w:val="24"/>
          <w:lang w:eastAsia="en-US"/>
        </w:rPr>
        <w:t>exportním procesům, ale i na další, související a navazující politiky státu. Ambicí Exportní strategie je maximálně využít synergie, které plynou z různých činností realizovaných veřejnými institucemi, k</w:t>
      </w:r>
      <w:r w:rsidR="006F7E1F">
        <w:rPr>
          <w:rFonts w:ascii="Times New Roman" w:hAnsi="Times New Roman"/>
          <w:sz w:val="24"/>
          <w:szCs w:val="24"/>
          <w:lang w:eastAsia="en-US"/>
        </w:rPr>
        <w:t> </w:t>
      </w:r>
      <w:r w:rsidRPr="00612277">
        <w:rPr>
          <w:rFonts w:ascii="Times New Roman" w:hAnsi="Times New Roman"/>
          <w:sz w:val="24"/>
          <w:szCs w:val="24"/>
          <w:lang w:eastAsia="en-US"/>
        </w:rPr>
        <w:t>podpoře a rozvoji českého exportu. Exportní strategie se plně hlásí k přístupu zvolenému v rámci Strategie mezinárodní konkurenceschopnosti ČR pro období 2012 - 2020. Naplnění opatření navržených ve</w:t>
      </w:r>
      <w:r w:rsidR="006548C4">
        <w:rPr>
          <w:rFonts w:ascii="Times New Roman" w:hAnsi="Times New Roman"/>
          <w:sz w:val="24"/>
          <w:szCs w:val="24"/>
          <w:lang w:eastAsia="en-US"/>
        </w:rPr>
        <w:t> </w:t>
      </w:r>
      <w:r w:rsidRPr="00612277">
        <w:rPr>
          <w:rFonts w:ascii="Times New Roman" w:hAnsi="Times New Roman"/>
          <w:sz w:val="24"/>
          <w:szCs w:val="24"/>
          <w:lang w:eastAsia="en-US"/>
        </w:rPr>
        <w:t>Strategii mezinárodní konkurenceschopnosti ČR pro období 2012 - 2020 je v této Exportní strategii chápáno jako nutný a nezbytný předpoklad úspěchu projektů v</w:t>
      </w:r>
      <w:r w:rsidR="006C6E16">
        <w:rPr>
          <w:rFonts w:ascii="Times New Roman" w:hAnsi="Times New Roman"/>
          <w:sz w:val="24"/>
          <w:szCs w:val="24"/>
          <w:lang w:eastAsia="en-US"/>
        </w:rPr>
        <w:t> </w:t>
      </w:r>
      <w:r w:rsidRPr="00612277">
        <w:rPr>
          <w:rFonts w:ascii="Times New Roman" w:hAnsi="Times New Roman"/>
          <w:sz w:val="24"/>
          <w:szCs w:val="24"/>
          <w:lang w:eastAsia="en-US"/>
        </w:rPr>
        <w:t>oblasti podpory exportu a internacionalizace.</w:t>
      </w:r>
    </w:p>
    <w:p w14:paraId="260DC980" w14:textId="50E90D60" w:rsidR="00716524" w:rsidRPr="00612277" w:rsidRDefault="00716524" w:rsidP="00612277">
      <w:pPr>
        <w:spacing w:before="120" w:after="120"/>
        <w:ind w:left="360"/>
        <w:jc w:val="both"/>
        <w:rPr>
          <w:rFonts w:ascii="Times New Roman" w:hAnsi="Times New Roman"/>
          <w:sz w:val="24"/>
          <w:szCs w:val="24"/>
          <w:lang w:eastAsia="en-US"/>
        </w:rPr>
      </w:pPr>
      <w:r w:rsidRPr="00612277">
        <w:rPr>
          <w:rFonts w:ascii="Times New Roman" w:hAnsi="Times New Roman"/>
          <w:sz w:val="24"/>
          <w:szCs w:val="24"/>
          <w:lang w:eastAsia="en-US"/>
        </w:rPr>
        <w:t>Inovační strategie České republiky 2019–2030 byla schválena Usnesením vlády</w:t>
      </w:r>
      <w:r w:rsidR="00903F4C">
        <w:rPr>
          <w:rFonts w:ascii="Times New Roman" w:hAnsi="Times New Roman"/>
          <w:sz w:val="24"/>
          <w:szCs w:val="24"/>
          <w:lang w:eastAsia="en-US"/>
        </w:rPr>
        <w:t xml:space="preserve"> </w:t>
      </w:r>
      <w:r w:rsidRPr="00612277">
        <w:rPr>
          <w:rFonts w:ascii="Times New Roman" w:hAnsi="Times New Roman"/>
          <w:sz w:val="24"/>
          <w:szCs w:val="24"/>
          <w:lang w:eastAsia="en-US"/>
        </w:rPr>
        <w:t>ČR</w:t>
      </w:r>
      <w:r w:rsidR="00903F4C">
        <w:rPr>
          <w:rFonts w:ascii="Times New Roman" w:hAnsi="Times New Roman"/>
          <w:sz w:val="24"/>
          <w:szCs w:val="24"/>
          <w:lang w:eastAsia="en-US"/>
        </w:rPr>
        <w:t xml:space="preserve"> </w:t>
      </w:r>
      <w:r w:rsidRPr="00612277">
        <w:rPr>
          <w:rFonts w:ascii="Times New Roman" w:hAnsi="Times New Roman"/>
          <w:sz w:val="24"/>
          <w:szCs w:val="24"/>
          <w:lang w:eastAsia="en-US"/>
        </w:rPr>
        <w:t>ze</w:t>
      </w:r>
      <w:r w:rsidR="00903F4C">
        <w:rPr>
          <w:rFonts w:ascii="Times New Roman" w:hAnsi="Times New Roman"/>
          <w:sz w:val="24"/>
          <w:szCs w:val="24"/>
          <w:lang w:eastAsia="en-US"/>
        </w:rPr>
        <w:t> </w:t>
      </w:r>
      <w:r w:rsidRPr="00612277">
        <w:rPr>
          <w:rFonts w:ascii="Times New Roman" w:hAnsi="Times New Roman"/>
          <w:sz w:val="24"/>
          <w:szCs w:val="24"/>
          <w:lang w:eastAsia="en-US"/>
        </w:rPr>
        <w:t>dne 4. února 2019 č. 104. Jedná se o strategický rámcový plán, který předurčuje vládní politiku v oblasti výzkumu, vývoje a inovací a má pomoci České republice se během dvanácti let posunout mezi nejinovativnější země Evropy.</w:t>
      </w:r>
    </w:p>
    <w:p w14:paraId="79F80C75" w14:textId="538132EF" w:rsidR="00716524" w:rsidRPr="00612277" w:rsidRDefault="00716524" w:rsidP="00612277">
      <w:pPr>
        <w:spacing w:before="120" w:after="120"/>
        <w:ind w:left="360"/>
        <w:jc w:val="both"/>
        <w:rPr>
          <w:rFonts w:ascii="Times New Roman" w:hAnsi="Times New Roman"/>
          <w:sz w:val="24"/>
          <w:szCs w:val="24"/>
          <w:lang w:eastAsia="en-US"/>
        </w:rPr>
      </w:pPr>
      <w:r w:rsidRPr="00612277">
        <w:rPr>
          <w:rFonts w:ascii="Times New Roman" w:hAnsi="Times New Roman"/>
          <w:sz w:val="24"/>
          <w:szCs w:val="24"/>
          <w:lang w:eastAsia="en-US"/>
        </w:rPr>
        <w:t>Dále vláda usnesením ze dne 20. ledna 2020 č. 54 schválila teze Hospodářské strategie České republiky 2020 – 2030. Dokument nastiňuje parametry strategie samotné nikoliv ve</w:t>
      </w:r>
      <w:r w:rsidR="00903F4C">
        <w:rPr>
          <w:rFonts w:ascii="Times New Roman" w:hAnsi="Times New Roman"/>
          <w:sz w:val="24"/>
          <w:szCs w:val="24"/>
          <w:lang w:eastAsia="en-US"/>
        </w:rPr>
        <w:t> </w:t>
      </w:r>
      <w:r w:rsidRPr="00612277">
        <w:rPr>
          <w:rFonts w:ascii="Times New Roman" w:hAnsi="Times New Roman"/>
          <w:sz w:val="24"/>
          <w:szCs w:val="24"/>
          <w:lang w:eastAsia="en-US"/>
        </w:rPr>
        <w:t>smyslu tvorby nových dokumentů, ale naopak ve snaze pracovat s tím, co již bylo vytvořeno</w:t>
      </w:r>
      <w:r w:rsidR="006F7E1F">
        <w:rPr>
          <w:rFonts w:ascii="Times New Roman" w:hAnsi="Times New Roman"/>
          <w:sz w:val="24"/>
          <w:szCs w:val="24"/>
          <w:lang w:eastAsia="en-US"/>
        </w:rPr>
        <w:t>,</w:t>
      </w:r>
      <w:r w:rsidRPr="00612277">
        <w:rPr>
          <w:rFonts w:ascii="Times New Roman" w:hAnsi="Times New Roman"/>
          <w:sz w:val="24"/>
          <w:szCs w:val="24"/>
          <w:lang w:eastAsia="en-US"/>
        </w:rPr>
        <w:t xml:space="preserve"> a k tomu přidat nezbytné. Ambicí Hospodářské strategie je stávající strategie zásadně zredukovat, provázat, aktualizovat ve vazbě na priority země a zastřešit ve smyslu důsledného řízení.</w:t>
      </w:r>
    </w:p>
    <w:p w14:paraId="3C02CDC7" w14:textId="77777777" w:rsidR="00716524" w:rsidRPr="00612277" w:rsidRDefault="00716524" w:rsidP="00612277">
      <w:pPr>
        <w:spacing w:before="120" w:after="120"/>
        <w:ind w:left="360"/>
        <w:jc w:val="both"/>
        <w:rPr>
          <w:rFonts w:ascii="Times New Roman" w:hAnsi="Times New Roman"/>
          <w:sz w:val="24"/>
          <w:szCs w:val="24"/>
          <w:lang w:eastAsia="en-US"/>
        </w:rPr>
      </w:pPr>
      <w:r w:rsidRPr="00612277">
        <w:rPr>
          <w:rFonts w:ascii="Times New Roman" w:hAnsi="Times New Roman"/>
          <w:sz w:val="24"/>
          <w:szCs w:val="24"/>
          <w:lang w:eastAsia="en-US"/>
        </w:rPr>
        <w:t>S Hospodářskou a Inovační strategií bude úzce provázaná i připravovaná nová Exportní strategie po roce 2020.</w:t>
      </w:r>
    </w:p>
    <w:p w14:paraId="0A32A82B" w14:textId="47A63983" w:rsidR="00AB14EF" w:rsidRPr="00602F63" w:rsidRDefault="00AB14EF" w:rsidP="00602F63">
      <w:pPr>
        <w:spacing w:before="120" w:after="120"/>
        <w:ind w:left="360"/>
        <w:jc w:val="both"/>
        <w:rPr>
          <w:rFonts w:ascii="Times New Roman" w:hAnsi="Times New Roman"/>
          <w:sz w:val="24"/>
          <w:szCs w:val="24"/>
          <w:lang w:eastAsia="en-US"/>
        </w:rPr>
      </w:pPr>
      <w:r w:rsidRPr="00602F63">
        <w:rPr>
          <w:rFonts w:ascii="Times New Roman" w:hAnsi="Times New Roman"/>
          <w:sz w:val="24"/>
          <w:szCs w:val="24"/>
          <w:lang w:eastAsia="en-US"/>
        </w:rPr>
        <w:t>ČR jako exportně orientovaná ekonomika</w:t>
      </w:r>
      <w:r w:rsidR="00716524">
        <w:rPr>
          <w:rFonts w:ascii="Times New Roman" w:hAnsi="Times New Roman"/>
          <w:sz w:val="24"/>
          <w:szCs w:val="24"/>
          <w:lang w:eastAsia="en-US"/>
        </w:rPr>
        <w:t xml:space="preserve"> usiluje o u</w:t>
      </w:r>
      <w:r w:rsidR="00716524" w:rsidRPr="00716524">
        <w:rPr>
          <w:rFonts w:ascii="Times New Roman" w:hAnsi="Times New Roman"/>
          <w:sz w:val="24"/>
          <w:szCs w:val="24"/>
          <w:lang w:eastAsia="en-US"/>
        </w:rPr>
        <w:t>držitelnou</w:t>
      </w:r>
      <w:r w:rsidR="00716524" w:rsidRPr="007F3772">
        <w:rPr>
          <w:rFonts w:ascii="Times New Roman" w:hAnsi="Times New Roman"/>
          <w:sz w:val="24"/>
          <w:szCs w:val="24"/>
          <w:lang w:eastAsia="en-US"/>
        </w:rPr>
        <w:t xml:space="preserve"> exportní výkonnost firem odolnou</w:t>
      </w:r>
      <w:r w:rsidRPr="00602F63">
        <w:rPr>
          <w:rFonts w:ascii="Times New Roman" w:hAnsi="Times New Roman"/>
          <w:sz w:val="24"/>
          <w:szCs w:val="24"/>
          <w:lang w:eastAsia="en-US"/>
        </w:rPr>
        <w:t xml:space="preserve"> proti výkyvům hospodářského cyklu –</w:t>
      </w:r>
      <w:r w:rsidR="007F3772">
        <w:rPr>
          <w:rFonts w:ascii="Times New Roman" w:hAnsi="Times New Roman"/>
          <w:sz w:val="24"/>
          <w:szCs w:val="24"/>
          <w:lang w:eastAsia="en-US"/>
        </w:rPr>
        <w:t xml:space="preserve"> v tomto kontextu jsou klíčovými parametry</w:t>
      </w:r>
      <w:r w:rsidRPr="00602F63">
        <w:rPr>
          <w:rFonts w:ascii="Times New Roman" w:hAnsi="Times New Roman"/>
          <w:sz w:val="24"/>
          <w:szCs w:val="24"/>
          <w:lang w:eastAsia="en-US"/>
        </w:rPr>
        <w:t xml:space="preserve"> přidaná hodnota, diverzifikace teritoriální i oborová. Preferovaná konkurenceschopnost vychází z přidané hodnoty, inovací, s tím souvisí postavení v</w:t>
      </w:r>
      <w:r w:rsidR="007F3772">
        <w:rPr>
          <w:rFonts w:ascii="Times New Roman" w:hAnsi="Times New Roman"/>
          <w:sz w:val="24"/>
          <w:szCs w:val="24"/>
          <w:lang w:eastAsia="en-US"/>
        </w:rPr>
        <w:t> globálních hodnotových řetězcích (</w:t>
      </w:r>
      <w:proofErr w:type="spellStart"/>
      <w:r w:rsidR="007F3772">
        <w:rPr>
          <w:rFonts w:ascii="Times New Roman" w:hAnsi="Times New Roman"/>
          <w:sz w:val="24"/>
          <w:szCs w:val="24"/>
          <w:lang w:eastAsia="en-US"/>
        </w:rPr>
        <w:t>global</w:t>
      </w:r>
      <w:proofErr w:type="spellEnd"/>
      <w:r w:rsidR="007F3772">
        <w:rPr>
          <w:rFonts w:ascii="Times New Roman" w:hAnsi="Times New Roman"/>
          <w:sz w:val="24"/>
          <w:szCs w:val="24"/>
          <w:lang w:eastAsia="en-US"/>
        </w:rPr>
        <w:t xml:space="preserve"> </w:t>
      </w:r>
      <w:proofErr w:type="spellStart"/>
      <w:r w:rsidR="007F3772">
        <w:rPr>
          <w:rFonts w:ascii="Times New Roman" w:hAnsi="Times New Roman"/>
          <w:sz w:val="24"/>
          <w:szCs w:val="24"/>
          <w:lang w:eastAsia="en-US"/>
        </w:rPr>
        <w:t>value</w:t>
      </w:r>
      <w:proofErr w:type="spellEnd"/>
      <w:r w:rsidR="007F3772">
        <w:rPr>
          <w:rFonts w:ascii="Times New Roman" w:hAnsi="Times New Roman"/>
          <w:sz w:val="24"/>
          <w:szCs w:val="24"/>
          <w:lang w:eastAsia="en-US"/>
        </w:rPr>
        <w:t xml:space="preserve"> </w:t>
      </w:r>
      <w:proofErr w:type="spellStart"/>
      <w:r w:rsidR="007F3772">
        <w:rPr>
          <w:rFonts w:ascii="Times New Roman" w:hAnsi="Times New Roman"/>
          <w:sz w:val="24"/>
          <w:szCs w:val="24"/>
          <w:lang w:eastAsia="en-US"/>
        </w:rPr>
        <w:t>chains</w:t>
      </w:r>
      <w:proofErr w:type="spellEnd"/>
      <w:r w:rsidR="007F3772">
        <w:rPr>
          <w:rFonts w:ascii="Times New Roman" w:hAnsi="Times New Roman"/>
          <w:sz w:val="24"/>
          <w:szCs w:val="24"/>
          <w:lang w:eastAsia="en-US"/>
        </w:rPr>
        <w:t xml:space="preserve">, GVC). </w:t>
      </w:r>
    </w:p>
    <w:p w14:paraId="44535B56" w14:textId="78988CC7" w:rsidR="00AB14EF" w:rsidRPr="00602F63" w:rsidRDefault="00AB14EF" w:rsidP="00602F63">
      <w:pPr>
        <w:spacing w:before="120" w:after="120"/>
        <w:ind w:left="360"/>
        <w:jc w:val="both"/>
        <w:rPr>
          <w:rFonts w:ascii="Times New Roman" w:hAnsi="Times New Roman"/>
          <w:sz w:val="24"/>
          <w:szCs w:val="24"/>
          <w:lang w:eastAsia="en-US"/>
        </w:rPr>
      </w:pPr>
      <w:r w:rsidRPr="00602F63">
        <w:rPr>
          <w:rFonts w:ascii="Times New Roman" w:hAnsi="Times New Roman"/>
          <w:sz w:val="24"/>
          <w:szCs w:val="24"/>
          <w:lang w:eastAsia="en-US"/>
        </w:rPr>
        <w:t xml:space="preserve">Cílená podpora exportu </w:t>
      </w:r>
      <w:r w:rsidR="007F3772">
        <w:rPr>
          <w:rFonts w:ascii="Times New Roman" w:hAnsi="Times New Roman"/>
          <w:sz w:val="24"/>
          <w:szCs w:val="24"/>
          <w:lang w:eastAsia="en-US"/>
        </w:rPr>
        <w:t>má usnad</w:t>
      </w:r>
      <w:r w:rsidR="002F5F96">
        <w:rPr>
          <w:rFonts w:ascii="Times New Roman" w:hAnsi="Times New Roman"/>
          <w:sz w:val="24"/>
          <w:szCs w:val="24"/>
          <w:lang w:eastAsia="en-US"/>
        </w:rPr>
        <w:t>n</w:t>
      </w:r>
      <w:r w:rsidR="007F3772">
        <w:rPr>
          <w:rFonts w:ascii="Times New Roman" w:hAnsi="Times New Roman"/>
          <w:sz w:val="24"/>
          <w:szCs w:val="24"/>
          <w:lang w:eastAsia="en-US"/>
        </w:rPr>
        <w:t>it</w:t>
      </w:r>
      <w:r w:rsidRPr="00602F63">
        <w:rPr>
          <w:rFonts w:ascii="Times New Roman" w:hAnsi="Times New Roman"/>
          <w:sz w:val="24"/>
          <w:szCs w:val="24"/>
          <w:lang w:eastAsia="en-US"/>
        </w:rPr>
        <w:t xml:space="preserve"> transformaci ČR v technologického lídra</w:t>
      </w:r>
      <w:r w:rsidR="007F3772">
        <w:rPr>
          <w:rFonts w:ascii="Times New Roman" w:hAnsi="Times New Roman"/>
          <w:sz w:val="24"/>
          <w:szCs w:val="24"/>
          <w:lang w:eastAsia="en-US"/>
        </w:rPr>
        <w:t xml:space="preserve"> s tím, že </w:t>
      </w:r>
      <w:r w:rsidR="002F5F96">
        <w:rPr>
          <w:rFonts w:ascii="Times New Roman" w:hAnsi="Times New Roman"/>
          <w:sz w:val="24"/>
          <w:szCs w:val="24"/>
          <w:lang w:eastAsia="en-US"/>
        </w:rPr>
        <w:t xml:space="preserve">může využít potenciál tradičních odvětví jakožto </w:t>
      </w:r>
      <w:r w:rsidRPr="00602F63">
        <w:rPr>
          <w:rFonts w:ascii="Times New Roman" w:hAnsi="Times New Roman"/>
          <w:sz w:val="24"/>
          <w:szCs w:val="24"/>
          <w:lang w:eastAsia="en-US"/>
        </w:rPr>
        <w:t>průmyslově založená země s odpovídající nabídkou specializovaných služeb. U tradičních sektorů je nutné sledování trendů a</w:t>
      </w:r>
      <w:r w:rsidR="006C6E16">
        <w:rPr>
          <w:rFonts w:ascii="Times New Roman" w:hAnsi="Times New Roman"/>
          <w:sz w:val="24"/>
          <w:szCs w:val="24"/>
          <w:lang w:eastAsia="en-US"/>
        </w:rPr>
        <w:t> </w:t>
      </w:r>
      <w:r w:rsidRPr="00602F63">
        <w:rPr>
          <w:rFonts w:ascii="Times New Roman" w:hAnsi="Times New Roman"/>
          <w:sz w:val="24"/>
          <w:szCs w:val="24"/>
          <w:lang w:eastAsia="en-US"/>
        </w:rPr>
        <w:t>postupná transformace průmyslu směrem k využití moderních přístupů, procesů a</w:t>
      </w:r>
      <w:r w:rsidR="00903F4C">
        <w:rPr>
          <w:rFonts w:ascii="Times New Roman" w:hAnsi="Times New Roman"/>
          <w:sz w:val="24"/>
          <w:szCs w:val="24"/>
          <w:lang w:eastAsia="en-US"/>
        </w:rPr>
        <w:t> </w:t>
      </w:r>
      <w:r w:rsidRPr="00602F63">
        <w:rPr>
          <w:rFonts w:ascii="Times New Roman" w:hAnsi="Times New Roman"/>
          <w:sz w:val="24"/>
          <w:szCs w:val="24"/>
          <w:lang w:eastAsia="en-US"/>
        </w:rPr>
        <w:t>specializace (technologická spolupráce, transfer know-how). Nové technologie a</w:t>
      </w:r>
      <w:r w:rsidR="00903F4C">
        <w:rPr>
          <w:rFonts w:ascii="Times New Roman" w:hAnsi="Times New Roman"/>
          <w:sz w:val="24"/>
          <w:szCs w:val="24"/>
          <w:lang w:eastAsia="en-US"/>
        </w:rPr>
        <w:t> </w:t>
      </w:r>
      <w:r w:rsidRPr="00602F63">
        <w:rPr>
          <w:rFonts w:ascii="Times New Roman" w:hAnsi="Times New Roman"/>
          <w:sz w:val="24"/>
          <w:szCs w:val="24"/>
          <w:lang w:eastAsia="en-US"/>
        </w:rPr>
        <w:t xml:space="preserve">inovativní postupy pak lze využít i v dalších oblastech hospodářství.  </w:t>
      </w:r>
    </w:p>
    <w:p w14:paraId="4CE3D4EC" w14:textId="2BE7B7A8" w:rsidR="00AB14EF" w:rsidRPr="00602F63" w:rsidRDefault="00AB14EF" w:rsidP="00602F63">
      <w:pPr>
        <w:spacing w:before="120" w:after="120"/>
        <w:ind w:left="360"/>
        <w:jc w:val="both"/>
        <w:rPr>
          <w:rFonts w:ascii="Times New Roman" w:hAnsi="Times New Roman"/>
          <w:sz w:val="24"/>
          <w:szCs w:val="24"/>
          <w:lang w:eastAsia="en-US"/>
        </w:rPr>
      </w:pPr>
      <w:r w:rsidRPr="00602F63">
        <w:rPr>
          <w:rFonts w:ascii="Times New Roman" w:hAnsi="Times New Roman"/>
          <w:sz w:val="24"/>
          <w:szCs w:val="24"/>
          <w:lang w:eastAsia="en-US"/>
        </w:rPr>
        <w:t>Kromě dalšího rozvoje stávajících excelentních odvětví je nutná podpora nových subjektů (start-</w:t>
      </w:r>
      <w:proofErr w:type="spellStart"/>
      <w:r w:rsidRPr="00602F63">
        <w:rPr>
          <w:rFonts w:ascii="Times New Roman" w:hAnsi="Times New Roman"/>
          <w:sz w:val="24"/>
          <w:szCs w:val="24"/>
          <w:lang w:eastAsia="en-US"/>
        </w:rPr>
        <w:t>upy</w:t>
      </w:r>
      <w:proofErr w:type="spellEnd"/>
      <w:r w:rsidRPr="00602F63">
        <w:rPr>
          <w:rFonts w:ascii="Times New Roman" w:hAnsi="Times New Roman"/>
          <w:sz w:val="24"/>
          <w:szCs w:val="24"/>
          <w:lang w:eastAsia="en-US"/>
        </w:rPr>
        <w:t>, nové inovativní firmy) včetně jejich globálních ambicí. S tím je úzce spojen za</w:t>
      </w:r>
      <w:r w:rsidR="00903F4C">
        <w:rPr>
          <w:rFonts w:ascii="Times New Roman" w:hAnsi="Times New Roman"/>
          <w:sz w:val="24"/>
          <w:szCs w:val="24"/>
          <w:lang w:eastAsia="en-US"/>
        </w:rPr>
        <w:t> </w:t>
      </w:r>
      <w:r w:rsidRPr="00602F63">
        <w:rPr>
          <w:rFonts w:ascii="Times New Roman" w:hAnsi="Times New Roman"/>
          <w:sz w:val="24"/>
          <w:szCs w:val="24"/>
          <w:lang w:eastAsia="en-US"/>
        </w:rPr>
        <w:t>prvé rozvoj podnikatelského prostředí a za druhé rozvoj obchodu (rozvoj vnitřního trhu a vhodná obchodní politika – dostupnost vstupů s nižší přidanou hodnotou do české výroby a podpora exportu výrobků s vyšší přidanou hodnotou).</w:t>
      </w:r>
    </w:p>
    <w:p w14:paraId="637B1975" w14:textId="77777777" w:rsidR="00AB14EF" w:rsidRPr="00602F63" w:rsidRDefault="00AB14EF" w:rsidP="00602F63">
      <w:pPr>
        <w:spacing w:before="120" w:after="120"/>
        <w:ind w:left="360"/>
        <w:jc w:val="both"/>
        <w:rPr>
          <w:rFonts w:ascii="Times New Roman" w:hAnsi="Times New Roman"/>
          <w:sz w:val="24"/>
          <w:szCs w:val="24"/>
          <w:lang w:eastAsia="en-US"/>
        </w:rPr>
      </w:pPr>
      <w:r w:rsidRPr="00602F63">
        <w:rPr>
          <w:rFonts w:ascii="Times New Roman" w:hAnsi="Times New Roman"/>
          <w:sz w:val="24"/>
          <w:szCs w:val="24"/>
          <w:lang w:eastAsia="en-US"/>
        </w:rPr>
        <w:t>V dnešní době je také velmi důležité budovat značku ČR a komunikovat úspěchy země v jednotlivých oblastech, tedy vhodně nastavit marketing a národní komunikaci.</w:t>
      </w:r>
    </w:p>
    <w:p w14:paraId="048C97F1" w14:textId="7F98F4DF" w:rsidR="00AB14EF" w:rsidRPr="00602F63" w:rsidRDefault="00AB14EF" w:rsidP="00602F63">
      <w:pPr>
        <w:spacing w:before="120" w:after="120"/>
        <w:ind w:left="360"/>
        <w:jc w:val="both"/>
        <w:rPr>
          <w:sz w:val="24"/>
          <w:szCs w:val="24"/>
          <w:lang w:eastAsia="en-US"/>
        </w:rPr>
      </w:pPr>
      <w:r w:rsidRPr="00602F63">
        <w:rPr>
          <w:rFonts w:ascii="Times New Roman" w:hAnsi="Times New Roman"/>
          <w:sz w:val="24"/>
          <w:szCs w:val="24"/>
          <w:lang w:eastAsia="en-US"/>
        </w:rPr>
        <w:t>Strategické cíle podpory exportu</w:t>
      </w:r>
      <w:r w:rsidR="00D01D23">
        <w:rPr>
          <w:rFonts w:ascii="Times New Roman" w:hAnsi="Times New Roman"/>
          <w:sz w:val="24"/>
          <w:szCs w:val="24"/>
          <w:lang w:eastAsia="en-US"/>
        </w:rPr>
        <w:t xml:space="preserve"> zahrnují </w:t>
      </w:r>
    </w:p>
    <w:p w14:paraId="20ADA463" w14:textId="4FA78493" w:rsidR="00AB14EF" w:rsidRPr="00602F63" w:rsidRDefault="00AB14EF" w:rsidP="00602F63">
      <w:pPr>
        <w:pStyle w:val="Odstavecseseznamem"/>
        <w:numPr>
          <w:ilvl w:val="0"/>
          <w:numId w:val="51"/>
        </w:numPr>
        <w:spacing w:before="120" w:after="120"/>
        <w:jc w:val="both"/>
        <w:rPr>
          <w:rFonts w:ascii="Times New Roman" w:hAnsi="Times New Roman"/>
          <w:sz w:val="24"/>
          <w:szCs w:val="24"/>
          <w:lang w:eastAsia="en-US"/>
        </w:rPr>
      </w:pPr>
      <w:r w:rsidRPr="00602F63">
        <w:rPr>
          <w:rFonts w:ascii="Times New Roman" w:hAnsi="Times New Roman"/>
          <w:sz w:val="24"/>
          <w:szCs w:val="24"/>
          <w:lang w:eastAsia="en-US"/>
        </w:rPr>
        <w:t>Zachování kompetencí v tradičních českých oborech a vytváření nových technologických znalostí, vhodnou podporou výrazně přispět ke zvyšování objemu exportu s vysokou přidanou hodnotou, a tedy</w:t>
      </w:r>
      <w:r w:rsidR="00D25FFA">
        <w:rPr>
          <w:rFonts w:ascii="Times New Roman" w:hAnsi="Times New Roman"/>
          <w:sz w:val="24"/>
          <w:szCs w:val="24"/>
          <w:lang w:eastAsia="en-US"/>
        </w:rPr>
        <w:t xml:space="preserve"> </w:t>
      </w:r>
      <w:r w:rsidRPr="00602F63">
        <w:rPr>
          <w:rFonts w:ascii="Times New Roman" w:hAnsi="Times New Roman"/>
          <w:sz w:val="24"/>
          <w:szCs w:val="24"/>
          <w:lang w:eastAsia="en-US"/>
        </w:rPr>
        <w:t>i k udržení zaměstnanosti a hospodářskému růstu české ekonomiky.</w:t>
      </w:r>
    </w:p>
    <w:p w14:paraId="40882768" w14:textId="0E7CB86A" w:rsidR="00AB14EF" w:rsidRPr="00602F63" w:rsidRDefault="00AB14EF" w:rsidP="00602F63">
      <w:pPr>
        <w:pStyle w:val="Odstavecseseznamem"/>
        <w:numPr>
          <w:ilvl w:val="0"/>
          <w:numId w:val="51"/>
        </w:numPr>
        <w:spacing w:before="120" w:after="120"/>
        <w:jc w:val="both"/>
        <w:rPr>
          <w:rFonts w:ascii="Times New Roman" w:hAnsi="Times New Roman"/>
          <w:sz w:val="24"/>
          <w:szCs w:val="24"/>
          <w:lang w:eastAsia="en-US"/>
        </w:rPr>
      </w:pPr>
      <w:r w:rsidRPr="00602F63">
        <w:rPr>
          <w:rFonts w:ascii="Times New Roman" w:hAnsi="Times New Roman"/>
          <w:sz w:val="24"/>
          <w:szCs w:val="24"/>
          <w:lang w:eastAsia="en-US"/>
        </w:rPr>
        <w:t>Zvyšování konkurenceschopnosti českých firem při prosazování na zahraničních trzích</w:t>
      </w:r>
      <w:r w:rsidR="009556F0">
        <w:rPr>
          <w:rFonts w:ascii="Times New Roman" w:hAnsi="Times New Roman"/>
          <w:sz w:val="24"/>
          <w:szCs w:val="24"/>
          <w:lang w:eastAsia="en-US"/>
        </w:rPr>
        <w:t>.</w:t>
      </w:r>
    </w:p>
    <w:p w14:paraId="425C9886" w14:textId="61BB825D" w:rsidR="00AB14EF" w:rsidRPr="00602F63" w:rsidRDefault="00AB14EF" w:rsidP="00602F63">
      <w:pPr>
        <w:pStyle w:val="Odstavecseseznamem"/>
        <w:numPr>
          <w:ilvl w:val="0"/>
          <w:numId w:val="51"/>
        </w:numPr>
        <w:spacing w:before="120" w:after="120"/>
        <w:jc w:val="both"/>
        <w:rPr>
          <w:rFonts w:ascii="Times New Roman" w:hAnsi="Times New Roman"/>
          <w:sz w:val="24"/>
          <w:szCs w:val="24"/>
          <w:lang w:eastAsia="en-US"/>
        </w:rPr>
      </w:pPr>
      <w:r w:rsidRPr="00602F63">
        <w:rPr>
          <w:rFonts w:ascii="Times New Roman" w:hAnsi="Times New Roman"/>
          <w:sz w:val="24"/>
          <w:szCs w:val="24"/>
          <w:lang w:eastAsia="en-US"/>
        </w:rPr>
        <w:t>Zvyšování přidané hodnoty v českém exportu a lepší postavení českých firem v</w:t>
      </w:r>
      <w:r w:rsidR="00903F4C">
        <w:rPr>
          <w:rFonts w:ascii="Times New Roman" w:hAnsi="Times New Roman"/>
          <w:sz w:val="24"/>
          <w:szCs w:val="24"/>
          <w:lang w:eastAsia="en-US"/>
        </w:rPr>
        <w:t> g</w:t>
      </w:r>
      <w:r w:rsidRPr="00602F63">
        <w:rPr>
          <w:rFonts w:ascii="Times New Roman" w:hAnsi="Times New Roman"/>
          <w:sz w:val="24"/>
          <w:szCs w:val="24"/>
          <w:lang w:eastAsia="en-US"/>
        </w:rPr>
        <w:t>lobálních hodnotových řetězcích</w:t>
      </w:r>
      <w:r w:rsidR="009556F0">
        <w:rPr>
          <w:rFonts w:ascii="Times New Roman" w:hAnsi="Times New Roman"/>
          <w:sz w:val="24"/>
          <w:szCs w:val="24"/>
          <w:lang w:eastAsia="en-US"/>
        </w:rPr>
        <w:t>.</w:t>
      </w:r>
      <w:r w:rsidRPr="00602F63">
        <w:rPr>
          <w:rFonts w:ascii="Times New Roman" w:hAnsi="Times New Roman"/>
          <w:sz w:val="24"/>
          <w:szCs w:val="24"/>
          <w:lang w:eastAsia="en-US"/>
        </w:rPr>
        <w:t xml:space="preserve"> </w:t>
      </w:r>
    </w:p>
    <w:p w14:paraId="75541B0D" w14:textId="71850B0A" w:rsidR="00AB14EF" w:rsidRPr="00602F63" w:rsidRDefault="00AB14EF" w:rsidP="00602F63">
      <w:pPr>
        <w:pStyle w:val="Odstavecseseznamem"/>
        <w:numPr>
          <w:ilvl w:val="0"/>
          <w:numId w:val="51"/>
        </w:numPr>
        <w:spacing w:before="120" w:after="120"/>
        <w:jc w:val="both"/>
        <w:rPr>
          <w:rFonts w:ascii="Times New Roman" w:hAnsi="Times New Roman"/>
          <w:sz w:val="24"/>
          <w:szCs w:val="24"/>
          <w:lang w:eastAsia="en-US"/>
        </w:rPr>
      </w:pPr>
      <w:r w:rsidRPr="00602F63">
        <w:rPr>
          <w:rFonts w:ascii="Times New Roman" w:hAnsi="Times New Roman"/>
          <w:sz w:val="24"/>
          <w:szCs w:val="24"/>
          <w:lang w:eastAsia="en-US"/>
        </w:rPr>
        <w:t>Růst exportu jako celku, zvyšování globálních ambicí inovativních a začínajících firem</w:t>
      </w:r>
      <w:r w:rsidR="009556F0">
        <w:rPr>
          <w:rFonts w:ascii="Times New Roman" w:hAnsi="Times New Roman"/>
          <w:sz w:val="24"/>
          <w:szCs w:val="24"/>
          <w:lang w:eastAsia="en-US"/>
        </w:rPr>
        <w:t>.</w:t>
      </w:r>
    </w:p>
    <w:p w14:paraId="61EFD50B" w14:textId="07FCA0F4" w:rsidR="00AB14EF" w:rsidRPr="00602F63" w:rsidRDefault="00AB14EF" w:rsidP="00602F63">
      <w:pPr>
        <w:spacing w:before="120" w:after="120"/>
        <w:ind w:left="360"/>
        <w:jc w:val="both"/>
        <w:rPr>
          <w:rFonts w:ascii="Times New Roman" w:hAnsi="Times New Roman"/>
          <w:sz w:val="24"/>
          <w:szCs w:val="24"/>
          <w:lang w:eastAsia="en-US"/>
        </w:rPr>
      </w:pPr>
      <w:r w:rsidRPr="00602F63">
        <w:rPr>
          <w:rFonts w:ascii="Times New Roman" w:hAnsi="Times New Roman"/>
          <w:sz w:val="24"/>
          <w:szCs w:val="24"/>
          <w:lang w:eastAsia="en-US"/>
        </w:rPr>
        <w:t>Exportní politika bude vycházet z Hospodářské strategie (HS) a bude propojena s Inovační strategií (IS) a Strategií chytré specializace (RIS3) tak, aby vznikly mezi</w:t>
      </w:r>
      <w:r w:rsidR="00903F4C">
        <w:rPr>
          <w:rFonts w:ascii="Times New Roman" w:hAnsi="Times New Roman"/>
          <w:sz w:val="24"/>
          <w:szCs w:val="24"/>
          <w:lang w:eastAsia="en-US"/>
        </w:rPr>
        <w:t> </w:t>
      </w:r>
      <w:r w:rsidRPr="00602F63">
        <w:rPr>
          <w:rFonts w:ascii="Times New Roman" w:hAnsi="Times New Roman"/>
          <w:sz w:val="24"/>
          <w:szCs w:val="24"/>
          <w:lang w:eastAsia="en-US"/>
        </w:rPr>
        <w:t>jednotlivými segmenty vazby, např. se systémem vzdělávání (mechanismy nových oborů, programů) a s investičním mechanismem („národní investiční plán“, propojení do</w:t>
      </w:r>
      <w:r w:rsidR="00903F4C">
        <w:rPr>
          <w:rFonts w:ascii="Times New Roman" w:hAnsi="Times New Roman"/>
          <w:sz w:val="24"/>
          <w:szCs w:val="24"/>
          <w:lang w:eastAsia="en-US"/>
        </w:rPr>
        <w:t> </w:t>
      </w:r>
      <w:r w:rsidRPr="00602F63">
        <w:rPr>
          <w:rFonts w:ascii="Times New Roman" w:hAnsi="Times New Roman"/>
          <w:sz w:val="24"/>
          <w:szCs w:val="24"/>
          <w:lang w:eastAsia="en-US"/>
        </w:rPr>
        <w:t>rozpočtu, do kohezní politiky atd.).</w:t>
      </w:r>
    </w:p>
    <w:p w14:paraId="48CCF6B7" w14:textId="3C0131AC" w:rsidR="00AB14EF" w:rsidRPr="00602F63" w:rsidRDefault="00AB14EF" w:rsidP="00602F63">
      <w:pPr>
        <w:spacing w:before="120" w:after="120"/>
        <w:ind w:left="360"/>
        <w:jc w:val="both"/>
        <w:rPr>
          <w:rFonts w:ascii="Times New Roman" w:hAnsi="Times New Roman"/>
          <w:sz w:val="24"/>
          <w:szCs w:val="24"/>
          <w:lang w:eastAsia="en-US"/>
        </w:rPr>
      </w:pPr>
      <w:r w:rsidRPr="00602F63">
        <w:rPr>
          <w:rFonts w:ascii="Times New Roman" w:hAnsi="Times New Roman"/>
          <w:sz w:val="24"/>
          <w:szCs w:val="24"/>
          <w:lang w:eastAsia="en-US"/>
        </w:rPr>
        <w:t>Sektorový přístup k podpoře exportu. HS, IS, především pak RIS3, mapují kompetence a</w:t>
      </w:r>
      <w:r w:rsidR="00903F4C">
        <w:rPr>
          <w:rFonts w:ascii="Times New Roman" w:hAnsi="Times New Roman"/>
          <w:sz w:val="24"/>
          <w:szCs w:val="24"/>
          <w:lang w:eastAsia="en-US"/>
        </w:rPr>
        <w:t> </w:t>
      </w:r>
      <w:r w:rsidRPr="00602F63">
        <w:rPr>
          <w:rFonts w:ascii="Times New Roman" w:hAnsi="Times New Roman"/>
          <w:sz w:val="24"/>
          <w:szCs w:val="24"/>
          <w:lang w:eastAsia="en-US"/>
        </w:rPr>
        <w:t>schopnosti českých firem a definují další sektorové zaměření ČR. Tomu se přizpůsobuje i nová exportní strategie, kdy měníme teritoriální přístup na přístup odvětvový. Ze</w:t>
      </w:r>
      <w:r w:rsidR="00903F4C">
        <w:rPr>
          <w:rFonts w:ascii="Times New Roman" w:hAnsi="Times New Roman"/>
          <w:sz w:val="24"/>
          <w:szCs w:val="24"/>
          <w:lang w:eastAsia="en-US"/>
        </w:rPr>
        <w:t> </w:t>
      </w:r>
      <w:r w:rsidRPr="00602F63">
        <w:rPr>
          <w:rFonts w:ascii="Times New Roman" w:hAnsi="Times New Roman"/>
          <w:sz w:val="24"/>
          <w:szCs w:val="24"/>
          <w:lang w:eastAsia="en-US"/>
        </w:rPr>
        <w:t>sektorového hlediska tak exportní strategii prova</w:t>
      </w:r>
      <w:r w:rsidR="009556F0">
        <w:rPr>
          <w:rFonts w:ascii="Times New Roman" w:hAnsi="Times New Roman"/>
          <w:sz w:val="24"/>
          <w:szCs w:val="24"/>
          <w:lang w:eastAsia="en-US"/>
        </w:rPr>
        <w:t>ž</w:t>
      </w:r>
      <w:r w:rsidRPr="00602F63">
        <w:rPr>
          <w:rFonts w:ascii="Times New Roman" w:hAnsi="Times New Roman"/>
          <w:sz w:val="24"/>
          <w:szCs w:val="24"/>
          <w:lang w:eastAsia="en-US"/>
        </w:rPr>
        <w:t xml:space="preserve">ujeme s HS, IS a RIS3, ve kterých jsou vybrané sektory určovány s důrazem na objem hospodářství/ exportu, přidanou hodnotu, strategický zájem ČR, inovační potenciál a trendy. Zahrnuta budou tedy jak tradiční odvětví, tak nová odvětví odrážející vznikající a rostoucí trendy. </w:t>
      </w:r>
    </w:p>
    <w:p w14:paraId="7A219DA6" w14:textId="355F41A3" w:rsidR="00AB14EF" w:rsidRPr="00602F63" w:rsidRDefault="00AB14EF" w:rsidP="00602F63">
      <w:pPr>
        <w:spacing w:before="120" w:after="120"/>
        <w:ind w:left="360"/>
        <w:jc w:val="both"/>
        <w:rPr>
          <w:rFonts w:ascii="Times New Roman" w:hAnsi="Times New Roman"/>
          <w:sz w:val="24"/>
          <w:szCs w:val="24"/>
          <w:lang w:eastAsia="en-US"/>
        </w:rPr>
      </w:pPr>
      <w:r w:rsidRPr="00602F63">
        <w:rPr>
          <w:rFonts w:ascii="Times New Roman" w:hAnsi="Times New Roman"/>
          <w:sz w:val="24"/>
          <w:szCs w:val="24"/>
          <w:lang w:eastAsia="en-US"/>
        </w:rPr>
        <w:t>Kromě vertikálního oborového vnímání je nutné akcentovat horizontální sektorový, tzn.</w:t>
      </w:r>
      <w:r w:rsidR="00903F4C">
        <w:rPr>
          <w:rFonts w:ascii="Times New Roman" w:hAnsi="Times New Roman"/>
          <w:sz w:val="24"/>
          <w:szCs w:val="24"/>
          <w:lang w:eastAsia="en-US"/>
        </w:rPr>
        <w:t> </w:t>
      </w:r>
      <w:r w:rsidR="00355087">
        <w:rPr>
          <w:rFonts w:ascii="Times New Roman" w:hAnsi="Times New Roman"/>
          <w:sz w:val="24"/>
          <w:szCs w:val="24"/>
          <w:lang w:eastAsia="en-US"/>
        </w:rPr>
        <w:t>p</w:t>
      </w:r>
      <w:r w:rsidRPr="00602F63">
        <w:rPr>
          <w:rFonts w:ascii="Times New Roman" w:hAnsi="Times New Roman"/>
          <w:sz w:val="24"/>
          <w:szCs w:val="24"/>
          <w:lang w:eastAsia="en-US"/>
        </w:rPr>
        <w:t>růřezový pohled. V rámci působení hospodářské, inovační včetně strategie chytré specializace RIS3 vznikají nové odvětví a řešení, která vytváří horizontální průniky, na</w:t>
      </w:r>
      <w:r w:rsidR="00355087">
        <w:rPr>
          <w:rFonts w:ascii="Times New Roman" w:hAnsi="Times New Roman"/>
          <w:sz w:val="24"/>
          <w:szCs w:val="24"/>
          <w:lang w:eastAsia="en-US"/>
        </w:rPr>
        <w:t> </w:t>
      </w:r>
      <w:r w:rsidRPr="00602F63">
        <w:rPr>
          <w:rFonts w:ascii="Times New Roman" w:hAnsi="Times New Roman"/>
          <w:sz w:val="24"/>
          <w:szCs w:val="24"/>
          <w:lang w:eastAsia="en-US"/>
        </w:rPr>
        <w:t>které je nutné se zaměřit (např. AI, digitalizace, nanotechnologie, 3D tisk). A právě tato nová průřezová řešení, která mají globální potenciál, se stanou součástí horizontálních sektorových priorit pro připravovanou exportní strategii.</w:t>
      </w:r>
    </w:p>
    <w:p w14:paraId="76A9DAF8" w14:textId="0FD47053" w:rsidR="00AB14EF" w:rsidRPr="00602F63" w:rsidRDefault="00AB14EF" w:rsidP="00602F63">
      <w:pPr>
        <w:spacing w:before="120" w:after="120"/>
        <w:ind w:left="360"/>
        <w:jc w:val="both"/>
        <w:rPr>
          <w:rFonts w:ascii="Times New Roman" w:hAnsi="Times New Roman"/>
          <w:sz w:val="24"/>
          <w:szCs w:val="24"/>
          <w:lang w:eastAsia="en-US"/>
        </w:rPr>
      </w:pPr>
      <w:r w:rsidRPr="00602F63">
        <w:rPr>
          <w:rFonts w:ascii="Times New Roman" w:hAnsi="Times New Roman"/>
          <w:sz w:val="24"/>
          <w:szCs w:val="24"/>
          <w:lang w:eastAsia="en-US"/>
        </w:rPr>
        <w:t xml:space="preserve">Již v minulosti se začalo přecházet od teritoriálního přístupu k sektorovému. Příkladem je Mapa globálních oborových příležitostí, která definuje sektorové příležitosti v jednotlivých zemích. A ukázalo se, že jednotlivé obory mají v odlišných zemích různé zájmy a různé přístupy (export, investice v zahraničí, výměna know-how). Tento fakt v nové exportní strategii </w:t>
      </w:r>
      <w:r w:rsidR="009556F0">
        <w:rPr>
          <w:rFonts w:ascii="Times New Roman" w:hAnsi="Times New Roman"/>
          <w:sz w:val="24"/>
          <w:szCs w:val="24"/>
          <w:lang w:eastAsia="en-US"/>
        </w:rPr>
        <w:t>má být</w:t>
      </w:r>
      <w:r w:rsidRPr="00602F63">
        <w:rPr>
          <w:rFonts w:ascii="Times New Roman" w:hAnsi="Times New Roman"/>
          <w:sz w:val="24"/>
          <w:szCs w:val="24"/>
          <w:lang w:eastAsia="en-US"/>
        </w:rPr>
        <w:t xml:space="preserve"> uchop</w:t>
      </w:r>
      <w:r w:rsidR="009556F0">
        <w:rPr>
          <w:rFonts w:ascii="Times New Roman" w:hAnsi="Times New Roman"/>
          <w:sz w:val="24"/>
          <w:szCs w:val="24"/>
          <w:lang w:eastAsia="en-US"/>
        </w:rPr>
        <w:t>en</w:t>
      </w:r>
      <w:r w:rsidRPr="00602F63">
        <w:rPr>
          <w:rFonts w:ascii="Times New Roman" w:hAnsi="Times New Roman"/>
          <w:sz w:val="24"/>
          <w:szCs w:val="24"/>
          <w:lang w:eastAsia="en-US"/>
        </w:rPr>
        <w:t xml:space="preserve"> aktivně, kdy mostem mezi sektorovým zaměřením a jednotlivými zeměmi budou teritoriální obchodní strategie, které skrze své akční plány budou definovat aktivity v teritoriu. Tedy i v rámci původně prioritních zemí bud</w:t>
      </w:r>
      <w:r w:rsidR="009556F0">
        <w:rPr>
          <w:rFonts w:ascii="Times New Roman" w:hAnsi="Times New Roman"/>
          <w:sz w:val="24"/>
          <w:szCs w:val="24"/>
          <w:lang w:eastAsia="en-US"/>
        </w:rPr>
        <w:t>ou</w:t>
      </w:r>
      <w:r w:rsidRPr="00602F63">
        <w:rPr>
          <w:rFonts w:ascii="Times New Roman" w:hAnsi="Times New Roman"/>
          <w:sz w:val="24"/>
          <w:szCs w:val="24"/>
          <w:lang w:eastAsia="en-US"/>
        </w:rPr>
        <w:t xml:space="preserve"> cíleně prosazov</w:t>
      </w:r>
      <w:r w:rsidR="009556F0">
        <w:rPr>
          <w:rFonts w:ascii="Times New Roman" w:hAnsi="Times New Roman"/>
          <w:sz w:val="24"/>
          <w:szCs w:val="24"/>
          <w:lang w:eastAsia="en-US"/>
        </w:rPr>
        <w:t>ány</w:t>
      </w:r>
      <w:r w:rsidRPr="00602F63">
        <w:rPr>
          <w:rFonts w:ascii="Times New Roman" w:hAnsi="Times New Roman"/>
          <w:sz w:val="24"/>
          <w:szCs w:val="24"/>
          <w:lang w:eastAsia="en-US"/>
        </w:rPr>
        <w:t xml:space="preserve"> specifické zájmy jednotlivých sektorů.</w:t>
      </w:r>
    </w:p>
    <w:p w14:paraId="6D424B0F" w14:textId="5FB7B53B" w:rsidR="00AB14EF" w:rsidRPr="00602F63" w:rsidRDefault="00AB14EF" w:rsidP="00602F63">
      <w:pPr>
        <w:spacing w:before="120" w:after="120"/>
        <w:ind w:left="360"/>
        <w:jc w:val="both"/>
        <w:rPr>
          <w:rFonts w:ascii="Times New Roman" w:hAnsi="Times New Roman"/>
          <w:sz w:val="24"/>
          <w:szCs w:val="24"/>
          <w:lang w:eastAsia="en-US"/>
        </w:rPr>
      </w:pPr>
      <w:r w:rsidRPr="00602F63">
        <w:rPr>
          <w:rFonts w:ascii="Times New Roman" w:hAnsi="Times New Roman"/>
          <w:sz w:val="24"/>
          <w:szCs w:val="24"/>
          <w:lang w:eastAsia="en-US"/>
        </w:rPr>
        <w:t>Pro identifikaci potřeb a stanovení vize jednotlivých odvětví v rámci proexportní politiky budou využity platformy klíčových odvětví</w:t>
      </w:r>
      <w:r w:rsidR="009556F0">
        <w:rPr>
          <w:rFonts w:ascii="Times New Roman" w:hAnsi="Times New Roman"/>
          <w:sz w:val="24"/>
          <w:szCs w:val="24"/>
          <w:lang w:eastAsia="en-US"/>
        </w:rPr>
        <w:t xml:space="preserve">. Ministerstvo průmyslu a obchodu </w:t>
      </w:r>
      <w:r w:rsidRPr="00602F63">
        <w:rPr>
          <w:rFonts w:ascii="Times New Roman" w:hAnsi="Times New Roman"/>
          <w:sz w:val="24"/>
          <w:szCs w:val="24"/>
          <w:lang w:eastAsia="en-US"/>
        </w:rPr>
        <w:t>(</w:t>
      </w:r>
      <w:r w:rsidR="009556F0">
        <w:rPr>
          <w:rFonts w:ascii="Times New Roman" w:hAnsi="Times New Roman"/>
          <w:sz w:val="24"/>
          <w:szCs w:val="24"/>
          <w:lang w:eastAsia="en-US"/>
        </w:rPr>
        <w:t>dále také „</w:t>
      </w:r>
      <w:r w:rsidRPr="00602F63">
        <w:rPr>
          <w:rFonts w:ascii="Times New Roman" w:hAnsi="Times New Roman"/>
          <w:sz w:val="24"/>
          <w:szCs w:val="24"/>
          <w:lang w:eastAsia="en-US"/>
        </w:rPr>
        <w:t>MPO</w:t>
      </w:r>
      <w:r w:rsidR="009556F0">
        <w:rPr>
          <w:rFonts w:ascii="Times New Roman" w:hAnsi="Times New Roman"/>
          <w:sz w:val="24"/>
          <w:szCs w:val="24"/>
          <w:lang w:eastAsia="en-US"/>
        </w:rPr>
        <w:t>“)</w:t>
      </w:r>
      <w:r w:rsidRPr="00602F63">
        <w:rPr>
          <w:rFonts w:ascii="Times New Roman" w:hAnsi="Times New Roman"/>
          <w:sz w:val="24"/>
          <w:szCs w:val="24"/>
          <w:lang w:eastAsia="en-US"/>
        </w:rPr>
        <w:t xml:space="preserve"> již zahájilo setkávání k jednotlivým odvětvím, které pokrývají firemní reprezentace (např. Hospodářská komora ČR, Svaz průmyslu a dopravy a další oborové profesní asociace a svazy). </w:t>
      </w:r>
    </w:p>
    <w:p w14:paraId="23467F1A" w14:textId="799F3453" w:rsidR="00AB14EF" w:rsidRPr="00602F63" w:rsidRDefault="00AB14EF" w:rsidP="00602F63">
      <w:pPr>
        <w:spacing w:before="120" w:after="120"/>
        <w:ind w:left="360"/>
        <w:jc w:val="both"/>
        <w:rPr>
          <w:rFonts w:ascii="Times New Roman" w:hAnsi="Times New Roman"/>
          <w:sz w:val="24"/>
          <w:szCs w:val="24"/>
          <w:lang w:eastAsia="en-US"/>
        </w:rPr>
      </w:pPr>
      <w:r w:rsidRPr="00602F63">
        <w:rPr>
          <w:rFonts w:ascii="Times New Roman" w:hAnsi="Times New Roman"/>
          <w:sz w:val="24"/>
          <w:szCs w:val="24"/>
          <w:lang w:eastAsia="en-US"/>
        </w:rPr>
        <w:t>Dochází tak k zjednodušení přístupu firem k službám všech institucí a poskytování přehledné nabídky služeb nezávisle na tom, na kterou organizaci se firma obrátí, ale především možnost vytváření individuální nabídky služeb a asistence státu dle potřeb firmy napříč institucemi.</w:t>
      </w:r>
    </w:p>
    <w:p w14:paraId="6286DDA3" w14:textId="77777777" w:rsidR="00AB14EF" w:rsidRPr="00602F63" w:rsidRDefault="00AB14EF" w:rsidP="00602F63">
      <w:pPr>
        <w:spacing w:before="120" w:after="120"/>
        <w:ind w:left="360"/>
        <w:jc w:val="both"/>
        <w:rPr>
          <w:rFonts w:ascii="Times New Roman" w:hAnsi="Times New Roman"/>
          <w:sz w:val="24"/>
          <w:szCs w:val="24"/>
          <w:lang w:eastAsia="en-US"/>
        </w:rPr>
      </w:pPr>
      <w:r w:rsidRPr="00602F63">
        <w:rPr>
          <w:rFonts w:ascii="Times New Roman" w:hAnsi="Times New Roman"/>
          <w:sz w:val="24"/>
          <w:szCs w:val="24"/>
          <w:lang w:eastAsia="en-US"/>
        </w:rPr>
        <w:t>Udržení širokého portfolia nástrojů využívaných dle nejmodernějších trendů. Z hlediska základních nástrojů podpory exportu tak žádná odvětví nevylučujeme, z hlediska zájmů ČR však bude věnováno více pozornosti odvětvím, která české ekonomice přinesou vyšší přidanou hodnotu a zachování strategických kompetencí.</w:t>
      </w:r>
    </w:p>
    <w:p w14:paraId="6AF1A435" w14:textId="77777777" w:rsidR="00AB14EF" w:rsidRPr="00602F63" w:rsidRDefault="00AB14EF" w:rsidP="00602F63">
      <w:pPr>
        <w:spacing w:before="120" w:after="120"/>
        <w:ind w:left="360"/>
        <w:jc w:val="both"/>
        <w:rPr>
          <w:rFonts w:ascii="Times New Roman" w:hAnsi="Times New Roman"/>
          <w:sz w:val="24"/>
          <w:szCs w:val="24"/>
          <w:lang w:eastAsia="en-US"/>
        </w:rPr>
      </w:pPr>
      <w:r w:rsidRPr="00602F63">
        <w:rPr>
          <w:rFonts w:ascii="Times New Roman" w:hAnsi="Times New Roman"/>
          <w:sz w:val="24"/>
          <w:szCs w:val="24"/>
          <w:lang w:eastAsia="en-US"/>
        </w:rPr>
        <w:t xml:space="preserve">Z hlediska konkurenceschopnosti je významným nástrojem proexportní politiky státu podpořené financování a pojištění, které pomáhá vytvářet synergické efekty a příležitosti pro pronikání českých firem na zahraniční trhy. Proto je důležité udržení celého portfolia nástrojů ČEB i EGAP. </w:t>
      </w:r>
    </w:p>
    <w:p w14:paraId="7B833525" w14:textId="54049472" w:rsidR="00E262DD" w:rsidRPr="00286395" w:rsidRDefault="00E262DD" w:rsidP="00EB147E">
      <w:pPr>
        <w:spacing w:before="120" w:after="120"/>
        <w:ind w:left="360"/>
        <w:jc w:val="both"/>
        <w:rPr>
          <w:rFonts w:ascii="Times New Roman" w:hAnsi="Times New Roman"/>
          <w:sz w:val="24"/>
          <w:szCs w:val="24"/>
          <w:lang w:eastAsia="en-US"/>
        </w:rPr>
      </w:pPr>
      <w:r w:rsidRPr="00286395">
        <w:rPr>
          <w:rFonts w:ascii="Times New Roman" w:hAnsi="Times New Roman"/>
          <w:sz w:val="24"/>
          <w:szCs w:val="24"/>
          <w:lang w:eastAsia="en-US"/>
        </w:rPr>
        <w:t>Cílem státní podpory exportu ve finanční oblasti je podpořit proexportní orientaci domácí ekonomiky tím, že českým exportérům vytvoří v této oblasti</w:t>
      </w:r>
      <w:r w:rsidR="00755F1B">
        <w:rPr>
          <w:rFonts w:ascii="Times New Roman" w:hAnsi="Times New Roman"/>
          <w:sz w:val="24"/>
          <w:szCs w:val="24"/>
          <w:lang w:eastAsia="en-US"/>
        </w:rPr>
        <w:t xml:space="preserve"> takové</w:t>
      </w:r>
      <w:r w:rsidRPr="00286395">
        <w:rPr>
          <w:rFonts w:ascii="Times New Roman" w:hAnsi="Times New Roman"/>
          <w:sz w:val="24"/>
          <w:szCs w:val="24"/>
          <w:lang w:eastAsia="en-US"/>
        </w:rPr>
        <w:t xml:space="preserve"> podmínky, které má k</w:t>
      </w:r>
      <w:r w:rsidR="00D038DD">
        <w:rPr>
          <w:rFonts w:ascii="Times New Roman" w:hAnsi="Times New Roman"/>
          <w:sz w:val="24"/>
          <w:szCs w:val="24"/>
          <w:lang w:eastAsia="en-US"/>
        </w:rPr>
        <w:t> </w:t>
      </w:r>
      <w:r w:rsidRPr="00286395">
        <w:rPr>
          <w:rFonts w:ascii="Times New Roman" w:hAnsi="Times New Roman"/>
          <w:sz w:val="24"/>
          <w:szCs w:val="24"/>
          <w:lang w:eastAsia="en-US"/>
        </w:rPr>
        <w:t xml:space="preserve">dispozici </w:t>
      </w:r>
      <w:r w:rsidR="007F45E3" w:rsidRPr="00286395">
        <w:rPr>
          <w:rFonts w:ascii="Times New Roman" w:hAnsi="Times New Roman"/>
          <w:sz w:val="24"/>
          <w:szCs w:val="24"/>
          <w:lang w:eastAsia="en-US"/>
        </w:rPr>
        <w:t xml:space="preserve">jejich </w:t>
      </w:r>
      <w:r w:rsidRPr="00286395">
        <w:rPr>
          <w:rFonts w:ascii="Times New Roman" w:hAnsi="Times New Roman"/>
          <w:sz w:val="24"/>
          <w:szCs w:val="24"/>
          <w:lang w:eastAsia="en-US"/>
        </w:rPr>
        <w:t xml:space="preserve">konkurence v ostatních zemích </w:t>
      </w:r>
      <w:r w:rsidR="002D6762" w:rsidRPr="00286395">
        <w:rPr>
          <w:rFonts w:ascii="Times New Roman" w:hAnsi="Times New Roman"/>
          <w:sz w:val="24"/>
          <w:szCs w:val="24"/>
          <w:lang w:eastAsia="en-US"/>
        </w:rPr>
        <w:t>O</w:t>
      </w:r>
      <w:r w:rsidR="002D6762">
        <w:rPr>
          <w:rFonts w:ascii="Times New Roman" w:hAnsi="Times New Roman"/>
          <w:sz w:val="24"/>
          <w:szCs w:val="24"/>
          <w:lang w:eastAsia="en-US"/>
        </w:rPr>
        <w:t>rganizace pro hospodářskou spolupráci a</w:t>
      </w:r>
      <w:r w:rsidR="00D038DD">
        <w:rPr>
          <w:rFonts w:ascii="Times New Roman" w:hAnsi="Times New Roman"/>
          <w:sz w:val="24"/>
          <w:szCs w:val="24"/>
          <w:lang w:eastAsia="en-US"/>
        </w:rPr>
        <w:t> </w:t>
      </w:r>
      <w:r w:rsidR="002D6762">
        <w:rPr>
          <w:rFonts w:ascii="Times New Roman" w:hAnsi="Times New Roman"/>
          <w:sz w:val="24"/>
          <w:szCs w:val="24"/>
          <w:lang w:eastAsia="en-US"/>
        </w:rPr>
        <w:t>rozvoj (dále „O</w:t>
      </w:r>
      <w:r w:rsidR="002D6762" w:rsidRPr="00286395">
        <w:rPr>
          <w:rFonts w:ascii="Times New Roman" w:hAnsi="Times New Roman"/>
          <w:sz w:val="24"/>
          <w:szCs w:val="24"/>
          <w:lang w:eastAsia="en-US"/>
        </w:rPr>
        <w:t>ECD</w:t>
      </w:r>
      <w:r w:rsidR="002D6762">
        <w:rPr>
          <w:rFonts w:ascii="Times New Roman" w:hAnsi="Times New Roman"/>
          <w:sz w:val="24"/>
          <w:szCs w:val="24"/>
          <w:lang w:eastAsia="en-US"/>
        </w:rPr>
        <w:t>“)</w:t>
      </w:r>
      <w:r w:rsidRPr="00286395">
        <w:rPr>
          <w:rFonts w:ascii="Times New Roman" w:hAnsi="Times New Roman"/>
          <w:sz w:val="24"/>
          <w:szCs w:val="24"/>
          <w:lang w:eastAsia="en-US"/>
        </w:rPr>
        <w:t xml:space="preserve">. </w:t>
      </w:r>
    </w:p>
    <w:p w14:paraId="739AC0F4" w14:textId="4458E801" w:rsidR="00E262DD" w:rsidRDefault="00E262DD" w:rsidP="00EB147E">
      <w:pPr>
        <w:spacing w:before="120" w:after="120"/>
        <w:ind w:left="360"/>
        <w:jc w:val="both"/>
        <w:rPr>
          <w:rFonts w:ascii="Times New Roman" w:hAnsi="Times New Roman"/>
          <w:sz w:val="24"/>
          <w:szCs w:val="24"/>
          <w:lang w:eastAsia="en-US"/>
        </w:rPr>
      </w:pPr>
      <w:r w:rsidRPr="00286395">
        <w:rPr>
          <w:rFonts w:ascii="Times New Roman" w:hAnsi="Times New Roman"/>
          <w:sz w:val="24"/>
          <w:szCs w:val="24"/>
          <w:lang w:eastAsia="en-US"/>
        </w:rPr>
        <w:t>Základními formami státní podpory exportu jsou v obecné rovině pojištění vývozních úvěrů proti teritoriálním a dlouhodobým komerčním rizikům nezaplacení ze strany zahraničního kupujícího, financování vývozních úvěrů za zvýhodněných podmínek ve</w:t>
      </w:r>
      <w:r w:rsidR="00355087">
        <w:rPr>
          <w:rFonts w:ascii="Times New Roman" w:hAnsi="Times New Roman"/>
          <w:sz w:val="24"/>
          <w:szCs w:val="24"/>
          <w:lang w:eastAsia="en-US"/>
        </w:rPr>
        <w:t> </w:t>
      </w:r>
      <w:r w:rsidRPr="00286395">
        <w:rPr>
          <w:rFonts w:ascii="Times New Roman" w:hAnsi="Times New Roman"/>
          <w:sz w:val="24"/>
          <w:szCs w:val="24"/>
          <w:lang w:eastAsia="en-US"/>
        </w:rPr>
        <w:t>srovnání s tržními podmínkami, zejména z hlediska délky splatnosti úvěru a úrovně úrokových sazeb</w:t>
      </w:r>
      <w:r w:rsidR="00E11EE6">
        <w:rPr>
          <w:rFonts w:ascii="Times New Roman" w:hAnsi="Times New Roman"/>
          <w:sz w:val="24"/>
          <w:szCs w:val="24"/>
          <w:lang w:eastAsia="en-US"/>
        </w:rPr>
        <w:t>,</w:t>
      </w:r>
      <w:r w:rsidRPr="00286395">
        <w:rPr>
          <w:rFonts w:ascii="Times New Roman" w:hAnsi="Times New Roman"/>
          <w:sz w:val="24"/>
          <w:szCs w:val="24"/>
          <w:lang w:eastAsia="en-US"/>
        </w:rPr>
        <w:t xml:space="preserve"> a</w:t>
      </w:r>
      <w:r w:rsidR="00D038DD">
        <w:rPr>
          <w:rFonts w:ascii="Times New Roman" w:hAnsi="Times New Roman"/>
          <w:sz w:val="24"/>
          <w:szCs w:val="24"/>
          <w:lang w:eastAsia="en-US"/>
        </w:rPr>
        <w:t> </w:t>
      </w:r>
      <w:r w:rsidRPr="00286395">
        <w:rPr>
          <w:rFonts w:ascii="Times New Roman" w:hAnsi="Times New Roman"/>
          <w:sz w:val="24"/>
          <w:szCs w:val="24"/>
          <w:lang w:eastAsia="en-US"/>
        </w:rPr>
        <w:t xml:space="preserve">dorovnávání úrokových rozdílů. Tato trojice nástrojů je obvyklá v různé kombinaci v zemích </w:t>
      </w:r>
      <w:r w:rsidR="002D6762">
        <w:rPr>
          <w:rFonts w:ascii="Times New Roman" w:hAnsi="Times New Roman"/>
          <w:sz w:val="24"/>
          <w:szCs w:val="24"/>
          <w:lang w:eastAsia="en-US"/>
        </w:rPr>
        <w:t xml:space="preserve">OECD </w:t>
      </w:r>
      <w:r w:rsidRPr="00286395">
        <w:rPr>
          <w:rFonts w:ascii="Times New Roman" w:hAnsi="Times New Roman"/>
          <w:sz w:val="24"/>
          <w:szCs w:val="24"/>
          <w:lang w:eastAsia="en-US"/>
        </w:rPr>
        <w:t>a srovnatelné nástroje používají stále intenzivněji i</w:t>
      </w:r>
      <w:r w:rsidR="00355087">
        <w:rPr>
          <w:rFonts w:ascii="Times New Roman" w:hAnsi="Times New Roman"/>
          <w:sz w:val="24"/>
          <w:szCs w:val="24"/>
          <w:lang w:eastAsia="en-US"/>
        </w:rPr>
        <w:t> </w:t>
      </w:r>
      <w:r w:rsidRPr="00286395">
        <w:rPr>
          <w:rFonts w:ascii="Times New Roman" w:hAnsi="Times New Roman"/>
          <w:sz w:val="24"/>
          <w:szCs w:val="24"/>
          <w:lang w:eastAsia="en-US"/>
        </w:rPr>
        <w:t xml:space="preserve">ostatní exportně orientované země. </w:t>
      </w:r>
    </w:p>
    <w:p w14:paraId="12E93BDE" w14:textId="77777777" w:rsidR="000275AD" w:rsidRPr="00BD695E" w:rsidRDefault="000275AD" w:rsidP="000275AD">
      <w:pPr>
        <w:spacing w:before="120" w:after="120"/>
        <w:ind w:left="360"/>
        <w:jc w:val="both"/>
        <w:rPr>
          <w:rFonts w:ascii="Times New Roman" w:hAnsi="Times New Roman"/>
          <w:sz w:val="24"/>
          <w:szCs w:val="24"/>
          <w:lang w:eastAsia="en-US"/>
        </w:rPr>
      </w:pPr>
      <w:r w:rsidRPr="00BD695E">
        <w:rPr>
          <w:rFonts w:ascii="Times New Roman" w:hAnsi="Times New Roman"/>
          <w:sz w:val="24"/>
          <w:szCs w:val="24"/>
          <w:lang w:eastAsia="en-US"/>
        </w:rPr>
        <w:t xml:space="preserve">Systém podpory exportu sestává zpravidla ze služeb poskytování pojistného krytí a financování, které bývají spravovány v jedné, ve dvou či více oddělených institucích či organizačních jednotkách. V některých případech se nejedná o samostatné instituce, ale o přímou součást státní správy. Financování může mít také podobu programu. </w:t>
      </w:r>
    </w:p>
    <w:p w14:paraId="18AA646E" w14:textId="77777777" w:rsidR="000275AD" w:rsidRPr="00BD695E" w:rsidRDefault="000275AD" w:rsidP="000275AD">
      <w:pPr>
        <w:spacing w:before="120" w:after="120"/>
        <w:ind w:left="360"/>
        <w:jc w:val="both"/>
        <w:rPr>
          <w:rFonts w:ascii="Times New Roman" w:hAnsi="Times New Roman"/>
          <w:sz w:val="24"/>
          <w:szCs w:val="24"/>
          <w:lang w:eastAsia="en-US"/>
        </w:rPr>
      </w:pPr>
      <w:proofErr w:type="spellStart"/>
      <w:r w:rsidRPr="00BD695E">
        <w:rPr>
          <w:rFonts w:ascii="Times New Roman" w:hAnsi="Times New Roman"/>
          <w:sz w:val="24"/>
          <w:szCs w:val="24"/>
          <w:lang w:eastAsia="en-US"/>
        </w:rPr>
        <w:t>ECAs</w:t>
      </w:r>
      <w:proofErr w:type="spellEnd"/>
      <w:r w:rsidRPr="00BD695E">
        <w:rPr>
          <w:rFonts w:ascii="Times New Roman" w:hAnsi="Times New Roman"/>
          <w:sz w:val="24"/>
          <w:szCs w:val="24"/>
          <w:lang w:eastAsia="en-US"/>
        </w:rPr>
        <w:t xml:space="preserve"> jsou ve většině případů určitým způsobem napojeny na stát a na státní rozpočet. Toto napojení reflektuje rovněž vlastnickou strukturu, kdy ve většině </w:t>
      </w:r>
      <w:proofErr w:type="spellStart"/>
      <w:r w:rsidRPr="00BD695E">
        <w:rPr>
          <w:rFonts w:ascii="Times New Roman" w:hAnsi="Times New Roman"/>
          <w:sz w:val="24"/>
          <w:szCs w:val="24"/>
          <w:lang w:eastAsia="en-US"/>
        </w:rPr>
        <w:t>ECAs</w:t>
      </w:r>
      <w:proofErr w:type="spellEnd"/>
      <w:r w:rsidRPr="00BD695E">
        <w:rPr>
          <w:rFonts w:ascii="Times New Roman" w:hAnsi="Times New Roman"/>
          <w:sz w:val="24"/>
          <w:szCs w:val="24"/>
          <w:lang w:eastAsia="en-US"/>
        </w:rPr>
        <w:t xml:space="preserve"> vystupuje stát alespoň jako částečný vlastník. Existují nicméně instituce čistě soukromé, které fungují jako agent státu při poskytování podpory exportu.</w:t>
      </w:r>
    </w:p>
    <w:p w14:paraId="5BDB8CF4" w14:textId="77777777" w:rsidR="000275AD" w:rsidRDefault="000275AD" w:rsidP="000275AD">
      <w:pPr>
        <w:spacing w:before="120" w:after="120"/>
        <w:ind w:left="360"/>
        <w:jc w:val="both"/>
        <w:rPr>
          <w:rFonts w:ascii="Times New Roman" w:hAnsi="Times New Roman"/>
          <w:sz w:val="24"/>
          <w:szCs w:val="24"/>
          <w:lang w:eastAsia="en-US"/>
        </w:rPr>
      </w:pPr>
      <w:r w:rsidRPr="00BD695E">
        <w:rPr>
          <w:rFonts w:ascii="Times New Roman" w:hAnsi="Times New Roman"/>
          <w:sz w:val="24"/>
          <w:szCs w:val="24"/>
          <w:lang w:eastAsia="en-US"/>
        </w:rPr>
        <w:t>V případě institucionálního statutu „vláda“ a „soukromý subjekt jednající jménem vlády“ je obvyklé přímé napojení na státní rozpočet a samostatné rozhodování je omezeno jen do</w:t>
      </w:r>
      <w:r w:rsidR="00A75BB5">
        <w:rPr>
          <w:rFonts w:ascii="Times New Roman" w:hAnsi="Times New Roman"/>
          <w:sz w:val="24"/>
          <w:szCs w:val="24"/>
          <w:lang w:eastAsia="en-US"/>
        </w:rPr>
        <w:t> </w:t>
      </w:r>
      <w:r w:rsidRPr="00BD695E">
        <w:rPr>
          <w:rFonts w:ascii="Times New Roman" w:hAnsi="Times New Roman"/>
          <w:sz w:val="24"/>
          <w:szCs w:val="24"/>
          <w:lang w:eastAsia="en-US"/>
        </w:rPr>
        <w:t>určité (spíše nízké) výše transakce. V případě statutu, kdy je entita „vládou kontrolovaná/vlastněná“</w:t>
      </w:r>
      <w:r w:rsidR="00AD4BB9">
        <w:rPr>
          <w:rFonts w:ascii="Times New Roman" w:hAnsi="Times New Roman"/>
          <w:sz w:val="24"/>
          <w:szCs w:val="24"/>
          <w:lang w:eastAsia="en-US"/>
        </w:rPr>
        <w:t>,</w:t>
      </w:r>
      <w:r w:rsidRPr="00BD695E">
        <w:rPr>
          <w:rFonts w:ascii="Times New Roman" w:hAnsi="Times New Roman"/>
          <w:sz w:val="24"/>
          <w:szCs w:val="24"/>
          <w:lang w:eastAsia="en-US"/>
        </w:rPr>
        <w:t xml:space="preserve"> je obvykle využito nepřímého napojení na státní rozpočet v podobě explicitní garance státu a obvykle i kapitálového vkladu. Rozhodování o transakcích je z velké míry autonomní a závisí na vedení dané instituce.</w:t>
      </w:r>
    </w:p>
    <w:p w14:paraId="4CD0E02A" w14:textId="6D812626" w:rsidR="00171499" w:rsidRDefault="0008356B" w:rsidP="0008356B">
      <w:pPr>
        <w:spacing w:before="120" w:after="120"/>
        <w:ind w:left="360"/>
        <w:jc w:val="both"/>
        <w:rPr>
          <w:rFonts w:ascii="Times New Roman" w:hAnsi="Times New Roman"/>
          <w:sz w:val="24"/>
          <w:szCs w:val="24"/>
          <w:lang w:eastAsia="en-US"/>
        </w:rPr>
      </w:pPr>
      <w:r w:rsidRPr="0008356B">
        <w:rPr>
          <w:rFonts w:ascii="Times New Roman" w:hAnsi="Times New Roman"/>
          <w:sz w:val="24"/>
          <w:szCs w:val="24"/>
          <w:lang w:eastAsia="en-US"/>
        </w:rPr>
        <w:t xml:space="preserve">Státní podpora spočívá </w:t>
      </w:r>
      <w:r w:rsidR="00171499">
        <w:rPr>
          <w:rFonts w:ascii="Times New Roman" w:hAnsi="Times New Roman"/>
          <w:sz w:val="24"/>
          <w:szCs w:val="24"/>
          <w:lang w:eastAsia="en-US"/>
        </w:rPr>
        <w:t xml:space="preserve">jednak </w:t>
      </w:r>
      <w:r w:rsidRPr="0008356B">
        <w:rPr>
          <w:rFonts w:ascii="Times New Roman" w:hAnsi="Times New Roman"/>
          <w:sz w:val="24"/>
          <w:szCs w:val="24"/>
          <w:lang w:eastAsia="en-US"/>
        </w:rPr>
        <w:t>v ručení státu za závazky, vyplývající z uzavřených pojistných smluv</w:t>
      </w:r>
      <w:r w:rsidR="00BE37B0">
        <w:rPr>
          <w:rFonts w:ascii="Times New Roman" w:hAnsi="Times New Roman"/>
          <w:sz w:val="24"/>
          <w:szCs w:val="24"/>
          <w:lang w:eastAsia="en-US"/>
        </w:rPr>
        <w:t xml:space="preserve"> exportní pojišťovny</w:t>
      </w:r>
      <w:r w:rsidR="008A2668">
        <w:rPr>
          <w:rFonts w:ascii="Times New Roman" w:hAnsi="Times New Roman"/>
          <w:sz w:val="24"/>
          <w:szCs w:val="24"/>
          <w:lang w:eastAsia="en-US"/>
        </w:rPr>
        <w:t xml:space="preserve"> </w:t>
      </w:r>
      <w:r w:rsidR="00BE37B0">
        <w:rPr>
          <w:rFonts w:ascii="Times New Roman" w:hAnsi="Times New Roman"/>
          <w:sz w:val="24"/>
          <w:szCs w:val="24"/>
          <w:lang w:eastAsia="en-US"/>
        </w:rPr>
        <w:t xml:space="preserve">a za závazky exportní banky vzniklé v souvislosti se získáváním zdrojů </w:t>
      </w:r>
      <w:r w:rsidR="00B23424">
        <w:rPr>
          <w:rFonts w:ascii="Times New Roman" w:hAnsi="Times New Roman"/>
          <w:sz w:val="24"/>
          <w:szCs w:val="24"/>
          <w:lang w:eastAsia="en-US"/>
        </w:rPr>
        <w:t>na finančních trzích</w:t>
      </w:r>
      <w:r w:rsidR="00BE37B0">
        <w:rPr>
          <w:rFonts w:ascii="Times New Roman" w:hAnsi="Times New Roman"/>
          <w:sz w:val="24"/>
          <w:szCs w:val="24"/>
          <w:lang w:eastAsia="en-US"/>
        </w:rPr>
        <w:t xml:space="preserve"> </w:t>
      </w:r>
      <w:r w:rsidR="008A2668" w:rsidRPr="00D804D5">
        <w:rPr>
          <w:rFonts w:ascii="Times New Roman" w:hAnsi="Times New Roman"/>
          <w:sz w:val="24"/>
          <w:szCs w:val="24"/>
          <w:lang w:eastAsia="en-US"/>
        </w:rPr>
        <w:t xml:space="preserve">a </w:t>
      </w:r>
      <w:r w:rsidR="00171499">
        <w:rPr>
          <w:rFonts w:ascii="Times New Roman" w:hAnsi="Times New Roman"/>
          <w:sz w:val="24"/>
          <w:szCs w:val="24"/>
          <w:lang w:eastAsia="en-US"/>
        </w:rPr>
        <w:t>jednak</w:t>
      </w:r>
      <w:r w:rsidR="00BE37B0" w:rsidRPr="00D804D5">
        <w:rPr>
          <w:rFonts w:ascii="Times New Roman" w:hAnsi="Times New Roman"/>
          <w:sz w:val="24"/>
          <w:szCs w:val="24"/>
          <w:lang w:eastAsia="en-US"/>
        </w:rPr>
        <w:t xml:space="preserve"> </w:t>
      </w:r>
      <w:r w:rsidR="008A2668" w:rsidRPr="00D804D5">
        <w:rPr>
          <w:rFonts w:ascii="Times New Roman" w:hAnsi="Times New Roman"/>
          <w:sz w:val="24"/>
          <w:szCs w:val="24"/>
          <w:lang w:eastAsia="en-US"/>
        </w:rPr>
        <w:t>v poskytování dotací ze státního rozpočtu</w:t>
      </w:r>
      <w:r w:rsidR="00A10DAE" w:rsidRPr="00D804D5">
        <w:rPr>
          <w:rFonts w:ascii="Times New Roman" w:hAnsi="Times New Roman"/>
          <w:sz w:val="24"/>
          <w:szCs w:val="24"/>
          <w:lang w:eastAsia="en-US"/>
        </w:rPr>
        <w:t>.</w:t>
      </w:r>
      <w:r w:rsidR="00E5610D">
        <w:rPr>
          <w:rFonts w:ascii="Times New Roman" w:hAnsi="Times New Roman"/>
          <w:sz w:val="24"/>
          <w:szCs w:val="24"/>
          <w:lang w:eastAsia="en-US"/>
        </w:rPr>
        <w:t xml:space="preserve"> </w:t>
      </w:r>
    </w:p>
    <w:p w14:paraId="5852168A" w14:textId="403777D5" w:rsidR="0008356B" w:rsidRPr="0008356B" w:rsidRDefault="0008356B" w:rsidP="0008356B">
      <w:pPr>
        <w:spacing w:before="120" w:after="120"/>
        <w:ind w:left="360"/>
        <w:jc w:val="both"/>
        <w:rPr>
          <w:rFonts w:ascii="Times New Roman" w:hAnsi="Times New Roman"/>
          <w:sz w:val="24"/>
          <w:szCs w:val="24"/>
          <w:lang w:eastAsia="en-US"/>
        </w:rPr>
      </w:pPr>
      <w:r w:rsidRPr="0008356B">
        <w:rPr>
          <w:rFonts w:ascii="Times New Roman" w:hAnsi="Times New Roman"/>
          <w:sz w:val="24"/>
          <w:szCs w:val="24"/>
          <w:lang w:eastAsia="en-US"/>
        </w:rPr>
        <w:t>Podpora vývozu poskytovaná státem je jedním z významných předpokladů konkurenceschopnosti národních exportérů, protože zabraňuje znevýhodnění českých podnikatelů na mezinárodních trzích oproti zahraniční konkurenci. Je nezbytné, aby měli exportéři a jejich financující banky k dispozici plnou škálu efektivních pojistných produktů pokrývajících rizika financování ve všech fázích exportního případu, a byli o</w:t>
      </w:r>
      <w:r w:rsidR="00355087">
        <w:rPr>
          <w:rFonts w:ascii="Times New Roman" w:hAnsi="Times New Roman"/>
          <w:sz w:val="24"/>
          <w:szCs w:val="24"/>
          <w:lang w:eastAsia="en-US"/>
        </w:rPr>
        <w:t> </w:t>
      </w:r>
      <w:r w:rsidRPr="0008356B">
        <w:rPr>
          <w:rFonts w:ascii="Times New Roman" w:hAnsi="Times New Roman"/>
          <w:sz w:val="24"/>
          <w:szCs w:val="24"/>
          <w:lang w:eastAsia="en-US"/>
        </w:rPr>
        <w:t xml:space="preserve">možnostech pojištění náležitě informováni. Za tímto účelem poskytuje </w:t>
      </w:r>
      <w:r>
        <w:rPr>
          <w:rFonts w:ascii="Times New Roman" w:hAnsi="Times New Roman"/>
          <w:sz w:val="24"/>
          <w:szCs w:val="24"/>
          <w:lang w:eastAsia="en-US"/>
        </w:rPr>
        <w:t>exportní pojišťovna</w:t>
      </w:r>
      <w:r w:rsidRPr="0008356B">
        <w:rPr>
          <w:rFonts w:ascii="Times New Roman" w:hAnsi="Times New Roman"/>
          <w:sz w:val="24"/>
          <w:szCs w:val="24"/>
          <w:lang w:eastAsia="en-US"/>
        </w:rPr>
        <w:t xml:space="preserve"> </w:t>
      </w:r>
      <w:r w:rsidR="00E5610D">
        <w:rPr>
          <w:rFonts w:ascii="Times New Roman" w:hAnsi="Times New Roman"/>
          <w:sz w:val="24"/>
          <w:szCs w:val="24"/>
          <w:lang w:eastAsia="en-US"/>
        </w:rPr>
        <w:t xml:space="preserve">a exportní banka </w:t>
      </w:r>
      <w:r w:rsidRPr="0008356B">
        <w:rPr>
          <w:rFonts w:ascii="Times New Roman" w:hAnsi="Times New Roman"/>
          <w:sz w:val="24"/>
          <w:szCs w:val="24"/>
          <w:lang w:eastAsia="en-US"/>
        </w:rPr>
        <w:t xml:space="preserve">své služby českým exportérům coby oficiální součást státní podpory vývozu. </w:t>
      </w:r>
    </w:p>
    <w:p w14:paraId="60378512" w14:textId="00BEDAB0" w:rsidR="0008356B" w:rsidRPr="00171499" w:rsidRDefault="0008356B" w:rsidP="0008356B">
      <w:pPr>
        <w:spacing w:before="120" w:after="120"/>
        <w:ind w:left="360"/>
        <w:jc w:val="both"/>
        <w:rPr>
          <w:rFonts w:ascii="Times New Roman" w:hAnsi="Times New Roman"/>
          <w:sz w:val="24"/>
          <w:szCs w:val="24"/>
          <w:lang w:eastAsia="en-US"/>
        </w:rPr>
      </w:pPr>
      <w:r w:rsidRPr="0008356B">
        <w:rPr>
          <w:rFonts w:ascii="Times New Roman" w:hAnsi="Times New Roman"/>
          <w:sz w:val="24"/>
          <w:szCs w:val="24"/>
          <w:lang w:eastAsia="en-US"/>
        </w:rPr>
        <w:t xml:space="preserve">Ve většině případů se jedná o vývozy do zemí, kde politické, ekonomické a právní prostředí přináší větší míru nejistoty, a tím i vyšší rizika nezaplacení. Rizika se dělí </w:t>
      </w:r>
      <w:r w:rsidR="008A2668" w:rsidRPr="00171499">
        <w:rPr>
          <w:rFonts w:ascii="Times New Roman" w:hAnsi="Times New Roman"/>
          <w:sz w:val="24"/>
          <w:szCs w:val="24"/>
          <w:lang w:eastAsia="en-US"/>
        </w:rPr>
        <w:t>zejména</w:t>
      </w:r>
      <w:r w:rsidR="008A2668">
        <w:rPr>
          <w:rFonts w:ascii="Times New Roman" w:hAnsi="Times New Roman"/>
          <w:sz w:val="24"/>
          <w:szCs w:val="24"/>
          <w:lang w:eastAsia="en-US"/>
        </w:rPr>
        <w:t xml:space="preserve"> </w:t>
      </w:r>
      <w:r w:rsidRPr="0008356B">
        <w:rPr>
          <w:rFonts w:ascii="Times New Roman" w:hAnsi="Times New Roman"/>
          <w:sz w:val="24"/>
          <w:szCs w:val="24"/>
          <w:lang w:eastAsia="en-US"/>
        </w:rPr>
        <w:t xml:space="preserve">na politická a komerční. Politická mají z pohledu účastníků obchodu povahu vyšší moci. Patří mezi ně například administrativní či legislativní opatření země dlužníka, která mu zabrání ve splácení, nebo také politické události v zemi dlužníka v podobě revolucí, válek, generálních stávek apod. Komerční rizika jsou spojena přímo s dlužníkem a mají podobu platební neschopnosti nebo odepření zaplacení pohledávky. Hlavním posláním </w:t>
      </w:r>
      <w:r w:rsidR="00DB5081" w:rsidRPr="00F62F67">
        <w:rPr>
          <w:rFonts w:ascii="Times New Roman" w:hAnsi="Times New Roman"/>
          <w:sz w:val="24"/>
          <w:szCs w:val="24"/>
          <w:lang w:eastAsia="en-US"/>
        </w:rPr>
        <w:t>exportní pojišťovny</w:t>
      </w:r>
      <w:r w:rsidRPr="0008356B">
        <w:rPr>
          <w:rFonts w:ascii="Times New Roman" w:hAnsi="Times New Roman"/>
          <w:sz w:val="24"/>
          <w:szCs w:val="24"/>
          <w:lang w:eastAsia="en-US"/>
        </w:rPr>
        <w:t xml:space="preserve"> je v souladu se zásadou </w:t>
      </w:r>
      <w:proofErr w:type="spellStart"/>
      <w:r w:rsidRPr="0008356B">
        <w:rPr>
          <w:rFonts w:ascii="Times New Roman" w:hAnsi="Times New Roman"/>
          <w:sz w:val="24"/>
          <w:szCs w:val="24"/>
          <w:lang w:eastAsia="en-US"/>
        </w:rPr>
        <w:t>adicionality</w:t>
      </w:r>
      <w:proofErr w:type="spellEnd"/>
      <w:r w:rsidRPr="0008356B">
        <w:rPr>
          <w:rFonts w:ascii="Times New Roman" w:hAnsi="Times New Roman"/>
          <w:sz w:val="24"/>
          <w:szCs w:val="24"/>
          <w:lang w:eastAsia="en-US"/>
        </w:rPr>
        <w:t xml:space="preserve"> poskytovat takové služby, které nenabízí komerční pojistný trh, a které jsou přesto pro exportéry zásadní. Z</w:t>
      </w:r>
      <w:r w:rsidR="00355087">
        <w:rPr>
          <w:rFonts w:ascii="Times New Roman" w:hAnsi="Times New Roman"/>
          <w:sz w:val="24"/>
          <w:szCs w:val="24"/>
          <w:lang w:eastAsia="en-US"/>
        </w:rPr>
        <w:t> </w:t>
      </w:r>
      <w:r w:rsidRPr="0008356B">
        <w:rPr>
          <w:rFonts w:ascii="Times New Roman" w:hAnsi="Times New Roman"/>
          <w:sz w:val="24"/>
          <w:szCs w:val="24"/>
          <w:lang w:eastAsia="en-US"/>
        </w:rPr>
        <w:t>tohoto důvod</w:t>
      </w:r>
      <w:r w:rsidR="000F2BA9">
        <w:rPr>
          <w:rFonts w:ascii="Times New Roman" w:hAnsi="Times New Roman"/>
          <w:sz w:val="24"/>
          <w:szCs w:val="24"/>
          <w:lang w:eastAsia="en-US"/>
        </w:rPr>
        <w:t>u</w:t>
      </w:r>
      <w:r w:rsidRPr="0008356B">
        <w:rPr>
          <w:rFonts w:ascii="Times New Roman" w:hAnsi="Times New Roman"/>
          <w:sz w:val="24"/>
          <w:szCs w:val="24"/>
          <w:lang w:eastAsia="en-US"/>
        </w:rPr>
        <w:t xml:space="preserve"> </w:t>
      </w:r>
      <w:r w:rsidR="00DB5081">
        <w:rPr>
          <w:rFonts w:ascii="Times New Roman" w:hAnsi="Times New Roman"/>
          <w:sz w:val="24"/>
          <w:szCs w:val="24"/>
          <w:lang w:eastAsia="en-US"/>
        </w:rPr>
        <w:t>exportní pojišťovna</w:t>
      </w:r>
      <w:r w:rsidRPr="0008356B">
        <w:rPr>
          <w:rFonts w:ascii="Times New Roman" w:hAnsi="Times New Roman"/>
          <w:sz w:val="24"/>
          <w:szCs w:val="24"/>
          <w:lang w:eastAsia="en-US"/>
        </w:rPr>
        <w:t xml:space="preserve"> svou činnost zaměřuje zejména na poskytování pojištění ve střednědobém a</w:t>
      </w:r>
      <w:r w:rsidR="00DC2161">
        <w:rPr>
          <w:rFonts w:ascii="Times New Roman" w:hAnsi="Times New Roman"/>
          <w:sz w:val="24"/>
          <w:szCs w:val="24"/>
          <w:lang w:eastAsia="en-US"/>
        </w:rPr>
        <w:t> </w:t>
      </w:r>
      <w:r w:rsidRPr="0008356B">
        <w:rPr>
          <w:rFonts w:ascii="Times New Roman" w:hAnsi="Times New Roman"/>
          <w:sz w:val="24"/>
          <w:szCs w:val="24"/>
          <w:lang w:eastAsia="en-US"/>
        </w:rPr>
        <w:t xml:space="preserve">dlouhodobém horizontu v teritoriích, která jsou komerčními pojišťovnami </w:t>
      </w:r>
      <w:r w:rsidR="000F2BA9" w:rsidRPr="00171499">
        <w:rPr>
          <w:rFonts w:ascii="Times New Roman" w:hAnsi="Times New Roman"/>
          <w:sz w:val="24"/>
          <w:szCs w:val="24"/>
          <w:lang w:eastAsia="en-US"/>
        </w:rPr>
        <w:t>vy</w:t>
      </w:r>
      <w:r w:rsidRPr="00171499">
        <w:rPr>
          <w:rFonts w:ascii="Times New Roman" w:hAnsi="Times New Roman"/>
          <w:sz w:val="24"/>
          <w:szCs w:val="24"/>
          <w:lang w:eastAsia="en-US"/>
        </w:rPr>
        <w:t>hodnocen</w:t>
      </w:r>
      <w:r w:rsidR="000F2BA9" w:rsidRPr="00171499">
        <w:rPr>
          <w:rFonts w:ascii="Times New Roman" w:hAnsi="Times New Roman"/>
          <w:sz w:val="24"/>
          <w:szCs w:val="24"/>
          <w:lang w:eastAsia="en-US"/>
        </w:rPr>
        <w:t>a</w:t>
      </w:r>
      <w:r w:rsidRPr="00171499">
        <w:rPr>
          <w:rFonts w:ascii="Times New Roman" w:hAnsi="Times New Roman"/>
          <w:sz w:val="24"/>
          <w:szCs w:val="24"/>
          <w:lang w:eastAsia="en-US"/>
        </w:rPr>
        <w:t xml:space="preserve"> jako rizikovější. Činnost </w:t>
      </w:r>
      <w:r w:rsidR="00DB5081" w:rsidRPr="00171499">
        <w:rPr>
          <w:rFonts w:ascii="Times New Roman" w:hAnsi="Times New Roman"/>
          <w:sz w:val="24"/>
          <w:szCs w:val="24"/>
          <w:lang w:eastAsia="en-US"/>
        </w:rPr>
        <w:t>exportní pojišťovny</w:t>
      </w:r>
      <w:r w:rsidR="000F2BA9" w:rsidRPr="00171499">
        <w:rPr>
          <w:rFonts w:ascii="Times New Roman" w:hAnsi="Times New Roman"/>
          <w:sz w:val="24"/>
          <w:szCs w:val="24"/>
          <w:lang w:eastAsia="en-US"/>
        </w:rPr>
        <w:t xml:space="preserve"> tak vyplňuje tržní mezeru v oblasti pojišťovnictví v České republice</w:t>
      </w:r>
      <w:r w:rsidRPr="00171499">
        <w:rPr>
          <w:rFonts w:ascii="Times New Roman" w:hAnsi="Times New Roman"/>
          <w:sz w:val="24"/>
          <w:szCs w:val="24"/>
          <w:lang w:eastAsia="en-US"/>
        </w:rPr>
        <w:t xml:space="preserve">. </w:t>
      </w:r>
    </w:p>
    <w:p w14:paraId="4CF8F4AE" w14:textId="097C1FB5" w:rsidR="0008356B" w:rsidRPr="00171499" w:rsidRDefault="0008356B" w:rsidP="0008356B">
      <w:pPr>
        <w:spacing w:before="120" w:after="120"/>
        <w:ind w:left="360"/>
        <w:jc w:val="both"/>
        <w:rPr>
          <w:rFonts w:ascii="Times New Roman" w:hAnsi="Times New Roman"/>
          <w:sz w:val="24"/>
          <w:szCs w:val="24"/>
          <w:lang w:eastAsia="en-US"/>
        </w:rPr>
      </w:pPr>
      <w:r w:rsidRPr="00171499">
        <w:rPr>
          <w:rFonts w:ascii="Times New Roman" w:hAnsi="Times New Roman"/>
          <w:sz w:val="24"/>
          <w:szCs w:val="24"/>
          <w:lang w:eastAsia="en-US"/>
        </w:rPr>
        <w:t>E</w:t>
      </w:r>
      <w:r w:rsidR="00DB5081" w:rsidRPr="00171499">
        <w:rPr>
          <w:rFonts w:ascii="Times New Roman" w:hAnsi="Times New Roman"/>
          <w:sz w:val="24"/>
          <w:szCs w:val="24"/>
          <w:lang w:eastAsia="en-US"/>
        </w:rPr>
        <w:t>xportní pojišťovna</w:t>
      </w:r>
      <w:r w:rsidRPr="00171499">
        <w:rPr>
          <w:rFonts w:ascii="Times New Roman" w:hAnsi="Times New Roman"/>
          <w:sz w:val="24"/>
          <w:szCs w:val="24"/>
          <w:lang w:eastAsia="en-US"/>
        </w:rPr>
        <w:t xml:space="preserve"> nepojišťuje celou výši exportního kontraktu. Pojištění se státní podporou tak přináší </w:t>
      </w:r>
      <w:r w:rsidR="00B56A2B" w:rsidRPr="00171499">
        <w:rPr>
          <w:rFonts w:ascii="Times New Roman" w:hAnsi="Times New Roman"/>
          <w:sz w:val="24"/>
          <w:szCs w:val="24"/>
          <w:lang w:eastAsia="en-US"/>
        </w:rPr>
        <w:t>širší</w:t>
      </w:r>
      <w:r w:rsidRPr="00171499">
        <w:rPr>
          <w:rFonts w:ascii="Times New Roman" w:hAnsi="Times New Roman"/>
          <w:sz w:val="24"/>
          <w:szCs w:val="24"/>
          <w:lang w:eastAsia="en-US"/>
        </w:rPr>
        <w:t xml:space="preserve"> efekt, kdy podpořený vývoz může být i několikanásobně vyšší, než je objem pojištění. Takto podpořené vývozy </w:t>
      </w:r>
      <w:r w:rsidR="00B56A2B" w:rsidRPr="00171499">
        <w:rPr>
          <w:rFonts w:ascii="Times New Roman" w:hAnsi="Times New Roman"/>
          <w:sz w:val="24"/>
          <w:szCs w:val="24"/>
          <w:lang w:eastAsia="en-US"/>
        </w:rPr>
        <w:t xml:space="preserve">poskytují obchodní příležitost </w:t>
      </w:r>
      <w:r w:rsidRPr="00171499">
        <w:rPr>
          <w:rFonts w:ascii="Times New Roman" w:hAnsi="Times New Roman"/>
          <w:sz w:val="24"/>
          <w:szCs w:val="24"/>
          <w:lang w:eastAsia="en-US"/>
        </w:rPr>
        <w:t>nejenom samotným exportérům, ale většinou i široké síti jejich subdodavatelů, často z řad malých a</w:t>
      </w:r>
      <w:r w:rsidR="00355087">
        <w:rPr>
          <w:rFonts w:ascii="Times New Roman" w:hAnsi="Times New Roman"/>
          <w:sz w:val="24"/>
          <w:szCs w:val="24"/>
          <w:lang w:eastAsia="en-US"/>
        </w:rPr>
        <w:t> </w:t>
      </w:r>
      <w:r w:rsidRPr="00171499">
        <w:rPr>
          <w:rFonts w:ascii="Times New Roman" w:hAnsi="Times New Roman"/>
          <w:sz w:val="24"/>
          <w:szCs w:val="24"/>
          <w:lang w:eastAsia="en-US"/>
        </w:rPr>
        <w:t>středních podniků (MSP). Znamenají také práci pro stovky lidí a v některých případech i</w:t>
      </w:r>
      <w:r w:rsidR="00355087">
        <w:rPr>
          <w:rFonts w:ascii="Times New Roman" w:hAnsi="Times New Roman"/>
          <w:sz w:val="24"/>
          <w:szCs w:val="24"/>
          <w:lang w:eastAsia="en-US"/>
        </w:rPr>
        <w:t> </w:t>
      </w:r>
      <w:r w:rsidRPr="00171499">
        <w:rPr>
          <w:rFonts w:ascii="Times New Roman" w:hAnsi="Times New Roman"/>
          <w:sz w:val="24"/>
          <w:szCs w:val="24"/>
          <w:lang w:eastAsia="en-US"/>
        </w:rPr>
        <w:t>pomáhají zachovat určitý typ výroby s dlouhodobou tradicí, podpořit zaměstnanost v</w:t>
      </w:r>
      <w:r w:rsidR="00355087">
        <w:rPr>
          <w:rFonts w:ascii="Times New Roman" w:hAnsi="Times New Roman"/>
          <w:sz w:val="24"/>
          <w:szCs w:val="24"/>
          <w:lang w:eastAsia="en-US"/>
        </w:rPr>
        <w:t> </w:t>
      </w:r>
      <w:r w:rsidRPr="00171499">
        <w:rPr>
          <w:rFonts w:ascii="Times New Roman" w:hAnsi="Times New Roman"/>
          <w:sz w:val="24"/>
          <w:szCs w:val="24"/>
          <w:lang w:eastAsia="en-US"/>
        </w:rPr>
        <w:t xml:space="preserve">regionech a udržet vysoce kvalifikované pracovníky. Kromě toho se dnes čeští exportéři s podporou </w:t>
      </w:r>
      <w:r w:rsidR="00DB5081" w:rsidRPr="00171499">
        <w:rPr>
          <w:rFonts w:ascii="Times New Roman" w:hAnsi="Times New Roman"/>
          <w:sz w:val="24"/>
          <w:szCs w:val="24"/>
          <w:lang w:eastAsia="en-US"/>
        </w:rPr>
        <w:t>exportní pojišťovny</w:t>
      </w:r>
      <w:r w:rsidRPr="00171499">
        <w:rPr>
          <w:rFonts w:ascii="Times New Roman" w:hAnsi="Times New Roman"/>
          <w:sz w:val="24"/>
          <w:szCs w:val="24"/>
          <w:lang w:eastAsia="en-US"/>
        </w:rPr>
        <w:t xml:space="preserve"> mnohem častěji než dříve stávají i dodavateli velkých investičních celků namísto pouhých subdodávek; tuto pozitivní změnu ovšem provází i</w:t>
      </w:r>
      <w:r w:rsidR="00355087">
        <w:rPr>
          <w:rFonts w:ascii="Times New Roman" w:hAnsi="Times New Roman"/>
          <w:sz w:val="24"/>
          <w:szCs w:val="24"/>
          <w:lang w:eastAsia="en-US"/>
        </w:rPr>
        <w:t> </w:t>
      </w:r>
      <w:r w:rsidR="009556F0">
        <w:rPr>
          <w:rFonts w:ascii="Times New Roman" w:hAnsi="Times New Roman"/>
          <w:sz w:val="24"/>
          <w:szCs w:val="24"/>
          <w:lang w:eastAsia="en-US"/>
        </w:rPr>
        <w:t>r</w:t>
      </w:r>
      <w:r w:rsidRPr="00171499">
        <w:rPr>
          <w:rFonts w:ascii="Times New Roman" w:hAnsi="Times New Roman"/>
          <w:sz w:val="24"/>
          <w:szCs w:val="24"/>
          <w:lang w:eastAsia="en-US"/>
        </w:rPr>
        <w:t>ostoucí složitost jednotlivých obchodních případů a nároky kladené nejenom na</w:t>
      </w:r>
      <w:r w:rsidR="00FF76EB">
        <w:rPr>
          <w:rFonts w:ascii="Times New Roman" w:hAnsi="Times New Roman"/>
          <w:sz w:val="24"/>
          <w:szCs w:val="24"/>
          <w:lang w:eastAsia="en-US"/>
        </w:rPr>
        <w:t> </w:t>
      </w:r>
      <w:r w:rsidRPr="00171499">
        <w:rPr>
          <w:rFonts w:ascii="Times New Roman" w:hAnsi="Times New Roman"/>
          <w:sz w:val="24"/>
          <w:szCs w:val="24"/>
          <w:lang w:eastAsia="en-US"/>
        </w:rPr>
        <w:t>hlavního kontraktora, ale také na financující banku</w:t>
      </w:r>
      <w:r w:rsidR="00B56A2B" w:rsidRPr="00171499">
        <w:rPr>
          <w:rFonts w:ascii="Times New Roman" w:hAnsi="Times New Roman"/>
          <w:sz w:val="24"/>
          <w:szCs w:val="24"/>
          <w:lang w:eastAsia="en-US"/>
        </w:rPr>
        <w:t>,</w:t>
      </w:r>
      <w:r w:rsidRPr="00171499">
        <w:rPr>
          <w:rFonts w:ascii="Times New Roman" w:hAnsi="Times New Roman"/>
          <w:sz w:val="24"/>
          <w:szCs w:val="24"/>
          <w:lang w:eastAsia="en-US"/>
        </w:rPr>
        <w:t xml:space="preserve"> </w:t>
      </w:r>
      <w:r w:rsidR="00DB5081" w:rsidRPr="00171499">
        <w:rPr>
          <w:rFonts w:ascii="Times New Roman" w:hAnsi="Times New Roman"/>
          <w:sz w:val="24"/>
          <w:szCs w:val="24"/>
          <w:lang w:eastAsia="en-US"/>
        </w:rPr>
        <w:t>exportní pojišťovnu</w:t>
      </w:r>
      <w:r w:rsidR="00B56A2B" w:rsidRPr="00171499">
        <w:rPr>
          <w:rFonts w:ascii="Times New Roman" w:hAnsi="Times New Roman"/>
          <w:sz w:val="24"/>
          <w:szCs w:val="24"/>
          <w:lang w:eastAsia="en-US"/>
        </w:rPr>
        <w:t xml:space="preserve"> a v případě selhání i</w:t>
      </w:r>
      <w:r w:rsidR="00355087">
        <w:rPr>
          <w:rFonts w:ascii="Times New Roman" w:hAnsi="Times New Roman"/>
          <w:sz w:val="24"/>
          <w:szCs w:val="24"/>
          <w:lang w:eastAsia="en-US"/>
        </w:rPr>
        <w:t> </w:t>
      </w:r>
      <w:r w:rsidR="00B56A2B" w:rsidRPr="00171499">
        <w:rPr>
          <w:rFonts w:ascii="Times New Roman" w:hAnsi="Times New Roman"/>
          <w:sz w:val="24"/>
          <w:szCs w:val="24"/>
          <w:lang w:eastAsia="en-US"/>
        </w:rPr>
        <w:t>na</w:t>
      </w:r>
      <w:r w:rsidR="00355087">
        <w:rPr>
          <w:rFonts w:ascii="Times New Roman" w:hAnsi="Times New Roman"/>
          <w:sz w:val="24"/>
          <w:szCs w:val="24"/>
          <w:lang w:eastAsia="en-US"/>
        </w:rPr>
        <w:t> </w:t>
      </w:r>
      <w:r w:rsidR="00B56A2B" w:rsidRPr="00171499">
        <w:rPr>
          <w:rFonts w:ascii="Times New Roman" w:hAnsi="Times New Roman"/>
          <w:sz w:val="24"/>
          <w:szCs w:val="24"/>
          <w:lang w:eastAsia="en-US"/>
        </w:rPr>
        <w:t>státní rozpočet</w:t>
      </w:r>
      <w:r w:rsidRPr="00171499">
        <w:rPr>
          <w:rFonts w:ascii="Times New Roman" w:hAnsi="Times New Roman"/>
          <w:sz w:val="24"/>
          <w:szCs w:val="24"/>
          <w:lang w:eastAsia="en-US"/>
        </w:rPr>
        <w:t xml:space="preserve">. </w:t>
      </w:r>
    </w:p>
    <w:p w14:paraId="05CF9BB2" w14:textId="0533DD56" w:rsidR="0008356B" w:rsidRPr="0008356B" w:rsidRDefault="00755BCC" w:rsidP="0008356B">
      <w:pPr>
        <w:spacing w:before="120" w:after="120"/>
        <w:ind w:left="360"/>
        <w:jc w:val="both"/>
        <w:rPr>
          <w:rFonts w:ascii="Times New Roman" w:hAnsi="Times New Roman"/>
          <w:sz w:val="24"/>
          <w:szCs w:val="24"/>
          <w:lang w:eastAsia="en-US"/>
        </w:rPr>
      </w:pPr>
      <w:r w:rsidRPr="00171499">
        <w:rPr>
          <w:rFonts w:ascii="Times New Roman" w:hAnsi="Times New Roman"/>
          <w:sz w:val="24"/>
          <w:szCs w:val="24"/>
          <w:lang w:eastAsia="en-US"/>
        </w:rPr>
        <w:t xml:space="preserve">Exportní </w:t>
      </w:r>
      <w:r w:rsidR="0008356B" w:rsidRPr="00171499">
        <w:rPr>
          <w:rFonts w:ascii="Times New Roman" w:hAnsi="Times New Roman"/>
          <w:sz w:val="24"/>
          <w:szCs w:val="24"/>
          <w:lang w:eastAsia="en-US"/>
        </w:rPr>
        <w:t>pojištění dává exportérům možnost hledat obchodní příležitosti i mimo země Evropské unie, na dynamicky se rozvíjejících perspektivních trzích Asie, Afriky a</w:t>
      </w:r>
      <w:r w:rsidR="00355087">
        <w:rPr>
          <w:rFonts w:ascii="Times New Roman" w:hAnsi="Times New Roman"/>
          <w:sz w:val="24"/>
          <w:szCs w:val="24"/>
          <w:lang w:eastAsia="en-US"/>
        </w:rPr>
        <w:t> </w:t>
      </w:r>
      <w:r w:rsidR="0008356B" w:rsidRPr="00171499">
        <w:rPr>
          <w:rFonts w:ascii="Times New Roman" w:hAnsi="Times New Roman"/>
          <w:sz w:val="24"/>
          <w:szCs w:val="24"/>
          <w:lang w:eastAsia="en-US"/>
        </w:rPr>
        <w:t>Latinské Ameriky, a získávat nejenom potřebné zkušenosti, ale také reference pro</w:t>
      </w:r>
      <w:r w:rsidR="00355087">
        <w:rPr>
          <w:rFonts w:ascii="Times New Roman" w:hAnsi="Times New Roman"/>
          <w:sz w:val="24"/>
          <w:szCs w:val="24"/>
          <w:lang w:eastAsia="en-US"/>
        </w:rPr>
        <w:t> </w:t>
      </w:r>
      <w:r w:rsidR="0008356B" w:rsidRPr="00171499">
        <w:rPr>
          <w:rFonts w:ascii="Times New Roman" w:hAnsi="Times New Roman"/>
          <w:sz w:val="24"/>
          <w:szCs w:val="24"/>
          <w:lang w:eastAsia="en-US"/>
        </w:rPr>
        <w:t xml:space="preserve">navazování </w:t>
      </w:r>
      <w:r w:rsidRPr="00171499">
        <w:rPr>
          <w:rFonts w:ascii="Times New Roman" w:hAnsi="Times New Roman"/>
          <w:sz w:val="24"/>
          <w:szCs w:val="24"/>
          <w:lang w:eastAsia="en-US"/>
        </w:rPr>
        <w:t>budoucích</w:t>
      </w:r>
      <w:r w:rsidR="0008356B" w:rsidRPr="00171499">
        <w:rPr>
          <w:rFonts w:ascii="Times New Roman" w:hAnsi="Times New Roman"/>
          <w:sz w:val="24"/>
          <w:szCs w:val="24"/>
          <w:lang w:eastAsia="en-US"/>
        </w:rPr>
        <w:t xml:space="preserve"> obchodních kontaktů. Činnost </w:t>
      </w:r>
      <w:r w:rsidR="00DB5081" w:rsidRPr="00171499">
        <w:rPr>
          <w:rFonts w:ascii="Times New Roman" w:hAnsi="Times New Roman"/>
          <w:sz w:val="24"/>
          <w:szCs w:val="24"/>
          <w:lang w:eastAsia="en-US"/>
        </w:rPr>
        <w:t>exportní pojišťovny</w:t>
      </w:r>
      <w:r w:rsidR="0008356B" w:rsidRPr="00171499">
        <w:rPr>
          <w:rFonts w:ascii="Times New Roman" w:hAnsi="Times New Roman"/>
          <w:sz w:val="24"/>
          <w:szCs w:val="24"/>
          <w:lang w:eastAsia="en-US"/>
        </w:rPr>
        <w:t xml:space="preserve"> tak aktivně přispívá k naplnění požadavku diverzifikace vývozu, jež je součástí Exportní strategie České republiky.</w:t>
      </w:r>
    </w:p>
    <w:p w14:paraId="48A5C58E" w14:textId="6E351FF1" w:rsidR="00BD5919" w:rsidRPr="00BD695E" w:rsidRDefault="00BD5919" w:rsidP="00BD5919">
      <w:pPr>
        <w:spacing w:before="120" w:after="120"/>
        <w:ind w:left="360"/>
        <w:jc w:val="both"/>
        <w:rPr>
          <w:rFonts w:ascii="Times New Roman" w:hAnsi="Times New Roman"/>
          <w:sz w:val="24"/>
          <w:szCs w:val="24"/>
          <w:lang w:eastAsia="en-US"/>
        </w:rPr>
      </w:pPr>
      <w:r w:rsidRPr="00BD695E">
        <w:rPr>
          <w:rFonts w:ascii="Times New Roman" w:hAnsi="Times New Roman"/>
          <w:sz w:val="24"/>
          <w:szCs w:val="24"/>
          <w:lang w:eastAsia="en-US"/>
        </w:rPr>
        <w:t>V</w:t>
      </w:r>
      <w:r w:rsidR="00882655">
        <w:rPr>
          <w:rFonts w:ascii="Times New Roman" w:hAnsi="Times New Roman"/>
          <w:sz w:val="24"/>
          <w:szCs w:val="24"/>
          <w:lang w:eastAsia="en-US"/>
        </w:rPr>
        <w:t xml:space="preserve">e vyspělých zemích </w:t>
      </w:r>
      <w:r w:rsidRPr="00BD695E">
        <w:rPr>
          <w:rFonts w:ascii="Times New Roman" w:hAnsi="Times New Roman"/>
          <w:sz w:val="24"/>
          <w:szCs w:val="24"/>
          <w:lang w:eastAsia="en-US"/>
        </w:rPr>
        <w:t>lze</w:t>
      </w:r>
      <w:r w:rsidR="00882655">
        <w:rPr>
          <w:rFonts w:ascii="Times New Roman" w:hAnsi="Times New Roman"/>
          <w:sz w:val="24"/>
          <w:szCs w:val="24"/>
          <w:lang w:eastAsia="en-US"/>
        </w:rPr>
        <w:t xml:space="preserve"> v zásadě</w:t>
      </w:r>
      <w:r w:rsidRPr="00BD695E">
        <w:rPr>
          <w:rFonts w:ascii="Times New Roman" w:hAnsi="Times New Roman"/>
          <w:sz w:val="24"/>
          <w:szCs w:val="24"/>
          <w:lang w:eastAsia="en-US"/>
        </w:rPr>
        <w:t xml:space="preserve"> rozlišit tři základní typy institucí poskytujících státní podporu exportu:</w:t>
      </w:r>
    </w:p>
    <w:p w14:paraId="1A98B5A6" w14:textId="77777777" w:rsidR="00BD5919" w:rsidRPr="00BD695E" w:rsidRDefault="00BD5919" w:rsidP="00BD5919">
      <w:pPr>
        <w:spacing w:before="120" w:after="120"/>
        <w:ind w:left="360"/>
        <w:jc w:val="both"/>
        <w:rPr>
          <w:rFonts w:ascii="Times New Roman" w:hAnsi="Times New Roman"/>
          <w:sz w:val="24"/>
          <w:szCs w:val="24"/>
          <w:lang w:eastAsia="en-US"/>
        </w:rPr>
      </w:pPr>
      <w:r w:rsidRPr="00BD695E">
        <w:rPr>
          <w:rFonts w:ascii="Times New Roman" w:hAnsi="Times New Roman"/>
          <w:sz w:val="24"/>
          <w:szCs w:val="24"/>
          <w:lang w:eastAsia="en-US"/>
        </w:rPr>
        <w:t>a) pojišťovna exportních úvěrů – pojišťuje vývozní úvěry vývozcům a finančním institucím, které financují vývoz, zpravidla též pojišťuje i investice do zahraničí a zvýhodněné úrokové sazby komerčním bankám (Dánsko, Itálie, Nizozemsko, Nový Zéland, Polsko, Portugalsko, Řecko, Velká Británie, Španělsko, Švýcarsko);</w:t>
      </w:r>
    </w:p>
    <w:p w14:paraId="6F7D6BB5" w14:textId="77777777" w:rsidR="00BD5919" w:rsidRPr="00BD695E" w:rsidRDefault="00BD5919" w:rsidP="00BD5919">
      <w:pPr>
        <w:spacing w:before="120" w:after="120"/>
        <w:ind w:left="360"/>
        <w:jc w:val="both"/>
        <w:rPr>
          <w:rFonts w:ascii="Times New Roman" w:hAnsi="Times New Roman"/>
          <w:sz w:val="24"/>
          <w:szCs w:val="24"/>
          <w:lang w:eastAsia="en-US"/>
        </w:rPr>
      </w:pPr>
      <w:r w:rsidRPr="00BD695E">
        <w:rPr>
          <w:rFonts w:ascii="Times New Roman" w:hAnsi="Times New Roman"/>
          <w:sz w:val="24"/>
          <w:szCs w:val="24"/>
          <w:lang w:eastAsia="en-US"/>
        </w:rPr>
        <w:t>b) jedna instituce kombinující pojišťovací a bankovní činnost – zpravidla instituce svého druhu nepodléhající bankovní ani pojišťovací legislativě, ale ustavená na základě zvláštního zákona (Austrálie, Belgie, Kanada, Mexiko, Rakousko, Slovensko, Slovinsko, Turecko, USA);</w:t>
      </w:r>
    </w:p>
    <w:p w14:paraId="3999E6C1" w14:textId="77777777" w:rsidR="008718F7" w:rsidRDefault="00BD5919" w:rsidP="00BD5919">
      <w:pPr>
        <w:spacing w:before="120" w:after="120"/>
        <w:ind w:left="360"/>
        <w:jc w:val="both"/>
        <w:rPr>
          <w:rFonts w:ascii="Times New Roman" w:hAnsi="Times New Roman"/>
          <w:sz w:val="24"/>
          <w:szCs w:val="24"/>
          <w:lang w:eastAsia="en-US"/>
        </w:rPr>
      </w:pPr>
      <w:r w:rsidRPr="00BD695E">
        <w:rPr>
          <w:rFonts w:ascii="Times New Roman" w:hAnsi="Times New Roman"/>
          <w:sz w:val="24"/>
          <w:szCs w:val="24"/>
          <w:lang w:eastAsia="en-US"/>
        </w:rPr>
        <w:t>c) specializovaná banka s výlučnou působností na podporu vývozu, popř. i na další formy státní podpory podnikání, a další instituce jako pojišťovna exportních úvěrů (ČR, Finsko, Francie, Japonsko, Jižní Korea, Lucembursko, Maďarsko, SRN, Norsko, Švédsko).</w:t>
      </w:r>
    </w:p>
    <w:p w14:paraId="60365872" w14:textId="77777777" w:rsidR="00BD5919" w:rsidRDefault="008718F7" w:rsidP="00BD5919">
      <w:pPr>
        <w:spacing w:before="120" w:after="120"/>
        <w:ind w:left="360"/>
        <w:jc w:val="both"/>
        <w:rPr>
          <w:rFonts w:ascii="Times New Roman" w:hAnsi="Times New Roman"/>
          <w:sz w:val="24"/>
          <w:szCs w:val="24"/>
          <w:lang w:eastAsia="en-US"/>
        </w:rPr>
      </w:pPr>
      <w:r>
        <w:rPr>
          <w:rFonts w:ascii="Times New Roman" w:hAnsi="Times New Roman"/>
          <w:sz w:val="24"/>
          <w:szCs w:val="24"/>
          <w:lang w:eastAsia="en-US"/>
        </w:rPr>
        <w:t xml:space="preserve">Jak je patrné z výše uvedeného, jednotlivé národní systémy se výrazně liší a nejsou zcela přenositelné do jiného národního prostředí. </w:t>
      </w:r>
      <w:r w:rsidR="004F021B">
        <w:rPr>
          <w:rFonts w:ascii="Times New Roman" w:hAnsi="Times New Roman"/>
          <w:sz w:val="24"/>
          <w:szCs w:val="24"/>
          <w:lang w:eastAsia="en-US"/>
        </w:rPr>
        <w:t>Hlavní odlišnosti spočívají v následujících parametrech:</w:t>
      </w:r>
    </w:p>
    <w:p w14:paraId="1FEC018E" w14:textId="77777777" w:rsidR="008718F7" w:rsidRPr="004F021B" w:rsidRDefault="008718F7" w:rsidP="004F021B">
      <w:pPr>
        <w:pStyle w:val="Odstavecseseznamem"/>
        <w:numPr>
          <w:ilvl w:val="0"/>
          <w:numId w:val="42"/>
        </w:numPr>
        <w:spacing w:before="120" w:after="120"/>
        <w:jc w:val="both"/>
        <w:rPr>
          <w:rFonts w:ascii="Times New Roman" w:hAnsi="Times New Roman"/>
          <w:sz w:val="24"/>
          <w:szCs w:val="24"/>
          <w:lang w:eastAsia="en-US"/>
        </w:rPr>
      </w:pPr>
      <w:proofErr w:type="spellStart"/>
      <w:r w:rsidRPr="004F021B">
        <w:rPr>
          <w:rFonts w:ascii="Times New Roman" w:hAnsi="Times New Roman"/>
          <w:sz w:val="24"/>
          <w:szCs w:val="24"/>
          <w:lang w:eastAsia="en-US"/>
        </w:rPr>
        <w:t>Governance</w:t>
      </w:r>
      <w:proofErr w:type="spellEnd"/>
      <w:r w:rsidRPr="004F021B">
        <w:rPr>
          <w:rFonts w:ascii="Times New Roman" w:hAnsi="Times New Roman"/>
          <w:sz w:val="24"/>
          <w:szCs w:val="24"/>
          <w:lang w:eastAsia="en-US"/>
        </w:rPr>
        <w:t xml:space="preserve"> (fungování systému) a způsob dohledu </w:t>
      </w:r>
    </w:p>
    <w:p w14:paraId="3C046CE4" w14:textId="77777777" w:rsidR="008718F7" w:rsidRPr="004F021B" w:rsidRDefault="008718F7" w:rsidP="004F021B">
      <w:pPr>
        <w:pStyle w:val="Odstavecseseznamem"/>
        <w:numPr>
          <w:ilvl w:val="0"/>
          <w:numId w:val="42"/>
        </w:numPr>
        <w:spacing w:before="120" w:after="120"/>
        <w:jc w:val="both"/>
        <w:rPr>
          <w:rFonts w:ascii="Times New Roman" w:hAnsi="Times New Roman"/>
          <w:sz w:val="24"/>
          <w:szCs w:val="24"/>
          <w:lang w:eastAsia="en-US"/>
        </w:rPr>
      </w:pPr>
      <w:r w:rsidRPr="004F021B">
        <w:rPr>
          <w:rFonts w:ascii="Times New Roman" w:hAnsi="Times New Roman"/>
          <w:sz w:val="24"/>
          <w:szCs w:val="24"/>
          <w:lang w:eastAsia="en-US"/>
        </w:rPr>
        <w:t xml:space="preserve">Výše pojistného krytí a spoluúčasti banky </w:t>
      </w:r>
    </w:p>
    <w:p w14:paraId="10D24B89" w14:textId="77777777" w:rsidR="008718F7" w:rsidRPr="004F021B" w:rsidRDefault="008718F7" w:rsidP="004F021B">
      <w:pPr>
        <w:pStyle w:val="Odstavecseseznamem"/>
        <w:numPr>
          <w:ilvl w:val="0"/>
          <w:numId w:val="42"/>
        </w:numPr>
        <w:spacing w:before="120" w:after="120"/>
        <w:jc w:val="both"/>
        <w:rPr>
          <w:rFonts w:ascii="Times New Roman" w:hAnsi="Times New Roman"/>
          <w:sz w:val="24"/>
          <w:szCs w:val="24"/>
          <w:lang w:eastAsia="en-US"/>
        </w:rPr>
      </w:pPr>
      <w:r w:rsidRPr="004F021B">
        <w:rPr>
          <w:rFonts w:ascii="Times New Roman" w:hAnsi="Times New Roman"/>
          <w:sz w:val="24"/>
          <w:szCs w:val="24"/>
          <w:lang w:eastAsia="en-US"/>
        </w:rPr>
        <w:t xml:space="preserve">Minimální národní podíl/ národní zájem </w:t>
      </w:r>
    </w:p>
    <w:p w14:paraId="6EA87F0A" w14:textId="65261962" w:rsidR="008718F7" w:rsidRPr="004F021B" w:rsidRDefault="008718F7" w:rsidP="004F021B">
      <w:pPr>
        <w:pStyle w:val="Odstavecseseznamem"/>
        <w:numPr>
          <w:ilvl w:val="0"/>
          <w:numId w:val="42"/>
        </w:numPr>
        <w:spacing w:before="120" w:after="120"/>
        <w:jc w:val="both"/>
        <w:rPr>
          <w:rFonts w:ascii="Times New Roman" w:hAnsi="Times New Roman"/>
          <w:sz w:val="24"/>
          <w:szCs w:val="24"/>
          <w:lang w:eastAsia="en-US"/>
        </w:rPr>
      </w:pPr>
      <w:r w:rsidRPr="004F021B">
        <w:rPr>
          <w:rFonts w:ascii="Times New Roman" w:hAnsi="Times New Roman"/>
          <w:sz w:val="24"/>
          <w:szCs w:val="24"/>
          <w:lang w:eastAsia="en-US"/>
        </w:rPr>
        <w:t>Pojistné (jeho výše, možnosti je financování, způsob úhrady, další poplatky spojené s</w:t>
      </w:r>
      <w:r w:rsidR="00355087">
        <w:rPr>
          <w:rFonts w:ascii="Times New Roman" w:hAnsi="Times New Roman"/>
          <w:sz w:val="24"/>
          <w:szCs w:val="24"/>
          <w:lang w:eastAsia="en-US"/>
        </w:rPr>
        <w:t> p</w:t>
      </w:r>
      <w:r w:rsidRPr="004F021B">
        <w:rPr>
          <w:rFonts w:ascii="Times New Roman" w:hAnsi="Times New Roman"/>
          <w:sz w:val="24"/>
          <w:szCs w:val="24"/>
          <w:lang w:eastAsia="en-US"/>
        </w:rPr>
        <w:t xml:space="preserve">ojistným krytím) </w:t>
      </w:r>
    </w:p>
    <w:p w14:paraId="511E8C48" w14:textId="77777777" w:rsidR="008718F7" w:rsidRPr="004F021B" w:rsidRDefault="008718F7" w:rsidP="004F021B">
      <w:pPr>
        <w:pStyle w:val="Odstavecseseznamem"/>
        <w:numPr>
          <w:ilvl w:val="0"/>
          <w:numId w:val="42"/>
        </w:numPr>
        <w:spacing w:before="120" w:after="120"/>
        <w:jc w:val="both"/>
        <w:rPr>
          <w:rFonts w:ascii="Times New Roman" w:hAnsi="Times New Roman"/>
          <w:sz w:val="24"/>
          <w:szCs w:val="24"/>
          <w:lang w:eastAsia="en-US"/>
        </w:rPr>
      </w:pPr>
      <w:r w:rsidRPr="004F021B">
        <w:rPr>
          <w:rFonts w:ascii="Times New Roman" w:hAnsi="Times New Roman"/>
          <w:sz w:val="24"/>
          <w:szCs w:val="24"/>
          <w:lang w:eastAsia="en-US"/>
        </w:rPr>
        <w:t xml:space="preserve">Přijetí / nepřijetí dokumentačního rizika ze strany ECA </w:t>
      </w:r>
    </w:p>
    <w:p w14:paraId="1BF8847E" w14:textId="18F73E71" w:rsidR="008718F7" w:rsidRPr="004F021B" w:rsidRDefault="008718F7" w:rsidP="004F021B">
      <w:pPr>
        <w:pStyle w:val="Odstavecseseznamem"/>
        <w:numPr>
          <w:ilvl w:val="0"/>
          <w:numId w:val="42"/>
        </w:numPr>
        <w:spacing w:before="120" w:after="120"/>
        <w:jc w:val="both"/>
        <w:rPr>
          <w:rFonts w:ascii="Times New Roman" w:hAnsi="Times New Roman"/>
          <w:sz w:val="24"/>
          <w:szCs w:val="24"/>
          <w:lang w:eastAsia="en-US"/>
        </w:rPr>
      </w:pPr>
      <w:r w:rsidRPr="004F021B">
        <w:rPr>
          <w:rFonts w:ascii="Times New Roman" w:hAnsi="Times New Roman"/>
          <w:sz w:val="24"/>
          <w:szCs w:val="24"/>
          <w:lang w:eastAsia="en-US"/>
        </w:rPr>
        <w:t>Používání bonusu/malusu při stanovení míry spoluúčasti ze strany banky, resp.</w:t>
      </w:r>
      <w:r w:rsidR="00FF76EB">
        <w:rPr>
          <w:rFonts w:ascii="Times New Roman" w:hAnsi="Times New Roman"/>
          <w:sz w:val="24"/>
          <w:szCs w:val="24"/>
          <w:lang w:eastAsia="en-US"/>
        </w:rPr>
        <w:t> </w:t>
      </w:r>
      <w:r w:rsidRPr="004F021B">
        <w:rPr>
          <w:rFonts w:ascii="Times New Roman" w:hAnsi="Times New Roman"/>
          <w:sz w:val="24"/>
          <w:szCs w:val="24"/>
          <w:lang w:eastAsia="en-US"/>
        </w:rPr>
        <w:t xml:space="preserve">pojištěné části ze strany ECA </w:t>
      </w:r>
    </w:p>
    <w:p w14:paraId="27FFA38D" w14:textId="77777777" w:rsidR="00AE172D" w:rsidRPr="00AE172D" w:rsidRDefault="00AE172D" w:rsidP="00AE172D">
      <w:pPr>
        <w:pStyle w:val="Odstavecseseznamem"/>
        <w:numPr>
          <w:ilvl w:val="0"/>
          <w:numId w:val="42"/>
        </w:numPr>
        <w:spacing w:before="120" w:after="120"/>
        <w:jc w:val="both"/>
        <w:rPr>
          <w:rFonts w:ascii="Times New Roman" w:hAnsi="Times New Roman"/>
          <w:sz w:val="24"/>
          <w:szCs w:val="24"/>
          <w:lang w:eastAsia="en-US"/>
        </w:rPr>
      </w:pPr>
      <w:r w:rsidRPr="00AE172D">
        <w:rPr>
          <w:rFonts w:ascii="Times New Roman" w:hAnsi="Times New Roman"/>
          <w:sz w:val="24"/>
          <w:szCs w:val="24"/>
          <w:lang w:eastAsia="en-US"/>
        </w:rPr>
        <w:t xml:space="preserve">Zajištění pohledávky (správa, monitoring atd.) </w:t>
      </w:r>
    </w:p>
    <w:p w14:paraId="15322088" w14:textId="77777777" w:rsidR="00AE172D" w:rsidRPr="00AE172D" w:rsidRDefault="00AE172D" w:rsidP="00AE172D">
      <w:pPr>
        <w:pStyle w:val="Odstavecseseznamem"/>
        <w:numPr>
          <w:ilvl w:val="0"/>
          <w:numId w:val="42"/>
        </w:numPr>
        <w:spacing w:before="120" w:after="120"/>
        <w:jc w:val="both"/>
        <w:rPr>
          <w:rFonts w:ascii="Times New Roman" w:hAnsi="Times New Roman"/>
          <w:sz w:val="24"/>
          <w:szCs w:val="24"/>
          <w:lang w:eastAsia="en-US"/>
        </w:rPr>
      </w:pPr>
      <w:r w:rsidRPr="00AE172D">
        <w:rPr>
          <w:rFonts w:ascii="Times New Roman" w:hAnsi="Times New Roman"/>
          <w:sz w:val="24"/>
          <w:szCs w:val="24"/>
          <w:lang w:eastAsia="en-US"/>
        </w:rPr>
        <w:t xml:space="preserve">Vztah ECA s vývozcem </w:t>
      </w:r>
    </w:p>
    <w:p w14:paraId="3F16BFBF" w14:textId="77777777" w:rsidR="00AE172D" w:rsidRPr="00FF27D2" w:rsidRDefault="00AE172D" w:rsidP="00AE172D">
      <w:pPr>
        <w:pStyle w:val="Odstavecseseznamem"/>
        <w:numPr>
          <w:ilvl w:val="0"/>
          <w:numId w:val="42"/>
        </w:numPr>
        <w:spacing w:before="120" w:after="120"/>
        <w:jc w:val="both"/>
        <w:rPr>
          <w:rFonts w:ascii="Times New Roman" w:hAnsi="Times New Roman"/>
          <w:sz w:val="24"/>
          <w:szCs w:val="24"/>
          <w:lang w:eastAsia="en-US"/>
        </w:rPr>
      </w:pPr>
      <w:r w:rsidRPr="00FF27D2">
        <w:rPr>
          <w:rFonts w:ascii="Times New Roman" w:hAnsi="Times New Roman"/>
          <w:sz w:val="24"/>
          <w:szCs w:val="24"/>
          <w:lang w:eastAsia="en-US"/>
        </w:rPr>
        <w:t xml:space="preserve">Úroková sazba CIRR (+ refinancování a další možnosti) </w:t>
      </w:r>
    </w:p>
    <w:p w14:paraId="66C6E105" w14:textId="77777777" w:rsidR="00755BCC" w:rsidRPr="00FF27D2" w:rsidRDefault="00755BCC" w:rsidP="00AE172D">
      <w:pPr>
        <w:pStyle w:val="Odstavecseseznamem"/>
        <w:numPr>
          <w:ilvl w:val="0"/>
          <w:numId w:val="42"/>
        </w:numPr>
        <w:spacing w:before="120" w:after="120"/>
        <w:jc w:val="both"/>
        <w:rPr>
          <w:rFonts w:ascii="Times New Roman" w:hAnsi="Times New Roman"/>
          <w:sz w:val="24"/>
          <w:szCs w:val="24"/>
          <w:lang w:eastAsia="en-US"/>
        </w:rPr>
      </w:pPr>
      <w:r w:rsidRPr="00FF27D2">
        <w:rPr>
          <w:rFonts w:ascii="Times New Roman" w:hAnsi="Times New Roman"/>
          <w:sz w:val="24"/>
          <w:szCs w:val="24"/>
          <w:lang w:eastAsia="en-US"/>
        </w:rPr>
        <w:t>Systém dorovnávání úrokových rozdílů</w:t>
      </w:r>
    </w:p>
    <w:p w14:paraId="76B36676" w14:textId="77777777" w:rsidR="00F7218F" w:rsidRPr="00FF27D2" w:rsidRDefault="00F7218F" w:rsidP="00AE172D">
      <w:pPr>
        <w:pStyle w:val="Odstavecseseznamem"/>
        <w:numPr>
          <w:ilvl w:val="0"/>
          <w:numId w:val="42"/>
        </w:numPr>
        <w:spacing w:before="120" w:after="120"/>
        <w:jc w:val="both"/>
        <w:rPr>
          <w:rFonts w:ascii="Times New Roman" w:hAnsi="Times New Roman"/>
          <w:sz w:val="24"/>
          <w:szCs w:val="24"/>
          <w:lang w:eastAsia="en-US"/>
        </w:rPr>
      </w:pPr>
      <w:r w:rsidRPr="00FF27D2">
        <w:rPr>
          <w:rFonts w:ascii="Times New Roman" w:hAnsi="Times New Roman"/>
          <w:sz w:val="24"/>
          <w:szCs w:val="24"/>
          <w:lang w:eastAsia="en-US"/>
        </w:rPr>
        <w:t xml:space="preserve">Produktová nabídka </w:t>
      </w:r>
      <w:proofErr w:type="spellStart"/>
      <w:r w:rsidRPr="00FF27D2">
        <w:rPr>
          <w:rFonts w:ascii="Times New Roman" w:hAnsi="Times New Roman"/>
          <w:sz w:val="24"/>
          <w:szCs w:val="24"/>
          <w:lang w:eastAsia="en-US"/>
        </w:rPr>
        <w:t>ECA´s</w:t>
      </w:r>
      <w:proofErr w:type="spellEnd"/>
    </w:p>
    <w:p w14:paraId="5B6EC16A" w14:textId="77777777" w:rsidR="00755BCC" w:rsidRPr="00FF27D2" w:rsidRDefault="00755BCC" w:rsidP="00AE172D">
      <w:pPr>
        <w:pStyle w:val="Odstavecseseznamem"/>
        <w:numPr>
          <w:ilvl w:val="0"/>
          <w:numId w:val="42"/>
        </w:numPr>
        <w:spacing w:before="120" w:after="120"/>
        <w:jc w:val="both"/>
        <w:rPr>
          <w:rFonts w:ascii="Times New Roman" w:hAnsi="Times New Roman"/>
          <w:sz w:val="24"/>
          <w:szCs w:val="24"/>
          <w:lang w:eastAsia="en-US"/>
        </w:rPr>
      </w:pPr>
      <w:r w:rsidRPr="00FF27D2">
        <w:rPr>
          <w:rFonts w:ascii="Times New Roman" w:hAnsi="Times New Roman"/>
          <w:sz w:val="24"/>
          <w:szCs w:val="24"/>
          <w:lang w:eastAsia="en-US"/>
        </w:rPr>
        <w:t>Státní záruky a vazba na státní rozpočet</w:t>
      </w:r>
    </w:p>
    <w:p w14:paraId="42FEE5C9" w14:textId="77777777" w:rsidR="00AE172D" w:rsidRPr="00AE172D" w:rsidRDefault="00AE172D" w:rsidP="00AE172D">
      <w:pPr>
        <w:spacing w:before="120" w:after="120"/>
        <w:ind w:left="360"/>
        <w:jc w:val="both"/>
        <w:rPr>
          <w:rFonts w:ascii="Times New Roman" w:hAnsi="Times New Roman"/>
          <w:sz w:val="24"/>
          <w:szCs w:val="24"/>
          <w:lang w:eastAsia="en-US"/>
        </w:rPr>
      </w:pPr>
      <w:r w:rsidRPr="00FF27D2">
        <w:rPr>
          <w:rFonts w:ascii="Times New Roman" w:hAnsi="Times New Roman"/>
          <w:sz w:val="24"/>
          <w:szCs w:val="24"/>
          <w:lang w:eastAsia="en-US"/>
        </w:rPr>
        <w:t>Standardně, pokud jde o regulovanou pojišťovnu,</w:t>
      </w:r>
      <w:r w:rsidRPr="00AE172D">
        <w:rPr>
          <w:rFonts w:ascii="Times New Roman" w:hAnsi="Times New Roman"/>
          <w:sz w:val="24"/>
          <w:szCs w:val="24"/>
          <w:lang w:eastAsia="en-US"/>
        </w:rPr>
        <w:t xml:space="preserve"> jejíž služby jsou využívány státem (Francie, Německo či Nizozemí), se ECA obecným zákonem o pojišťovnictví pro operace v rámci systému státní podpory exportu řídit nemusí. V jiných zemích (Itálie a Rakousko) jde o obchodní akciové společnosti, které příslušné služby státu poskytují na základě speciální zákonné úpravy (odlišné od obecné úpravy pojišťovnictví), podle níž jsou vládou i řízeny a dohlíženy. </w:t>
      </w:r>
    </w:p>
    <w:p w14:paraId="47C22789" w14:textId="5757253E" w:rsidR="00745834" w:rsidRDefault="00E70B7C" w:rsidP="00EB147E">
      <w:pPr>
        <w:spacing w:before="120" w:after="120"/>
        <w:ind w:left="360"/>
        <w:jc w:val="both"/>
        <w:rPr>
          <w:rFonts w:ascii="Times New Roman" w:hAnsi="Times New Roman"/>
          <w:sz w:val="24"/>
          <w:szCs w:val="24"/>
          <w:lang w:eastAsia="en-US"/>
        </w:rPr>
      </w:pPr>
      <w:r w:rsidRPr="00E70B7C">
        <w:rPr>
          <w:rFonts w:ascii="Times New Roman" w:hAnsi="Times New Roman"/>
          <w:sz w:val="24"/>
          <w:szCs w:val="24"/>
          <w:lang w:eastAsia="en-US"/>
        </w:rPr>
        <w:t>Je logické, že jelikož se jedná o státní podporu exportu, mají státy obecně zájem definovat, jaké exporty mají být podpořené ve státním zájmu. Definice tohoto státního zájmu se však liší země od země. Český „podíl“ je upraven v interních předpisech EGAP a je stanoven jako minimum 50 % českého zboží/služeb. Stejný je i v případě 4 ze 7 sledovaných zemí (Francie, Německo, Rakousko, Švýcarsko), ovšem s jemnými nuancemi – např. výjimečně 49 % v případě vývozu v prostředí silné globální konkurence v</w:t>
      </w:r>
      <w:r w:rsidR="00355087">
        <w:rPr>
          <w:rFonts w:ascii="Times New Roman" w:hAnsi="Times New Roman"/>
          <w:sz w:val="24"/>
          <w:szCs w:val="24"/>
          <w:lang w:eastAsia="en-US"/>
        </w:rPr>
        <w:t> </w:t>
      </w:r>
      <w:r w:rsidRPr="00E70B7C">
        <w:rPr>
          <w:rFonts w:ascii="Times New Roman" w:hAnsi="Times New Roman"/>
          <w:sz w:val="24"/>
          <w:szCs w:val="24"/>
          <w:lang w:eastAsia="en-US"/>
        </w:rPr>
        <w:t>Německu, možnost u zemí kategorie 0-4 pojistit i vývoz bez národního podílu v</w:t>
      </w:r>
      <w:r w:rsidR="00355087">
        <w:rPr>
          <w:rFonts w:ascii="Times New Roman" w:hAnsi="Times New Roman"/>
          <w:sz w:val="24"/>
          <w:szCs w:val="24"/>
          <w:lang w:eastAsia="en-US"/>
        </w:rPr>
        <w:t> </w:t>
      </w:r>
      <w:r w:rsidRPr="00E70B7C">
        <w:rPr>
          <w:rFonts w:ascii="Times New Roman" w:hAnsi="Times New Roman"/>
          <w:sz w:val="24"/>
          <w:szCs w:val="24"/>
          <w:lang w:eastAsia="en-US"/>
        </w:rPr>
        <w:t>Rakousku či nižší národní podíl, pokud má transakce „kvalifikovaný vztah“ ke</w:t>
      </w:r>
      <w:r w:rsidR="00355087">
        <w:rPr>
          <w:rFonts w:ascii="Times New Roman" w:hAnsi="Times New Roman"/>
          <w:sz w:val="24"/>
          <w:szCs w:val="24"/>
          <w:lang w:eastAsia="en-US"/>
        </w:rPr>
        <w:t> </w:t>
      </w:r>
      <w:r w:rsidRPr="00E70B7C">
        <w:rPr>
          <w:rFonts w:ascii="Times New Roman" w:hAnsi="Times New Roman"/>
          <w:sz w:val="24"/>
          <w:szCs w:val="24"/>
          <w:lang w:eastAsia="en-US"/>
        </w:rPr>
        <w:t>Švýcarsku. Belgie stanoví pouze národní zájem bez vyjádření národního podílu, Itálie jej posuzuje individuálně a</w:t>
      </w:r>
      <w:r w:rsidR="00DB5C6B">
        <w:rPr>
          <w:rFonts w:ascii="Times New Roman" w:hAnsi="Times New Roman"/>
          <w:sz w:val="24"/>
          <w:szCs w:val="24"/>
          <w:lang w:eastAsia="en-US"/>
        </w:rPr>
        <w:t> </w:t>
      </w:r>
      <w:r w:rsidRPr="00E70B7C">
        <w:rPr>
          <w:rFonts w:ascii="Times New Roman" w:hAnsi="Times New Roman"/>
          <w:sz w:val="24"/>
          <w:szCs w:val="24"/>
          <w:lang w:eastAsia="en-US"/>
        </w:rPr>
        <w:t>v</w:t>
      </w:r>
      <w:r w:rsidR="00DB5C6B">
        <w:rPr>
          <w:rFonts w:ascii="Times New Roman" w:hAnsi="Times New Roman"/>
          <w:sz w:val="24"/>
          <w:szCs w:val="24"/>
          <w:lang w:eastAsia="en-US"/>
        </w:rPr>
        <w:t> </w:t>
      </w:r>
      <w:r w:rsidRPr="00E70B7C">
        <w:rPr>
          <w:rFonts w:ascii="Times New Roman" w:hAnsi="Times New Roman"/>
          <w:sz w:val="24"/>
          <w:szCs w:val="24"/>
          <w:lang w:eastAsia="en-US"/>
        </w:rPr>
        <w:t>Nizozemí jde o 20 %. Všechny tyto země jsou přitom členy OECD, Konsensus OECD tedy takové úpravy nevylučuje.</w:t>
      </w:r>
    </w:p>
    <w:p w14:paraId="7E739299" w14:textId="5BA1BA9A" w:rsidR="00840588" w:rsidRDefault="00840588" w:rsidP="00EB147E">
      <w:pPr>
        <w:spacing w:before="120" w:after="120"/>
        <w:ind w:left="360"/>
        <w:jc w:val="both"/>
        <w:rPr>
          <w:rFonts w:ascii="Times New Roman" w:hAnsi="Times New Roman"/>
          <w:sz w:val="24"/>
          <w:szCs w:val="24"/>
          <w:lang w:eastAsia="en-US"/>
        </w:rPr>
      </w:pPr>
      <w:r w:rsidRPr="00840588">
        <w:rPr>
          <w:rFonts w:ascii="Times New Roman" w:hAnsi="Times New Roman"/>
          <w:sz w:val="24"/>
          <w:szCs w:val="24"/>
          <w:lang w:eastAsia="en-US"/>
        </w:rPr>
        <w:t>Dokumentační riziko v zásadě znamená, že daná ECA bere na sebe odpovědnost za</w:t>
      </w:r>
      <w:r w:rsidR="00355087">
        <w:rPr>
          <w:rFonts w:ascii="Times New Roman" w:hAnsi="Times New Roman"/>
          <w:sz w:val="24"/>
          <w:szCs w:val="24"/>
          <w:lang w:eastAsia="en-US"/>
        </w:rPr>
        <w:t> </w:t>
      </w:r>
      <w:r w:rsidRPr="00840588">
        <w:rPr>
          <w:rFonts w:ascii="Times New Roman" w:hAnsi="Times New Roman"/>
          <w:sz w:val="24"/>
          <w:szCs w:val="24"/>
          <w:lang w:eastAsia="en-US"/>
        </w:rPr>
        <w:t>zavřenou úvěrovou dokumentaci – zná její obsah, podílí se na jejím vyjednávání apod., a</w:t>
      </w:r>
      <w:r>
        <w:rPr>
          <w:rFonts w:ascii="Times New Roman" w:hAnsi="Times New Roman"/>
          <w:sz w:val="24"/>
          <w:szCs w:val="24"/>
          <w:lang w:eastAsia="en-US"/>
        </w:rPr>
        <w:t> </w:t>
      </w:r>
      <w:r w:rsidRPr="00840588">
        <w:rPr>
          <w:rFonts w:ascii="Times New Roman" w:hAnsi="Times New Roman"/>
          <w:sz w:val="24"/>
          <w:szCs w:val="24"/>
          <w:lang w:eastAsia="en-US"/>
        </w:rPr>
        <w:t>v</w:t>
      </w:r>
      <w:r>
        <w:rPr>
          <w:rFonts w:ascii="Times New Roman" w:hAnsi="Times New Roman"/>
          <w:sz w:val="24"/>
          <w:szCs w:val="24"/>
          <w:lang w:eastAsia="en-US"/>
        </w:rPr>
        <w:t> </w:t>
      </w:r>
      <w:r w:rsidRPr="00840588">
        <w:rPr>
          <w:rFonts w:ascii="Times New Roman" w:hAnsi="Times New Roman"/>
          <w:sz w:val="24"/>
          <w:szCs w:val="24"/>
          <w:lang w:eastAsia="en-US"/>
        </w:rPr>
        <w:t>případě pojistné události nemůže snižovat jakýmkoliv způsobem pojistné plnění na</w:t>
      </w:r>
      <w:r w:rsidR="00355087">
        <w:rPr>
          <w:rFonts w:ascii="Times New Roman" w:hAnsi="Times New Roman"/>
          <w:sz w:val="24"/>
          <w:szCs w:val="24"/>
          <w:lang w:eastAsia="en-US"/>
        </w:rPr>
        <w:t> </w:t>
      </w:r>
      <w:r w:rsidRPr="00840588">
        <w:rPr>
          <w:rFonts w:ascii="Times New Roman" w:hAnsi="Times New Roman"/>
          <w:sz w:val="24"/>
          <w:szCs w:val="24"/>
          <w:lang w:eastAsia="en-US"/>
        </w:rPr>
        <w:t>základě nedostatků v dokumentaci, které vyjdou najevo při její interpretaci v důsledku případných sporů. V zásadě jsou možné dva přístupy: (i.) předepsaná dokumentace (např.</w:t>
      </w:r>
      <w:r w:rsidR="00355087">
        <w:rPr>
          <w:rFonts w:ascii="Times New Roman" w:hAnsi="Times New Roman"/>
          <w:sz w:val="24"/>
          <w:szCs w:val="24"/>
          <w:lang w:eastAsia="en-US"/>
        </w:rPr>
        <w:t> </w:t>
      </w:r>
      <w:r w:rsidRPr="00840588">
        <w:rPr>
          <w:rFonts w:ascii="Times New Roman" w:hAnsi="Times New Roman"/>
          <w:sz w:val="24"/>
          <w:szCs w:val="24"/>
          <w:lang w:eastAsia="en-US"/>
        </w:rPr>
        <w:t>US EXIM) nebo její vyjednávání společně s bankou (ECA přebírá dokumentační riziko, je to pro ni časově a odborně náročné) nebo (</w:t>
      </w:r>
      <w:proofErr w:type="spellStart"/>
      <w:r w:rsidRPr="00840588">
        <w:rPr>
          <w:rFonts w:ascii="Times New Roman" w:hAnsi="Times New Roman"/>
          <w:sz w:val="24"/>
          <w:szCs w:val="24"/>
          <w:lang w:eastAsia="en-US"/>
        </w:rPr>
        <w:t>ii</w:t>
      </w:r>
      <w:proofErr w:type="spellEnd"/>
      <w:r w:rsidRPr="00840588">
        <w:rPr>
          <w:rFonts w:ascii="Times New Roman" w:hAnsi="Times New Roman"/>
          <w:sz w:val="24"/>
          <w:szCs w:val="24"/>
          <w:lang w:eastAsia="en-US"/>
        </w:rPr>
        <w:t>) příprava dokumentace je plně ponechána na příslušné financující bance (ECA nepřebírá dokumentační riziko).</w:t>
      </w:r>
      <w:r>
        <w:rPr>
          <w:rFonts w:ascii="Times New Roman" w:hAnsi="Times New Roman"/>
          <w:sz w:val="24"/>
          <w:szCs w:val="24"/>
          <w:lang w:eastAsia="en-US"/>
        </w:rPr>
        <w:t xml:space="preserve"> </w:t>
      </w:r>
      <w:r w:rsidRPr="00840588">
        <w:rPr>
          <w:rFonts w:ascii="Times New Roman" w:hAnsi="Times New Roman"/>
          <w:sz w:val="24"/>
          <w:szCs w:val="24"/>
          <w:lang w:eastAsia="en-US"/>
        </w:rPr>
        <w:t>Porovnávané zahraniční ECA na sebe dokumentační riziko nepřebírají (v případě Itálie je vyžadován právní posudek na úvěrovou dokumentaci, v Rakousku se úvěrová dokumentace přezkoumává v případě žádosti o odškodnění).</w:t>
      </w:r>
    </w:p>
    <w:p w14:paraId="32CC0400" w14:textId="6B5F8BEE" w:rsidR="00E262DD" w:rsidRPr="00286395" w:rsidRDefault="00E262DD" w:rsidP="00EB147E">
      <w:pPr>
        <w:spacing w:before="120" w:after="120"/>
        <w:ind w:left="360"/>
        <w:jc w:val="both"/>
        <w:rPr>
          <w:rFonts w:ascii="Times New Roman" w:hAnsi="Times New Roman"/>
          <w:sz w:val="24"/>
          <w:szCs w:val="24"/>
          <w:lang w:eastAsia="en-US"/>
        </w:rPr>
      </w:pPr>
      <w:r w:rsidRPr="00286395">
        <w:rPr>
          <w:rFonts w:ascii="Times New Roman" w:hAnsi="Times New Roman"/>
          <w:sz w:val="24"/>
          <w:szCs w:val="24"/>
          <w:lang w:eastAsia="en-US"/>
        </w:rPr>
        <w:t>Úvěrová rizika, tj. rizika možného nezaplacení vývozního úvěru ze strany zahraničního kupujícího</w:t>
      </w:r>
      <w:r w:rsidR="00035213">
        <w:rPr>
          <w:rFonts w:ascii="Times New Roman" w:hAnsi="Times New Roman"/>
          <w:sz w:val="24"/>
          <w:szCs w:val="24"/>
          <w:lang w:eastAsia="en-US"/>
        </w:rPr>
        <w:t>,</w:t>
      </w:r>
      <w:r w:rsidRPr="00286395">
        <w:rPr>
          <w:rFonts w:ascii="Times New Roman" w:hAnsi="Times New Roman"/>
          <w:sz w:val="24"/>
          <w:szCs w:val="24"/>
          <w:lang w:eastAsia="en-US"/>
        </w:rPr>
        <w:t xml:space="preserve"> jsou nejvýznamnějšími riziky, jimž jsou vývozci vystaveni. Přitom nejzávažnější jsou rizika nezaplacení v důsledku politické a makroekonomické situace země, z níž má být úhrada provedena. Projevují se zpravidla zastavením transferu plateb v</w:t>
      </w:r>
      <w:r w:rsidR="00D038DD">
        <w:rPr>
          <w:rFonts w:ascii="Times New Roman" w:hAnsi="Times New Roman"/>
          <w:sz w:val="24"/>
          <w:szCs w:val="24"/>
          <w:lang w:eastAsia="en-US"/>
        </w:rPr>
        <w:t> </w:t>
      </w:r>
      <w:r w:rsidRPr="00286395">
        <w:rPr>
          <w:rFonts w:ascii="Times New Roman" w:hAnsi="Times New Roman"/>
          <w:sz w:val="24"/>
          <w:szCs w:val="24"/>
          <w:lang w:eastAsia="en-US"/>
        </w:rPr>
        <w:t xml:space="preserve">důsledku politických událostí, jako jsou </w:t>
      </w:r>
      <w:r w:rsidR="00D038DD">
        <w:rPr>
          <w:rFonts w:ascii="Times New Roman" w:hAnsi="Times New Roman"/>
          <w:sz w:val="24"/>
          <w:szCs w:val="24"/>
          <w:lang w:eastAsia="en-US"/>
        </w:rPr>
        <w:t xml:space="preserve">např. </w:t>
      </w:r>
      <w:r w:rsidRPr="00286395">
        <w:rPr>
          <w:rFonts w:ascii="Times New Roman" w:hAnsi="Times New Roman"/>
          <w:sz w:val="24"/>
          <w:szCs w:val="24"/>
          <w:lang w:eastAsia="en-US"/>
        </w:rPr>
        <w:t>války, občanské nepokoje, všeobecné stávky, devizová omezení, odebrání dovozních nebo výrobních licencí, přírodní katastrofy, a ve svém důsledku znamenají pro vývozce dočasnou nebo trvalou nedostupnost inkasa za</w:t>
      </w:r>
      <w:r w:rsidR="007E5A8E">
        <w:rPr>
          <w:rFonts w:ascii="Times New Roman" w:hAnsi="Times New Roman"/>
          <w:sz w:val="24"/>
          <w:szCs w:val="24"/>
          <w:lang w:eastAsia="en-US"/>
        </w:rPr>
        <w:t> </w:t>
      </w:r>
      <w:r w:rsidRPr="00286395">
        <w:rPr>
          <w:rFonts w:ascii="Times New Roman" w:hAnsi="Times New Roman"/>
          <w:sz w:val="24"/>
          <w:szCs w:val="24"/>
          <w:lang w:eastAsia="en-US"/>
        </w:rPr>
        <w:t>kontrakty z celé země - teritoria, v němž k takovým událostem dojde; souhrnně je pro</w:t>
      </w:r>
      <w:r w:rsidR="00A75BB5">
        <w:rPr>
          <w:rFonts w:ascii="Times New Roman" w:hAnsi="Times New Roman"/>
          <w:sz w:val="24"/>
          <w:szCs w:val="24"/>
          <w:lang w:eastAsia="en-US"/>
        </w:rPr>
        <w:t> </w:t>
      </w:r>
      <w:r w:rsidRPr="00286395">
        <w:rPr>
          <w:rFonts w:ascii="Times New Roman" w:hAnsi="Times New Roman"/>
          <w:sz w:val="24"/>
          <w:szCs w:val="24"/>
          <w:lang w:eastAsia="en-US"/>
        </w:rPr>
        <w:t>tato rizika používán pojem „teritoriální rizika“. Teritoriální rizika mohou nastat jak u</w:t>
      </w:r>
      <w:r w:rsidR="00D038DD">
        <w:rPr>
          <w:rFonts w:ascii="Times New Roman" w:hAnsi="Times New Roman"/>
          <w:sz w:val="24"/>
          <w:szCs w:val="24"/>
          <w:lang w:eastAsia="en-US"/>
        </w:rPr>
        <w:t> </w:t>
      </w:r>
      <w:r w:rsidRPr="00286395">
        <w:rPr>
          <w:rFonts w:ascii="Times New Roman" w:hAnsi="Times New Roman"/>
          <w:sz w:val="24"/>
          <w:szCs w:val="24"/>
          <w:lang w:eastAsia="en-US"/>
        </w:rPr>
        <w:t>krátkodobých vývozních úvěrů (s dobou splatnosti do 24 měsíců), tak především u</w:t>
      </w:r>
      <w:r w:rsidR="00D038DD">
        <w:rPr>
          <w:rFonts w:ascii="Times New Roman" w:hAnsi="Times New Roman"/>
          <w:sz w:val="24"/>
          <w:szCs w:val="24"/>
          <w:lang w:eastAsia="en-US"/>
        </w:rPr>
        <w:t> </w:t>
      </w:r>
      <w:r w:rsidRPr="00286395">
        <w:rPr>
          <w:rFonts w:ascii="Times New Roman" w:hAnsi="Times New Roman"/>
          <w:sz w:val="24"/>
          <w:szCs w:val="24"/>
          <w:lang w:eastAsia="en-US"/>
        </w:rPr>
        <w:t>dlouhodobých vývozních úvěrů (tj. se splatností delší než 24 měsíců). Jak u</w:t>
      </w:r>
      <w:r w:rsidR="00355087">
        <w:rPr>
          <w:rFonts w:ascii="Times New Roman" w:hAnsi="Times New Roman"/>
          <w:sz w:val="24"/>
          <w:szCs w:val="24"/>
          <w:lang w:eastAsia="en-US"/>
        </w:rPr>
        <w:t> </w:t>
      </w:r>
      <w:r w:rsidRPr="00286395">
        <w:rPr>
          <w:rFonts w:ascii="Times New Roman" w:hAnsi="Times New Roman"/>
          <w:sz w:val="24"/>
          <w:szCs w:val="24"/>
          <w:lang w:eastAsia="en-US"/>
        </w:rPr>
        <w:t xml:space="preserve">krátkodobých, tak především u dlouhodobých vývozních úvěrů jsou teritoriální rizika zpravidla kombinována s riziky vyplývajícími z ekonomické situace zahraničního kupujícího, především z jeho možné platební neschopnosti v důsledku </w:t>
      </w:r>
      <w:r w:rsidR="00824F05">
        <w:rPr>
          <w:rFonts w:ascii="Times New Roman" w:hAnsi="Times New Roman"/>
          <w:sz w:val="24"/>
          <w:szCs w:val="24"/>
          <w:lang w:eastAsia="en-US"/>
        </w:rPr>
        <w:t>úpadku</w:t>
      </w:r>
      <w:r w:rsidRPr="00286395">
        <w:rPr>
          <w:rFonts w:ascii="Times New Roman" w:hAnsi="Times New Roman"/>
          <w:sz w:val="24"/>
          <w:szCs w:val="24"/>
          <w:lang w:eastAsia="en-US"/>
        </w:rPr>
        <w:t xml:space="preserve"> anebo z</w:t>
      </w:r>
      <w:r w:rsidR="00D038DD">
        <w:rPr>
          <w:rFonts w:ascii="Times New Roman" w:hAnsi="Times New Roman"/>
          <w:sz w:val="24"/>
          <w:szCs w:val="24"/>
          <w:lang w:eastAsia="en-US"/>
        </w:rPr>
        <w:t> </w:t>
      </w:r>
      <w:r w:rsidRPr="00286395">
        <w:rPr>
          <w:rFonts w:ascii="Times New Roman" w:hAnsi="Times New Roman"/>
          <w:sz w:val="24"/>
          <w:szCs w:val="24"/>
          <w:lang w:eastAsia="en-US"/>
        </w:rPr>
        <w:t xml:space="preserve">platební nevůle - pro tato rizika je souhrnně používán pojem „dlouhodobá komerční rizika“. </w:t>
      </w:r>
    </w:p>
    <w:p w14:paraId="57C236C3" w14:textId="6A05F65D" w:rsidR="00E262DD" w:rsidRPr="00286395" w:rsidRDefault="00E262DD" w:rsidP="00EB147E">
      <w:pPr>
        <w:spacing w:before="120" w:after="120"/>
        <w:ind w:left="360"/>
        <w:jc w:val="both"/>
        <w:rPr>
          <w:rFonts w:ascii="Times New Roman" w:hAnsi="Times New Roman"/>
          <w:sz w:val="24"/>
          <w:szCs w:val="24"/>
          <w:lang w:eastAsia="en-US"/>
        </w:rPr>
      </w:pPr>
      <w:r w:rsidRPr="00286395">
        <w:rPr>
          <w:rFonts w:ascii="Times New Roman" w:hAnsi="Times New Roman"/>
          <w:sz w:val="24"/>
          <w:szCs w:val="24"/>
          <w:lang w:eastAsia="en-US"/>
        </w:rPr>
        <w:t>Možnosti získání pojištění nebo zajištění teritoriálních i dlouhodobých komerčních rizik komerčním způsobem, resp. na komerčním zajišťovacím trhu</w:t>
      </w:r>
      <w:r w:rsidR="00D038DD">
        <w:rPr>
          <w:rFonts w:ascii="Times New Roman" w:hAnsi="Times New Roman"/>
          <w:sz w:val="24"/>
          <w:szCs w:val="24"/>
          <w:lang w:eastAsia="en-US"/>
        </w:rPr>
        <w:t>,</w:t>
      </w:r>
      <w:r w:rsidRPr="00286395">
        <w:rPr>
          <w:rFonts w:ascii="Times New Roman" w:hAnsi="Times New Roman"/>
          <w:sz w:val="24"/>
          <w:szCs w:val="24"/>
          <w:lang w:eastAsia="en-US"/>
        </w:rPr>
        <w:t xml:space="preserve"> jsou omezené. Proto ve</w:t>
      </w:r>
      <w:r w:rsidR="00355087">
        <w:rPr>
          <w:rFonts w:ascii="Times New Roman" w:hAnsi="Times New Roman"/>
          <w:sz w:val="24"/>
          <w:szCs w:val="24"/>
          <w:lang w:eastAsia="en-US"/>
        </w:rPr>
        <w:t> </w:t>
      </w:r>
      <w:r w:rsidRPr="00286395">
        <w:rPr>
          <w:rFonts w:ascii="Times New Roman" w:hAnsi="Times New Roman"/>
          <w:sz w:val="24"/>
          <w:szCs w:val="24"/>
          <w:lang w:eastAsia="en-US"/>
        </w:rPr>
        <w:t>všech zemích s významnějším podílem vývozu na ekonomice fungují státem podporované úvěrové pojišťovny, jejichž činnost v oblasti pojištění teritoriálních a</w:t>
      </w:r>
      <w:r w:rsidR="00355087">
        <w:rPr>
          <w:rFonts w:ascii="Times New Roman" w:hAnsi="Times New Roman"/>
          <w:sz w:val="24"/>
          <w:szCs w:val="24"/>
          <w:lang w:eastAsia="en-US"/>
        </w:rPr>
        <w:t> </w:t>
      </w:r>
      <w:r w:rsidRPr="00286395">
        <w:rPr>
          <w:rFonts w:ascii="Times New Roman" w:hAnsi="Times New Roman"/>
          <w:sz w:val="24"/>
          <w:szCs w:val="24"/>
          <w:lang w:eastAsia="en-US"/>
        </w:rPr>
        <w:t xml:space="preserve">dlouhodobých komerčních rizik je zajišťována státem, zpravidla formou přebírání státních záruk za činnost takových pojišťoven. </w:t>
      </w:r>
    </w:p>
    <w:p w14:paraId="50BBAA9C" w14:textId="43C606EF" w:rsidR="00E262DD" w:rsidRPr="00286395" w:rsidRDefault="00E262DD" w:rsidP="00EB147E">
      <w:pPr>
        <w:spacing w:before="120" w:after="120"/>
        <w:ind w:left="360"/>
        <w:jc w:val="both"/>
        <w:rPr>
          <w:rFonts w:ascii="Times New Roman" w:hAnsi="Times New Roman"/>
          <w:sz w:val="24"/>
          <w:szCs w:val="24"/>
          <w:lang w:eastAsia="en-US"/>
        </w:rPr>
      </w:pPr>
      <w:r w:rsidRPr="00286395">
        <w:rPr>
          <w:rFonts w:ascii="Times New Roman" w:hAnsi="Times New Roman"/>
          <w:sz w:val="24"/>
          <w:szCs w:val="24"/>
          <w:lang w:eastAsia="en-US"/>
        </w:rPr>
        <w:t>Provozováním pojišťování vývozních úvěrových rizik se zabývá</w:t>
      </w:r>
      <w:r w:rsidR="00411A6C">
        <w:rPr>
          <w:rFonts w:ascii="Times New Roman" w:hAnsi="Times New Roman"/>
          <w:sz w:val="24"/>
          <w:szCs w:val="24"/>
          <w:lang w:eastAsia="en-US"/>
        </w:rPr>
        <w:t xml:space="preserve"> e</w:t>
      </w:r>
      <w:r w:rsidR="003E4314">
        <w:rPr>
          <w:rFonts w:ascii="Times New Roman" w:hAnsi="Times New Roman"/>
          <w:sz w:val="24"/>
          <w:szCs w:val="24"/>
          <w:lang w:eastAsia="en-US"/>
        </w:rPr>
        <w:t>xportní pojišťovna</w:t>
      </w:r>
      <w:r w:rsidRPr="00286395">
        <w:rPr>
          <w:rFonts w:ascii="Times New Roman" w:hAnsi="Times New Roman"/>
          <w:sz w:val="24"/>
          <w:szCs w:val="24"/>
          <w:lang w:eastAsia="en-US"/>
        </w:rPr>
        <w:t xml:space="preserve"> vlastněná státem jako jediným akcionářem. </w:t>
      </w:r>
    </w:p>
    <w:p w14:paraId="4A8CFF5C" w14:textId="77777777" w:rsidR="00E262DD" w:rsidRPr="00286395" w:rsidRDefault="00E262DD" w:rsidP="00EB147E">
      <w:pPr>
        <w:spacing w:before="120" w:after="120"/>
        <w:ind w:left="360"/>
        <w:jc w:val="both"/>
        <w:rPr>
          <w:rFonts w:ascii="Times New Roman" w:hAnsi="Times New Roman"/>
          <w:sz w:val="24"/>
          <w:szCs w:val="24"/>
          <w:lang w:eastAsia="en-US"/>
        </w:rPr>
      </w:pPr>
      <w:r w:rsidRPr="00286395">
        <w:rPr>
          <w:rFonts w:ascii="Times New Roman" w:hAnsi="Times New Roman"/>
          <w:sz w:val="24"/>
          <w:szCs w:val="24"/>
          <w:lang w:eastAsia="en-US"/>
        </w:rPr>
        <w:t>V současnosti je EGAP pojišťovnou „</w:t>
      </w:r>
      <w:proofErr w:type="spellStart"/>
      <w:r w:rsidRPr="00286395">
        <w:rPr>
          <w:rFonts w:ascii="Times New Roman" w:hAnsi="Times New Roman"/>
          <w:sz w:val="24"/>
          <w:szCs w:val="24"/>
          <w:lang w:eastAsia="en-US"/>
        </w:rPr>
        <w:t>sui</w:t>
      </w:r>
      <w:proofErr w:type="spellEnd"/>
      <w:r w:rsidRPr="00286395">
        <w:rPr>
          <w:rFonts w:ascii="Times New Roman" w:hAnsi="Times New Roman"/>
          <w:sz w:val="24"/>
          <w:szCs w:val="24"/>
          <w:lang w:eastAsia="en-US"/>
        </w:rPr>
        <w:t xml:space="preserve"> </w:t>
      </w:r>
      <w:proofErr w:type="spellStart"/>
      <w:r w:rsidRPr="00286395">
        <w:rPr>
          <w:rFonts w:ascii="Times New Roman" w:hAnsi="Times New Roman"/>
          <w:sz w:val="24"/>
          <w:szCs w:val="24"/>
          <w:lang w:eastAsia="en-US"/>
        </w:rPr>
        <w:t>generis</w:t>
      </w:r>
      <w:proofErr w:type="spellEnd"/>
      <w:r w:rsidRPr="00286395">
        <w:rPr>
          <w:rFonts w:ascii="Times New Roman" w:hAnsi="Times New Roman"/>
          <w:sz w:val="24"/>
          <w:szCs w:val="24"/>
          <w:lang w:eastAsia="en-US"/>
        </w:rPr>
        <w:t xml:space="preserve">“. Tento stav </w:t>
      </w:r>
      <w:r w:rsidR="00F53AB8">
        <w:rPr>
          <w:rFonts w:ascii="Times New Roman" w:hAnsi="Times New Roman"/>
          <w:sz w:val="24"/>
          <w:szCs w:val="24"/>
          <w:lang w:eastAsia="en-US"/>
        </w:rPr>
        <w:t>byl</w:t>
      </w:r>
      <w:r w:rsidRPr="00286395">
        <w:rPr>
          <w:rFonts w:ascii="Times New Roman" w:hAnsi="Times New Roman"/>
          <w:sz w:val="24"/>
          <w:szCs w:val="24"/>
          <w:lang w:eastAsia="en-US"/>
        </w:rPr>
        <w:t xml:space="preserve"> zajištěn novelou zákona č.</w:t>
      </w:r>
      <w:r w:rsidR="007379DE">
        <w:rPr>
          <w:rFonts w:ascii="Times New Roman" w:hAnsi="Times New Roman"/>
          <w:sz w:val="24"/>
          <w:szCs w:val="24"/>
          <w:lang w:eastAsia="en-US"/>
        </w:rPr>
        <w:t> </w:t>
      </w:r>
      <w:r w:rsidRPr="00286395">
        <w:rPr>
          <w:rFonts w:ascii="Times New Roman" w:hAnsi="Times New Roman"/>
          <w:sz w:val="24"/>
          <w:szCs w:val="24"/>
          <w:lang w:eastAsia="en-US"/>
        </w:rPr>
        <w:t>58/1995 Sb.</w:t>
      </w:r>
      <w:r w:rsidR="00F80784">
        <w:rPr>
          <w:rFonts w:ascii="Times New Roman" w:hAnsi="Times New Roman"/>
          <w:sz w:val="24"/>
          <w:szCs w:val="24"/>
          <w:lang w:eastAsia="en-US"/>
        </w:rPr>
        <w:t xml:space="preserve"> </w:t>
      </w:r>
      <w:r w:rsidR="00F53AB8">
        <w:rPr>
          <w:rFonts w:ascii="Times New Roman" w:hAnsi="Times New Roman"/>
          <w:sz w:val="24"/>
          <w:szCs w:val="24"/>
          <w:lang w:eastAsia="en-US"/>
        </w:rPr>
        <w:t xml:space="preserve">provedenou </w:t>
      </w:r>
      <w:r w:rsidRPr="00286395">
        <w:rPr>
          <w:rFonts w:ascii="Times New Roman" w:hAnsi="Times New Roman"/>
          <w:sz w:val="24"/>
          <w:szCs w:val="24"/>
          <w:lang w:eastAsia="en-US"/>
        </w:rPr>
        <w:t>zákonem č.</w:t>
      </w:r>
      <w:r w:rsidR="007379DE">
        <w:rPr>
          <w:rFonts w:ascii="Times New Roman" w:hAnsi="Times New Roman"/>
          <w:sz w:val="24"/>
          <w:szCs w:val="24"/>
          <w:lang w:eastAsia="en-US"/>
        </w:rPr>
        <w:t> </w:t>
      </w:r>
      <w:r w:rsidRPr="00286395">
        <w:rPr>
          <w:rFonts w:ascii="Times New Roman" w:hAnsi="Times New Roman"/>
          <w:sz w:val="24"/>
          <w:szCs w:val="24"/>
          <w:lang w:eastAsia="en-US"/>
        </w:rPr>
        <w:t xml:space="preserve">220/2015 Sb., </w:t>
      </w:r>
      <w:r w:rsidR="002516AC">
        <w:rPr>
          <w:rFonts w:ascii="Times New Roman" w:hAnsi="Times New Roman"/>
          <w:sz w:val="24"/>
          <w:szCs w:val="24"/>
          <w:lang w:eastAsia="en-US"/>
        </w:rPr>
        <w:t>který nabyl účinnosti k 1. říjnu 2015 (některé části k 1. lednu 2016)</w:t>
      </w:r>
      <w:r w:rsidR="0038568C">
        <w:rPr>
          <w:rFonts w:ascii="Times New Roman" w:hAnsi="Times New Roman"/>
          <w:sz w:val="24"/>
          <w:szCs w:val="24"/>
          <w:lang w:eastAsia="en-US"/>
        </w:rPr>
        <w:t>. EGAP je tedy</w:t>
      </w:r>
      <w:r w:rsidRPr="00286395">
        <w:rPr>
          <w:rFonts w:ascii="Times New Roman" w:hAnsi="Times New Roman"/>
          <w:sz w:val="24"/>
          <w:szCs w:val="24"/>
          <w:lang w:eastAsia="en-US"/>
        </w:rPr>
        <w:t xml:space="preserve"> regulovaný subjekt, který musí na základě aktuální národní legislativy částečně plnit požadavky evropské regulatoriky Solven</w:t>
      </w:r>
      <w:r w:rsidR="00BF78AD">
        <w:rPr>
          <w:rFonts w:ascii="Times New Roman" w:hAnsi="Times New Roman"/>
          <w:sz w:val="24"/>
          <w:szCs w:val="24"/>
          <w:lang w:eastAsia="en-US"/>
        </w:rPr>
        <w:t>tnost</w:t>
      </w:r>
      <w:r w:rsidRPr="00286395">
        <w:rPr>
          <w:rFonts w:ascii="Times New Roman" w:hAnsi="Times New Roman"/>
          <w:sz w:val="24"/>
          <w:szCs w:val="24"/>
          <w:lang w:eastAsia="en-US"/>
        </w:rPr>
        <w:t xml:space="preserve"> II</w:t>
      </w:r>
      <w:r w:rsidR="00D12DB1">
        <w:rPr>
          <w:rFonts w:ascii="Times New Roman" w:hAnsi="Times New Roman"/>
          <w:sz w:val="24"/>
          <w:szCs w:val="24"/>
          <w:lang w:eastAsia="en-US"/>
        </w:rPr>
        <w:t xml:space="preserve"> (</w:t>
      </w:r>
      <w:r w:rsidR="00D12DB1" w:rsidRPr="00D12DB1">
        <w:rPr>
          <w:rFonts w:ascii="Times New Roman" w:hAnsi="Times New Roman"/>
          <w:sz w:val="24"/>
          <w:szCs w:val="24"/>
          <w:lang w:eastAsia="en-US"/>
        </w:rPr>
        <w:t>Směrnice Evropského parlamentu a Rady 2009/138/ES ze dne 25. listopadu 2009 o</w:t>
      </w:r>
      <w:r w:rsidR="007E5A8E">
        <w:rPr>
          <w:rFonts w:ascii="Times New Roman" w:hAnsi="Times New Roman"/>
          <w:sz w:val="24"/>
          <w:szCs w:val="24"/>
          <w:lang w:eastAsia="en-US"/>
        </w:rPr>
        <w:t> </w:t>
      </w:r>
      <w:r w:rsidR="00D12DB1" w:rsidRPr="00D12DB1">
        <w:rPr>
          <w:rFonts w:ascii="Times New Roman" w:hAnsi="Times New Roman"/>
          <w:sz w:val="24"/>
          <w:szCs w:val="24"/>
          <w:lang w:eastAsia="en-US"/>
        </w:rPr>
        <w:t>přístupu k pojišťovací a zajišťovací činnosti a jejím výkonu</w:t>
      </w:r>
      <w:r w:rsidR="007F7D34">
        <w:rPr>
          <w:rFonts w:ascii="Times New Roman" w:hAnsi="Times New Roman"/>
          <w:sz w:val="24"/>
          <w:szCs w:val="24"/>
          <w:lang w:eastAsia="en-US"/>
        </w:rPr>
        <w:t>)</w:t>
      </w:r>
      <w:r w:rsidR="00D12DB1" w:rsidRPr="00D12DB1">
        <w:rPr>
          <w:rFonts w:ascii="Times New Roman" w:hAnsi="Times New Roman"/>
          <w:sz w:val="24"/>
          <w:szCs w:val="24"/>
          <w:lang w:eastAsia="en-US"/>
        </w:rPr>
        <w:t xml:space="preserve"> a související</w:t>
      </w:r>
      <w:r w:rsidR="007F7D34">
        <w:rPr>
          <w:rFonts w:ascii="Times New Roman" w:hAnsi="Times New Roman"/>
          <w:sz w:val="24"/>
          <w:szCs w:val="24"/>
          <w:lang w:eastAsia="en-US"/>
        </w:rPr>
        <w:t>ch</w:t>
      </w:r>
      <w:r w:rsidR="00D12DB1" w:rsidRPr="00D12DB1">
        <w:rPr>
          <w:rFonts w:ascii="Times New Roman" w:hAnsi="Times New Roman"/>
          <w:sz w:val="24"/>
          <w:szCs w:val="24"/>
          <w:lang w:eastAsia="en-US"/>
        </w:rPr>
        <w:t xml:space="preserve"> předpis</w:t>
      </w:r>
      <w:r w:rsidR="007F7D34">
        <w:rPr>
          <w:rFonts w:ascii="Times New Roman" w:hAnsi="Times New Roman"/>
          <w:sz w:val="24"/>
          <w:szCs w:val="24"/>
          <w:lang w:eastAsia="en-US"/>
        </w:rPr>
        <w:t>ů</w:t>
      </w:r>
      <w:r w:rsidR="00D12DB1" w:rsidRPr="00D12DB1">
        <w:rPr>
          <w:rFonts w:ascii="Times New Roman" w:hAnsi="Times New Roman"/>
          <w:sz w:val="24"/>
          <w:szCs w:val="24"/>
          <w:lang w:eastAsia="en-US"/>
        </w:rPr>
        <w:t>, které rámcově zajišťují regulaci pojišťoven a zajišťoven platné v zemích Evropské unie</w:t>
      </w:r>
      <w:r w:rsidRPr="00286395">
        <w:rPr>
          <w:rFonts w:ascii="Times New Roman" w:hAnsi="Times New Roman"/>
          <w:sz w:val="24"/>
          <w:szCs w:val="24"/>
          <w:lang w:eastAsia="en-US"/>
        </w:rPr>
        <w:t>, hlavně pokud jde o kapitálové a obezřetnostní požadavky.</w:t>
      </w:r>
    </w:p>
    <w:p w14:paraId="1E2D3A5A" w14:textId="77777777" w:rsidR="003B5604" w:rsidRPr="00BD695E" w:rsidRDefault="003B5604" w:rsidP="003B5604">
      <w:pPr>
        <w:spacing w:before="120" w:after="120"/>
        <w:ind w:left="360"/>
        <w:jc w:val="both"/>
        <w:rPr>
          <w:rFonts w:ascii="Times New Roman" w:hAnsi="Times New Roman"/>
          <w:sz w:val="24"/>
          <w:szCs w:val="24"/>
          <w:lang w:eastAsia="en-US"/>
        </w:rPr>
      </w:pPr>
      <w:r w:rsidRPr="00BD695E">
        <w:rPr>
          <w:rFonts w:ascii="Times New Roman" w:hAnsi="Times New Roman"/>
          <w:sz w:val="24"/>
          <w:szCs w:val="24"/>
          <w:lang w:eastAsia="en-US"/>
        </w:rPr>
        <w:t xml:space="preserve">V roce 2016 EGAP hospodařil se ztrátou 1,2 mld. Kč, v roce 2017 představovalo hospodaření </w:t>
      </w:r>
      <w:r w:rsidR="007F7D34">
        <w:rPr>
          <w:rFonts w:ascii="Times New Roman" w:hAnsi="Times New Roman"/>
          <w:sz w:val="24"/>
          <w:szCs w:val="24"/>
          <w:lang w:eastAsia="en-US"/>
        </w:rPr>
        <w:t xml:space="preserve">EGAP </w:t>
      </w:r>
      <w:r w:rsidRPr="00BD695E">
        <w:rPr>
          <w:rFonts w:ascii="Times New Roman" w:hAnsi="Times New Roman"/>
          <w:sz w:val="24"/>
          <w:szCs w:val="24"/>
          <w:lang w:eastAsia="en-US"/>
        </w:rPr>
        <w:t>ztrátu ve výši 2,7 mld. Kč. Ztrátu hradil EGAP s použitím pojistných fondů, jejichž dotace ze státního rozpočtu činila v roce 2017 částku 2,8 mld. Kč a v roce 2018 částku 4,33 mld. Kč. Za rok 2018 vykázal EGAP zisk ve výši 210 mil. Kč.</w:t>
      </w:r>
    </w:p>
    <w:p w14:paraId="48243E93" w14:textId="1DB70EA7" w:rsidR="003B5604" w:rsidRPr="00BD695E" w:rsidRDefault="003B5604" w:rsidP="003B5604">
      <w:pPr>
        <w:spacing w:before="120" w:after="120"/>
        <w:ind w:left="360"/>
        <w:jc w:val="both"/>
        <w:rPr>
          <w:rFonts w:ascii="Times New Roman" w:hAnsi="Times New Roman"/>
          <w:sz w:val="24"/>
          <w:szCs w:val="24"/>
          <w:lang w:eastAsia="en-US"/>
        </w:rPr>
      </w:pPr>
      <w:r w:rsidRPr="00BD695E">
        <w:rPr>
          <w:rFonts w:ascii="Times New Roman" w:hAnsi="Times New Roman"/>
          <w:sz w:val="24"/>
          <w:szCs w:val="24"/>
          <w:lang w:eastAsia="en-US"/>
        </w:rPr>
        <w:t>Co se týká objemů obchodů (nové smlouvy), situace v EGAP kopíruje s mírným zpožděním dění v ČEB; do určité míry v návaznosti na fakt, že většina úvěrů ČEB byla dosud pojištěna u EGAP. V poslední době se počet nových úvěrů ČEB pojištěných u</w:t>
      </w:r>
      <w:r w:rsidR="00355087">
        <w:rPr>
          <w:rFonts w:ascii="Times New Roman" w:hAnsi="Times New Roman"/>
          <w:sz w:val="24"/>
          <w:szCs w:val="24"/>
          <w:lang w:eastAsia="en-US"/>
        </w:rPr>
        <w:t> </w:t>
      </w:r>
      <w:r w:rsidRPr="00BD695E">
        <w:rPr>
          <w:rFonts w:ascii="Times New Roman" w:hAnsi="Times New Roman"/>
          <w:sz w:val="24"/>
          <w:szCs w:val="24"/>
          <w:lang w:eastAsia="en-US"/>
        </w:rPr>
        <w:t>EGAP snižuje.</w:t>
      </w:r>
    </w:p>
    <w:p w14:paraId="318169DD" w14:textId="0717415D" w:rsidR="00A75BB5" w:rsidRDefault="00A75BB5">
      <w:pPr>
        <w:overflowPunct/>
        <w:autoSpaceDE/>
        <w:autoSpaceDN/>
        <w:adjustRightInd/>
        <w:spacing w:after="0" w:line="240" w:lineRule="auto"/>
        <w:textAlignment w:val="auto"/>
      </w:pPr>
    </w:p>
    <w:p w14:paraId="30D7E769" w14:textId="77777777" w:rsidR="001D3A20" w:rsidRDefault="001D3A20">
      <w:pPr>
        <w:overflowPunct/>
        <w:autoSpaceDE/>
        <w:autoSpaceDN/>
        <w:adjustRightInd/>
        <w:spacing w:after="0" w:line="240" w:lineRule="auto"/>
        <w:textAlignment w:val="auto"/>
      </w:pPr>
    </w:p>
    <w:p w14:paraId="4CC722AB" w14:textId="483E3230" w:rsidR="003B5604" w:rsidRPr="00BD695E" w:rsidRDefault="003B5604" w:rsidP="003B5604">
      <w:pPr>
        <w:spacing w:line="276" w:lineRule="auto"/>
        <w:ind w:left="-6"/>
        <w:jc w:val="both"/>
        <w:rPr>
          <w:rFonts w:ascii="Times New Roman" w:hAnsi="Times New Roman"/>
          <w:sz w:val="24"/>
          <w:szCs w:val="24"/>
          <w:lang w:eastAsia="en-US"/>
        </w:rPr>
      </w:pPr>
      <w:proofErr w:type="gramStart"/>
      <w:r w:rsidRPr="00BD695E">
        <w:rPr>
          <w:rFonts w:ascii="Times New Roman" w:hAnsi="Times New Roman"/>
          <w:sz w:val="24"/>
          <w:szCs w:val="24"/>
          <w:lang w:eastAsia="en-US"/>
        </w:rPr>
        <w:t xml:space="preserve">Graf </w:t>
      </w:r>
      <w:r w:rsidR="001D3A20">
        <w:rPr>
          <w:rFonts w:ascii="Times New Roman" w:hAnsi="Times New Roman"/>
          <w:sz w:val="24"/>
          <w:szCs w:val="24"/>
          <w:lang w:eastAsia="en-US"/>
        </w:rPr>
        <w:t xml:space="preserve">:  </w:t>
      </w:r>
      <w:r w:rsidRPr="00BD695E">
        <w:rPr>
          <w:rFonts w:ascii="Times New Roman" w:hAnsi="Times New Roman"/>
          <w:sz w:val="24"/>
          <w:szCs w:val="24"/>
          <w:lang w:eastAsia="en-US"/>
        </w:rPr>
        <w:t>Vývoj</w:t>
      </w:r>
      <w:proofErr w:type="gramEnd"/>
      <w:r w:rsidRPr="00BD695E">
        <w:rPr>
          <w:rFonts w:ascii="Times New Roman" w:hAnsi="Times New Roman"/>
          <w:sz w:val="24"/>
          <w:szCs w:val="24"/>
          <w:lang w:eastAsia="en-US"/>
        </w:rPr>
        <w:t xml:space="preserve"> pojištěného objemu 1996 – 2018 (v mld. Kč)</w:t>
      </w:r>
    </w:p>
    <w:p w14:paraId="0E89DCBB" w14:textId="77777777" w:rsidR="003B5604" w:rsidRPr="001F58EA" w:rsidRDefault="003B5604" w:rsidP="003B5604">
      <w:pPr>
        <w:spacing w:line="276" w:lineRule="auto"/>
        <w:ind w:left="-6"/>
        <w:jc w:val="both"/>
        <w:rPr>
          <w:szCs w:val="24"/>
        </w:rPr>
      </w:pPr>
      <w:r w:rsidRPr="001F58EA">
        <w:rPr>
          <w:noProof/>
        </w:rPr>
        <w:drawing>
          <wp:inline distT="0" distB="0" distL="0" distR="0" wp14:anchorId="755F9298" wp14:editId="6E87CDF9">
            <wp:extent cx="5760085" cy="1825517"/>
            <wp:effectExtent l="0" t="0" r="0" b="381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60085" cy="1825517"/>
                    </a:xfrm>
                    <a:prstGeom prst="rect">
                      <a:avLst/>
                    </a:prstGeom>
                  </pic:spPr>
                </pic:pic>
              </a:graphicData>
            </a:graphic>
          </wp:inline>
        </w:drawing>
      </w:r>
    </w:p>
    <w:p w14:paraId="59E5A6E8" w14:textId="77777777" w:rsidR="003B5604" w:rsidRPr="001F58EA" w:rsidRDefault="003B5604" w:rsidP="003B5604">
      <w:pPr>
        <w:jc w:val="right"/>
        <w:rPr>
          <w:i/>
          <w:sz w:val="20"/>
          <w:szCs w:val="24"/>
        </w:rPr>
      </w:pPr>
      <w:r w:rsidRPr="001F58EA">
        <w:rPr>
          <w:i/>
          <w:sz w:val="20"/>
          <w:szCs w:val="24"/>
        </w:rPr>
        <w:t>zdroj: Výroční zprávy EGAP a data MF</w:t>
      </w:r>
    </w:p>
    <w:p w14:paraId="1D85CB60" w14:textId="77777777" w:rsidR="001D3A20" w:rsidRDefault="001D3A20" w:rsidP="00896E8E">
      <w:pPr>
        <w:spacing w:before="120" w:after="120"/>
        <w:ind w:left="360"/>
        <w:jc w:val="both"/>
        <w:rPr>
          <w:rFonts w:ascii="Times New Roman" w:hAnsi="Times New Roman"/>
          <w:sz w:val="24"/>
          <w:szCs w:val="24"/>
          <w:lang w:eastAsia="en-US"/>
        </w:rPr>
      </w:pPr>
    </w:p>
    <w:p w14:paraId="0A193722" w14:textId="65D57033" w:rsidR="003B5604" w:rsidRPr="00BD695E" w:rsidRDefault="003B5604" w:rsidP="00896E8E">
      <w:pPr>
        <w:spacing w:before="120" w:after="120"/>
        <w:ind w:left="360"/>
        <w:jc w:val="both"/>
        <w:rPr>
          <w:rFonts w:ascii="Times New Roman" w:hAnsi="Times New Roman"/>
          <w:sz w:val="24"/>
          <w:szCs w:val="24"/>
          <w:lang w:eastAsia="en-US"/>
        </w:rPr>
      </w:pPr>
      <w:r w:rsidRPr="00BD695E">
        <w:rPr>
          <w:rFonts w:ascii="Times New Roman" w:hAnsi="Times New Roman"/>
          <w:sz w:val="24"/>
          <w:szCs w:val="24"/>
          <w:lang w:eastAsia="en-US"/>
        </w:rPr>
        <w:t>V EGAP došlo s navýšením kvantity smluv k poklesu jejich kvality, resp. nekvalitní úvěry ČEB přestaly být řádně spláceny a do dění tak muselo vstupovat pojištění od EGAP ve</w:t>
      </w:r>
      <w:r w:rsidR="00355087">
        <w:rPr>
          <w:rFonts w:ascii="Times New Roman" w:hAnsi="Times New Roman"/>
          <w:sz w:val="24"/>
          <w:szCs w:val="24"/>
          <w:lang w:eastAsia="en-US"/>
        </w:rPr>
        <w:t> </w:t>
      </w:r>
      <w:r w:rsidRPr="00BD695E">
        <w:rPr>
          <w:rFonts w:ascii="Times New Roman" w:hAnsi="Times New Roman"/>
          <w:sz w:val="24"/>
          <w:szCs w:val="24"/>
          <w:lang w:eastAsia="en-US"/>
        </w:rPr>
        <w:t>stále větší míře. Do určité míry se také projevila zvýšená nestabilita ve světě (vztahy mezi Ukrajinou a Ruskem, sankce vůči Rusku, válka v Sýrii, pokus o puč v Turecku atd.)</w:t>
      </w:r>
      <w:r w:rsidR="001D3A20">
        <w:rPr>
          <w:rFonts w:ascii="Times New Roman" w:hAnsi="Times New Roman"/>
          <w:sz w:val="24"/>
          <w:szCs w:val="24"/>
          <w:lang w:eastAsia="en-US"/>
        </w:rPr>
        <w:t>.</w:t>
      </w:r>
      <w:r w:rsidRPr="00BD695E">
        <w:rPr>
          <w:rFonts w:ascii="Times New Roman" w:hAnsi="Times New Roman"/>
          <w:sz w:val="24"/>
          <w:szCs w:val="24"/>
          <w:lang w:eastAsia="en-US"/>
        </w:rPr>
        <w:t xml:space="preserve"> </w:t>
      </w:r>
    </w:p>
    <w:p w14:paraId="5C0CA5A5" w14:textId="77777777" w:rsidR="00693808" w:rsidRDefault="00693808" w:rsidP="00C42E93">
      <w:pPr>
        <w:spacing w:before="120" w:after="120"/>
        <w:ind w:left="360"/>
        <w:jc w:val="both"/>
        <w:rPr>
          <w:rFonts w:ascii="Times New Roman" w:hAnsi="Times New Roman"/>
          <w:sz w:val="24"/>
          <w:szCs w:val="24"/>
          <w:lang w:eastAsia="en-US"/>
        </w:rPr>
      </w:pPr>
    </w:p>
    <w:p w14:paraId="34D8542D" w14:textId="77777777" w:rsidR="00DC2161" w:rsidRDefault="00DC2161" w:rsidP="00C42E93">
      <w:pPr>
        <w:spacing w:before="120" w:after="120"/>
        <w:ind w:left="360"/>
        <w:jc w:val="both"/>
        <w:rPr>
          <w:rFonts w:ascii="Times New Roman" w:hAnsi="Times New Roman"/>
          <w:sz w:val="24"/>
          <w:szCs w:val="24"/>
          <w:lang w:eastAsia="en-US"/>
        </w:rPr>
      </w:pPr>
    </w:p>
    <w:p w14:paraId="0464C2B6" w14:textId="1518373A" w:rsidR="00C42E93" w:rsidRPr="00BD695E" w:rsidRDefault="00C42E93" w:rsidP="00C42E93">
      <w:pPr>
        <w:spacing w:before="120" w:after="120"/>
        <w:ind w:left="360"/>
        <w:jc w:val="both"/>
        <w:rPr>
          <w:rFonts w:ascii="Times New Roman" w:hAnsi="Times New Roman"/>
          <w:sz w:val="24"/>
          <w:szCs w:val="24"/>
          <w:lang w:eastAsia="en-US"/>
        </w:rPr>
      </w:pPr>
      <w:proofErr w:type="gramStart"/>
      <w:r w:rsidRPr="00BD695E">
        <w:rPr>
          <w:rFonts w:ascii="Times New Roman" w:hAnsi="Times New Roman"/>
          <w:sz w:val="24"/>
          <w:szCs w:val="24"/>
          <w:lang w:eastAsia="en-US"/>
        </w:rPr>
        <w:t xml:space="preserve">Graf </w:t>
      </w:r>
      <w:r w:rsidR="001D3A20">
        <w:rPr>
          <w:rFonts w:ascii="Times New Roman" w:hAnsi="Times New Roman"/>
          <w:sz w:val="24"/>
          <w:szCs w:val="24"/>
          <w:lang w:eastAsia="en-US"/>
        </w:rPr>
        <w:t xml:space="preserve">: </w:t>
      </w:r>
      <w:r w:rsidRPr="00BD695E">
        <w:rPr>
          <w:rFonts w:ascii="Times New Roman" w:hAnsi="Times New Roman"/>
          <w:sz w:val="24"/>
          <w:szCs w:val="24"/>
          <w:lang w:eastAsia="en-US"/>
        </w:rPr>
        <w:t xml:space="preserve"> Vyplacená</w:t>
      </w:r>
      <w:proofErr w:type="gramEnd"/>
      <w:r w:rsidRPr="00BD695E">
        <w:rPr>
          <w:rFonts w:ascii="Times New Roman" w:hAnsi="Times New Roman"/>
          <w:sz w:val="24"/>
          <w:szCs w:val="24"/>
          <w:lang w:eastAsia="en-US"/>
        </w:rPr>
        <w:t xml:space="preserve"> pojistná plnění 2009 – 2018 (v mld. Kč)</w:t>
      </w:r>
    </w:p>
    <w:p w14:paraId="288E6BCD" w14:textId="77777777" w:rsidR="00C42E93" w:rsidRDefault="00C42E93" w:rsidP="003B5604">
      <w:pPr>
        <w:jc w:val="both"/>
        <w:rPr>
          <w:szCs w:val="24"/>
        </w:rPr>
      </w:pPr>
      <w:r>
        <w:rPr>
          <w:noProof/>
          <w:szCs w:val="24"/>
        </w:rPr>
        <w:drawing>
          <wp:anchor distT="0" distB="0" distL="114300" distR="114300" simplePos="0" relativeHeight="251639808" behindDoc="0" locked="0" layoutInCell="1" allowOverlap="1" wp14:anchorId="6AF5B3EE" wp14:editId="6F048FA5">
            <wp:simplePos x="0" y="0"/>
            <wp:positionH relativeFrom="column">
              <wp:posOffset>0</wp:posOffset>
            </wp:positionH>
            <wp:positionV relativeFrom="paragraph">
              <wp:posOffset>0</wp:posOffset>
            </wp:positionV>
            <wp:extent cx="5677692" cy="2295845"/>
            <wp:effectExtent l="0" t="0" r="0" b="952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2.png"/>
                    <pic:cNvPicPr/>
                  </pic:nvPicPr>
                  <pic:blipFill>
                    <a:blip r:embed="rId11">
                      <a:extLst>
                        <a:ext uri="{28A0092B-C50C-407E-A947-70E740481C1C}">
                          <a14:useLocalDpi xmlns:a14="http://schemas.microsoft.com/office/drawing/2010/main" val="0"/>
                        </a:ext>
                      </a:extLst>
                    </a:blip>
                    <a:stretch>
                      <a:fillRect/>
                    </a:stretch>
                  </pic:blipFill>
                  <pic:spPr>
                    <a:xfrm>
                      <a:off x="0" y="0"/>
                      <a:ext cx="5677692" cy="2295845"/>
                    </a:xfrm>
                    <a:prstGeom prst="rect">
                      <a:avLst/>
                    </a:prstGeom>
                  </pic:spPr>
                </pic:pic>
              </a:graphicData>
            </a:graphic>
          </wp:anchor>
        </w:drawing>
      </w:r>
    </w:p>
    <w:p w14:paraId="7ACA6D56" w14:textId="77777777" w:rsidR="00C42E93" w:rsidRDefault="00C42E93" w:rsidP="003B5604">
      <w:pPr>
        <w:jc w:val="both"/>
        <w:rPr>
          <w:szCs w:val="24"/>
        </w:rPr>
      </w:pPr>
    </w:p>
    <w:p w14:paraId="42D18297" w14:textId="77777777" w:rsidR="00C42E93" w:rsidRDefault="00C42E93" w:rsidP="003B5604">
      <w:pPr>
        <w:jc w:val="both"/>
        <w:rPr>
          <w:szCs w:val="24"/>
        </w:rPr>
      </w:pPr>
    </w:p>
    <w:p w14:paraId="7A8BA88E" w14:textId="77777777" w:rsidR="00896E8E" w:rsidRDefault="00896E8E" w:rsidP="003B5604">
      <w:pPr>
        <w:jc w:val="both"/>
        <w:rPr>
          <w:szCs w:val="24"/>
        </w:rPr>
      </w:pPr>
    </w:p>
    <w:p w14:paraId="5ACE3749" w14:textId="77777777" w:rsidR="00896E8E" w:rsidRPr="001F58EA" w:rsidRDefault="00896E8E" w:rsidP="003B5604">
      <w:pPr>
        <w:jc w:val="both"/>
        <w:rPr>
          <w:szCs w:val="24"/>
        </w:rPr>
      </w:pPr>
    </w:p>
    <w:p w14:paraId="342BD458" w14:textId="77777777" w:rsidR="003B5604" w:rsidRDefault="003B5604" w:rsidP="003B5604">
      <w:pPr>
        <w:jc w:val="both"/>
        <w:rPr>
          <w:szCs w:val="24"/>
        </w:rPr>
      </w:pPr>
    </w:p>
    <w:p w14:paraId="107E123B" w14:textId="77777777" w:rsidR="00896E8E" w:rsidRPr="001F58EA" w:rsidRDefault="00896E8E" w:rsidP="003B5604">
      <w:pPr>
        <w:jc w:val="both"/>
        <w:rPr>
          <w:szCs w:val="24"/>
        </w:rPr>
      </w:pPr>
    </w:p>
    <w:p w14:paraId="4F8E283D" w14:textId="77777777" w:rsidR="00C42E93" w:rsidRDefault="00C42E93" w:rsidP="003B5604">
      <w:pPr>
        <w:spacing w:line="276" w:lineRule="auto"/>
        <w:jc w:val="both"/>
        <w:rPr>
          <w:szCs w:val="24"/>
        </w:rPr>
      </w:pPr>
    </w:p>
    <w:p w14:paraId="1BAA9EF4" w14:textId="77777777" w:rsidR="003B5604" w:rsidRDefault="003B5604" w:rsidP="00C42E93">
      <w:pPr>
        <w:spacing w:before="120" w:after="120"/>
        <w:ind w:left="360"/>
        <w:jc w:val="both"/>
        <w:rPr>
          <w:rFonts w:ascii="Times New Roman" w:hAnsi="Times New Roman"/>
          <w:sz w:val="24"/>
          <w:szCs w:val="24"/>
          <w:lang w:eastAsia="en-US"/>
        </w:rPr>
      </w:pPr>
      <w:r w:rsidRPr="00BD695E">
        <w:rPr>
          <w:rFonts w:ascii="Times New Roman" w:hAnsi="Times New Roman"/>
          <w:sz w:val="24"/>
          <w:szCs w:val="24"/>
          <w:lang w:eastAsia="en-US"/>
        </w:rPr>
        <w:t>Důležitým ukazatelem pojišťovny a možnosti uzavírat nové obchodní případy je její pojistná angažovanost a její limitovaná maximální hodnota, která nesmí být překročena (EGAP má pro rok 2018 stanovenou celkovou pojistnou kapacitu ve výši 211 mld. Kč.). Pojistná angažovanost podle účetní závěrky za rok 2018 činila 141,8 mld. Kč. Vývoj pojistné angažovanosti předchozích let je uveden v následujícím grafu.</w:t>
      </w:r>
    </w:p>
    <w:p w14:paraId="5F3D8077" w14:textId="28787032" w:rsidR="003B5604" w:rsidRPr="001D3A20" w:rsidRDefault="001D3A20" w:rsidP="001D3A20">
      <w:pPr>
        <w:spacing w:before="120" w:after="120"/>
        <w:ind w:left="360"/>
        <w:jc w:val="both"/>
        <w:rPr>
          <w:rFonts w:ascii="Times New Roman" w:hAnsi="Times New Roman"/>
          <w:sz w:val="24"/>
          <w:szCs w:val="24"/>
          <w:lang w:eastAsia="en-US"/>
        </w:rPr>
      </w:pPr>
      <w:proofErr w:type="gramStart"/>
      <w:r>
        <w:rPr>
          <w:rFonts w:ascii="Times New Roman" w:hAnsi="Times New Roman"/>
          <w:sz w:val="24"/>
          <w:szCs w:val="24"/>
          <w:lang w:eastAsia="en-US"/>
        </w:rPr>
        <w:t>Graf :</w:t>
      </w:r>
      <w:r w:rsidR="003B5604" w:rsidRPr="001D3A20">
        <w:rPr>
          <w:rFonts w:ascii="Times New Roman" w:hAnsi="Times New Roman"/>
          <w:sz w:val="24"/>
          <w:szCs w:val="24"/>
          <w:lang w:eastAsia="en-US"/>
        </w:rPr>
        <w:t xml:space="preserve"> Vývoj</w:t>
      </w:r>
      <w:proofErr w:type="gramEnd"/>
      <w:r w:rsidR="003B5604" w:rsidRPr="001D3A20">
        <w:rPr>
          <w:rFonts w:ascii="Times New Roman" w:hAnsi="Times New Roman"/>
          <w:sz w:val="24"/>
          <w:szCs w:val="24"/>
          <w:lang w:eastAsia="en-US"/>
        </w:rPr>
        <w:t xml:space="preserve"> pojistné angažovanosti 1996 – 2018 (v mld. Kč)</w:t>
      </w:r>
    </w:p>
    <w:p w14:paraId="55762D45" w14:textId="77777777" w:rsidR="003B5604" w:rsidRPr="001F58EA" w:rsidRDefault="00052759" w:rsidP="003B5604">
      <w:pPr>
        <w:pStyle w:val="Titulek"/>
        <w:keepNext/>
      </w:pPr>
      <w:r w:rsidRPr="00C42E93">
        <w:rPr>
          <w:noProof/>
          <w:sz w:val="24"/>
          <w:szCs w:val="24"/>
          <w:highlight w:val="yellow"/>
        </w:rPr>
        <w:drawing>
          <wp:anchor distT="0" distB="0" distL="114300" distR="114300" simplePos="0" relativeHeight="251638784" behindDoc="0" locked="0" layoutInCell="1" allowOverlap="1" wp14:anchorId="1D079339" wp14:editId="46A7A2EF">
            <wp:simplePos x="0" y="0"/>
            <wp:positionH relativeFrom="margin">
              <wp:align>right</wp:align>
            </wp:positionH>
            <wp:positionV relativeFrom="paragraph">
              <wp:posOffset>6350</wp:posOffset>
            </wp:positionV>
            <wp:extent cx="5760720" cy="1802130"/>
            <wp:effectExtent l="0" t="0" r="0" b="762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png"/>
                    <pic:cNvPicPr/>
                  </pic:nvPicPr>
                  <pic:blipFill>
                    <a:blip r:embed="rId12">
                      <a:extLst>
                        <a:ext uri="{28A0092B-C50C-407E-A947-70E740481C1C}">
                          <a14:useLocalDpi xmlns:a14="http://schemas.microsoft.com/office/drawing/2010/main" val="0"/>
                        </a:ext>
                      </a:extLst>
                    </a:blip>
                    <a:stretch>
                      <a:fillRect/>
                    </a:stretch>
                  </pic:blipFill>
                  <pic:spPr>
                    <a:xfrm>
                      <a:off x="0" y="0"/>
                      <a:ext cx="5760720" cy="1802130"/>
                    </a:xfrm>
                    <a:prstGeom prst="rect">
                      <a:avLst/>
                    </a:prstGeom>
                  </pic:spPr>
                </pic:pic>
              </a:graphicData>
            </a:graphic>
          </wp:anchor>
        </w:drawing>
      </w:r>
    </w:p>
    <w:p w14:paraId="31B39A51" w14:textId="77777777" w:rsidR="003B5604" w:rsidRPr="001F58EA" w:rsidRDefault="003B5604" w:rsidP="003B5604">
      <w:pPr>
        <w:rPr>
          <w:szCs w:val="24"/>
        </w:rPr>
      </w:pPr>
    </w:p>
    <w:p w14:paraId="5233DEA1" w14:textId="77777777" w:rsidR="003B5604" w:rsidRPr="001F58EA" w:rsidRDefault="003B5604" w:rsidP="003B5604">
      <w:pPr>
        <w:jc w:val="right"/>
        <w:rPr>
          <w:sz w:val="20"/>
          <w:szCs w:val="24"/>
        </w:rPr>
      </w:pPr>
      <w:r w:rsidRPr="001F58EA">
        <w:rPr>
          <w:i/>
          <w:sz w:val="20"/>
          <w:szCs w:val="24"/>
        </w:rPr>
        <w:t>zdroj: Výroční zprávy EGAP a data MF</w:t>
      </w:r>
    </w:p>
    <w:p w14:paraId="2AF0B216" w14:textId="77777777" w:rsidR="00562033" w:rsidRPr="00286395" w:rsidRDefault="00562033" w:rsidP="00EB147E">
      <w:pPr>
        <w:spacing w:before="120" w:after="120"/>
        <w:ind w:left="360"/>
        <w:jc w:val="both"/>
        <w:rPr>
          <w:rFonts w:ascii="Times New Roman" w:hAnsi="Times New Roman"/>
          <w:sz w:val="24"/>
          <w:szCs w:val="24"/>
          <w:lang w:eastAsia="en-US"/>
        </w:rPr>
      </w:pPr>
    </w:p>
    <w:p w14:paraId="6EECC989" w14:textId="77777777" w:rsidR="00052759" w:rsidRDefault="00052759" w:rsidP="00C47DF0">
      <w:pPr>
        <w:spacing w:before="120" w:after="120"/>
        <w:ind w:left="360"/>
        <w:jc w:val="both"/>
        <w:rPr>
          <w:rFonts w:ascii="Times New Roman" w:hAnsi="Times New Roman"/>
          <w:sz w:val="24"/>
          <w:szCs w:val="24"/>
          <w:lang w:eastAsia="en-US"/>
        </w:rPr>
      </w:pPr>
    </w:p>
    <w:p w14:paraId="0CFC7AEB" w14:textId="77777777" w:rsidR="00052759" w:rsidRDefault="00052759" w:rsidP="00C47DF0">
      <w:pPr>
        <w:spacing w:before="120" w:after="120"/>
        <w:ind w:left="360"/>
        <w:jc w:val="both"/>
        <w:rPr>
          <w:rFonts w:ascii="Times New Roman" w:hAnsi="Times New Roman"/>
          <w:sz w:val="24"/>
          <w:szCs w:val="24"/>
          <w:lang w:eastAsia="en-US"/>
        </w:rPr>
      </w:pPr>
    </w:p>
    <w:p w14:paraId="4D043D72" w14:textId="77777777" w:rsidR="00C47DF0" w:rsidRDefault="00C47DF0" w:rsidP="00C47DF0">
      <w:pPr>
        <w:spacing w:before="120" w:after="120"/>
        <w:ind w:left="360"/>
        <w:jc w:val="both"/>
        <w:rPr>
          <w:rFonts w:ascii="Times New Roman" w:hAnsi="Times New Roman"/>
          <w:sz w:val="24"/>
          <w:szCs w:val="24"/>
          <w:lang w:eastAsia="en-US"/>
        </w:rPr>
      </w:pPr>
      <w:r w:rsidRPr="00286395">
        <w:rPr>
          <w:rFonts w:ascii="Times New Roman" w:hAnsi="Times New Roman"/>
          <w:sz w:val="24"/>
          <w:szCs w:val="24"/>
          <w:lang w:eastAsia="en-US"/>
        </w:rPr>
        <w:t>Při vývozu zejména do rizikovějších teritorií, kam komerční banky nabízí jen omezené možnosti financování, se jeví jako nezbytné, aby vývozci měli k dispozici financování svých dodávek za podmínek obvyklých v zemích OECD, a to především z hlediska délky úvěru a úrovně úrokových sazeb. Domácí peněžní a kapitálový trh takové úvěry nabízí v omezené míře, neboť pro získání takových finančních zdrojů je nezbytné obracet se na</w:t>
      </w:r>
      <w:r>
        <w:rPr>
          <w:rFonts w:ascii="Times New Roman" w:hAnsi="Times New Roman"/>
          <w:sz w:val="24"/>
          <w:szCs w:val="24"/>
          <w:lang w:eastAsia="en-US"/>
        </w:rPr>
        <w:t> </w:t>
      </w:r>
      <w:r w:rsidRPr="00286395">
        <w:rPr>
          <w:rFonts w:ascii="Times New Roman" w:hAnsi="Times New Roman"/>
          <w:sz w:val="24"/>
          <w:szCs w:val="24"/>
          <w:lang w:eastAsia="en-US"/>
        </w:rPr>
        <w:t xml:space="preserve">mezinárodní kapitálové trhy. Za tímto účelem </w:t>
      </w:r>
      <w:r>
        <w:rPr>
          <w:rFonts w:ascii="Times New Roman" w:hAnsi="Times New Roman"/>
          <w:sz w:val="24"/>
          <w:szCs w:val="24"/>
          <w:lang w:eastAsia="en-US"/>
        </w:rPr>
        <w:t xml:space="preserve">v řadě zemí OECD </w:t>
      </w:r>
      <w:r w:rsidRPr="00286395">
        <w:rPr>
          <w:rFonts w:ascii="Times New Roman" w:hAnsi="Times New Roman"/>
          <w:sz w:val="24"/>
          <w:szCs w:val="24"/>
          <w:lang w:eastAsia="en-US"/>
        </w:rPr>
        <w:t>existuje specializovaná bankovní instituce - exportní banka, která využívá státní záruku za jejich splácení.</w:t>
      </w:r>
    </w:p>
    <w:p w14:paraId="36B62178" w14:textId="6C40F0B0" w:rsidR="00E262DD" w:rsidRPr="00286395" w:rsidRDefault="0038568C" w:rsidP="00EB147E">
      <w:pPr>
        <w:spacing w:before="120" w:after="120"/>
        <w:ind w:left="360"/>
        <w:jc w:val="both"/>
        <w:rPr>
          <w:rFonts w:ascii="Times New Roman" w:hAnsi="Times New Roman"/>
          <w:sz w:val="24"/>
          <w:szCs w:val="24"/>
          <w:lang w:eastAsia="en-US"/>
        </w:rPr>
      </w:pPr>
      <w:r>
        <w:rPr>
          <w:rFonts w:ascii="Times New Roman" w:hAnsi="Times New Roman"/>
          <w:sz w:val="24"/>
          <w:szCs w:val="24"/>
          <w:lang w:eastAsia="en-US"/>
        </w:rPr>
        <w:t xml:space="preserve">V České republice </w:t>
      </w:r>
      <w:r w:rsidR="00A4137C">
        <w:rPr>
          <w:rFonts w:ascii="Times New Roman" w:hAnsi="Times New Roman"/>
          <w:sz w:val="24"/>
          <w:szCs w:val="24"/>
          <w:lang w:eastAsia="en-US"/>
        </w:rPr>
        <w:t xml:space="preserve">se </w:t>
      </w:r>
      <w:r>
        <w:rPr>
          <w:rFonts w:ascii="Times New Roman" w:hAnsi="Times New Roman"/>
          <w:sz w:val="24"/>
          <w:szCs w:val="24"/>
          <w:lang w:eastAsia="en-US"/>
        </w:rPr>
        <w:t>p</w:t>
      </w:r>
      <w:r w:rsidR="00E262DD" w:rsidRPr="00286395">
        <w:rPr>
          <w:rFonts w:ascii="Times New Roman" w:hAnsi="Times New Roman"/>
          <w:sz w:val="24"/>
          <w:szCs w:val="24"/>
          <w:lang w:eastAsia="en-US"/>
        </w:rPr>
        <w:t xml:space="preserve">rovozováním financování vývozních úvěrových rizik zabývá </w:t>
      </w:r>
      <w:r w:rsidR="003E4314">
        <w:rPr>
          <w:rFonts w:ascii="Times New Roman" w:hAnsi="Times New Roman"/>
          <w:bCs/>
          <w:sz w:val="24"/>
          <w:szCs w:val="24"/>
        </w:rPr>
        <w:t>exportní banka</w:t>
      </w:r>
      <w:r w:rsidR="00E262DD" w:rsidRPr="00286395">
        <w:rPr>
          <w:rFonts w:ascii="Times New Roman" w:hAnsi="Times New Roman"/>
          <w:sz w:val="24"/>
          <w:szCs w:val="24"/>
          <w:lang w:eastAsia="en-US"/>
        </w:rPr>
        <w:t>, jejímiž akcionáři j</w:t>
      </w:r>
      <w:r w:rsidR="00A4137C">
        <w:rPr>
          <w:rFonts w:ascii="Times New Roman" w:hAnsi="Times New Roman"/>
          <w:sz w:val="24"/>
          <w:szCs w:val="24"/>
          <w:lang w:eastAsia="en-US"/>
        </w:rPr>
        <w:t>sou</w:t>
      </w:r>
      <w:r w:rsidR="00E262DD" w:rsidRPr="00286395">
        <w:rPr>
          <w:rFonts w:ascii="Times New Roman" w:hAnsi="Times New Roman"/>
          <w:sz w:val="24"/>
          <w:szCs w:val="24"/>
          <w:lang w:eastAsia="en-US"/>
        </w:rPr>
        <w:t xml:space="preserve"> stát (84%) a exportní pojišťovna (16%).</w:t>
      </w:r>
    </w:p>
    <w:p w14:paraId="042ED762" w14:textId="77777777" w:rsidR="00E262DD" w:rsidRDefault="00E262DD" w:rsidP="00EB147E">
      <w:pPr>
        <w:spacing w:before="120" w:after="120"/>
        <w:ind w:left="360"/>
        <w:jc w:val="both"/>
        <w:rPr>
          <w:rFonts w:ascii="Times New Roman" w:hAnsi="Times New Roman"/>
          <w:sz w:val="24"/>
          <w:szCs w:val="24"/>
          <w:lang w:eastAsia="en-US"/>
        </w:rPr>
      </w:pPr>
      <w:r w:rsidRPr="00286395">
        <w:rPr>
          <w:rFonts w:ascii="Times New Roman" w:hAnsi="Times New Roman"/>
          <w:sz w:val="24"/>
          <w:szCs w:val="24"/>
          <w:lang w:eastAsia="en-US"/>
        </w:rPr>
        <w:t xml:space="preserve">Posláním </w:t>
      </w:r>
      <w:r w:rsidR="00A4137C">
        <w:rPr>
          <w:rFonts w:ascii="Times New Roman" w:hAnsi="Times New Roman"/>
          <w:sz w:val="24"/>
          <w:szCs w:val="24"/>
          <w:lang w:eastAsia="en-US"/>
        </w:rPr>
        <w:t>ČEB</w:t>
      </w:r>
      <w:r w:rsidRPr="00286395">
        <w:rPr>
          <w:rFonts w:ascii="Times New Roman" w:hAnsi="Times New Roman"/>
          <w:sz w:val="24"/>
          <w:szCs w:val="24"/>
          <w:lang w:eastAsia="en-US"/>
        </w:rPr>
        <w:t xml:space="preserve"> je poskytovat finanční služby související s vývozem, podporovat český export bez ohledu na velikost kontraktu, budovat povědomí o České republice ve světě, a</w:t>
      </w:r>
      <w:r w:rsidR="007E5A8E">
        <w:rPr>
          <w:rFonts w:ascii="Times New Roman" w:hAnsi="Times New Roman"/>
          <w:sz w:val="24"/>
          <w:szCs w:val="24"/>
          <w:lang w:eastAsia="en-US"/>
        </w:rPr>
        <w:t> </w:t>
      </w:r>
      <w:r w:rsidRPr="00286395">
        <w:rPr>
          <w:rFonts w:ascii="Times New Roman" w:hAnsi="Times New Roman"/>
          <w:sz w:val="24"/>
          <w:szCs w:val="24"/>
          <w:lang w:eastAsia="en-US"/>
        </w:rPr>
        <w:t>tím posilovat konkurenceschopnost českých podnikatelských subjektů a České republiky. Exportní banka umožňuje financování exportu všech typů výrobků a služeb, ale na rozdíl od komerčních bank jsou pro ni atraktivní také ta odvětví českého exportu, která vyžadují velké objemy externích finančních zdrojů a delší doby splatnosti (např. letectví a</w:t>
      </w:r>
      <w:r w:rsidR="007E5A8E">
        <w:rPr>
          <w:rFonts w:ascii="Times New Roman" w:hAnsi="Times New Roman"/>
          <w:sz w:val="24"/>
          <w:szCs w:val="24"/>
          <w:lang w:eastAsia="en-US"/>
        </w:rPr>
        <w:t> </w:t>
      </w:r>
      <w:r w:rsidRPr="00286395">
        <w:rPr>
          <w:rFonts w:ascii="Times New Roman" w:hAnsi="Times New Roman"/>
          <w:sz w:val="24"/>
          <w:szCs w:val="24"/>
          <w:lang w:eastAsia="en-US"/>
        </w:rPr>
        <w:t>energetika).</w:t>
      </w:r>
      <w:r w:rsidR="005F1CF4">
        <w:rPr>
          <w:rFonts w:ascii="Times New Roman" w:hAnsi="Times New Roman"/>
          <w:sz w:val="24"/>
          <w:szCs w:val="24"/>
          <w:lang w:eastAsia="en-US"/>
        </w:rPr>
        <w:t xml:space="preserve"> Z principu by však měla exportní banka především vyplňovat tzv. tržní mezeru, tzn. nekonkurovat si na trhu s komerčními bankami, ale zaměřit se na jeho nepokrytou část.</w:t>
      </w:r>
    </w:p>
    <w:p w14:paraId="14097577" w14:textId="3BD2EEE7" w:rsidR="00774FD5" w:rsidRPr="00774FD5" w:rsidRDefault="00EE41E2" w:rsidP="00774FD5">
      <w:pPr>
        <w:spacing w:before="120" w:after="120"/>
        <w:ind w:left="360"/>
        <w:jc w:val="both"/>
        <w:rPr>
          <w:rFonts w:ascii="Times New Roman" w:hAnsi="Times New Roman"/>
          <w:sz w:val="24"/>
          <w:szCs w:val="24"/>
          <w:lang w:eastAsia="en-US"/>
        </w:rPr>
      </w:pPr>
      <w:r>
        <w:rPr>
          <w:rFonts w:ascii="Times New Roman" w:hAnsi="Times New Roman"/>
          <w:sz w:val="24"/>
          <w:szCs w:val="24"/>
          <w:lang w:eastAsia="en-US"/>
        </w:rPr>
        <w:t>E</w:t>
      </w:r>
      <w:r w:rsidR="00774FD5" w:rsidRPr="00774FD5">
        <w:rPr>
          <w:rFonts w:ascii="Times New Roman" w:hAnsi="Times New Roman"/>
          <w:sz w:val="24"/>
          <w:szCs w:val="24"/>
          <w:lang w:eastAsia="en-US"/>
        </w:rPr>
        <w:t xml:space="preserve">xportní banka je nedílnou součástí systému státní podpory exportu. Je pověřena realizací podpory exportu v oblasti jeho financování poskytovaného v souladu s mezinárodními pravidly pro poskytování vývozních úvěrů. Celková poptávka po produktech státem podpořeného exportního financování v České republice vykazovala několik let sestupný trend. </w:t>
      </w:r>
    </w:p>
    <w:p w14:paraId="49EC05CF" w14:textId="7FA496BD" w:rsidR="00774FD5" w:rsidRPr="00774FD5" w:rsidRDefault="00774FD5" w:rsidP="00774FD5">
      <w:pPr>
        <w:spacing w:before="120" w:after="120"/>
        <w:ind w:left="360"/>
        <w:jc w:val="both"/>
        <w:rPr>
          <w:rFonts w:ascii="Times New Roman" w:hAnsi="Times New Roman"/>
          <w:sz w:val="24"/>
          <w:szCs w:val="24"/>
          <w:lang w:eastAsia="en-US"/>
        </w:rPr>
      </w:pPr>
      <w:r w:rsidRPr="00951119">
        <w:rPr>
          <w:rFonts w:ascii="Times New Roman" w:hAnsi="Times New Roman"/>
          <w:sz w:val="24"/>
          <w:szCs w:val="24"/>
          <w:lang w:eastAsia="en-US"/>
        </w:rPr>
        <w:t xml:space="preserve">Nabídka </w:t>
      </w:r>
      <w:r w:rsidR="00EE41E2" w:rsidRPr="00951119">
        <w:rPr>
          <w:rFonts w:ascii="Times New Roman" w:hAnsi="Times New Roman"/>
          <w:sz w:val="24"/>
          <w:szCs w:val="24"/>
          <w:lang w:eastAsia="en-US"/>
        </w:rPr>
        <w:t>exportní banky</w:t>
      </w:r>
      <w:r w:rsidRPr="00951119">
        <w:rPr>
          <w:rFonts w:ascii="Times New Roman" w:hAnsi="Times New Roman"/>
          <w:sz w:val="24"/>
          <w:szCs w:val="24"/>
          <w:lang w:eastAsia="en-US"/>
        </w:rPr>
        <w:t xml:space="preserve"> pokrývá jak </w:t>
      </w:r>
      <w:proofErr w:type="spellStart"/>
      <w:r w:rsidRPr="00951119">
        <w:rPr>
          <w:rFonts w:ascii="Times New Roman" w:hAnsi="Times New Roman"/>
          <w:sz w:val="24"/>
          <w:szCs w:val="24"/>
          <w:lang w:eastAsia="en-US"/>
        </w:rPr>
        <w:t>předvývozní</w:t>
      </w:r>
      <w:proofErr w:type="spellEnd"/>
      <w:r w:rsidRPr="00951119">
        <w:rPr>
          <w:rFonts w:ascii="Times New Roman" w:hAnsi="Times New Roman"/>
          <w:sz w:val="24"/>
          <w:szCs w:val="24"/>
          <w:lang w:eastAsia="en-US"/>
        </w:rPr>
        <w:t xml:space="preserve"> fázi</w:t>
      </w:r>
      <w:r w:rsidRPr="00774FD5">
        <w:rPr>
          <w:rFonts w:ascii="Times New Roman" w:hAnsi="Times New Roman"/>
          <w:sz w:val="24"/>
          <w:szCs w:val="24"/>
          <w:lang w:eastAsia="en-US"/>
        </w:rPr>
        <w:t xml:space="preserve"> (např. záruky za nabídku a</w:t>
      </w:r>
      <w:r w:rsidR="00355087">
        <w:rPr>
          <w:rFonts w:ascii="Times New Roman" w:hAnsi="Times New Roman"/>
          <w:sz w:val="24"/>
          <w:szCs w:val="24"/>
          <w:lang w:eastAsia="en-US"/>
        </w:rPr>
        <w:t> </w:t>
      </w:r>
      <w:r w:rsidRPr="00774FD5">
        <w:rPr>
          <w:rFonts w:ascii="Times New Roman" w:hAnsi="Times New Roman"/>
          <w:sz w:val="24"/>
          <w:szCs w:val="24"/>
          <w:lang w:eastAsia="en-US"/>
        </w:rPr>
        <w:t>za</w:t>
      </w:r>
      <w:r w:rsidR="00355087">
        <w:rPr>
          <w:rFonts w:ascii="Times New Roman" w:hAnsi="Times New Roman"/>
          <w:sz w:val="24"/>
          <w:szCs w:val="24"/>
          <w:lang w:eastAsia="en-US"/>
        </w:rPr>
        <w:t> </w:t>
      </w:r>
      <w:r w:rsidRPr="00774FD5">
        <w:rPr>
          <w:rFonts w:ascii="Times New Roman" w:hAnsi="Times New Roman"/>
          <w:sz w:val="24"/>
          <w:szCs w:val="24"/>
          <w:lang w:eastAsia="en-US"/>
        </w:rPr>
        <w:t>akontaci, financování výroby pro vývoz), tak také financování vlastní realizační fáze vývozu, zejména formou vývozních úvěrů a poskytnutých záruk. Nabídka forem financování vývozu ze strany ČEB umožňuje nejen podporu vývozu investičních celků, technologických linek, dopravních a přepravních prostředků, ale i vývoz jednotlivých strojů, výrobků spotřebního průmyslu, polotovarů, chemikálií, dalších druhů v</w:t>
      </w:r>
      <w:r>
        <w:rPr>
          <w:rFonts w:ascii="Times New Roman" w:hAnsi="Times New Roman"/>
          <w:sz w:val="24"/>
          <w:szCs w:val="24"/>
          <w:lang w:eastAsia="en-US"/>
        </w:rPr>
        <w:t>ýrobků a</w:t>
      </w:r>
      <w:r w:rsidR="00355087">
        <w:rPr>
          <w:rFonts w:ascii="Times New Roman" w:hAnsi="Times New Roman"/>
          <w:sz w:val="24"/>
          <w:szCs w:val="24"/>
          <w:lang w:eastAsia="en-US"/>
        </w:rPr>
        <w:t> </w:t>
      </w:r>
      <w:r>
        <w:rPr>
          <w:rFonts w:ascii="Times New Roman" w:hAnsi="Times New Roman"/>
          <w:sz w:val="24"/>
          <w:szCs w:val="24"/>
          <w:lang w:eastAsia="en-US"/>
        </w:rPr>
        <w:t>služeb a financování in</w:t>
      </w:r>
      <w:r w:rsidRPr="00774FD5">
        <w:rPr>
          <w:rFonts w:ascii="Times New Roman" w:hAnsi="Times New Roman"/>
          <w:sz w:val="24"/>
          <w:szCs w:val="24"/>
          <w:lang w:eastAsia="en-US"/>
        </w:rPr>
        <w:t>vestic českých právnických osob v zahraničí. Podporuje postavení českých exportérů v mezinárodním prostředí nabídkou financování jejich vývozu srovnatelnou s mezinárodní konkurencí.</w:t>
      </w:r>
    </w:p>
    <w:p w14:paraId="7EA7BD26" w14:textId="3CEE2C70" w:rsidR="00774FD5" w:rsidRPr="00774FD5" w:rsidRDefault="00EE41E2" w:rsidP="00774FD5">
      <w:pPr>
        <w:spacing w:before="120" w:after="120"/>
        <w:ind w:left="360"/>
        <w:jc w:val="both"/>
        <w:rPr>
          <w:rFonts w:ascii="Times New Roman" w:hAnsi="Times New Roman"/>
          <w:sz w:val="24"/>
          <w:szCs w:val="24"/>
          <w:lang w:eastAsia="en-US"/>
        </w:rPr>
      </w:pPr>
      <w:r w:rsidRPr="00951119">
        <w:rPr>
          <w:rFonts w:ascii="Times New Roman" w:hAnsi="Times New Roman"/>
          <w:sz w:val="24"/>
          <w:szCs w:val="24"/>
          <w:lang w:eastAsia="en-US"/>
        </w:rPr>
        <w:t>Exportní banka</w:t>
      </w:r>
      <w:r w:rsidR="00774FD5" w:rsidRPr="00951119">
        <w:rPr>
          <w:rFonts w:ascii="Times New Roman" w:hAnsi="Times New Roman"/>
          <w:sz w:val="24"/>
          <w:szCs w:val="24"/>
          <w:lang w:eastAsia="en-US"/>
        </w:rPr>
        <w:t xml:space="preserve"> </w:t>
      </w:r>
      <w:r w:rsidR="00774FD5" w:rsidRPr="00774FD5">
        <w:rPr>
          <w:rFonts w:ascii="Times New Roman" w:hAnsi="Times New Roman"/>
          <w:sz w:val="24"/>
          <w:szCs w:val="24"/>
          <w:lang w:eastAsia="en-US"/>
        </w:rPr>
        <w:t xml:space="preserve">standardně poskytuje </w:t>
      </w:r>
      <w:proofErr w:type="spellStart"/>
      <w:r w:rsidR="00774FD5" w:rsidRPr="00774FD5">
        <w:rPr>
          <w:rFonts w:ascii="Times New Roman" w:hAnsi="Times New Roman"/>
          <w:sz w:val="24"/>
          <w:szCs w:val="24"/>
          <w:lang w:eastAsia="en-US"/>
        </w:rPr>
        <w:t>cizoměnové</w:t>
      </w:r>
      <w:proofErr w:type="spellEnd"/>
      <w:r w:rsidR="00774FD5" w:rsidRPr="00774FD5">
        <w:rPr>
          <w:rFonts w:ascii="Times New Roman" w:hAnsi="Times New Roman"/>
          <w:sz w:val="24"/>
          <w:szCs w:val="24"/>
          <w:lang w:eastAsia="en-US"/>
        </w:rPr>
        <w:t xml:space="preserve"> finanční produkty s dlouhodobou splatností, ve velkých objemech a do teritorií, která se obecně vyznačují vyšší mírou rizika, než je běžné u úvěrových obchodů komerčního bankovního trhu. </w:t>
      </w:r>
      <w:r>
        <w:rPr>
          <w:rFonts w:ascii="Times New Roman" w:hAnsi="Times New Roman"/>
          <w:sz w:val="24"/>
          <w:szCs w:val="24"/>
          <w:lang w:eastAsia="en-US"/>
        </w:rPr>
        <w:t>D</w:t>
      </w:r>
      <w:r w:rsidR="00774FD5" w:rsidRPr="00774FD5">
        <w:rPr>
          <w:rFonts w:ascii="Times New Roman" w:hAnsi="Times New Roman"/>
          <w:sz w:val="24"/>
          <w:szCs w:val="24"/>
          <w:lang w:eastAsia="en-US"/>
        </w:rPr>
        <w:t>oplňuje nabídku a možnosti financování komerčních bank, a tím umožňuje českým vývozcům vstupovat do teritorií a projektů, pro které je financování na českém i zahraničním bankovním trhu obtížně dostupné. Vyhodnocení rizikovosti případu, teritoria i subjektů obchodního případu provádí</w:t>
      </w:r>
      <w:r w:rsidR="00774FD5" w:rsidRPr="00951119">
        <w:rPr>
          <w:rFonts w:ascii="Times New Roman" w:hAnsi="Times New Roman"/>
          <w:sz w:val="24"/>
          <w:szCs w:val="24"/>
          <w:lang w:eastAsia="en-US"/>
        </w:rPr>
        <w:t xml:space="preserve"> </w:t>
      </w:r>
      <w:r w:rsidRPr="00951119">
        <w:rPr>
          <w:rFonts w:ascii="Times New Roman" w:hAnsi="Times New Roman"/>
          <w:sz w:val="24"/>
          <w:szCs w:val="24"/>
          <w:lang w:eastAsia="en-US"/>
        </w:rPr>
        <w:t>exportní banka</w:t>
      </w:r>
      <w:r w:rsidR="006B67E3">
        <w:rPr>
          <w:rFonts w:ascii="Times New Roman" w:hAnsi="Times New Roman"/>
          <w:color w:val="00B050"/>
          <w:sz w:val="24"/>
          <w:szCs w:val="24"/>
          <w:lang w:eastAsia="en-US"/>
        </w:rPr>
        <w:t xml:space="preserve"> </w:t>
      </w:r>
      <w:r w:rsidR="006B67E3">
        <w:rPr>
          <w:rFonts w:ascii="Times New Roman" w:hAnsi="Times New Roman"/>
          <w:sz w:val="24"/>
          <w:szCs w:val="24"/>
          <w:lang w:eastAsia="en-US"/>
        </w:rPr>
        <w:t>ve</w:t>
      </w:r>
      <w:r w:rsidR="00774FD5" w:rsidRPr="00774FD5">
        <w:rPr>
          <w:rFonts w:ascii="Times New Roman" w:hAnsi="Times New Roman"/>
          <w:sz w:val="24"/>
          <w:szCs w:val="24"/>
          <w:lang w:eastAsia="en-US"/>
        </w:rPr>
        <w:t xml:space="preserve"> spolupráci s</w:t>
      </w:r>
      <w:r w:rsidR="00774FD5">
        <w:rPr>
          <w:rFonts w:ascii="Times New Roman" w:hAnsi="Times New Roman"/>
          <w:sz w:val="24"/>
          <w:szCs w:val="24"/>
          <w:lang w:eastAsia="en-US"/>
        </w:rPr>
        <w:t> </w:t>
      </w:r>
      <w:r w:rsidR="00774FD5" w:rsidRPr="00774FD5">
        <w:rPr>
          <w:rFonts w:ascii="Times New Roman" w:hAnsi="Times New Roman"/>
          <w:sz w:val="24"/>
          <w:szCs w:val="24"/>
          <w:lang w:eastAsia="en-US"/>
        </w:rPr>
        <w:t>exportní</w:t>
      </w:r>
      <w:r w:rsidR="00774FD5">
        <w:rPr>
          <w:rFonts w:ascii="Times New Roman" w:hAnsi="Times New Roman"/>
          <w:sz w:val="24"/>
          <w:szCs w:val="24"/>
          <w:lang w:eastAsia="en-US"/>
        </w:rPr>
        <w:t xml:space="preserve"> </w:t>
      </w:r>
      <w:r w:rsidR="00774FD5" w:rsidRPr="00774FD5">
        <w:rPr>
          <w:rFonts w:ascii="Times New Roman" w:hAnsi="Times New Roman"/>
          <w:sz w:val="24"/>
          <w:szCs w:val="24"/>
          <w:lang w:eastAsia="en-US"/>
        </w:rPr>
        <w:t>pojišťovnou.</w:t>
      </w:r>
    </w:p>
    <w:p w14:paraId="04104AAD" w14:textId="2B94360C" w:rsidR="00774FD5" w:rsidRPr="00774FD5" w:rsidRDefault="00774FD5" w:rsidP="00774FD5">
      <w:pPr>
        <w:spacing w:before="120" w:after="120"/>
        <w:ind w:left="360"/>
        <w:jc w:val="both"/>
        <w:rPr>
          <w:rFonts w:ascii="Times New Roman" w:hAnsi="Times New Roman"/>
          <w:sz w:val="24"/>
          <w:szCs w:val="24"/>
          <w:lang w:eastAsia="en-US"/>
        </w:rPr>
      </w:pPr>
      <w:r w:rsidRPr="00774FD5">
        <w:rPr>
          <w:rFonts w:ascii="Times New Roman" w:hAnsi="Times New Roman"/>
          <w:sz w:val="24"/>
          <w:szCs w:val="24"/>
          <w:lang w:eastAsia="en-US"/>
        </w:rPr>
        <w:t>Aktivity banky v oblasti exportního financování budou v rámci naplňování tržní mezery i</w:t>
      </w:r>
      <w:r w:rsidR="00355087">
        <w:rPr>
          <w:rFonts w:ascii="Times New Roman" w:hAnsi="Times New Roman"/>
          <w:sz w:val="24"/>
          <w:szCs w:val="24"/>
          <w:lang w:eastAsia="en-US"/>
        </w:rPr>
        <w:t> </w:t>
      </w:r>
      <w:r w:rsidRPr="00774FD5">
        <w:rPr>
          <w:rFonts w:ascii="Times New Roman" w:hAnsi="Times New Roman"/>
          <w:sz w:val="24"/>
          <w:szCs w:val="24"/>
          <w:lang w:eastAsia="en-US"/>
        </w:rPr>
        <w:t>nadále směřovat do sektorů a teritorií, kde z různých důvodů existuje jen omezená produktová nabídka zprostředkovaná komerčními bankami. Cílem je maximalizace podpory českých vývozců a dodavatelů pro vývoz při posilování exportní angažovanosti České republiky v mimoevropských destinacích v zájmu teritoriální diverzifikace exportu a kontinuálního rozšiřování exportních trhů zejména o země Afriky, Latinské Ameriky a</w:t>
      </w:r>
      <w:r w:rsidR="00355087">
        <w:rPr>
          <w:rFonts w:ascii="Times New Roman" w:hAnsi="Times New Roman"/>
          <w:sz w:val="24"/>
          <w:szCs w:val="24"/>
          <w:lang w:eastAsia="en-US"/>
        </w:rPr>
        <w:t> </w:t>
      </w:r>
      <w:r w:rsidRPr="00774FD5">
        <w:rPr>
          <w:rFonts w:ascii="Times New Roman" w:hAnsi="Times New Roman"/>
          <w:sz w:val="24"/>
          <w:szCs w:val="24"/>
          <w:lang w:eastAsia="en-US"/>
        </w:rPr>
        <w:t>jihovýchodní Asie vedoucí k postupné eliminaci současných koncentračních rizik.</w:t>
      </w:r>
    </w:p>
    <w:p w14:paraId="48513925" w14:textId="56B5EFF3" w:rsidR="00E262DD" w:rsidRDefault="00E262DD" w:rsidP="00EB147E">
      <w:pPr>
        <w:spacing w:before="120" w:after="120"/>
        <w:ind w:left="360"/>
        <w:jc w:val="both"/>
        <w:rPr>
          <w:rFonts w:ascii="Times New Roman" w:hAnsi="Times New Roman"/>
          <w:sz w:val="24"/>
          <w:szCs w:val="24"/>
          <w:lang w:eastAsia="en-US"/>
        </w:rPr>
      </w:pPr>
      <w:r w:rsidRPr="00286395">
        <w:rPr>
          <w:rFonts w:ascii="Times New Roman" w:hAnsi="Times New Roman"/>
          <w:sz w:val="24"/>
          <w:szCs w:val="24"/>
          <w:lang w:eastAsia="en-US"/>
        </w:rPr>
        <w:t xml:space="preserve">Vedle odběratelských a dodavatelských úvěrů, záruk a odkupu pohledávek nabízí exportní banka českým investorům také výhodné financování jejich záměrů vybudovat nové výrobní kapacity v zahraničí nebo kapitálově vstoupit do zahraničních firem. V posledních letech se exportní banka stále více zaměřuje na podporu </w:t>
      </w:r>
      <w:r w:rsidR="00226C26">
        <w:rPr>
          <w:rFonts w:ascii="Times New Roman" w:hAnsi="Times New Roman"/>
          <w:sz w:val="24"/>
          <w:szCs w:val="24"/>
          <w:lang w:eastAsia="en-US"/>
        </w:rPr>
        <w:t>MSP</w:t>
      </w:r>
      <w:r w:rsidRPr="00286395">
        <w:rPr>
          <w:rFonts w:ascii="Times New Roman" w:hAnsi="Times New Roman"/>
          <w:sz w:val="24"/>
          <w:szCs w:val="24"/>
          <w:lang w:eastAsia="en-US"/>
        </w:rPr>
        <w:t>, které projevují čím dál větší zájem o exportní financování. Oblast působení exportní banky – zejména na</w:t>
      </w:r>
      <w:r w:rsidR="00741A46">
        <w:rPr>
          <w:rFonts w:ascii="Times New Roman" w:hAnsi="Times New Roman"/>
          <w:sz w:val="24"/>
          <w:szCs w:val="24"/>
          <w:lang w:eastAsia="en-US"/>
        </w:rPr>
        <w:t> </w:t>
      </w:r>
      <w:r w:rsidRPr="00286395">
        <w:rPr>
          <w:rFonts w:ascii="Times New Roman" w:hAnsi="Times New Roman"/>
          <w:sz w:val="24"/>
          <w:szCs w:val="24"/>
          <w:lang w:eastAsia="en-US"/>
        </w:rPr>
        <w:t xml:space="preserve">rozdíl od standardních komerčních bank - je úzce zákonem vymezena, a to jak z pohledu poskytovaných </w:t>
      </w:r>
      <w:r w:rsidR="009320EA">
        <w:rPr>
          <w:rFonts w:ascii="Times New Roman" w:hAnsi="Times New Roman"/>
          <w:sz w:val="24"/>
          <w:szCs w:val="24"/>
          <w:lang w:eastAsia="en-US"/>
        </w:rPr>
        <w:t>nástroj</w:t>
      </w:r>
      <w:r w:rsidRPr="00286395">
        <w:rPr>
          <w:rFonts w:ascii="Times New Roman" w:hAnsi="Times New Roman"/>
          <w:sz w:val="24"/>
          <w:szCs w:val="24"/>
          <w:lang w:eastAsia="en-US"/>
        </w:rPr>
        <w:t xml:space="preserve">ů a jejich specifik, tak z pohledu </w:t>
      </w:r>
      <w:r w:rsidR="00325DA2" w:rsidRPr="00286395">
        <w:rPr>
          <w:rFonts w:ascii="Times New Roman" w:hAnsi="Times New Roman"/>
          <w:sz w:val="24"/>
          <w:szCs w:val="24"/>
          <w:lang w:eastAsia="en-US"/>
        </w:rPr>
        <w:t>její</w:t>
      </w:r>
      <w:r w:rsidRPr="00286395">
        <w:rPr>
          <w:rFonts w:ascii="Times New Roman" w:hAnsi="Times New Roman"/>
          <w:sz w:val="24"/>
          <w:szCs w:val="24"/>
          <w:lang w:eastAsia="en-US"/>
        </w:rPr>
        <w:t>ch klientů.</w:t>
      </w:r>
    </w:p>
    <w:p w14:paraId="6F0A0C44" w14:textId="77777777" w:rsidR="00154826" w:rsidRPr="00BD695E" w:rsidRDefault="00154826" w:rsidP="00154826">
      <w:pPr>
        <w:spacing w:before="120" w:after="120"/>
        <w:ind w:left="360"/>
        <w:jc w:val="both"/>
        <w:rPr>
          <w:rFonts w:ascii="Times New Roman" w:hAnsi="Times New Roman"/>
          <w:sz w:val="24"/>
          <w:szCs w:val="24"/>
          <w:lang w:eastAsia="en-US"/>
        </w:rPr>
      </w:pPr>
      <w:r w:rsidRPr="00BD695E">
        <w:rPr>
          <w:rFonts w:ascii="Times New Roman" w:hAnsi="Times New Roman"/>
          <w:sz w:val="24"/>
          <w:szCs w:val="24"/>
          <w:lang w:eastAsia="en-US"/>
        </w:rPr>
        <w:t>V roce 2017 ČEB hospodařila se ziskem 258,9 mil. Kč, zisk byl rozdělen do rezervního fondu a do fondu vývozních rizik. ČEB dosáhla v roce 2017 celkového objemu nových transakcí ve výši 4,3 mld. Kč. V roce 2018 ČEB hospodařila se ziskem před zdaněním 223</w:t>
      </w:r>
      <w:r w:rsidR="00B44E7E">
        <w:rPr>
          <w:rFonts w:ascii="Times New Roman" w:hAnsi="Times New Roman"/>
          <w:sz w:val="24"/>
          <w:szCs w:val="24"/>
          <w:lang w:eastAsia="en-US"/>
        </w:rPr>
        <w:t> </w:t>
      </w:r>
      <w:r w:rsidRPr="00BD695E">
        <w:rPr>
          <w:rFonts w:ascii="Times New Roman" w:hAnsi="Times New Roman"/>
          <w:sz w:val="24"/>
          <w:szCs w:val="24"/>
          <w:lang w:eastAsia="en-US"/>
        </w:rPr>
        <w:t>mil. Kč (zisk po zdanění činil 352 mil. Kč, a to po započítání přeplatku na dani z příjmů ve výši 129 mil. Kč). ČEB dosáhla v roce 2018 celkového objemu nových transakcí ve výši 5,6 mld. Kč.</w:t>
      </w:r>
    </w:p>
    <w:p w14:paraId="6F858602" w14:textId="0ACC3F27" w:rsidR="00154826" w:rsidRPr="00BD695E" w:rsidRDefault="00154826" w:rsidP="00154826">
      <w:pPr>
        <w:spacing w:before="120" w:after="120"/>
        <w:ind w:left="360"/>
        <w:jc w:val="both"/>
        <w:rPr>
          <w:rFonts w:ascii="Times New Roman" w:hAnsi="Times New Roman"/>
          <w:sz w:val="24"/>
          <w:szCs w:val="24"/>
          <w:lang w:eastAsia="en-US"/>
        </w:rPr>
      </w:pPr>
      <w:r w:rsidRPr="00BD695E">
        <w:rPr>
          <w:rFonts w:ascii="Times New Roman" w:hAnsi="Times New Roman"/>
          <w:sz w:val="24"/>
          <w:szCs w:val="24"/>
          <w:lang w:eastAsia="en-US"/>
        </w:rPr>
        <w:t>V letech 2013 - 2016 došlo v ČEB k výraznému nárůstu podílu úvěrů se selháním dlužníka a to zejména u úvěrů uzavřených a pojištěných v období let 2008 - 2012. Do</w:t>
      </w:r>
      <w:r w:rsidR="000D7C4F">
        <w:rPr>
          <w:rFonts w:ascii="Times New Roman" w:hAnsi="Times New Roman"/>
          <w:sz w:val="24"/>
          <w:szCs w:val="24"/>
          <w:lang w:eastAsia="en-US"/>
        </w:rPr>
        <w:t> </w:t>
      </w:r>
      <w:r w:rsidRPr="00BD695E">
        <w:rPr>
          <w:rFonts w:ascii="Times New Roman" w:hAnsi="Times New Roman"/>
          <w:sz w:val="24"/>
          <w:szCs w:val="24"/>
          <w:lang w:eastAsia="en-US"/>
        </w:rPr>
        <w:t xml:space="preserve">značné míry byl tento stav důsledkem rozhodnutí managementů ČEB i EGAP, které v inkriminované době tyto instituce řídily. Nicméně je třeba mít na paměti, že ČEB i EGAP nebyly založeny primárně kvůli tvorbě zisku, nýbrž k podpoře jinými způsoby </w:t>
      </w:r>
      <w:proofErr w:type="spellStart"/>
      <w:r w:rsidRPr="00BD695E">
        <w:rPr>
          <w:rFonts w:ascii="Times New Roman" w:hAnsi="Times New Roman"/>
          <w:sz w:val="24"/>
          <w:szCs w:val="24"/>
          <w:lang w:eastAsia="en-US"/>
        </w:rPr>
        <w:t>nepodporovatelného</w:t>
      </w:r>
      <w:proofErr w:type="spellEnd"/>
      <w:r w:rsidRPr="00BD695E">
        <w:rPr>
          <w:rFonts w:ascii="Times New Roman" w:hAnsi="Times New Roman"/>
          <w:sz w:val="24"/>
          <w:szCs w:val="24"/>
          <w:lang w:eastAsia="en-US"/>
        </w:rPr>
        <w:t xml:space="preserve"> exportu.</w:t>
      </w:r>
    </w:p>
    <w:p w14:paraId="7072FDEC" w14:textId="1D2F1202" w:rsidR="00154826" w:rsidRDefault="00154826" w:rsidP="00154826">
      <w:pPr>
        <w:spacing w:before="120" w:after="120"/>
        <w:ind w:left="360"/>
        <w:jc w:val="both"/>
        <w:rPr>
          <w:rFonts w:ascii="Times New Roman" w:hAnsi="Times New Roman"/>
          <w:sz w:val="24"/>
          <w:szCs w:val="24"/>
          <w:lang w:eastAsia="en-US"/>
        </w:rPr>
      </w:pPr>
      <w:r w:rsidRPr="00BD695E">
        <w:rPr>
          <w:rFonts w:ascii="Times New Roman" w:hAnsi="Times New Roman"/>
          <w:sz w:val="24"/>
          <w:szCs w:val="24"/>
          <w:lang w:eastAsia="en-US"/>
        </w:rPr>
        <w:t>Celkový stav úvěrů ČEB (jistina) ke konci roku 2017 činil 54,4 mld. Kč, ke konci roku 2018 činil 46 mld. Kč. Vývoj stavu jistiny úvěrů v čase zachycuje graf níže.</w:t>
      </w:r>
    </w:p>
    <w:p w14:paraId="48E8AF1A" w14:textId="77777777" w:rsidR="00226C26" w:rsidRPr="00BD695E" w:rsidRDefault="00226C26" w:rsidP="00154826">
      <w:pPr>
        <w:spacing w:before="120" w:after="120"/>
        <w:ind w:left="360"/>
        <w:jc w:val="both"/>
        <w:rPr>
          <w:rFonts w:ascii="Times New Roman" w:hAnsi="Times New Roman"/>
          <w:sz w:val="24"/>
          <w:szCs w:val="24"/>
          <w:lang w:eastAsia="en-US"/>
        </w:rPr>
      </w:pPr>
    </w:p>
    <w:p w14:paraId="0684490A" w14:textId="1CC32E0C" w:rsidR="00154826" w:rsidRPr="00226C26" w:rsidRDefault="000D7C4F" w:rsidP="00154826">
      <w:pPr>
        <w:ind w:firstLine="360"/>
        <w:rPr>
          <w:rFonts w:ascii="Times New Roman" w:hAnsi="Times New Roman"/>
          <w:szCs w:val="24"/>
        </w:rPr>
      </w:pPr>
      <w:r>
        <w:rPr>
          <w:rFonts w:ascii="Times New Roman" w:hAnsi="Times New Roman"/>
          <w:noProof/>
          <w:sz w:val="24"/>
          <w:szCs w:val="24"/>
        </w:rPr>
        <w:drawing>
          <wp:anchor distT="0" distB="0" distL="114300" distR="114300" simplePos="0" relativeHeight="251651072" behindDoc="0" locked="0" layoutInCell="1" allowOverlap="1" wp14:anchorId="282291A1" wp14:editId="36FDFD3C">
            <wp:simplePos x="0" y="0"/>
            <wp:positionH relativeFrom="column">
              <wp:posOffset>0</wp:posOffset>
            </wp:positionH>
            <wp:positionV relativeFrom="paragraph">
              <wp:posOffset>279273</wp:posOffset>
            </wp:positionV>
            <wp:extent cx="5760720" cy="2355215"/>
            <wp:effectExtent l="0" t="0" r="0"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3.png"/>
                    <pic:cNvPicPr/>
                  </pic:nvPicPr>
                  <pic:blipFill>
                    <a:blip r:embed="rId13">
                      <a:extLst>
                        <a:ext uri="{28A0092B-C50C-407E-A947-70E740481C1C}">
                          <a14:useLocalDpi xmlns:a14="http://schemas.microsoft.com/office/drawing/2010/main" val="0"/>
                        </a:ext>
                      </a:extLst>
                    </a:blip>
                    <a:stretch>
                      <a:fillRect/>
                    </a:stretch>
                  </pic:blipFill>
                  <pic:spPr>
                    <a:xfrm>
                      <a:off x="0" y="0"/>
                      <a:ext cx="5760720" cy="2355215"/>
                    </a:xfrm>
                    <a:prstGeom prst="rect">
                      <a:avLst/>
                    </a:prstGeom>
                  </pic:spPr>
                </pic:pic>
              </a:graphicData>
            </a:graphic>
          </wp:anchor>
        </w:drawing>
      </w:r>
      <w:proofErr w:type="gramStart"/>
      <w:r w:rsidR="00154826" w:rsidRPr="00BD695E">
        <w:rPr>
          <w:rFonts w:ascii="Times New Roman" w:hAnsi="Times New Roman"/>
        </w:rPr>
        <w:t>Graf</w:t>
      </w:r>
      <w:r w:rsidR="00226C26">
        <w:rPr>
          <w:rFonts w:ascii="Times New Roman" w:hAnsi="Times New Roman"/>
        </w:rPr>
        <w:t xml:space="preserve"> :</w:t>
      </w:r>
      <w:r w:rsidR="00154826" w:rsidRPr="00BD695E">
        <w:rPr>
          <w:rFonts w:ascii="Times New Roman" w:hAnsi="Times New Roman"/>
        </w:rPr>
        <w:t xml:space="preserve">  </w:t>
      </w:r>
      <w:r w:rsidR="00154826" w:rsidRPr="00226C26">
        <w:rPr>
          <w:rFonts w:ascii="Times New Roman" w:hAnsi="Times New Roman"/>
          <w:szCs w:val="24"/>
        </w:rPr>
        <w:t>Stav</w:t>
      </w:r>
      <w:proofErr w:type="gramEnd"/>
      <w:r w:rsidR="00154826" w:rsidRPr="00226C26">
        <w:rPr>
          <w:rFonts w:ascii="Times New Roman" w:hAnsi="Times New Roman"/>
          <w:szCs w:val="24"/>
        </w:rPr>
        <w:t xml:space="preserve"> úvěrů (jistina) 1996 – 2018 (v mil. Kč)</w:t>
      </w:r>
    </w:p>
    <w:p w14:paraId="1BF2B351" w14:textId="5769B4D3" w:rsidR="00154826" w:rsidRDefault="00154826" w:rsidP="00EB147E">
      <w:pPr>
        <w:spacing w:before="120" w:after="120"/>
        <w:ind w:left="360"/>
        <w:jc w:val="both"/>
        <w:rPr>
          <w:rFonts w:ascii="Times New Roman" w:hAnsi="Times New Roman"/>
          <w:sz w:val="24"/>
          <w:szCs w:val="24"/>
          <w:lang w:eastAsia="en-US"/>
        </w:rPr>
      </w:pPr>
    </w:p>
    <w:p w14:paraId="48D5E41F" w14:textId="77777777" w:rsidR="00154826" w:rsidRDefault="00154826" w:rsidP="00EB147E">
      <w:pPr>
        <w:spacing w:before="120" w:after="120"/>
        <w:ind w:left="360"/>
        <w:jc w:val="both"/>
        <w:rPr>
          <w:rFonts w:ascii="Times New Roman" w:hAnsi="Times New Roman"/>
          <w:sz w:val="24"/>
          <w:szCs w:val="24"/>
          <w:lang w:eastAsia="en-US"/>
        </w:rPr>
      </w:pPr>
    </w:p>
    <w:p w14:paraId="509D4DDB" w14:textId="77777777" w:rsidR="00154826" w:rsidRDefault="00154826" w:rsidP="00EB147E">
      <w:pPr>
        <w:spacing w:before="120" w:after="120"/>
        <w:ind w:left="360"/>
        <w:jc w:val="both"/>
        <w:rPr>
          <w:rFonts w:ascii="Times New Roman" w:hAnsi="Times New Roman"/>
          <w:sz w:val="24"/>
          <w:szCs w:val="24"/>
          <w:lang w:eastAsia="en-US"/>
        </w:rPr>
      </w:pPr>
    </w:p>
    <w:p w14:paraId="3DC0A72C" w14:textId="77777777" w:rsidR="00154826" w:rsidRDefault="00154826" w:rsidP="00EB147E">
      <w:pPr>
        <w:spacing w:before="120" w:after="120"/>
        <w:ind w:left="360"/>
        <w:jc w:val="both"/>
        <w:rPr>
          <w:rFonts w:ascii="Times New Roman" w:hAnsi="Times New Roman"/>
          <w:sz w:val="24"/>
          <w:szCs w:val="24"/>
          <w:lang w:eastAsia="en-US"/>
        </w:rPr>
      </w:pPr>
    </w:p>
    <w:p w14:paraId="32CE5549" w14:textId="27B15192" w:rsidR="000D7C4F" w:rsidRDefault="000D7C4F">
      <w:pPr>
        <w:overflowPunct/>
        <w:autoSpaceDE/>
        <w:autoSpaceDN/>
        <w:adjustRightInd/>
        <w:spacing w:after="0" w:line="240" w:lineRule="auto"/>
        <w:textAlignment w:val="auto"/>
        <w:rPr>
          <w:rFonts w:ascii="Times New Roman" w:hAnsi="Times New Roman"/>
          <w:sz w:val="24"/>
          <w:szCs w:val="24"/>
          <w:lang w:eastAsia="en-US"/>
        </w:rPr>
      </w:pPr>
      <w:r>
        <w:rPr>
          <w:rFonts w:ascii="Times New Roman" w:hAnsi="Times New Roman"/>
          <w:sz w:val="24"/>
          <w:szCs w:val="24"/>
          <w:lang w:eastAsia="en-US"/>
        </w:rPr>
        <w:br w:type="page"/>
      </w:r>
    </w:p>
    <w:p w14:paraId="3433BBEC" w14:textId="21925D27" w:rsidR="00CC6AAD" w:rsidRPr="00BD695E" w:rsidRDefault="00CC6AAD" w:rsidP="00CC6AAD">
      <w:pPr>
        <w:ind w:firstLine="360"/>
        <w:rPr>
          <w:rFonts w:ascii="Times New Roman" w:hAnsi="Times New Roman"/>
        </w:rPr>
      </w:pPr>
      <w:proofErr w:type="gramStart"/>
      <w:r w:rsidRPr="00226C26">
        <w:rPr>
          <w:rFonts w:ascii="Times New Roman" w:hAnsi="Times New Roman"/>
        </w:rPr>
        <w:t>Graf</w:t>
      </w:r>
      <w:r w:rsidR="00226C26" w:rsidRPr="00226C26">
        <w:rPr>
          <w:rFonts w:ascii="Times New Roman" w:hAnsi="Times New Roman"/>
        </w:rPr>
        <w:t xml:space="preserve"> :</w:t>
      </w:r>
      <w:r w:rsidRPr="00226C26">
        <w:rPr>
          <w:rFonts w:ascii="Times New Roman" w:hAnsi="Times New Roman"/>
        </w:rPr>
        <w:t xml:space="preserve"> </w:t>
      </w:r>
      <w:r w:rsidRPr="00BD695E">
        <w:rPr>
          <w:rFonts w:ascii="Times New Roman" w:hAnsi="Times New Roman"/>
        </w:rPr>
        <w:t xml:space="preserve"> Objem</w:t>
      </w:r>
      <w:proofErr w:type="gramEnd"/>
      <w:r w:rsidRPr="00BD695E">
        <w:rPr>
          <w:rFonts w:ascii="Times New Roman" w:hAnsi="Times New Roman"/>
        </w:rPr>
        <w:t xml:space="preserve"> podepsaných smluv 1996 – 2018 (v mil. Kč)</w:t>
      </w:r>
    </w:p>
    <w:p w14:paraId="3FBD21EE" w14:textId="224BEC94" w:rsidR="009F0508" w:rsidRDefault="000D7C4F" w:rsidP="00CC6AAD">
      <w:pPr>
        <w:ind w:firstLine="360"/>
        <w:rPr>
          <w:rFonts w:ascii="Times New Roman" w:hAnsi="Times New Roman"/>
          <w:highlight w:val="yellow"/>
        </w:rPr>
      </w:pPr>
      <w:r>
        <w:rPr>
          <w:rFonts w:ascii="Times New Roman" w:hAnsi="Times New Roman"/>
          <w:noProof/>
          <w:sz w:val="24"/>
          <w:szCs w:val="24"/>
        </w:rPr>
        <w:drawing>
          <wp:anchor distT="0" distB="0" distL="114300" distR="114300" simplePos="0" relativeHeight="251672576" behindDoc="0" locked="0" layoutInCell="1" allowOverlap="1" wp14:anchorId="274BC770" wp14:editId="4B94B19D">
            <wp:simplePos x="0" y="0"/>
            <wp:positionH relativeFrom="column">
              <wp:posOffset>55436</wp:posOffset>
            </wp:positionH>
            <wp:positionV relativeFrom="paragraph">
              <wp:posOffset>8890</wp:posOffset>
            </wp:positionV>
            <wp:extent cx="5760720" cy="1981835"/>
            <wp:effectExtent l="0" t="0" r="0" b="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4.png"/>
                    <pic:cNvPicPr/>
                  </pic:nvPicPr>
                  <pic:blipFill>
                    <a:blip r:embed="rId14">
                      <a:extLst>
                        <a:ext uri="{28A0092B-C50C-407E-A947-70E740481C1C}">
                          <a14:useLocalDpi xmlns:a14="http://schemas.microsoft.com/office/drawing/2010/main" val="0"/>
                        </a:ext>
                      </a:extLst>
                    </a:blip>
                    <a:stretch>
                      <a:fillRect/>
                    </a:stretch>
                  </pic:blipFill>
                  <pic:spPr>
                    <a:xfrm>
                      <a:off x="0" y="0"/>
                      <a:ext cx="5760720" cy="1981835"/>
                    </a:xfrm>
                    <a:prstGeom prst="rect">
                      <a:avLst/>
                    </a:prstGeom>
                  </pic:spPr>
                </pic:pic>
              </a:graphicData>
            </a:graphic>
          </wp:anchor>
        </w:drawing>
      </w:r>
    </w:p>
    <w:p w14:paraId="46646F8C" w14:textId="1F0873B7" w:rsidR="000D7C4F" w:rsidRDefault="000D7C4F" w:rsidP="00CC6AAD">
      <w:pPr>
        <w:ind w:firstLine="360"/>
        <w:rPr>
          <w:rFonts w:ascii="Times New Roman" w:hAnsi="Times New Roman"/>
          <w:highlight w:val="yellow"/>
        </w:rPr>
      </w:pPr>
    </w:p>
    <w:p w14:paraId="16181EDC" w14:textId="2CD5445F" w:rsidR="000D7C4F" w:rsidRPr="00CC6AAD" w:rsidRDefault="000D7C4F" w:rsidP="00CC6AAD">
      <w:pPr>
        <w:ind w:firstLine="360"/>
        <w:rPr>
          <w:rFonts w:ascii="Times New Roman" w:hAnsi="Times New Roman"/>
          <w:highlight w:val="yellow"/>
        </w:rPr>
      </w:pPr>
    </w:p>
    <w:p w14:paraId="55CB6F17" w14:textId="60972EA8" w:rsidR="00154826" w:rsidRDefault="00154826" w:rsidP="00EB147E">
      <w:pPr>
        <w:spacing w:before="120" w:after="120"/>
        <w:ind w:left="360"/>
        <w:jc w:val="both"/>
        <w:rPr>
          <w:rFonts w:ascii="Times New Roman" w:hAnsi="Times New Roman"/>
          <w:sz w:val="24"/>
          <w:szCs w:val="24"/>
          <w:lang w:eastAsia="en-US"/>
        </w:rPr>
      </w:pPr>
    </w:p>
    <w:p w14:paraId="7871B811" w14:textId="77777777" w:rsidR="00154826" w:rsidRDefault="00154826" w:rsidP="00EB147E">
      <w:pPr>
        <w:spacing w:before="120" w:after="120"/>
        <w:ind w:left="360"/>
        <w:jc w:val="both"/>
        <w:rPr>
          <w:rFonts w:ascii="Times New Roman" w:hAnsi="Times New Roman"/>
          <w:sz w:val="24"/>
          <w:szCs w:val="24"/>
          <w:lang w:eastAsia="en-US"/>
        </w:rPr>
      </w:pPr>
    </w:p>
    <w:p w14:paraId="3DAF67E6" w14:textId="77777777" w:rsidR="00154826" w:rsidRDefault="00154826" w:rsidP="00EB147E">
      <w:pPr>
        <w:spacing w:before="120" w:after="120"/>
        <w:ind w:left="360"/>
        <w:jc w:val="both"/>
        <w:rPr>
          <w:rFonts w:ascii="Times New Roman" w:hAnsi="Times New Roman"/>
          <w:sz w:val="24"/>
          <w:szCs w:val="24"/>
          <w:lang w:eastAsia="en-US"/>
        </w:rPr>
      </w:pPr>
    </w:p>
    <w:p w14:paraId="508886CE" w14:textId="77777777" w:rsidR="00D1016D" w:rsidRPr="00BD695E" w:rsidRDefault="00D1016D" w:rsidP="00D1016D">
      <w:pPr>
        <w:spacing w:before="120" w:after="120"/>
        <w:ind w:left="360"/>
        <w:jc w:val="both"/>
        <w:rPr>
          <w:rFonts w:ascii="Times New Roman" w:hAnsi="Times New Roman"/>
          <w:sz w:val="24"/>
          <w:szCs w:val="24"/>
          <w:lang w:eastAsia="en-US"/>
        </w:rPr>
      </w:pPr>
      <w:r w:rsidRPr="00BD695E">
        <w:rPr>
          <w:rFonts w:ascii="Times New Roman" w:hAnsi="Times New Roman"/>
          <w:sz w:val="24"/>
          <w:szCs w:val="24"/>
          <w:lang w:eastAsia="en-US"/>
        </w:rPr>
        <w:t xml:space="preserve">Od poloviny roku 2016 se ČEB zaměřuje na řešení a vymáhání problematických pohledávek, tzv. workout. Současně ČEB zavedla obezřetnější posuzování nových obchodních případů. </w:t>
      </w:r>
    </w:p>
    <w:p w14:paraId="20A873A4" w14:textId="24D2B090" w:rsidR="00D1016D" w:rsidRPr="00BD695E" w:rsidRDefault="00D1016D" w:rsidP="00D1016D">
      <w:pPr>
        <w:spacing w:before="120" w:after="120"/>
        <w:ind w:left="360"/>
        <w:jc w:val="both"/>
        <w:rPr>
          <w:rFonts w:ascii="Times New Roman" w:hAnsi="Times New Roman"/>
          <w:sz w:val="24"/>
          <w:szCs w:val="24"/>
          <w:lang w:eastAsia="en-US"/>
        </w:rPr>
      </w:pPr>
      <w:r w:rsidRPr="00BD695E">
        <w:rPr>
          <w:rFonts w:ascii="Times New Roman" w:hAnsi="Times New Roman"/>
          <w:sz w:val="24"/>
          <w:szCs w:val="24"/>
          <w:lang w:eastAsia="en-US"/>
        </w:rPr>
        <w:t>Tento postup byl potvrzen i rozhodnutím akcionářů na valné hromadě společnosti dne 24. 4. 2017 (přijetím materiálu Koncepce ČEB). Vývoj problematických (znehodnocených) obchodních případů v období let 2011 - 2018 je uveden v tabulce č.</w:t>
      </w:r>
      <w:r w:rsidR="00FF76EB">
        <w:rPr>
          <w:rFonts w:ascii="Times New Roman" w:hAnsi="Times New Roman"/>
          <w:sz w:val="24"/>
          <w:szCs w:val="24"/>
          <w:lang w:eastAsia="en-US"/>
        </w:rPr>
        <w:t> </w:t>
      </w:r>
      <w:r w:rsidRPr="00BD695E">
        <w:rPr>
          <w:rFonts w:ascii="Times New Roman" w:hAnsi="Times New Roman"/>
          <w:sz w:val="24"/>
          <w:szCs w:val="24"/>
          <w:lang w:eastAsia="en-US"/>
        </w:rPr>
        <w:t>2</w:t>
      </w:r>
      <w:r w:rsidR="00FF76EB">
        <w:rPr>
          <w:rFonts w:ascii="Times New Roman" w:hAnsi="Times New Roman"/>
          <w:sz w:val="24"/>
          <w:szCs w:val="24"/>
          <w:lang w:eastAsia="en-US"/>
        </w:rPr>
        <w:t> </w:t>
      </w:r>
      <w:r w:rsidRPr="00BD695E">
        <w:rPr>
          <w:rFonts w:ascii="Times New Roman" w:hAnsi="Times New Roman"/>
          <w:sz w:val="24"/>
          <w:szCs w:val="24"/>
          <w:lang w:eastAsia="en-US"/>
        </w:rPr>
        <w:t>níže.</w:t>
      </w:r>
    </w:p>
    <w:p w14:paraId="79691625" w14:textId="77777777" w:rsidR="00D1016D" w:rsidRPr="00BD695E" w:rsidRDefault="00D1016D" w:rsidP="00D1016D">
      <w:pPr>
        <w:spacing w:before="120" w:after="120"/>
        <w:ind w:left="360"/>
        <w:jc w:val="both"/>
        <w:rPr>
          <w:rFonts w:ascii="Times New Roman" w:hAnsi="Times New Roman"/>
          <w:sz w:val="24"/>
          <w:szCs w:val="24"/>
          <w:lang w:eastAsia="en-US"/>
        </w:rPr>
      </w:pPr>
      <w:r w:rsidRPr="00BD695E">
        <w:rPr>
          <w:rFonts w:ascii="Times New Roman" w:hAnsi="Times New Roman"/>
          <w:sz w:val="24"/>
          <w:szCs w:val="24"/>
          <w:lang w:eastAsia="en-US"/>
        </w:rPr>
        <w:t>Tabulka: Úvěrové pohledávky - znehodnocené úvěry ČEB v letech 2011 – 2018 (v mil. Kč)</w:t>
      </w:r>
    </w:p>
    <w:tbl>
      <w:tblPr>
        <w:tblW w:w="4768" w:type="pct"/>
        <w:tblInd w:w="421" w:type="dxa"/>
        <w:tblCellMar>
          <w:left w:w="70" w:type="dxa"/>
          <w:right w:w="70" w:type="dxa"/>
        </w:tblCellMar>
        <w:tblLook w:val="04A0" w:firstRow="1" w:lastRow="0" w:firstColumn="1" w:lastColumn="0" w:noHBand="0" w:noVBand="1"/>
      </w:tblPr>
      <w:tblGrid>
        <w:gridCol w:w="1771"/>
        <w:gridCol w:w="935"/>
        <w:gridCol w:w="849"/>
        <w:gridCol w:w="849"/>
        <w:gridCol w:w="849"/>
        <w:gridCol w:w="849"/>
        <w:gridCol w:w="849"/>
        <w:gridCol w:w="849"/>
        <w:gridCol w:w="842"/>
      </w:tblGrid>
      <w:tr w:rsidR="00D1016D" w:rsidRPr="00BD695E" w14:paraId="2527C439" w14:textId="77777777" w:rsidTr="00E969D4">
        <w:trPr>
          <w:trHeight w:val="500"/>
        </w:trPr>
        <w:tc>
          <w:tcPr>
            <w:tcW w:w="1024" w:type="pct"/>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00D79836" w14:textId="77777777" w:rsidR="00D1016D" w:rsidRPr="00BD695E" w:rsidRDefault="00D1016D" w:rsidP="00552E17">
            <w:pPr>
              <w:rPr>
                <w:rFonts w:ascii="Times New Roman" w:hAnsi="Times New Roman"/>
                <w:b/>
                <w:bCs/>
                <w:color w:val="000000"/>
                <w:szCs w:val="22"/>
              </w:rPr>
            </w:pPr>
            <w:r w:rsidRPr="00BD695E">
              <w:rPr>
                <w:rFonts w:ascii="Times New Roman" w:hAnsi="Times New Roman"/>
                <w:b/>
                <w:bCs/>
                <w:color w:val="000000"/>
                <w:szCs w:val="22"/>
              </w:rPr>
              <w:t>Úvěrové pohledávky (jistina s příslušenstvím)</w:t>
            </w:r>
          </w:p>
        </w:tc>
        <w:tc>
          <w:tcPr>
            <w:tcW w:w="541" w:type="pct"/>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9F70783"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2011</w:t>
            </w:r>
          </w:p>
        </w:tc>
        <w:tc>
          <w:tcPr>
            <w:tcW w:w="491" w:type="pct"/>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4E819C3"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2012</w:t>
            </w:r>
          </w:p>
        </w:tc>
        <w:tc>
          <w:tcPr>
            <w:tcW w:w="491" w:type="pct"/>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73125BC"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2013</w:t>
            </w:r>
          </w:p>
        </w:tc>
        <w:tc>
          <w:tcPr>
            <w:tcW w:w="491" w:type="pct"/>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381533F"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2014</w:t>
            </w:r>
          </w:p>
        </w:tc>
        <w:tc>
          <w:tcPr>
            <w:tcW w:w="491" w:type="pct"/>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3636956"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2015</w:t>
            </w:r>
          </w:p>
        </w:tc>
        <w:tc>
          <w:tcPr>
            <w:tcW w:w="491" w:type="pct"/>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7CCCCBA"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2016</w:t>
            </w:r>
          </w:p>
        </w:tc>
        <w:tc>
          <w:tcPr>
            <w:tcW w:w="491" w:type="pct"/>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6D6D629"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2017</w:t>
            </w:r>
          </w:p>
        </w:tc>
        <w:tc>
          <w:tcPr>
            <w:tcW w:w="487" w:type="pct"/>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AE2AD86"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2018</w:t>
            </w:r>
          </w:p>
        </w:tc>
      </w:tr>
      <w:tr w:rsidR="00D1016D" w:rsidRPr="00BD695E" w14:paraId="42D01252" w14:textId="77777777" w:rsidTr="00E969D4">
        <w:trPr>
          <w:trHeight w:val="500"/>
        </w:trPr>
        <w:tc>
          <w:tcPr>
            <w:tcW w:w="1024" w:type="pct"/>
            <w:vMerge/>
            <w:tcBorders>
              <w:top w:val="single" w:sz="4" w:space="0" w:color="auto"/>
              <w:left w:val="single" w:sz="4" w:space="0" w:color="auto"/>
              <w:bottom w:val="single" w:sz="4" w:space="0" w:color="000000"/>
              <w:right w:val="single" w:sz="4" w:space="0" w:color="auto"/>
            </w:tcBorders>
            <w:vAlign w:val="center"/>
            <w:hideMark/>
          </w:tcPr>
          <w:p w14:paraId="019F90AF" w14:textId="77777777" w:rsidR="00D1016D" w:rsidRPr="00BD695E" w:rsidRDefault="00D1016D" w:rsidP="00552E17">
            <w:pPr>
              <w:rPr>
                <w:rFonts w:ascii="Times New Roman" w:hAnsi="Times New Roman"/>
                <w:b/>
                <w:bCs/>
                <w:color w:val="000000"/>
                <w:szCs w:val="22"/>
              </w:rPr>
            </w:pPr>
          </w:p>
        </w:tc>
        <w:tc>
          <w:tcPr>
            <w:tcW w:w="541" w:type="pct"/>
            <w:vMerge/>
            <w:tcBorders>
              <w:top w:val="single" w:sz="4" w:space="0" w:color="auto"/>
              <w:left w:val="single" w:sz="4" w:space="0" w:color="auto"/>
              <w:bottom w:val="single" w:sz="4" w:space="0" w:color="auto"/>
              <w:right w:val="single" w:sz="4" w:space="0" w:color="auto"/>
            </w:tcBorders>
            <w:vAlign w:val="center"/>
            <w:hideMark/>
          </w:tcPr>
          <w:p w14:paraId="617E321C" w14:textId="77777777" w:rsidR="00D1016D" w:rsidRPr="00BD695E" w:rsidRDefault="00D1016D" w:rsidP="00552E17">
            <w:pPr>
              <w:rPr>
                <w:rFonts w:ascii="Times New Roman" w:hAnsi="Times New Roman"/>
                <w:color w:val="000000"/>
                <w:szCs w:val="22"/>
              </w:rPr>
            </w:pPr>
          </w:p>
        </w:tc>
        <w:tc>
          <w:tcPr>
            <w:tcW w:w="491" w:type="pct"/>
            <w:vMerge/>
            <w:tcBorders>
              <w:top w:val="single" w:sz="4" w:space="0" w:color="auto"/>
              <w:left w:val="single" w:sz="4" w:space="0" w:color="auto"/>
              <w:bottom w:val="single" w:sz="4" w:space="0" w:color="auto"/>
              <w:right w:val="single" w:sz="4" w:space="0" w:color="auto"/>
            </w:tcBorders>
            <w:vAlign w:val="center"/>
            <w:hideMark/>
          </w:tcPr>
          <w:p w14:paraId="41554047" w14:textId="77777777" w:rsidR="00D1016D" w:rsidRPr="00BD695E" w:rsidRDefault="00D1016D" w:rsidP="00552E17">
            <w:pPr>
              <w:rPr>
                <w:rFonts w:ascii="Times New Roman" w:hAnsi="Times New Roman"/>
                <w:color w:val="000000"/>
                <w:szCs w:val="22"/>
              </w:rPr>
            </w:pPr>
          </w:p>
        </w:tc>
        <w:tc>
          <w:tcPr>
            <w:tcW w:w="491" w:type="pct"/>
            <w:vMerge/>
            <w:tcBorders>
              <w:top w:val="single" w:sz="4" w:space="0" w:color="auto"/>
              <w:left w:val="single" w:sz="4" w:space="0" w:color="auto"/>
              <w:bottom w:val="single" w:sz="4" w:space="0" w:color="auto"/>
              <w:right w:val="single" w:sz="4" w:space="0" w:color="auto"/>
            </w:tcBorders>
            <w:vAlign w:val="center"/>
            <w:hideMark/>
          </w:tcPr>
          <w:p w14:paraId="7E8FBC81" w14:textId="77777777" w:rsidR="00D1016D" w:rsidRPr="00BD695E" w:rsidRDefault="00D1016D" w:rsidP="00552E17">
            <w:pPr>
              <w:rPr>
                <w:rFonts w:ascii="Times New Roman" w:hAnsi="Times New Roman"/>
                <w:color w:val="000000"/>
                <w:szCs w:val="22"/>
              </w:rPr>
            </w:pPr>
          </w:p>
        </w:tc>
        <w:tc>
          <w:tcPr>
            <w:tcW w:w="491" w:type="pct"/>
            <w:vMerge/>
            <w:tcBorders>
              <w:top w:val="single" w:sz="4" w:space="0" w:color="auto"/>
              <w:left w:val="single" w:sz="4" w:space="0" w:color="auto"/>
              <w:bottom w:val="single" w:sz="4" w:space="0" w:color="auto"/>
              <w:right w:val="single" w:sz="4" w:space="0" w:color="auto"/>
            </w:tcBorders>
            <w:vAlign w:val="center"/>
            <w:hideMark/>
          </w:tcPr>
          <w:p w14:paraId="6B3FA376" w14:textId="77777777" w:rsidR="00D1016D" w:rsidRPr="00BD695E" w:rsidRDefault="00D1016D" w:rsidP="00552E17">
            <w:pPr>
              <w:rPr>
                <w:rFonts w:ascii="Times New Roman" w:hAnsi="Times New Roman"/>
                <w:color w:val="000000"/>
                <w:szCs w:val="22"/>
              </w:rPr>
            </w:pPr>
          </w:p>
        </w:tc>
        <w:tc>
          <w:tcPr>
            <w:tcW w:w="491" w:type="pct"/>
            <w:vMerge/>
            <w:tcBorders>
              <w:top w:val="single" w:sz="4" w:space="0" w:color="auto"/>
              <w:left w:val="single" w:sz="4" w:space="0" w:color="auto"/>
              <w:bottom w:val="single" w:sz="4" w:space="0" w:color="auto"/>
              <w:right w:val="single" w:sz="4" w:space="0" w:color="auto"/>
            </w:tcBorders>
            <w:vAlign w:val="center"/>
            <w:hideMark/>
          </w:tcPr>
          <w:p w14:paraId="036ED6CA" w14:textId="77777777" w:rsidR="00D1016D" w:rsidRPr="00BD695E" w:rsidRDefault="00D1016D" w:rsidP="00552E17">
            <w:pPr>
              <w:rPr>
                <w:rFonts w:ascii="Times New Roman" w:hAnsi="Times New Roman"/>
                <w:color w:val="000000"/>
                <w:szCs w:val="22"/>
              </w:rPr>
            </w:pPr>
          </w:p>
        </w:tc>
        <w:tc>
          <w:tcPr>
            <w:tcW w:w="491" w:type="pct"/>
            <w:vMerge/>
            <w:tcBorders>
              <w:top w:val="single" w:sz="4" w:space="0" w:color="auto"/>
              <w:left w:val="single" w:sz="4" w:space="0" w:color="auto"/>
              <w:bottom w:val="single" w:sz="4" w:space="0" w:color="auto"/>
              <w:right w:val="single" w:sz="4" w:space="0" w:color="auto"/>
            </w:tcBorders>
            <w:vAlign w:val="center"/>
            <w:hideMark/>
          </w:tcPr>
          <w:p w14:paraId="4E32ACAB" w14:textId="77777777" w:rsidR="00D1016D" w:rsidRPr="00BD695E" w:rsidRDefault="00D1016D" w:rsidP="00552E17">
            <w:pPr>
              <w:rPr>
                <w:rFonts w:ascii="Times New Roman" w:hAnsi="Times New Roman"/>
                <w:color w:val="000000"/>
                <w:szCs w:val="22"/>
              </w:rPr>
            </w:pPr>
          </w:p>
        </w:tc>
        <w:tc>
          <w:tcPr>
            <w:tcW w:w="491" w:type="pct"/>
            <w:vMerge/>
            <w:tcBorders>
              <w:top w:val="single" w:sz="4" w:space="0" w:color="auto"/>
              <w:left w:val="single" w:sz="4" w:space="0" w:color="auto"/>
              <w:bottom w:val="single" w:sz="4" w:space="0" w:color="auto"/>
              <w:right w:val="single" w:sz="4" w:space="0" w:color="auto"/>
            </w:tcBorders>
            <w:vAlign w:val="center"/>
            <w:hideMark/>
          </w:tcPr>
          <w:p w14:paraId="0916F930" w14:textId="77777777" w:rsidR="00D1016D" w:rsidRPr="00BD695E" w:rsidRDefault="00D1016D" w:rsidP="00552E17">
            <w:pPr>
              <w:rPr>
                <w:rFonts w:ascii="Times New Roman" w:hAnsi="Times New Roman"/>
                <w:color w:val="000000"/>
                <w:szCs w:val="22"/>
              </w:rPr>
            </w:pPr>
          </w:p>
        </w:tc>
        <w:tc>
          <w:tcPr>
            <w:tcW w:w="487" w:type="pct"/>
            <w:vMerge/>
            <w:tcBorders>
              <w:top w:val="single" w:sz="4" w:space="0" w:color="auto"/>
              <w:left w:val="single" w:sz="4" w:space="0" w:color="auto"/>
              <w:bottom w:val="single" w:sz="4" w:space="0" w:color="auto"/>
              <w:right w:val="single" w:sz="4" w:space="0" w:color="auto"/>
            </w:tcBorders>
            <w:vAlign w:val="center"/>
            <w:hideMark/>
          </w:tcPr>
          <w:p w14:paraId="51624A7A" w14:textId="77777777" w:rsidR="00D1016D" w:rsidRPr="00BD695E" w:rsidRDefault="00D1016D" w:rsidP="00552E17">
            <w:pPr>
              <w:rPr>
                <w:rFonts w:ascii="Times New Roman" w:hAnsi="Times New Roman"/>
                <w:color w:val="000000"/>
                <w:szCs w:val="22"/>
              </w:rPr>
            </w:pPr>
          </w:p>
        </w:tc>
      </w:tr>
      <w:tr w:rsidR="00D1016D" w:rsidRPr="00BD695E" w14:paraId="7028A0D0" w14:textId="77777777" w:rsidTr="00E969D4">
        <w:trPr>
          <w:trHeight w:val="600"/>
        </w:trPr>
        <w:tc>
          <w:tcPr>
            <w:tcW w:w="1024" w:type="pct"/>
            <w:tcBorders>
              <w:top w:val="nil"/>
              <w:left w:val="single" w:sz="4" w:space="0" w:color="auto"/>
              <w:bottom w:val="single" w:sz="4" w:space="0" w:color="auto"/>
              <w:right w:val="single" w:sz="4" w:space="0" w:color="auto"/>
            </w:tcBorders>
            <w:shd w:val="clear" w:color="000000" w:fill="F2F2F2"/>
            <w:vAlign w:val="center"/>
            <w:hideMark/>
          </w:tcPr>
          <w:p w14:paraId="435BB220" w14:textId="77777777" w:rsidR="00D1016D" w:rsidRPr="00BD695E" w:rsidRDefault="00D1016D" w:rsidP="00552E17">
            <w:pPr>
              <w:rPr>
                <w:rFonts w:ascii="Times New Roman" w:hAnsi="Times New Roman"/>
                <w:color w:val="000000"/>
                <w:szCs w:val="22"/>
              </w:rPr>
            </w:pPr>
            <w:r w:rsidRPr="00BD695E">
              <w:rPr>
                <w:rFonts w:ascii="Times New Roman" w:hAnsi="Times New Roman"/>
                <w:color w:val="000000"/>
                <w:szCs w:val="22"/>
              </w:rPr>
              <w:t>Neznehodnocené do splatnosti</w:t>
            </w:r>
          </w:p>
        </w:tc>
        <w:tc>
          <w:tcPr>
            <w:tcW w:w="541" w:type="pct"/>
            <w:tcBorders>
              <w:top w:val="nil"/>
              <w:left w:val="nil"/>
              <w:bottom w:val="single" w:sz="4" w:space="0" w:color="auto"/>
              <w:right w:val="single" w:sz="4" w:space="0" w:color="auto"/>
            </w:tcBorders>
            <w:shd w:val="clear" w:color="auto" w:fill="auto"/>
            <w:noWrap/>
            <w:vAlign w:val="center"/>
            <w:hideMark/>
          </w:tcPr>
          <w:p w14:paraId="2FCD4367"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58 714</w:t>
            </w:r>
          </w:p>
        </w:tc>
        <w:tc>
          <w:tcPr>
            <w:tcW w:w="491" w:type="pct"/>
            <w:tcBorders>
              <w:top w:val="nil"/>
              <w:left w:val="nil"/>
              <w:bottom w:val="single" w:sz="4" w:space="0" w:color="auto"/>
              <w:right w:val="single" w:sz="4" w:space="0" w:color="auto"/>
            </w:tcBorders>
            <w:shd w:val="clear" w:color="auto" w:fill="auto"/>
            <w:noWrap/>
            <w:vAlign w:val="center"/>
            <w:hideMark/>
          </w:tcPr>
          <w:p w14:paraId="709F8EB9"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60 545</w:t>
            </w:r>
          </w:p>
        </w:tc>
        <w:tc>
          <w:tcPr>
            <w:tcW w:w="491" w:type="pct"/>
            <w:tcBorders>
              <w:top w:val="nil"/>
              <w:left w:val="nil"/>
              <w:bottom w:val="single" w:sz="4" w:space="0" w:color="auto"/>
              <w:right w:val="single" w:sz="4" w:space="0" w:color="auto"/>
            </w:tcBorders>
            <w:shd w:val="clear" w:color="auto" w:fill="auto"/>
            <w:noWrap/>
            <w:vAlign w:val="center"/>
            <w:hideMark/>
          </w:tcPr>
          <w:p w14:paraId="343333E9"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68 357</w:t>
            </w:r>
          </w:p>
        </w:tc>
        <w:tc>
          <w:tcPr>
            <w:tcW w:w="491" w:type="pct"/>
            <w:tcBorders>
              <w:top w:val="nil"/>
              <w:left w:val="nil"/>
              <w:bottom w:val="single" w:sz="4" w:space="0" w:color="auto"/>
              <w:right w:val="single" w:sz="4" w:space="0" w:color="auto"/>
            </w:tcBorders>
            <w:shd w:val="clear" w:color="auto" w:fill="auto"/>
            <w:noWrap/>
            <w:vAlign w:val="center"/>
            <w:hideMark/>
          </w:tcPr>
          <w:p w14:paraId="2B5B5048"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56 352</w:t>
            </w:r>
          </w:p>
        </w:tc>
        <w:tc>
          <w:tcPr>
            <w:tcW w:w="491" w:type="pct"/>
            <w:tcBorders>
              <w:top w:val="nil"/>
              <w:left w:val="nil"/>
              <w:bottom w:val="single" w:sz="4" w:space="0" w:color="auto"/>
              <w:right w:val="single" w:sz="4" w:space="0" w:color="auto"/>
            </w:tcBorders>
            <w:shd w:val="clear" w:color="auto" w:fill="auto"/>
            <w:noWrap/>
            <w:vAlign w:val="center"/>
            <w:hideMark/>
          </w:tcPr>
          <w:p w14:paraId="69239D71"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37 995</w:t>
            </w:r>
          </w:p>
        </w:tc>
        <w:tc>
          <w:tcPr>
            <w:tcW w:w="491" w:type="pct"/>
            <w:tcBorders>
              <w:top w:val="nil"/>
              <w:left w:val="nil"/>
              <w:bottom w:val="single" w:sz="4" w:space="0" w:color="auto"/>
              <w:right w:val="single" w:sz="4" w:space="0" w:color="auto"/>
            </w:tcBorders>
            <w:shd w:val="clear" w:color="auto" w:fill="auto"/>
            <w:noWrap/>
            <w:vAlign w:val="center"/>
            <w:hideMark/>
          </w:tcPr>
          <w:p w14:paraId="165BD63D"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40 360</w:t>
            </w:r>
          </w:p>
        </w:tc>
        <w:tc>
          <w:tcPr>
            <w:tcW w:w="491" w:type="pct"/>
            <w:tcBorders>
              <w:top w:val="nil"/>
              <w:left w:val="nil"/>
              <w:bottom w:val="single" w:sz="4" w:space="0" w:color="auto"/>
              <w:right w:val="single" w:sz="4" w:space="0" w:color="auto"/>
            </w:tcBorders>
            <w:shd w:val="clear" w:color="auto" w:fill="auto"/>
            <w:noWrap/>
            <w:vAlign w:val="center"/>
            <w:hideMark/>
          </w:tcPr>
          <w:p w14:paraId="5C36A1FF"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22 448</w:t>
            </w:r>
          </w:p>
        </w:tc>
        <w:tc>
          <w:tcPr>
            <w:tcW w:w="487" w:type="pct"/>
            <w:tcBorders>
              <w:top w:val="nil"/>
              <w:left w:val="nil"/>
              <w:bottom w:val="single" w:sz="4" w:space="0" w:color="auto"/>
              <w:right w:val="single" w:sz="4" w:space="0" w:color="auto"/>
            </w:tcBorders>
            <w:shd w:val="clear" w:color="auto" w:fill="auto"/>
            <w:noWrap/>
            <w:vAlign w:val="center"/>
            <w:hideMark/>
          </w:tcPr>
          <w:p w14:paraId="36F1AA8C"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23 718</w:t>
            </w:r>
          </w:p>
        </w:tc>
      </w:tr>
      <w:tr w:rsidR="00D1016D" w:rsidRPr="00BD695E" w14:paraId="01DF3B5A" w14:textId="77777777" w:rsidTr="00E969D4">
        <w:trPr>
          <w:trHeight w:val="600"/>
        </w:trPr>
        <w:tc>
          <w:tcPr>
            <w:tcW w:w="1024" w:type="pct"/>
            <w:tcBorders>
              <w:top w:val="nil"/>
              <w:left w:val="single" w:sz="4" w:space="0" w:color="auto"/>
              <w:bottom w:val="single" w:sz="4" w:space="0" w:color="auto"/>
              <w:right w:val="single" w:sz="4" w:space="0" w:color="auto"/>
            </w:tcBorders>
            <w:shd w:val="clear" w:color="000000" w:fill="F2F2F2"/>
            <w:vAlign w:val="center"/>
            <w:hideMark/>
          </w:tcPr>
          <w:p w14:paraId="61AE313D" w14:textId="77777777" w:rsidR="00D1016D" w:rsidRPr="00BD695E" w:rsidRDefault="00D1016D" w:rsidP="00552E17">
            <w:pPr>
              <w:rPr>
                <w:rFonts w:ascii="Times New Roman" w:hAnsi="Times New Roman"/>
                <w:color w:val="000000"/>
                <w:szCs w:val="22"/>
              </w:rPr>
            </w:pPr>
            <w:r w:rsidRPr="00BD695E">
              <w:rPr>
                <w:rFonts w:ascii="Times New Roman" w:hAnsi="Times New Roman"/>
                <w:color w:val="000000"/>
                <w:szCs w:val="22"/>
              </w:rPr>
              <w:t>Neznehodnocené po splatnosti</w:t>
            </w:r>
          </w:p>
        </w:tc>
        <w:tc>
          <w:tcPr>
            <w:tcW w:w="541" w:type="pct"/>
            <w:tcBorders>
              <w:top w:val="nil"/>
              <w:left w:val="nil"/>
              <w:bottom w:val="single" w:sz="4" w:space="0" w:color="auto"/>
              <w:right w:val="single" w:sz="4" w:space="0" w:color="auto"/>
            </w:tcBorders>
            <w:shd w:val="clear" w:color="auto" w:fill="auto"/>
            <w:noWrap/>
            <w:vAlign w:val="center"/>
            <w:hideMark/>
          </w:tcPr>
          <w:p w14:paraId="72A3DDBA"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122</w:t>
            </w:r>
          </w:p>
        </w:tc>
        <w:tc>
          <w:tcPr>
            <w:tcW w:w="491" w:type="pct"/>
            <w:tcBorders>
              <w:top w:val="nil"/>
              <w:left w:val="nil"/>
              <w:bottom w:val="single" w:sz="4" w:space="0" w:color="auto"/>
              <w:right w:val="single" w:sz="4" w:space="0" w:color="auto"/>
            </w:tcBorders>
            <w:shd w:val="clear" w:color="auto" w:fill="auto"/>
            <w:noWrap/>
            <w:vAlign w:val="center"/>
            <w:hideMark/>
          </w:tcPr>
          <w:p w14:paraId="137E3058"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2 711</w:t>
            </w:r>
          </w:p>
        </w:tc>
        <w:tc>
          <w:tcPr>
            <w:tcW w:w="491" w:type="pct"/>
            <w:tcBorders>
              <w:top w:val="nil"/>
              <w:left w:val="nil"/>
              <w:bottom w:val="single" w:sz="4" w:space="0" w:color="auto"/>
              <w:right w:val="single" w:sz="4" w:space="0" w:color="auto"/>
            </w:tcBorders>
            <w:shd w:val="clear" w:color="auto" w:fill="auto"/>
            <w:noWrap/>
            <w:vAlign w:val="center"/>
            <w:hideMark/>
          </w:tcPr>
          <w:p w14:paraId="6B11588A"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11</w:t>
            </w:r>
          </w:p>
        </w:tc>
        <w:tc>
          <w:tcPr>
            <w:tcW w:w="491" w:type="pct"/>
            <w:tcBorders>
              <w:top w:val="nil"/>
              <w:left w:val="nil"/>
              <w:bottom w:val="single" w:sz="4" w:space="0" w:color="auto"/>
              <w:right w:val="single" w:sz="4" w:space="0" w:color="auto"/>
            </w:tcBorders>
            <w:shd w:val="clear" w:color="auto" w:fill="auto"/>
            <w:noWrap/>
            <w:vAlign w:val="center"/>
            <w:hideMark/>
          </w:tcPr>
          <w:p w14:paraId="137E854B"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281</w:t>
            </w:r>
          </w:p>
        </w:tc>
        <w:tc>
          <w:tcPr>
            <w:tcW w:w="491" w:type="pct"/>
            <w:tcBorders>
              <w:top w:val="nil"/>
              <w:left w:val="nil"/>
              <w:bottom w:val="single" w:sz="4" w:space="0" w:color="auto"/>
              <w:right w:val="single" w:sz="4" w:space="0" w:color="auto"/>
            </w:tcBorders>
            <w:shd w:val="clear" w:color="auto" w:fill="auto"/>
            <w:noWrap/>
            <w:vAlign w:val="center"/>
            <w:hideMark/>
          </w:tcPr>
          <w:p w14:paraId="77CC5C18"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33</w:t>
            </w:r>
          </w:p>
        </w:tc>
        <w:tc>
          <w:tcPr>
            <w:tcW w:w="491" w:type="pct"/>
            <w:tcBorders>
              <w:top w:val="nil"/>
              <w:left w:val="nil"/>
              <w:bottom w:val="single" w:sz="4" w:space="0" w:color="auto"/>
              <w:right w:val="single" w:sz="4" w:space="0" w:color="auto"/>
            </w:tcBorders>
            <w:shd w:val="clear" w:color="auto" w:fill="auto"/>
            <w:noWrap/>
            <w:vAlign w:val="center"/>
            <w:hideMark/>
          </w:tcPr>
          <w:p w14:paraId="75F5FA5A"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126</w:t>
            </w:r>
          </w:p>
        </w:tc>
        <w:tc>
          <w:tcPr>
            <w:tcW w:w="491" w:type="pct"/>
            <w:tcBorders>
              <w:top w:val="nil"/>
              <w:left w:val="nil"/>
              <w:bottom w:val="single" w:sz="4" w:space="0" w:color="auto"/>
              <w:right w:val="single" w:sz="4" w:space="0" w:color="auto"/>
            </w:tcBorders>
            <w:shd w:val="clear" w:color="auto" w:fill="auto"/>
            <w:noWrap/>
            <w:vAlign w:val="center"/>
            <w:hideMark/>
          </w:tcPr>
          <w:p w14:paraId="789255CA"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1</w:t>
            </w:r>
          </w:p>
        </w:tc>
        <w:tc>
          <w:tcPr>
            <w:tcW w:w="487" w:type="pct"/>
            <w:tcBorders>
              <w:top w:val="nil"/>
              <w:left w:val="nil"/>
              <w:bottom w:val="single" w:sz="4" w:space="0" w:color="auto"/>
              <w:right w:val="single" w:sz="4" w:space="0" w:color="auto"/>
            </w:tcBorders>
            <w:shd w:val="clear" w:color="auto" w:fill="auto"/>
            <w:noWrap/>
            <w:vAlign w:val="center"/>
            <w:hideMark/>
          </w:tcPr>
          <w:p w14:paraId="20F21368"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2 302</w:t>
            </w:r>
          </w:p>
        </w:tc>
      </w:tr>
      <w:tr w:rsidR="00D1016D" w:rsidRPr="00BD695E" w14:paraId="6CF1D9F8" w14:textId="77777777" w:rsidTr="00E969D4">
        <w:trPr>
          <w:trHeight w:val="375"/>
        </w:trPr>
        <w:tc>
          <w:tcPr>
            <w:tcW w:w="1024" w:type="pct"/>
            <w:tcBorders>
              <w:top w:val="nil"/>
              <w:left w:val="single" w:sz="4" w:space="0" w:color="auto"/>
              <w:bottom w:val="single" w:sz="4" w:space="0" w:color="auto"/>
              <w:right w:val="single" w:sz="4" w:space="0" w:color="auto"/>
            </w:tcBorders>
            <w:shd w:val="clear" w:color="000000" w:fill="F2F2F2"/>
            <w:vAlign w:val="center"/>
            <w:hideMark/>
          </w:tcPr>
          <w:p w14:paraId="6BF49281" w14:textId="77777777" w:rsidR="00D1016D" w:rsidRPr="00BD695E" w:rsidRDefault="00D1016D" w:rsidP="00552E17">
            <w:pPr>
              <w:rPr>
                <w:rFonts w:ascii="Times New Roman" w:hAnsi="Times New Roman"/>
                <w:b/>
                <w:bCs/>
                <w:color w:val="000000"/>
                <w:szCs w:val="22"/>
              </w:rPr>
            </w:pPr>
            <w:r w:rsidRPr="00BD695E">
              <w:rPr>
                <w:rFonts w:ascii="Times New Roman" w:hAnsi="Times New Roman"/>
                <w:b/>
                <w:bCs/>
                <w:color w:val="000000"/>
                <w:szCs w:val="22"/>
              </w:rPr>
              <w:t>Znehodnocené</w:t>
            </w:r>
          </w:p>
        </w:tc>
        <w:tc>
          <w:tcPr>
            <w:tcW w:w="541" w:type="pct"/>
            <w:tcBorders>
              <w:top w:val="nil"/>
              <w:left w:val="nil"/>
              <w:bottom w:val="single" w:sz="4" w:space="0" w:color="auto"/>
              <w:right w:val="single" w:sz="4" w:space="0" w:color="auto"/>
            </w:tcBorders>
            <w:shd w:val="clear" w:color="000000" w:fill="F2F2F2"/>
            <w:noWrap/>
            <w:vAlign w:val="center"/>
            <w:hideMark/>
          </w:tcPr>
          <w:p w14:paraId="20A56284" w14:textId="77777777" w:rsidR="00D1016D" w:rsidRPr="00BD695E" w:rsidRDefault="00D1016D" w:rsidP="00552E17">
            <w:pPr>
              <w:jc w:val="center"/>
              <w:rPr>
                <w:rFonts w:ascii="Times New Roman" w:hAnsi="Times New Roman"/>
                <w:b/>
                <w:bCs/>
                <w:color w:val="000000"/>
                <w:szCs w:val="22"/>
              </w:rPr>
            </w:pPr>
            <w:r w:rsidRPr="00BD695E">
              <w:rPr>
                <w:rFonts w:ascii="Times New Roman" w:hAnsi="Times New Roman"/>
                <w:b/>
                <w:bCs/>
                <w:color w:val="000000"/>
                <w:szCs w:val="22"/>
              </w:rPr>
              <w:t>8 632</w:t>
            </w:r>
          </w:p>
        </w:tc>
        <w:tc>
          <w:tcPr>
            <w:tcW w:w="491" w:type="pct"/>
            <w:tcBorders>
              <w:top w:val="nil"/>
              <w:left w:val="nil"/>
              <w:bottom w:val="single" w:sz="4" w:space="0" w:color="auto"/>
              <w:right w:val="single" w:sz="4" w:space="0" w:color="auto"/>
            </w:tcBorders>
            <w:shd w:val="clear" w:color="000000" w:fill="F2F2F2"/>
            <w:noWrap/>
            <w:vAlign w:val="center"/>
            <w:hideMark/>
          </w:tcPr>
          <w:p w14:paraId="03C131E8" w14:textId="77777777" w:rsidR="00D1016D" w:rsidRPr="00BD695E" w:rsidRDefault="00D1016D" w:rsidP="00552E17">
            <w:pPr>
              <w:jc w:val="center"/>
              <w:rPr>
                <w:rFonts w:ascii="Times New Roman" w:hAnsi="Times New Roman"/>
                <w:b/>
                <w:bCs/>
                <w:color w:val="000000"/>
                <w:szCs w:val="22"/>
              </w:rPr>
            </w:pPr>
            <w:r w:rsidRPr="00BD695E">
              <w:rPr>
                <w:rFonts w:ascii="Times New Roman" w:hAnsi="Times New Roman"/>
                <w:b/>
                <w:bCs/>
                <w:color w:val="000000"/>
                <w:szCs w:val="22"/>
              </w:rPr>
              <w:t>6 746</w:t>
            </w:r>
          </w:p>
        </w:tc>
        <w:tc>
          <w:tcPr>
            <w:tcW w:w="491" w:type="pct"/>
            <w:tcBorders>
              <w:top w:val="nil"/>
              <w:left w:val="nil"/>
              <w:bottom w:val="single" w:sz="4" w:space="0" w:color="auto"/>
              <w:right w:val="single" w:sz="4" w:space="0" w:color="auto"/>
            </w:tcBorders>
            <w:shd w:val="clear" w:color="000000" w:fill="F2F2F2"/>
            <w:noWrap/>
            <w:vAlign w:val="center"/>
            <w:hideMark/>
          </w:tcPr>
          <w:p w14:paraId="25A43D7E" w14:textId="77777777" w:rsidR="00D1016D" w:rsidRPr="00BD695E" w:rsidRDefault="00D1016D" w:rsidP="00552E17">
            <w:pPr>
              <w:jc w:val="center"/>
              <w:rPr>
                <w:rFonts w:ascii="Times New Roman" w:hAnsi="Times New Roman"/>
                <w:b/>
                <w:bCs/>
                <w:color w:val="000000"/>
                <w:szCs w:val="22"/>
              </w:rPr>
            </w:pPr>
            <w:r w:rsidRPr="00BD695E">
              <w:rPr>
                <w:rFonts w:ascii="Times New Roman" w:hAnsi="Times New Roman"/>
                <w:b/>
                <w:bCs/>
                <w:color w:val="000000"/>
                <w:szCs w:val="22"/>
              </w:rPr>
              <w:t>16 271</w:t>
            </w:r>
          </w:p>
        </w:tc>
        <w:tc>
          <w:tcPr>
            <w:tcW w:w="491" w:type="pct"/>
            <w:tcBorders>
              <w:top w:val="nil"/>
              <w:left w:val="nil"/>
              <w:bottom w:val="single" w:sz="4" w:space="0" w:color="auto"/>
              <w:right w:val="single" w:sz="4" w:space="0" w:color="auto"/>
            </w:tcBorders>
            <w:shd w:val="clear" w:color="000000" w:fill="F2F2F2"/>
            <w:noWrap/>
            <w:vAlign w:val="center"/>
            <w:hideMark/>
          </w:tcPr>
          <w:p w14:paraId="28D7C4B2" w14:textId="77777777" w:rsidR="00D1016D" w:rsidRPr="00BD695E" w:rsidRDefault="00D1016D" w:rsidP="00552E17">
            <w:pPr>
              <w:jc w:val="center"/>
              <w:rPr>
                <w:rFonts w:ascii="Times New Roman" w:hAnsi="Times New Roman"/>
                <w:b/>
                <w:bCs/>
                <w:color w:val="000000"/>
                <w:szCs w:val="22"/>
              </w:rPr>
            </w:pPr>
            <w:r w:rsidRPr="00BD695E">
              <w:rPr>
                <w:rFonts w:ascii="Times New Roman" w:hAnsi="Times New Roman"/>
                <w:b/>
                <w:bCs/>
                <w:color w:val="000000"/>
                <w:szCs w:val="22"/>
              </w:rPr>
              <w:t>30 766</w:t>
            </w:r>
          </w:p>
        </w:tc>
        <w:tc>
          <w:tcPr>
            <w:tcW w:w="491" w:type="pct"/>
            <w:tcBorders>
              <w:top w:val="nil"/>
              <w:left w:val="nil"/>
              <w:bottom w:val="single" w:sz="4" w:space="0" w:color="auto"/>
              <w:right w:val="single" w:sz="4" w:space="0" w:color="auto"/>
            </w:tcBorders>
            <w:shd w:val="clear" w:color="000000" w:fill="F2F2F2"/>
            <w:noWrap/>
            <w:vAlign w:val="center"/>
            <w:hideMark/>
          </w:tcPr>
          <w:p w14:paraId="78A1A3CC" w14:textId="77777777" w:rsidR="00D1016D" w:rsidRPr="00BD695E" w:rsidRDefault="00D1016D" w:rsidP="00552E17">
            <w:pPr>
              <w:jc w:val="center"/>
              <w:rPr>
                <w:rFonts w:ascii="Times New Roman" w:hAnsi="Times New Roman"/>
                <w:b/>
                <w:bCs/>
                <w:color w:val="000000"/>
                <w:szCs w:val="22"/>
              </w:rPr>
            </w:pPr>
            <w:r w:rsidRPr="00BD695E">
              <w:rPr>
                <w:rFonts w:ascii="Times New Roman" w:hAnsi="Times New Roman"/>
                <w:b/>
                <w:bCs/>
                <w:color w:val="000000"/>
                <w:szCs w:val="22"/>
              </w:rPr>
              <w:t>43 422</w:t>
            </w:r>
          </w:p>
        </w:tc>
        <w:tc>
          <w:tcPr>
            <w:tcW w:w="491" w:type="pct"/>
            <w:tcBorders>
              <w:top w:val="nil"/>
              <w:left w:val="nil"/>
              <w:bottom w:val="single" w:sz="4" w:space="0" w:color="auto"/>
              <w:right w:val="single" w:sz="4" w:space="0" w:color="auto"/>
            </w:tcBorders>
            <w:shd w:val="clear" w:color="000000" w:fill="F2F2F2"/>
            <w:noWrap/>
            <w:vAlign w:val="center"/>
            <w:hideMark/>
          </w:tcPr>
          <w:p w14:paraId="6C15BFB8" w14:textId="77777777" w:rsidR="00D1016D" w:rsidRPr="00BD695E" w:rsidRDefault="00D1016D" w:rsidP="00552E17">
            <w:pPr>
              <w:jc w:val="center"/>
              <w:rPr>
                <w:rFonts w:ascii="Times New Roman" w:hAnsi="Times New Roman"/>
                <w:b/>
                <w:bCs/>
                <w:color w:val="000000"/>
                <w:szCs w:val="22"/>
              </w:rPr>
            </w:pPr>
            <w:r w:rsidRPr="00BD695E">
              <w:rPr>
                <w:rFonts w:ascii="Times New Roman" w:hAnsi="Times New Roman"/>
                <w:b/>
                <w:bCs/>
                <w:color w:val="000000"/>
                <w:szCs w:val="22"/>
              </w:rPr>
              <w:t>32 236</w:t>
            </w:r>
          </w:p>
        </w:tc>
        <w:tc>
          <w:tcPr>
            <w:tcW w:w="491" w:type="pct"/>
            <w:tcBorders>
              <w:top w:val="nil"/>
              <w:left w:val="nil"/>
              <w:bottom w:val="single" w:sz="4" w:space="0" w:color="auto"/>
              <w:right w:val="single" w:sz="4" w:space="0" w:color="auto"/>
            </w:tcBorders>
            <w:shd w:val="clear" w:color="000000" w:fill="F2F2F2"/>
            <w:noWrap/>
            <w:vAlign w:val="center"/>
            <w:hideMark/>
          </w:tcPr>
          <w:p w14:paraId="1968E45E" w14:textId="77777777" w:rsidR="00D1016D" w:rsidRPr="00BD695E" w:rsidRDefault="00D1016D" w:rsidP="00552E17">
            <w:pPr>
              <w:jc w:val="center"/>
              <w:rPr>
                <w:rFonts w:ascii="Times New Roman" w:hAnsi="Times New Roman"/>
                <w:b/>
                <w:bCs/>
                <w:color w:val="000000"/>
                <w:szCs w:val="22"/>
              </w:rPr>
            </w:pPr>
            <w:r w:rsidRPr="00BD695E">
              <w:rPr>
                <w:rFonts w:ascii="Times New Roman" w:hAnsi="Times New Roman"/>
                <w:b/>
                <w:bCs/>
                <w:color w:val="000000"/>
                <w:szCs w:val="22"/>
              </w:rPr>
              <w:t>33 426</w:t>
            </w:r>
          </w:p>
        </w:tc>
        <w:tc>
          <w:tcPr>
            <w:tcW w:w="487" w:type="pct"/>
            <w:tcBorders>
              <w:top w:val="nil"/>
              <w:left w:val="nil"/>
              <w:bottom w:val="single" w:sz="4" w:space="0" w:color="auto"/>
              <w:right w:val="single" w:sz="4" w:space="0" w:color="auto"/>
            </w:tcBorders>
            <w:shd w:val="clear" w:color="000000" w:fill="F2F2F2"/>
            <w:noWrap/>
            <w:vAlign w:val="center"/>
            <w:hideMark/>
          </w:tcPr>
          <w:p w14:paraId="680D9AA0" w14:textId="77777777" w:rsidR="00D1016D" w:rsidRPr="00BD695E" w:rsidRDefault="00D1016D" w:rsidP="00552E17">
            <w:pPr>
              <w:jc w:val="center"/>
              <w:rPr>
                <w:rFonts w:ascii="Times New Roman" w:hAnsi="Times New Roman"/>
                <w:b/>
                <w:bCs/>
                <w:color w:val="000000"/>
                <w:szCs w:val="22"/>
              </w:rPr>
            </w:pPr>
            <w:r w:rsidRPr="00BD695E">
              <w:rPr>
                <w:rFonts w:ascii="Times New Roman" w:hAnsi="Times New Roman"/>
                <w:b/>
                <w:bCs/>
                <w:color w:val="000000"/>
                <w:szCs w:val="22"/>
              </w:rPr>
              <w:t>21 563</w:t>
            </w:r>
          </w:p>
        </w:tc>
      </w:tr>
      <w:tr w:rsidR="00D1016D" w:rsidRPr="00BD695E" w14:paraId="2149C397" w14:textId="77777777" w:rsidTr="00E969D4">
        <w:trPr>
          <w:trHeight w:val="375"/>
        </w:trPr>
        <w:tc>
          <w:tcPr>
            <w:tcW w:w="1024" w:type="pct"/>
            <w:tcBorders>
              <w:top w:val="nil"/>
              <w:left w:val="single" w:sz="4" w:space="0" w:color="auto"/>
              <w:bottom w:val="single" w:sz="4" w:space="0" w:color="auto"/>
              <w:right w:val="single" w:sz="4" w:space="0" w:color="auto"/>
            </w:tcBorders>
            <w:shd w:val="clear" w:color="000000" w:fill="F2F2F2"/>
            <w:vAlign w:val="center"/>
            <w:hideMark/>
          </w:tcPr>
          <w:p w14:paraId="1543E3E0" w14:textId="77777777" w:rsidR="00D1016D" w:rsidRPr="00BD695E" w:rsidRDefault="00D1016D" w:rsidP="00552E17">
            <w:pPr>
              <w:rPr>
                <w:rFonts w:ascii="Times New Roman" w:hAnsi="Times New Roman"/>
                <w:b/>
                <w:bCs/>
                <w:color w:val="000000"/>
                <w:szCs w:val="22"/>
              </w:rPr>
            </w:pPr>
            <w:r w:rsidRPr="00BD695E">
              <w:rPr>
                <w:rFonts w:ascii="Times New Roman" w:hAnsi="Times New Roman"/>
                <w:b/>
                <w:bCs/>
                <w:color w:val="000000"/>
                <w:szCs w:val="22"/>
              </w:rPr>
              <w:t>Úvěry celkem</w:t>
            </w:r>
          </w:p>
        </w:tc>
        <w:tc>
          <w:tcPr>
            <w:tcW w:w="541" w:type="pct"/>
            <w:tcBorders>
              <w:top w:val="nil"/>
              <w:left w:val="nil"/>
              <w:bottom w:val="single" w:sz="4" w:space="0" w:color="auto"/>
              <w:right w:val="single" w:sz="4" w:space="0" w:color="auto"/>
            </w:tcBorders>
            <w:shd w:val="clear" w:color="auto" w:fill="auto"/>
            <w:noWrap/>
            <w:vAlign w:val="center"/>
            <w:hideMark/>
          </w:tcPr>
          <w:p w14:paraId="6889C7B0" w14:textId="77777777" w:rsidR="00D1016D" w:rsidRPr="00BD695E" w:rsidRDefault="00D1016D" w:rsidP="00552E17">
            <w:pPr>
              <w:jc w:val="center"/>
              <w:rPr>
                <w:rFonts w:ascii="Times New Roman" w:hAnsi="Times New Roman"/>
                <w:b/>
                <w:bCs/>
                <w:color w:val="000000"/>
                <w:szCs w:val="22"/>
              </w:rPr>
            </w:pPr>
            <w:r w:rsidRPr="00BD695E">
              <w:rPr>
                <w:rFonts w:ascii="Times New Roman" w:hAnsi="Times New Roman"/>
                <w:b/>
                <w:bCs/>
                <w:color w:val="000000"/>
                <w:szCs w:val="22"/>
              </w:rPr>
              <w:t>67 468</w:t>
            </w:r>
          </w:p>
        </w:tc>
        <w:tc>
          <w:tcPr>
            <w:tcW w:w="491" w:type="pct"/>
            <w:tcBorders>
              <w:top w:val="nil"/>
              <w:left w:val="nil"/>
              <w:bottom w:val="single" w:sz="4" w:space="0" w:color="auto"/>
              <w:right w:val="single" w:sz="4" w:space="0" w:color="auto"/>
            </w:tcBorders>
            <w:shd w:val="clear" w:color="auto" w:fill="auto"/>
            <w:noWrap/>
            <w:vAlign w:val="center"/>
            <w:hideMark/>
          </w:tcPr>
          <w:p w14:paraId="08BE9770" w14:textId="77777777" w:rsidR="00D1016D" w:rsidRPr="00BD695E" w:rsidRDefault="00D1016D" w:rsidP="00552E17">
            <w:pPr>
              <w:jc w:val="center"/>
              <w:rPr>
                <w:rFonts w:ascii="Times New Roman" w:hAnsi="Times New Roman"/>
                <w:b/>
                <w:bCs/>
                <w:color w:val="000000"/>
                <w:szCs w:val="22"/>
              </w:rPr>
            </w:pPr>
            <w:r w:rsidRPr="00BD695E">
              <w:rPr>
                <w:rFonts w:ascii="Times New Roman" w:hAnsi="Times New Roman"/>
                <w:b/>
                <w:bCs/>
                <w:color w:val="000000"/>
                <w:szCs w:val="22"/>
              </w:rPr>
              <w:t>70 002</w:t>
            </w:r>
          </w:p>
        </w:tc>
        <w:tc>
          <w:tcPr>
            <w:tcW w:w="491" w:type="pct"/>
            <w:tcBorders>
              <w:top w:val="nil"/>
              <w:left w:val="nil"/>
              <w:bottom w:val="single" w:sz="4" w:space="0" w:color="auto"/>
              <w:right w:val="single" w:sz="4" w:space="0" w:color="auto"/>
            </w:tcBorders>
            <w:shd w:val="clear" w:color="auto" w:fill="auto"/>
            <w:noWrap/>
            <w:vAlign w:val="center"/>
            <w:hideMark/>
          </w:tcPr>
          <w:p w14:paraId="12C457C4" w14:textId="77777777" w:rsidR="00D1016D" w:rsidRPr="00BD695E" w:rsidRDefault="00D1016D" w:rsidP="00552E17">
            <w:pPr>
              <w:jc w:val="center"/>
              <w:rPr>
                <w:rFonts w:ascii="Times New Roman" w:hAnsi="Times New Roman"/>
                <w:b/>
                <w:bCs/>
                <w:color w:val="000000"/>
                <w:szCs w:val="22"/>
              </w:rPr>
            </w:pPr>
            <w:r w:rsidRPr="00BD695E">
              <w:rPr>
                <w:rFonts w:ascii="Times New Roman" w:hAnsi="Times New Roman"/>
                <w:b/>
                <w:bCs/>
                <w:color w:val="000000"/>
                <w:szCs w:val="22"/>
              </w:rPr>
              <w:t>84 639</w:t>
            </w:r>
          </w:p>
        </w:tc>
        <w:tc>
          <w:tcPr>
            <w:tcW w:w="491" w:type="pct"/>
            <w:tcBorders>
              <w:top w:val="nil"/>
              <w:left w:val="nil"/>
              <w:bottom w:val="single" w:sz="4" w:space="0" w:color="auto"/>
              <w:right w:val="single" w:sz="4" w:space="0" w:color="auto"/>
            </w:tcBorders>
            <w:shd w:val="clear" w:color="auto" w:fill="auto"/>
            <w:noWrap/>
            <w:vAlign w:val="center"/>
            <w:hideMark/>
          </w:tcPr>
          <w:p w14:paraId="1167B6E6" w14:textId="77777777" w:rsidR="00D1016D" w:rsidRPr="00BD695E" w:rsidRDefault="00D1016D" w:rsidP="00552E17">
            <w:pPr>
              <w:jc w:val="center"/>
              <w:rPr>
                <w:rFonts w:ascii="Times New Roman" w:hAnsi="Times New Roman"/>
                <w:b/>
                <w:bCs/>
                <w:color w:val="000000"/>
                <w:szCs w:val="22"/>
              </w:rPr>
            </w:pPr>
            <w:r w:rsidRPr="00BD695E">
              <w:rPr>
                <w:rFonts w:ascii="Times New Roman" w:hAnsi="Times New Roman"/>
                <w:b/>
                <w:bCs/>
                <w:color w:val="000000"/>
                <w:szCs w:val="22"/>
              </w:rPr>
              <w:t>87 399</w:t>
            </w:r>
          </w:p>
        </w:tc>
        <w:tc>
          <w:tcPr>
            <w:tcW w:w="491" w:type="pct"/>
            <w:tcBorders>
              <w:top w:val="nil"/>
              <w:left w:val="nil"/>
              <w:bottom w:val="single" w:sz="4" w:space="0" w:color="auto"/>
              <w:right w:val="single" w:sz="4" w:space="0" w:color="auto"/>
            </w:tcBorders>
            <w:shd w:val="clear" w:color="auto" w:fill="auto"/>
            <w:noWrap/>
            <w:vAlign w:val="center"/>
            <w:hideMark/>
          </w:tcPr>
          <w:p w14:paraId="52E04DFA" w14:textId="77777777" w:rsidR="00D1016D" w:rsidRPr="00BD695E" w:rsidRDefault="00D1016D" w:rsidP="00552E17">
            <w:pPr>
              <w:jc w:val="center"/>
              <w:rPr>
                <w:rFonts w:ascii="Times New Roman" w:hAnsi="Times New Roman"/>
                <w:b/>
                <w:bCs/>
                <w:color w:val="000000"/>
                <w:szCs w:val="22"/>
              </w:rPr>
            </w:pPr>
            <w:r w:rsidRPr="00BD695E">
              <w:rPr>
                <w:rFonts w:ascii="Times New Roman" w:hAnsi="Times New Roman"/>
                <w:b/>
                <w:bCs/>
                <w:color w:val="000000"/>
                <w:szCs w:val="22"/>
              </w:rPr>
              <w:t>81 450</w:t>
            </w:r>
          </w:p>
        </w:tc>
        <w:tc>
          <w:tcPr>
            <w:tcW w:w="491" w:type="pct"/>
            <w:tcBorders>
              <w:top w:val="nil"/>
              <w:left w:val="nil"/>
              <w:bottom w:val="single" w:sz="4" w:space="0" w:color="auto"/>
              <w:right w:val="single" w:sz="4" w:space="0" w:color="auto"/>
            </w:tcBorders>
            <w:shd w:val="clear" w:color="auto" w:fill="auto"/>
            <w:noWrap/>
            <w:vAlign w:val="center"/>
            <w:hideMark/>
          </w:tcPr>
          <w:p w14:paraId="021C410C" w14:textId="77777777" w:rsidR="00D1016D" w:rsidRPr="00BD695E" w:rsidRDefault="00D1016D" w:rsidP="00552E17">
            <w:pPr>
              <w:jc w:val="center"/>
              <w:rPr>
                <w:rFonts w:ascii="Times New Roman" w:hAnsi="Times New Roman"/>
                <w:b/>
                <w:bCs/>
                <w:color w:val="000000"/>
                <w:szCs w:val="22"/>
              </w:rPr>
            </w:pPr>
            <w:r w:rsidRPr="00BD695E">
              <w:rPr>
                <w:rFonts w:ascii="Times New Roman" w:hAnsi="Times New Roman"/>
                <w:b/>
                <w:bCs/>
                <w:color w:val="000000"/>
                <w:szCs w:val="22"/>
              </w:rPr>
              <w:t>72 722</w:t>
            </w:r>
          </w:p>
        </w:tc>
        <w:tc>
          <w:tcPr>
            <w:tcW w:w="491" w:type="pct"/>
            <w:tcBorders>
              <w:top w:val="nil"/>
              <w:left w:val="nil"/>
              <w:bottom w:val="single" w:sz="4" w:space="0" w:color="auto"/>
              <w:right w:val="single" w:sz="4" w:space="0" w:color="auto"/>
            </w:tcBorders>
            <w:shd w:val="clear" w:color="auto" w:fill="auto"/>
            <w:noWrap/>
            <w:vAlign w:val="center"/>
            <w:hideMark/>
          </w:tcPr>
          <w:p w14:paraId="10F818F1" w14:textId="77777777" w:rsidR="00D1016D" w:rsidRPr="00BD695E" w:rsidRDefault="00D1016D" w:rsidP="00552E17">
            <w:pPr>
              <w:jc w:val="center"/>
              <w:rPr>
                <w:rFonts w:ascii="Times New Roman" w:hAnsi="Times New Roman"/>
                <w:b/>
                <w:bCs/>
                <w:color w:val="000000"/>
                <w:szCs w:val="22"/>
              </w:rPr>
            </w:pPr>
            <w:r w:rsidRPr="00BD695E">
              <w:rPr>
                <w:rFonts w:ascii="Times New Roman" w:hAnsi="Times New Roman"/>
                <w:b/>
                <w:bCs/>
                <w:color w:val="000000"/>
                <w:szCs w:val="22"/>
              </w:rPr>
              <w:t>55 875</w:t>
            </w:r>
          </w:p>
        </w:tc>
        <w:tc>
          <w:tcPr>
            <w:tcW w:w="487" w:type="pct"/>
            <w:tcBorders>
              <w:top w:val="nil"/>
              <w:left w:val="nil"/>
              <w:bottom w:val="single" w:sz="4" w:space="0" w:color="auto"/>
              <w:right w:val="single" w:sz="4" w:space="0" w:color="auto"/>
            </w:tcBorders>
            <w:shd w:val="clear" w:color="auto" w:fill="auto"/>
            <w:noWrap/>
            <w:vAlign w:val="center"/>
            <w:hideMark/>
          </w:tcPr>
          <w:p w14:paraId="18E19625" w14:textId="77777777" w:rsidR="00D1016D" w:rsidRPr="00BD695E" w:rsidRDefault="00D1016D" w:rsidP="00552E17">
            <w:pPr>
              <w:jc w:val="center"/>
              <w:rPr>
                <w:rFonts w:ascii="Times New Roman" w:hAnsi="Times New Roman"/>
                <w:b/>
                <w:bCs/>
                <w:color w:val="000000"/>
                <w:szCs w:val="22"/>
              </w:rPr>
            </w:pPr>
            <w:r w:rsidRPr="00BD695E">
              <w:rPr>
                <w:rFonts w:ascii="Times New Roman" w:hAnsi="Times New Roman"/>
                <w:b/>
                <w:bCs/>
                <w:color w:val="000000"/>
                <w:szCs w:val="22"/>
              </w:rPr>
              <w:t>47 583</w:t>
            </w:r>
          </w:p>
        </w:tc>
      </w:tr>
      <w:tr w:rsidR="00D1016D" w:rsidRPr="00BD695E" w14:paraId="4B96C9C5" w14:textId="77777777" w:rsidTr="00E969D4">
        <w:trPr>
          <w:trHeight w:val="600"/>
        </w:trPr>
        <w:tc>
          <w:tcPr>
            <w:tcW w:w="1024" w:type="pct"/>
            <w:tcBorders>
              <w:top w:val="nil"/>
              <w:left w:val="single" w:sz="4" w:space="0" w:color="auto"/>
              <w:bottom w:val="single" w:sz="4" w:space="0" w:color="auto"/>
              <w:right w:val="single" w:sz="4" w:space="0" w:color="auto"/>
            </w:tcBorders>
            <w:shd w:val="clear" w:color="000000" w:fill="F2F2F2"/>
            <w:vAlign w:val="center"/>
            <w:hideMark/>
          </w:tcPr>
          <w:p w14:paraId="25E12989" w14:textId="77777777" w:rsidR="00D1016D" w:rsidRPr="00BD695E" w:rsidRDefault="00D1016D" w:rsidP="00552E17">
            <w:pPr>
              <w:rPr>
                <w:rFonts w:ascii="Times New Roman" w:hAnsi="Times New Roman"/>
                <w:color w:val="000000"/>
                <w:szCs w:val="22"/>
              </w:rPr>
            </w:pPr>
            <w:r w:rsidRPr="00BD695E">
              <w:rPr>
                <w:rFonts w:ascii="Times New Roman" w:hAnsi="Times New Roman"/>
                <w:color w:val="000000"/>
                <w:szCs w:val="22"/>
              </w:rPr>
              <w:t>Podíl znehodnocených úvěrů na úvěrech celkem</w:t>
            </w:r>
          </w:p>
        </w:tc>
        <w:tc>
          <w:tcPr>
            <w:tcW w:w="541" w:type="pct"/>
            <w:tcBorders>
              <w:top w:val="nil"/>
              <w:left w:val="nil"/>
              <w:bottom w:val="single" w:sz="4" w:space="0" w:color="auto"/>
              <w:right w:val="single" w:sz="4" w:space="0" w:color="auto"/>
            </w:tcBorders>
            <w:shd w:val="clear" w:color="000000" w:fill="F2F2F2"/>
            <w:noWrap/>
            <w:vAlign w:val="center"/>
            <w:hideMark/>
          </w:tcPr>
          <w:p w14:paraId="4A0330A7"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12,79%</w:t>
            </w:r>
          </w:p>
        </w:tc>
        <w:tc>
          <w:tcPr>
            <w:tcW w:w="491" w:type="pct"/>
            <w:tcBorders>
              <w:top w:val="nil"/>
              <w:left w:val="nil"/>
              <w:bottom w:val="single" w:sz="4" w:space="0" w:color="auto"/>
              <w:right w:val="single" w:sz="4" w:space="0" w:color="auto"/>
            </w:tcBorders>
            <w:shd w:val="clear" w:color="000000" w:fill="F2F2F2"/>
            <w:noWrap/>
            <w:vAlign w:val="center"/>
            <w:hideMark/>
          </w:tcPr>
          <w:p w14:paraId="776E663C"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9,64%</w:t>
            </w:r>
          </w:p>
        </w:tc>
        <w:tc>
          <w:tcPr>
            <w:tcW w:w="491" w:type="pct"/>
            <w:tcBorders>
              <w:top w:val="nil"/>
              <w:left w:val="nil"/>
              <w:bottom w:val="single" w:sz="4" w:space="0" w:color="auto"/>
              <w:right w:val="single" w:sz="4" w:space="0" w:color="auto"/>
            </w:tcBorders>
            <w:shd w:val="clear" w:color="000000" w:fill="F2F2F2"/>
            <w:noWrap/>
            <w:vAlign w:val="center"/>
            <w:hideMark/>
          </w:tcPr>
          <w:p w14:paraId="6154F764"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19,22%</w:t>
            </w:r>
          </w:p>
        </w:tc>
        <w:tc>
          <w:tcPr>
            <w:tcW w:w="491" w:type="pct"/>
            <w:tcBorders>
              <w:top w:val="nil"/>
              <w:left w:val="nil"/>
              <w:bottom w:val="single" w:sz="4" w:space="0" w:color="auto"/>
              <w:right w:val="single" w:sz="4" w:space="0" w:color="auto"/>
            </w:tcBorders>
            <w:shd w:val="clear" w:color="000000" w:fill="F2F2F2"/>
            <w:noWrap/>
            <w:vAlign w:val="center"/>
            <w:hideMark/>
          </w:tcPr>
          <w:p w14:paraId="13A3B13D"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35,20%</w:t>
            </w:r>
          </w:p>
        </w:tc>
        <w:tc>
          <w:tcPr>
            <w:tcW w:w="491" w:type="pct"/>
            <w:tcBorders>
              <w:top w:val="nil"/>
              <w:left w:val="nil"/>
              <w:bottom w:val="single" w:sz="4" w:space="0" w:color="auto"/>
              <w:right w:val="single" w:sz="4" w:space="0" w:color="auto"/>
            </w:tcBorders>
            <w:shd w:val="clear" w:color="000000" w:fill="F2F2F2"/>
            <w:noWrap/>
            <w:vAlign w:val="center"/>
            <w:hideMark/>
          </w:tcPr>
          <w:p w14:paraId="09D338F2"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53,31%</w:t>
            </w:r>
          </w:p>
        </w:tc>
        <w:tc>
          <w:tcPr>
            <w:tcW w:w="491" w:type="pct"/>
            <w:tcBorders>
              <w:top w:val="nil"/>
              <w:left w:val="nil"/>
              <w:bottom w:val="single" w:sz="4" w:space="0" w:color="auto"/>
              <w:right w:val="single" w:sz="4" w:space="0" w:color="auto"/>
            </w:tcBorders>
            <w:shd w:val="clear" w:color="000000" w:fill="F2F2F2"/>
            <w:noWrap/>
            <w:vAlign w:val="center"/>
            <w:hideMark/>
          </w:tcPr>
          <w:p w14:paraId="073C4FD8"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44,33%</w:t>
            </w:r>
          </w:p>
        </w:tc>
        <w:tc>
          <w:tcPr>
            <w:tcW w:w="491" w:type="pct"/>
            <w:tcBorders>
              <w:top w:val="nil"/>
              <w:left w:val="nil"/>
              <w:bottom w:val="single" w:sz="4" w:space="0" w:color="auto"/>
              <w:right w:val="single" w:sz="4" w:space="0" w:color="auto"/>
            </w:tcBorders>
            <w:shd w:val="clear" w:color="000000" w:fill="F2F2F2"/>
            <w:noWrap/>
            <w:vAlign w:val="center"/>
            <w:hideMark/>
          </w:tcPr>
          <w:p w14:paraId="2FCFC03A"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59,82%</w:t>
            </w:r>
          </w:p>
        </w:tc>
        <w:tc>
          <w:tcPr>
            <w:tcW w:w="487" w:type="pct"/>
            <w:tcBorders>
              <w:top w:val="nil"/>
              <w:left w:val="nil"/>
              <w:bottom w:val="single" w:sz="4" w:space="0" w:color="auto"/>
              <w:right w:val="single" w:sz="4" w:space="0" w:color="auto"/>
            </w:tcBorders>
            <w:shd w:val="clear" w:color="000000" w:fill="F2F2F2"/>
            <w:noWrap/>
            <w:vAlign w:val="center"/>
            <w:hideMark/>
          </w:tcPr>
          <w:p w14:paraId="500E31BC" w14:textId="77777777" w:rsidR="00D1016D" w:rsidRPr="00BD695E" w:rsidRDefault="00D1016D" w:rsidP="00552E17">
            <w:pPr>
              <w:jc w:val="center"/>
              <w:rPr>
                <w:rFonts w:ascii="Times New Roman" w:hAnsi="Times New Roman"/>
                <w:color w:val="000000"/>
                <w:szCs w:val="22"/>
              </w:rPr>
            </w:pPr>
            <w:r w:rsidRPr="00BD695E">
              <w:rPr>
                <w:rFonts w:ascii="Times New Roman" w:hAnsi="Times New Roman"/>
                <w:color w:val="000000"/>
                <w:szCs w:val="22"/>
              </w:rPr>
              <w:t>45,32%</w:t>
            </w:r>
          </w:p>
        </w:tc>
      </w:tr>
    </w:tbl>
    <w:p w14:paraId="72C7678D" w14:textId="77777777" w:rsidR="00566BA6" w:rsidRDefault="00D1016D" w:rsidP="00D1016D">
      <w:pPr>
        <w:spacing w:line="276" w:lineRule="auto"/>
        <w:ind w:left="-6"/>
        <w:jc w:val="right"/>
        <w:rPr>
          <w:rFonts w:ascii="Times New Roman" w:hAnsi="Times New Roman"/>
          <w:i/>
          <w:szCs w:val="24"/>
        </w:rPr>
      </w:pPr>
      <w:r w:rsidRPr="00BD695E">
        <w:rPr>
          <w:rFonts w:ascii="Times New Roman" w:hAnsi="Times New Roman"/>
          <w:i/>
          <w:szCs w:val="24"/>
        </w:rPr>
        <w:t>zdroj: ČEB a data MF</w:t>
      </w:r>
    </w:p>
    <w:p w14:paraId="32A889F0" w14:textId="580E7AFD" w:rsidR="001A3913" w:rsidRPr="00BD695E" w:rsidRDefault="001A3913" w:rsidP="001A3913">
      <w:pPr>
        <w:spacing w:before="120" w:after="120"/>
        <w:ind w:left="360"/>
        <w:jc w:val="both"/>
        <w:rPr>
          <w:rFonts w:ascii="Times New Roman" w:hAnsi="Times New Roman"/>
          <w:sz w:val="24"/>
          <w:szCs w:val="24"/>
          <w:lang w:eastAsia="en-US"/>
        </w:rPr>
      </w:pPr>
      <w:r w:rsidRPr="00BD695E">
        <w:rPr>
          <w:rFonts w:ascii="Times New Roman" w:hAnsi="Times New Roman"/>
          <w:sz w:val="24"/>
          <w:szCs w:val="24"/>
          <w:lang w:eastAsia="en-US"/>
        </w:rPr>
        <w:t>Graf:  Úvěrové pohledávky a znehodnocené úvěry ČEB 2011 – 2018 (v mil. Kč)</w:t>
      </w:r>
    </w:p>
    <w:p w14:paraId="06C09A27" w14:textId="3E912615" w:rsidR="00154826" w:rsidRDefault="000D7C4F" w:rsidP="00EB147E">
      <w:pPr>
        <w:spacing w:before="120" w:after="120"/>
        <w:ind w:left="360"/>
        <w:jc w:val="both"/>
        <w:rPr>
          <w:rFonts w:ascii="Times New Roman" w:hAnsi="Times New Roman"/>
          <w:sz w:val="24"/>
          <w:szCs w:val="24"/>
          <w:lang w:eastAsia="en-US"/>
        </w:rPr>
      </w:pPr>
      <w:r>
        <w:rPr>
          <w:rFonts w:ascii="Times New Roman" w:hAnsi="Times New Roman"/>
          <w:noProof/>
          <w:sz w:val="24"/>
          <w:szCs w:val="24"/>
        </w:rPr>
        <w:drawing>
          <wp:anchor distT="0" distB="0" distL="114300" distR="114300" simplePos="0" relativeHeight="251675648" behindDoc="0" locked="0" layoutInCell="1" allowOverlap="1" wp14:anchorId="1CD48E53" wp14:editId="08015131">
            <wp:simplePos x="0" y="0"/>
            <wp:positionH relativeFrom="margin">
              <wp:posOffset>0</wp:posOffset>
            </wp:positionH>
            <wp:positionV relativeFrom="paragraph">
              <wp:posOffset>18937</wp:posOffset>
            </wp:positionV>
            <wp:extent cx="5201376" cy="2896004"/>
            <wp:effectExtent l="0" t="0" r="0" b="0"/>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5.png"/>
                    <pic:cNvPicPr/>
                  </pic:nvPicPr>
                  <pic:blipFill>
                    <a:blip r:embed="rId15">
                      <a:extLst>
                        <a:ext uri="{28A0092B-C50C-407E-A947-70E740481C1C}">
                          <a14:useLocalDpi xmlns:a14="http://schemas.microsoft.com/office/drawing/2010/main" val="0"/>
                        </a:ext>
                      </a:extLst>
                    </a:blip>
                    <a:stretch>
                      <a:fillRect/>
                    </a:stretch>
                  </pic:blipFill>
                  <pic:spPr>
                    <a:xfrm>
                      <a:off x="0" y="0"/>
                      <a:ext cx="5201376" cy="2896004"/>
                    </a:xfrm>
                    <a:prstGeom prst="rect">
                      <a:avLst/>
                    </a:prstGeom>
                  </pic:spPr>
                </pic:pic>
              </a:graphicData>
            </a:graphic>
          </wp:anchor>
        </w:drawing>
      </w:r>
    </w:p>
    <w:p w14:paraId="25E6751B" w14:textId="77777777" w:rsidR="00381768" w:rsidRDefault="00381768" w:rsidP="00EB147E">
      <w:pPr>
        <w:spacing w:before="120" w:after="120"/>
        <w:ind w:left="360"/>
        <w:jc w:val="both"/>
        <w:rPr>
          <w:rFonts w:ascii="Times New Roman" w:hAnsi="Times New Roman"/>
          <w:sz w:val="24"/>
          <w:szCs w:val="24"/>
          <w:lang w:eastAsia="en-US"/>
        </w:rPr>
      </w:pPr>
    </w:p>
    <w:p w14:paraId="1527435C" w14:textId="77777777" w:rsidR="00381768" w:rsidRDefault="00381768" w:rsidP="00EB147E">
      <w:pPr>
        <w:spacing w:before="120" w:after="120"/>
        <w:ind w:left="360"/>
        <w:jc w:val="both"/>
        <w:rPr>
          <w:rFonts w:ascii="Times New Roman" w:hAnsi="Times New Roman"/>
          <w:sz w:val="24"/>
          <w:szCs w:val="24"/>
          <w:lang w:eastAsia="en-US"/>
        </w:rPr>
      </w:pPr>
    </w:p>
    <w:p w14:paraId="1E4FDCE4" w14:textId="77777777" w:rsidR="00381768" w:rsidRDefault="00381768" w:rsidP="00EB147E">
      <w:pPr>
        <w:spacing w:before="120" w:after="120"/>
        <w:ind w:left="360"/>
        <w:jc w:val="both"/>
        <w:rPr>
          <w:rFonts w:ascii="Times New Roman" w:hAnsi="Times New Roman"/>
          <w:sz w:val="24"/>
          <w:szCs w:val="24"/>
          <w:lang w:eastAsia="en-US"/>
        </w:rPr>
      </w:pPr>
    </w:p>
    <w:p w14:paraId="78D9E0B4" w14:textId="77777777" w:rsidR="00381768" w:rsidRDefault="00381768" w:rsidP="00EB147E">
      <w:pPr>
        <w:spacing w:before="120" w:after="120"/>
        <w:ind w:left="360"/>
        <w:jc w:val="both"/>
        <w:rPr>
          <w:rFonts w:ascii="Times New Roman" w:hAnsi="Times New Roman"/>
          <w:sz w:val="24"/>
          <w:szCs w:val="24"/>
          <w:lang w:eastAsia="en-US"/>
        </w:rPr>
      </w:pPr>
    </w:p>
    <w:p w14:paraId="598E5D57" w14:textId="77777777" w:rsidR="00381768" w:rsidRDefault="00381768" w:rsidP="00EB147E">
      <w:pPr>
        <w:spacing w:before="120" w:after="120"/>
        <w:ind w:left="360"/>
        <w:jc w:val="both"/>
        <w:rPr>
          <w:rFonts w:ascii="Times New Roman" w:hAnsi="Times New Roman"/>
          <w:sz w:val="24"/>
          <w:szCs w:val="24"/>
          <w:lang w:eastAsia="en-US"/>
        </w:rPr>
      </w:pPr>
    </w:p>
    <w:p w14:paraId="459FA780" w14:textId="77777777" w:rsidR="00154826" w:rsidRDefault="00154826" w:rsidP="00EB147E">
      <w:pPr>
        <w:spacing w:before="120" w:after="120"/>
        <w:ind w:left="360"/>
        <w:jc w:val="both"/>
        <w:rPr>
          <w:rFonts w:ascii="Times New Roman" w:hAnsi="Times New Roman"/>
          <w:sz w:val="24"/>
          <w:szCs w:val="24"/>
          <w:lang w:eastAsia="en-US"/>
        </w:rPr>
      </w:pPr>
    </w:p>
    <w:p w14:paraId="18E9ABA0" w14:textId="77777777" w:rsidR="00566BA6" w:rsidRDefault="00566BA6" w:rsidP="00EB147E">
      <w:pPr>
        <w:spacing w:before="120" w:after="120"/>
        <w:ind w:left="360"/>
        <w:jc w:val="both"/>
        <w:rPr>
          <w:rFonts w:ascii="Times New Roman" w:hAnsi="Times New Roman"/>
          <w:sz w:val="24"/>
          <w:szCs w:val="24"/>
          <w:lang w:eastAsia="en-US"/>
        </w:rPr>
      </w:pPr>
    </w:p>
    <w:p w14:paraId="5769CF99" w14:textId="463FD1A4" w:rsidR="005A4F6C" w:rsidRPr="005A4F6C" w:rsidRDefault="005A4F6C" w:rsidP="005A4F6C">
      <w:pPr>
        <w:spacing w:line="276" w:lineRule="auto"/>
        <w:ind w:left="-6"/>
        <w:jc w:val="right"/>
        <w:rPr>
          <w:rFonts w:ascii="Times New Roman" w:hAnsi="Times New Roman"/>
          <w:i/>
          <w:szCs w:val="24"/>
        </w:rPr>
      </w:pPr>
      <w:r w:rsidRPr="005A4F6C">
        <w:rPr>
          <w:rFonts w:ascii="Times New Roman" w:hAnsi="Times New Roman"/>
          <w:i/>
          <w:szCs w:val="24"/>
        </w:rPr>
        <w:t xml:space="preserve">zdroj: </w:t>
      </w:r>
      <w:r w:rsidR="000D7C4F">
        <w:rPr>
          <w:rFonts w:ascii="Times New Roman" w:hAnsi="Times New Roman"/>
          <w:i/>
          <w:szCs w:val="24"/>
        </w:rPr>
        <w:t>Č</w:t>
      </w:r>
      <w:r w:rsidRPr="005A4F6C">
        <w:rPr>
          <w:rFonts w:ascii="Times New Roman" w:hAnsi="Times New Roman"/>
          <w:i/>
          <w:szCs w:val="24"/>
        </w:rPr>
        <w:t>EB a data MF</w:t>
      </w:r>
    </w:p>
    <w:p w14:paraId="114DFC73" w14:textId="5249A352" w:rsidR="005A4F6C" w:rsidRDefault="005A4F6C" w:rsidP="005A4F6C">
      <w:pPr>
        <w:spacing w:before="120" w:after="120"/>
        <w:ind w:left="360"/>
        <w:jc w:val="both"/>
        <w:rPr>
          <w:rFonts w:ascii="Times New Roman" w:hAnsi="Times New Roman"/>
          <w:sz w:val="24"/>
          <w:szCs w:val="24"/>
          <w:lang w:eastAsia="en-US"/>
        </w:rPr>
      </w:pPr>
      <w:r w:rsidRPr="00BD695E">
        <w:rPr>
          <w:rFonts w:ascii="Times New Roman" w:hAnsi="Times New Roman"/>
          <w:sz w:val="24"/>
          <w:szCs w:val="24"/>
          <w:lang w:eastAsia="en-US"/>
        </w:rPr>
        <w:t xml:space="preserve">Z důvodu zhoršování úvěrového portfolia ČEB kvůli znehodnoceným úvěrům vznikají ČEB náklady na tvorbu opravných položek, které mají ve svém důsledku velmi významný negativní vliv na výsledek hospodaření ČEB. </w:t>
      </w:r>
      <w:r w:rsidR="006A0864">
        <w:rPr>
          <w:rFonts w:ascii="Times New Roman" w:hAnsi="Times New Roman"/>
          <w:sz w:val="24"/>
          <w:szCs w:val="24"/>
          <w:lang w:eastAsia="en-US"/>
        </w:rPr>
        <w:t>Exportní b</w:t>
      </w:r>
      <w:r w:rsidRPr="00BD695E">
        <w:rPr>
          <w:rFonts w:ascii="Times New Roman" w:hAnsi="Times New Roman"/>
          <w:sz w:val="24"/>
          <w:szCs w:val="24"/>
          <w:lang w:eastAsia="en-US"/>
        </w:rPr>
        <w:t xml:space="preserve">anka následně (nedojde-li k dostatečnému vyrovnání/překonání záporného hospodaření výnosovými činnostmi) vykazuje ztráty, na základě kterých dochází v souladu se </w:t>
      </w:r>
      <w:r w:rsidR="006A0864">
        <w:rPr>
          <w:rFonts w:ascii="Times New Roman" w:hAnsi="Times New Roman"/>
          <w:sz w:val="24"/>
          <w:szCs w:val="24"/>
          <w:lang w:eastAsia="en-US"/>
        </w:rPr>
        <w:t xml:space="preserve">stávající právní </w:t>
      </w:r>
      <w:r w:rsidR="00BE3725">
        <w:rPr>
          <w:rFonts w:ascii="Times New Roman" w:hAnsi="Times New Roman"/>
          <w:sz w:val="24"/>
          <w:szCs w:val="24"/>
          <w:lang w:eastAsia="en-US"/>
        </w:rPr>
        <w:t xml:space="preserve">úpravou </w:t>
      </w:r>
      <w:r w:rsidRPr="00BD695E">
        <w:rPr>
          <w:rFonts w:ascii="Times New Roman" w:hAnsi="Times New Roman"/>
          <w:sz w:val="24"/>
          <w:szCs w:val="24"/>
          <w:lang w:eastAsia="en-US"/>
        </w:rPr>
        <w:t xml:space="preserve">k poskytování dotací na krytí ztráty z podpořeného financování ze státního rozpočtu (viz </w:t>
      </w:r>
      <w:r w:rsidR="00226C26">
        <w:rPr>
          <w:rFonts w:ascii="Times New Roman" w:hAnsi="Times New Roman"/>
          <w:sz w:val="24"/>
          <w:szCs w:val="24"/>
          <w:lang w:eastAsia="en-US"/>
        </w:rPr>
        <w:t>t</w:t>
      </w:r>
      <w:r w:rsidRPr="00BD695E">
        <w:rPr>
          <w:rFonts w:ascii="Times New Roman" w:hAnsi="Times New Roman"/>
          <w:sz w:val="24"/>
          <w:szCs w:val="24"/>
          <w:lang w:eastAsia="en-US"/>
        </w:rPr>
        <w:t xml:space="preserve">abulka). </w:t>
      </w:r>
    </w:p>
    <w:p w14:paraId="77DA6F69" w14:textId="77777777" w:rsidR="00F03018" w:rsidRPr="00BD695E" w:rsidRDefault="00F03018" w:rsidP="005A4F6C">
      <w:pPr>
        <w:spacing w:before="120" w:after="120"/>
        <w:ind w:left="360"/>
        <w:jc w:val="both"/>
        <w:rPr>
          <w:rFonts w:ascii="Times New Roman" w:hAnsi="Times New Roman"/>
          <w:sz w:val="24"/>
          <w:szCs w:val="24"/>
          <w:lang w:eastAsia="en-US"/>
        </w:rPr>
      </w:pPr>
      <w:r>
        <w:rPr>
          <w:rFonts w:ascii="Times New Roman" w:hAnsi="Times New Roman"/>
          <w:sz w:val="24"/>
          <w:szCs w:val="24"/>
          <w:lang w:eastAsia="en-US"/>
        </w:rPr>
        <w:t>Tabulka: Hospodářský výsledek exportní banky</w:t>
      </w:r>
    </w:p>
    <w:tbl>
      <w:tblPr>
        <w:tblW w:w="8844" w:type="dxa"/>
        <w:tblInd w:w="426" w:type="dxa"/>
        <w:tblLayout w:type="fixed"/>
        <w:tblCellMar>
          <w:left w:w="0" w:type="dxa"/>
          <w:right w:w="0" w:type="dxa"/>
        </w:tblCellMar>
        <w:tblLook w:val="0000" w:firstRow="0" w:lastRow="0" w:firstColumn="0" w:lastColumn="0" w:noHBand="0" w:noVBand="0"/>
      </w:tblPr>
      <w:tblGrid>
        <w:gridCol w:w="4032"/>
        <w:gridCol w:w="1801"/>
        <w:gridCol w:w="1612"/>
        <w:gridCol w:w="1399"/>
      </w:tblGrid>
      <w:tr w:rsidR="00A02A7B" w:rsidRPr="00F200AA" w14:paraId="4247290F" w14:textId="77777777" w:rsidTr="00B44E7E">
        <w:trPr>
          <w:trHeight w:val="500"/>
        </w:trPr>
        <w:tc>
          <w:tcPr>
            <w:tcW w:w="5833" w:type="dxa"/>
            <w:gridSpan w:val="2"/>
            <w:tcBorders>
              <w:top w:val="none" w:sz="6" w:space="0" w:color="auto"/>
              <w:left w:val="none" w:sz="6" w:space="0" w:color="auto"/>
              <w:bottom w:val="single" w:sz="8" w:space="0" w:color="FFFFFF"/>
              <w:right w:val="none" w:sz="6" w:space="0" w:color="auto"/>
            </w:tcBorders>
            <w:shd w:val="clear" w:color="auto" w:fill="FDD7C8"/>
          </w:tcPr>
          <w:p w14:paraId="11F112B9" w14:textId="77777777" w:rsidR="00A02A7B" w:rsidRPr="00F200AA" w:rsidRDefault="00A02A7B" w:rsidP="00566BA6">
            <w:pPr>
              <w:kinsoku w:val="0"/>
              <w:spacing w:before="18" w:after="0" w:line="240" w:lineRule="auto"/>
              <w:ind w:left="45"/>
              <w:textAlignment w:val="auto"/>
              <w:rPr>
                <w:rFonts w:ascii="Century Gothic" w:hAnsi="Century Gothic" w:cs="Century Gothic"/>
                <w:color w:val="231F20"/>
                <w:sz w:val="17"/>
                <w:szCs w:val="17"/>
              </w:rPr>
            </w:pPr>
            <w:r w:rsidRPr="00F200AA">
              <w:rPr>
                <w:rFonts w:ascii="Calibri" w:hAnsi="Calibri" w:cs="Calibri"/>
                <w:b/>
                <w:bCs/>
                <w:color w:val="231F20"/>
                <w:sz w:val="17"/>
                <w:szCs w:val="17"/>
              </w:rPr>
              <w:t xml:space="preserve">Hospodářský </w:t>
            </w:r>
            <w:proofErr w:type="gramStart"/>
            <w:r w:rsidRPr="00F200AA">
              <w:rPr>
                <w:rFonts w:ascii="Calibri" w:hAnsi="Calibri" w:cs="Calibri"/>
                <w:b/>
                <w:bCs/>
                <w:color w:val="231F20"/>
                <w:sz w:val="17"/>
                <w:szCs w:val="17"/>
              </w:rPr>
              <w:t xml:space="preserve">výsledek </w:t>
            </w:r>
            <w:r>
              <w:rPr>
                <w:rFonts w:ascii="Calibri" w:hAnsi="Calibri" w:cs="Calibri"/>
                <w:b/>
                <w:bCs/>
                <w:color w:val="231F20"/>
                <w:sz w:val="17"/>
                <w:szCs w:val="17"/>
              </w:rPr>
              <w:t xml:space="preserve">                                                                            </w:t>
            </w:r>
            <w:r w:rsidRPr="00F200AA">
              <w:rPr>
                <w:rFonts w:ascii="Century Gothic" w:hAnsi="Century Gothic" w:cs="Century Gothic"/>
                <w:color w:val="231F20"/>
                <w:sz w:val="17"/>
                <w:szCs w:val="17"/>
              </w:rPr>
              <w:t>skutečnost</w:t>
            </w:r>
            <w:proofErr w:type="gramEnd"/>
          </w:p>
          <w:p w14:paraId="6867F52F" w14:textId="77777777" w:rsidR="00A02A7B" w:rsidRPr="00F200AA" w:rsidRDefault="00A02A7B" w:rsidP="00566BA6">
            <w:pPr>
              <w:kinsoku w:val="0"/>
              <w:spacing w:before="3" w:after="0" w:line="240" w:lineRule="auto"/>
              <w:ind w:left="45"/>
              <w:textAlignment w:val="auto"/>
              <w:rPr>
                <w:rFonts w:ascii="Century Gothic" w:hAnsi="Century Gothic" w:cs="Century Gothic"/>
                <w:color w:val="231F20"/>
                <w:w w:val="95"/>
                <w:sz w:val="17"/>
                <w:szCs w:val="17"/>
              </w:rPr>
            </w:pPr>
            <w:r w:rsidRPr="00F200AA">
              <w:rPr>
                <w:rFonts w:ascii="Century Gothic" w:hAnsi="Century Gothic" w:cs="Century Gothic"/>
                <w:color w:val="231F20"/>
                <w:w w:val="95"/>
                <w:sz w:val="17"/>
                <w:szCs w:val="17"/>
              </w:rPr>
              <w:t xml:space="preserve">v mil. </w:t>
            </w:r>
            <w:proofErr w:type="gramStart"/>
            <w:r w:rsidRPr="00F200AA">
              <w:rPr>
                <w:rFonts w:ascii="Century Gothic" w:hAnsi="Century Gothic" w:cs="Century Gothic"/>
                <w:color w:val="231F20"/>
                <w:w w:val="95"/>
                <w:sz w:val="17"/>
                <w:szCs w:val="17"/>
              </w:rPr>
              <w:t xml:space="preserve">Kč </w:t>
            </w:r>
            <w:r>
              <w:rPr>
                <w:rFonts w:ascii="Century Gothic" w:hAnsi="Century Gothic" w:cs="Century Gothic"/>
                <w:color w:val="231F20"/>
                <w:w w:val="95"/>
                <w:sz w:val="17"/>
                <w:szCs w:val="17"/>
              </w:rPr>
              <w:t xml:space="preserve">                                                                                      </w:t>
            </w:r>
            <w:r w:rsidRPr="00F200AA">
              <w:rPr>
                <w:rFonts w:ascii="Century Gothic" w:hAnsi="Century Gothic" w:cs="Century Gothic"/>
                <w:color w:val="231F20"/>
                <w:w w:val="95"/>
                <w:sz w:val="17"/>
                <w:szCs w:val="17"/>
              </w:rPr>
              <w:t>31</w:t>
            </w:r>
            <w:proofErr w:type="gramEnd"/>
            <w:r w:rsidRPr="00F200AA">
              <w:rPr>
                <w:rFonts w:ascii="Century Gothic" w:hAnsi="Century Gothic" w:cs="Century Gothic"/>
                <w:color w:val="231F20"/>
                <w:w w:val="95"/>
                <w:sz w:val="17"/>
                <w:szCs w:val="17"/>
              </w:rPr>
              <w:t>. 12. 2017</w:t>
            </w:r>
          </w:p>
        </w:tc>
        <w:tc>
          <w:tcPr>
            <w:tcW w:w="1612" w:type="dxa"/>
            <w:tcBorders>
              <w:top w:val="none" w:sz="6" w:space="0" w:color="auto"/>
              <w:left w:val="none" w:sz="6" w:space="0" w:color="auto"/>
              <w:bottom w:val="single" w:sz="8" w:space="0" w:color="FFFFFF"/>
              <w:right w:val="none" w:sz="6" w:space="0" w:color="auto"/>
            </w:tcBorders>
            <w:shd w:val="clear" w:color="auto" w:fill="FDD7C8"/>
          </w:tcPr>
          <w:p w14:paraId="7735EBD4" w14:textId="77777777" w:rsidR="00A02A7B" w:rsidRPr="00F200AA" w:rsidRDefault="00A02A7B" w:rsidP="00566BA6">
            <w:pPr>
              <w:kinsoku w:val="0"/>
              <w:spacing w:before="18" w:after="0" w:line="254" w:lineRule="auto"/>
              <w:ind w:left="484" w:right="213" w:firstLine="13"/>
              <w:textAlignment w:val="auto"/>
              <w:rPr>
                <w:rFonts w:ascii="Century Gothic" w:hAnsi="Century Gothic" w:cs="Century Gothic"/>
                <w:color w:val="231F20"/>
                <w:w w:val="95"/>
                <w:sz w:val="17"/>
                <w:szCs w:val="17"/>
              </w:rPr>
            </w:pPr>
            <w:r w:rsidRPr="00F200AA">
              <w:rPr>
                <w:rFonts w:ascii="Century Gothic" w:hAnsi="Century Gothic" w:cs="Century Gothic"/>
                <w:color w:val="231F20"/>
                <w:w w:val="90"/>
                <w:sz w:val="17"/>
                <w:szCs w:val="17"/>
              </w:rPr>
              <w:t xml:space="preserve">skutečnost </w:t>
            </w:r>
            <w:r w:rsidRPr="00F200AA">
              <w:rPr>
                <w:rFonts w:ascii="Century Gothic" w:hAnsi="Century Gothic" w:cs="Century Gothic"/>
                <w:color w:val="231F20"/>
                <w:w w:val="95"/>
                <w:sz w:val="17"/>
                <w:szCs w:val="17"/>
              </w:rPr>
              <w:t>31. 12. 2018</w:t>
            </w:r>
          </w:p>
        </w:tc>
        <w:tc>
          <w:tcPr>
            <w:tcW w:w="1399" w:type="dxa"/>
            <w:tcBorders>
              <w:top w:val="none" w:sz="6" w:space="0" w:color="auto"/>
              <w:left w:val="none" w:sz="6" w:space="0" w:color="auto"/>
              <w:bottom w:val="single" w:sz="8" w:space="0" w:color="FFFFFF"/>
              <w:right w:val="none" w:sz="6" w:space="0" w:color="auto"/>
            </w:tcBorders>
            <w:shd w:val="clear" w:color="auto" w:fill="FDD7C8"/>
          </w:tcPr>
          <w:p w14:paraId="6AA52976" w14:textId="77777777" w:rsidR="00A02A7B" w:rsidRPr="00F200AA" w:rsidRDefault="00A02A7B" w:rsidP="00566BA6">
            <w:pPr>
              <w:kinsoku w:val="0"/>
              <w:spacing w:before="18" w:after="0" w:line="240" w:lineRule="auto"/>
              <w:ind w:left="604"/>
              <w:textAlignment w:val="auto"/>
              <w:rPr>
                <w:rFonts w:ascii="Century Gothic" w:hAnsi="Century Gothic" w:cs="Century Gothic"/>
                <w:color w:val="231F20"/>
                <w:w w:val="95"/>
                <w:sz w:val="17"/>
                <w:szCs w:val="17"/>
              </w:rPr>
            </w:pPr>
            <w:r w:rsidRPr="00F200AA">
              <w:rPr>
                <w:rFonts w:ascii="Century Gothic" w:hAnsi="Century Gothic" w:cs="Century Gothic"/>
                <w:color w:val="231F20"/>
                <w:w w:val="95"/>
                <w:sz w:val="17"/>
                <w:szCs w:val="17"/>
              </w:rPr>
              <w:t>meziroční</w:t>
            </w:r>
          </w:p>
          <w:p w14:paraId="5D348109" w14:textId="77777777" w:rsidR="00A02A7B" w:rsidRPr="00F200AA" w:rsidRDefault="00A02A7B" w:rsidP="00566BA6">
            <w:pPr>
              <w:kinsoku w:val="0"/>
              <w:spacing w:before="11" w:after="0" w:line="240" w:lineRule="auto"/>
              <w:ind w:left="927"/>
              <w:textAlignment w:val="auto"/>
              <w:rPr>
                <w:rFonts w:ascii="Century Gothic" w:hAnsi="Century Gothic" w:cs="Century Gothic"/>
                <w:color w:val="231F20"/>
                <w:sz w:val="17"/>
                <w:szCs w:val="17"/>
              </w:rPr>
            </w:pPr>
            <w:r w:rsidRPr="00F200AA">
              <w:rPr>
                <w:rFonts w:ascii="Century Gothic" w:hAnsi="Century Gothic" w:cs="Century Gothic"/>
                <w:color w:val="231F20"/>
                <w:sz w:val="17"/>
                <w:szCs w:val="17"/>
              </w:rPr>
              <w:t>index</w:t>
            </w:r>
          </w:p>
        </w:tc>
      </w:tr>
      <w:tr w:rsidR="00A02A7B" w:rsidRPr="00F200AA" w14:paraId="250776C6" w14:textId="77777777" w:rsidTr="00B44E7E">
        <w:trPr>
          <w:trHeight w:val="240"/>
        </w:trPr>
        <w:tc>
          <w:tcPr>
            <w:tcW w:w="4032" w:type="dxa"/>
            <w:tcBorders>
              <w:top w:val="single" w:sz="8" w:space="0" w:color="FFFFFF"/>
              <w:left w:val="none" w:sz="6" w:space="0" w:color="auto"/>
              <w:bottom w:val="single" w:sz="6" w:space="0" w:color="FFFFFF"/>
              <w:right w:val="none" w:sz="6" w:space="0" w:color="auto"/>
            </w:tcBorders>
            <w:shd w:val="clear" w:color="auto" w:fill="FDD7C8"/>
          </w:tcPr>
          <w:p w14:paraId="3EFF08C7" w14:textId="77777777" w:rsidR="00A02A7B" w:rsidRPr="00F200AA" w:rsidRDefault="00A02A7B" w:rsidP="00566BA6">
            <w:pPr>
              <w:kinsoku w:val="0"/>
              <w:spacing w:after="0" w:line="240" w:lineRule="auto"/>
              <w:textAlignment w:val="auto"/>
              <w:rPr>
                <w:rFonts w:ascii="Times New Roman" w:hAnsi="Times New Roman"/>
                <w:sz w:val="16"/>
                <w:szCs w:val="16"/>
              </w:rPr>
            </w:pPr>
          </w:p>
        </w:tc>
        <w:tc>
          <w:tcPr>
            <w:tcW w:w="1801" w:type="dxa"/>
            <w:tcBorders>
              <w:top w:val="single" w:sz="8" w:space="0" w:color="FFFFFF"/>
              <w:left w:val="none" w:sz="6" w:space="0" w:color="auto"/>
              <w:bottom w:val="single" w:sz="6" w:space="0" w:color="FFFFFF"/>
              <w:right w:val="none" w:sz="6" w:space="0" w:color="auto"/>
            </w:tcBorders>
            <w:shd w:val="clear" w:color="auto" w:fill="FDD7C8"/>
          </w:tcPr>
          <w:p w14:paraId="59009C73" w14:textId="77777777" w:rsidR="00A02A7B" w:rsidRPr="00F200AA" w:rsidRDefault="00A02A7B" w:rsidP="00566BA6">
            <w:pPr>
              <w:kinsoku w:val="0"/>
              <w:spacing w:after="0" w:line="204" w:lineRule="exact"/>
              <w:ind w:right="483"/>
              <w:jc w:val="right"/>
              <w:textAlignment w:val="auto"/>
              <w:rPr>
                <w:rFonts w:ascii="Century Gothic" w:hAnsi="Century Gothic" w:cs="Century Gothic"/>
                <w:color w:val="231F20"/>
                <w:sz w:val="17"/>
                <w:szCs w:val="17"/>
              </w:rPr>
            </w:pPr>
            <w:r w:rsidRPr="00F200AA">
              <w:rPr>
                <w:rFonts w:ascii="Century Gothic" w:hAnsi="Century Gothic" w:cs="Century Gothic"/>
                <w:color w:val="231F20"/>
                <w:sz w:val="17"/>
                <w:szCs w:val="17"/>
              </w:rPr>
              <w:t>sl. 1</w:t>
            </w:r>
          </w:p>
        </w:tc>
        <w:tc>
          <w:tcPr>
            <w:tcW w:w="1612" w:type="dxa"/>
            <w:tcBorders>
              <w:top w:val="single" w:sz="8" w:space="0" w:color="FFFFFF"/>
              <w:left w:val="none" w:sz="6" w:space="0" w:color="auto"/>
              <w:bottom w:val="single" w:sz="6" w:space="0" w:color="FFFFFF"/>
              <w:right w:val="none" w:sz="6" w:space="0" w:color="auto"/>
            </w:tcBorders>
            <w:shd w:val="clear" w:color="auto" w:fill="FDD7C8"/>
          </w:tcPr>
          <w:p w14:paraId="077EBFAC" w14:textId="77777777" w:rsidR="00A02A7B" w:rsidRPr="00F200AA" w:rsidRDefault="00A02A7B" w:rsidP="00566BA6">
            <w:pPr>
              <w:kinsoku w:val="0"/>
              <w:spacing w:after="0" w:line="204" w:lineRule="exact"/>
              <w:ind w:right="311"/>
              <w:jc w:val="right"/>
              <w:textAlignment w:val="auto"/>
              <w:rPr>
                <w:rFonts w:ascii="Century Gothic" w:hAnsi="Century Gothic" w:cs="Century Gothic"/>
                <w:color w:val="231F20"/>
                <w:sz w:val="17"/>
                <w:szCs w:val="17"/>
              </w:rPr>
            </w:pPr>
            <w:r w:rsidRPr="00F200AA">
              <w:rPr>
                <w:rFonts w:ascii="Century Gothic" w:hAnsi="Century Gothic" w:cs="Century Gothic"/>
                <w:color w:val="231F20"/>
                <w:sz w:val="17"/>
                <w:szCs w:val="17"/>
              </w:rPr>
              <w:t>sl. 2</w:t>
            </w:r>
          </w:p>
        </w:tc>
        <w:tc>
          <w:tcPr>
            <w:tcW w:w="1399" w:type="dxa"/>
            <w:tcBorders>
              <w:top w:val="single" w:sz="8" w:space="0" w:color="FFFFFF"/>
              <w:left w:val="none" w:sz="6" w:space="0" w:color="auto"/>
              <w:bottom w:val="single" w:sz="6" w:space="0" w:color="FFFFFF"/>
              <w:right w:val="none" w:sz="6" w:space="0" w:color="auto"/>
            </w:tcBorders>
            <w:shd w:val="clear" w:color="auto" w:fill="FDD7C8"/>
          </w:tcPr>
          <w:p w14:paraId="248BDF6F" w14:textId="77777777" w:rsidR="00A02A7B" w:rsidRPr="00F200AA" w:rsidRDefault="00A02A7B" w:rsidP="00566BA6">
            <w:pPr>
              <w:kinsoku w:val="0"/>
              <w:spacing w:after="0" w:line="204" w:lineRule="exact"/>
              <w:ind w:right="52"/>
              <w:jc w:val="right"/>
              <w:textAlignment w:val="auto"/>
              <w:rPr>
                <w:rFonts w:ascii="Century Gothic" w:hAnsi="Century Gothic" w:cs="Century Gothic"/>
                <w:color w:val="231F20"/>
                <w:sz w:val="17"/>
                <w:szCs w:val="17"/>
              </w:rPr>
            </w:pPr>
            <w:r w:rsidRPr="00F200AA">
              <w:rPr>
                <w:rFonts w:ascii="Century Gothic" w:hAnsi="Century Gothic" w:cs="Century Gothic"/>
                <w:color w:val="231F20"/>
                <w:sz w:val="17"/>
                <w:szCs w:val="17"/>
              </w:rPr>
              <w:t>sl. 2 / sl. 1*100</w:t>
            </w:r>
          </w:p>
        </w:tc>
      </w:tr>
      <w:tr w:rsidR="00A02A7B" w:rsidRPr="00F200AA" w14:paraId="127E415F" w14:textId="77777777" w:rsidTr="00B44E7E">
        <w:trPr>
          <w:trHeight w:val="240"/>
        </w:trPr>
        <w:tc>
          <w:tcPr>
            <w:tcW w:w="4032" w:type="dxa"/>
            <w:tcBorders>
              <w:top w:val="single" w:sz="6" w:space="0" w:color="FFFFFF"/>
              <w:left w:val="none" w:sz="6" w:space="0" w:color="auto"/>
              <w:bottom w:val="none" w:sz="6" w:space="0" w:color="auto"/>
              <w:right w:val="none" w:sz="6" w:space="0" w:color="auto"/>
            </w:tcBorders>
            <w:shd w:val="clear" w:color="auto" w:fill="EBEBEC"/>
          </w:tcPr>
          <w:p w14:paraId="2A644E6A" w14:textId="77777777" w:rsidR="00A02A7B" w:rsidRPr="00F200AA" w:rsidRDefault="00A02A7B" w:rsidP="00566BA6">
            <w:pPr>
              <w:kinsoku w:val="0"/>
              <w:spacing w:after="0" w:line="207" w:lineRule="exact"/>
              <w:ind w:left="45"/>
              <w:textAlignment w:val="auto"/>
              <w:rPr>
                <w:rFonts w:ascii="Century Gothic" w:hAnsi="Century Gothic" w:cs="Century Gothic"/>
                <w:color w:val="231F20"/>
                <w:sz w:val="17"/>
                <w:szCs w:val="17"/>
              </w:rPr>
            </w:pPr>
            <w:r w:rsidRPr="00F200AA">
              <w:rPr>
                <w:rFonts w:ascii="Century Gothic" w:hAnsi="Century Gothic" w:cs="Century Gothic"/>
                <w:color w:val="231F20"/>
                <w:sz w:val="17"/>
                <w:szCs w:val="17"/>
              </w:rPr>
              <w:t>čistý výnos z úroků</w:t>
            </w:r>
          </w:p>
        </w:tc>
        <w:tc>
          <w:tcPr>
            <w:tcW w:w="1801" w:type="dxa"/>
            <w:tcBorders>
              <w:top w:val="single" w:sz="6" w:space="0" w:color="FFFFFF"/>
              <w:left w:val="none" w:sz="6" w:space="0" w:color="auto"/>
              <w:bottom w:val="none" w:sz="6" w:space="0" w:color="auto"/>
              <w:right w:val="none" w:sz="6" w:space="0" w:color="auto"/>
            </w:tcBorders>
            <w:shd w:val="clear" w:color="auto" w:fill="EBEBEC"/>
          </w:tcPr>
          <w:p w14:paraId="65211318" w14:textId="77777777" w:rsidR="00A02A7B" w:rsidRPr="00F200AA" w:rsidRDefault="00A02A7B" w:rsidP="00566BA6">
            <w:pPr>
              <w:kinsoku w:val="0"/>
              <w:spacing w:after="0" w:line="207" w:lineRule="exact"/>
              <w:ind w:right="483"/>
              <w:jc w:val="right"/>
              <w:textAlignment w:val="auto"/>
              <w:rPr>
                <w:rFonts w:ascii="Century Gothic" w:hAnsi="Century Gothic" w:cs="Century Gothic"/>
                <w:color w:val="231F20"/>
                <w:w w:val="85"/>
                <w:sz w:val="17"/>
                <w:szCs w:val="17"/>
              </w:rPr>
            </w:pPr>
            <w:r w:rsidRPr="00F200AA">
              <w:rPr>
                <w:rFonts w:ascii="Century Gothic" w:hAnsi="Century Gothic" w:cs="Century Gothic"/>
                <w:color w:val="231F20"/>
                <w:w w:val="85"/>
                <w:sz w:val="17"/>
                <w:szCs w:val="17"/>
              </w:rPr>
              <w:t>641</w:t>
            </w:r>
          </w:p>
        </w:tc>
        <w:tc>
          <w:tcPr>
            <w:tcW w:w="1612" w:type="dxa"/>
            <w:tcBorders>
              <w:top w:val="single" w:sz="6" w:space="0" w:color="FFFFFF"/>
              <w:left w:val="none" w:sz="6" w:space="0" w:color="auto"/>
              <w:bottom w:val="none" w:sz="6" w:space="0" w:color="auto"/>
              <w:right w:val="none" w:sz="6" w:space="0" w:color="auto"/>
            </w:tcBorders>
            <w:shd w:val="clear" w:color="auto" w:fill="EBEBEC"/>
          </w:tcPr>
          <w:p w14:paraId="40E670B6" w14:textId="77777777" w:rsidR="00A02A7B" w:rsidRPr="00F200AA" w:rsidRDefault="00A02A7B" w:rsidP="00566BA6">
            <w:pPr>
              <w:kinsoku w:val="0"/>
              <w:spacing w:after="0" w:line="207" w:lineRule="exact"/>
              <w:ind w:right="308"/>
              <w:jc w:val="right"/>
              <w:textAlignment w:val="auto"/>
              <w:rPr>
                <w:rFonts w:ascii="Century Gothic" w:hAnsi="Century Gothic" w:cs="Century Gothic"/>
                <w:color w:val="231F20"/>
                <w:w w:val="90"/>
                <w:sz w:val="17"/>
                <w:szCs w:val="17"/>
              </w:rPr>
            </w:pPr>
            <w:r w:rsidRPr="00F200AA">
              <w:rPr>
                <w:rFonts w:ascii="Century Gothic" w:hAnsi="Century Gothic" w:cs="Century Gothic"/>
                <w:color w:val="231F20"/>
                <w:w w:val="90"/>
                <w:sz w:val="17"/>
                <w:szCs w:val="17"/>
              </w:rPr>
              <w:t>969</w:t>
            </w:r>
          </w:p>
        </w:tc>
        <w:tc>
          <w:tcPr>
            <w:tcW w:w="1399" w:type="dxa"/>
            <w:tcBorders>
              <w:top w:val="single" w:sz="6" w:space="0" w:color="FFFFFF"/>
              <w:left w:val="none" w:sz="6" w:space="0" w:color="auto"/>
              <w:bottom w:val="none" w:sz="6" w:space="0" w:color="auto"/>
              <w:right w:val="none" w:sz="6" w:space="0" w:color="auto"/>
            </w:tcBorders>
            <w:shd w:val="clear" w:color="auto" w:fill="EBEBEC"/>
          </w:tcPr>
          <w:p w14:paraId="637ECCA8" w14:textId="77777777" w:rsidR="00A02A7B" w:rsidRPr="00F200AA" w:rsidRDefault="00A02A7B" w:rsidP="00566BA6">
            <w:pPr>
              <w:kinsoku w:val="0"/>
              <w:spacing w:after="0" w:line="207" w:lineRule="exact"/>
              <w:ind w:right="56"/>
              <w:jc w:val="right"/>
              <w:textAlignment w:val="auto"/>
              <w:rPr>
                <w:rFonts w:ascii="Century Gothic" w:hAnsi="Century Gothic" w:cs="Century Gothic"/>
                <w:color w:val="231F20"/>
                <w:w w:val="85"/>
                <w:sz w:val="17"/>
                <w:szCs w:val="17"/>
              </w:rPr>
            </w:pPr>
            <w:r w:rsidRPr="00F200AA">
              <w:rPr>
                <w:rFonts w:ascii="Century Gothic" w:hAnsi="Century Gothic" w:cs="Century Gothic"/>
                <w:color w:val="231F20"/>
                <w:w w:val="85"/>
                <w:sz w:val="17"/>
                <w:szCs w:val="17"/>
              </w:rPr>
              <w:t>151,17</w:t>
            </w:r>
          </w:p>
        </w:tc>
      </w:tr>
      <w:tr w:rsidR="00A02A7B" w:rsidRPr="00F200AA" w14:paraId="0AE46061" w14:textId="77777777" w:rsidTr="00B44E7E">
        <w:trPr>
          <w:trHeight w:val="240"/>
        </w:trPr>
        <w:tc>
          <w:tcPr>
            <w:tcW w:w="4032" w:type="dxa"/>
            <w:tcBorders>
              <w:top w:val="none" w:sz="6" w:space="0" w:color="auto"/>
              <w:left w:val="none" w:sz="6" w:space="0" w:color="auto"/>
              <w:bottom w:val="none" w:sz="6" w:space="0" w:color="auto"/>
              <w:right w:val="none" w:sz="6" w:space="0" w:color="auto"/>
            </w:tcBorders>
            <w:shd w:val="clear" w:color="auto" w:fill="EBEBEC"/>
          </w:tcPr>
          <w:p w14:paraId="109E820D" w14:textId="77777777" w:rsidR="00A02A7B" w:rsidRPr="00F200AA" w:rsidRDefault="00A02A7B" w:rsidP="00566BA6">
            <w:pPr>
              <w:kinsoku w:val="0"/>
              <w:spacing w:before="15" w:after="0" w:line="240" w:lineRule="auto"/>
              <w:ind w:left="45"/>
              <w:textAlignment w:val="auto"/>
              <w:rPr>
                <w:rFonts w:ascii="Century Gothic" w:hAnsi="Century Gothic" w:cs="Century Gothic"/>
                <w:color w:val="231F20"/>
                <w:sz w:val="17"/>
                <w:szCs w:val="17"/>
              </w:rPr>
            </w:pPr>
            <w:r w:rsidRPr="00F200AA">
              <w:rPr>
                <w:rFonts w:ascii="Century Gothic" w:hAnsi="Century Gothic" w:cs="Century Gothic"/>
                <w:color w:val="231F20"/>
                <w:sz w:val="17"/>
                <w:szCs w:val="17"/>
              </w:rPr>
              <w:t>čistý výnos z poplatků a provizí</w:t>
            </w:r>
          </w:p>
        </w:tc>
        <w:tc>
          <w:tcPr>
            <w:tcW w:w="1801" w:type="dxa"/>
            <w:tcBorders>
              <w:top w:val="none" w:sz="6" w:space="0" w:color="auto"/>
              <w:left w:val="none" w:sz="6" w:space="0" w:color="auto"/>
              <w:bottom w:val="none" w:sz="6" w:space="0" w:color="auto"/>
              <w:right w:val="none" w:sz="6" w:space="0" w:color="auto"/>
            </w:tcBorders>
            <w:shd w:val="clear" w:color="auto" w:fill="EBEBEC"/>
          </w:tcPr>
          <w:p w14:paraId="2BEFEA77" w14:textId="77777777" w:rsidR="00A02A7B" w:rsidRPr="00F200AA" w:rsidRDefault="00A02A7B" w:rsidP="00566BA6">
            <w:pPr>
              <w:kinsoku w:val="0"/>
              <w:spacing w:before="15" w:after="0" w:line="240" w:lineRule="auto"/>
              <w:ind w:right="483"/>
              <w:jc w:val="right"/>
              <w:textAlignment w:val="auto"/>
              <w:rPr>
                <w:rFonts w:ascii="Century Gothic" w:hAnsi="Century Gothic" w:cs="Century Gothic"/>
                <w:color w:val="231F20"/>
                <w:w w:val="85"/>
                <w:sz w:val="17"/>
                <w:szCs w:val="17"/>
              </w:rPr>
            </w:pPr>
            <w:r w:rsidRPr="00F200AA">
              <w:rPr>
                <w:rFonts w:ascii="Century Gothic" w:hAnsi="Century Gothic" w:cs="Century Gothic"/>
                <w:color w:val="231F20"/>
                <w:w w:val="85"/>
                <w:sz w:val="17"/>
                <w:szCs w:val="17"/>
              </w:rPr>
              <w:t>11</w:t>
            </w:r>
          </w:p>
        </w:tc>
        <w:tc>
          <w:tcPr>
            <w:tcW w:w="1612" w:type="dxa"/>
            <w:tcBorders>
              <w:top w:val="none" w:sz="6" w:space="0" w:color="auto"/>
              <w:left w:val="none" w:sz="6" w:space="0" w:color="auto"/>
              <w:bottom w:val="none" w:sz="6" w:space="0" w:color="auto"/>
              <w:right w:val="none" w:sz="6" w:space="0" w:color="auto"/>
            </w:tcBorders>
            <w:shd w:val="clear" w:color="auto" w:fill="EBEBEC"/>
          </w:tcPr>
          <w:p w14:paraId="2E02A47C" w14:textId="77777777" w:rsidR="00A02A7B" w:rsidRPr="00F200AA" w:rsidRDefault="00A02A7B" w:rsidP="00566BA6">
            <w:pPr>
              <w:kinsoku w:val="0"/>
              <w:spacing w:before="15" w:after="0" w:line="240" w:lineRule="auto"/>
              <w:ind w:right="311"/>
              <w:jc w:val="right"/>
              <w:textAlignment w:val="auto"/>
              <w:rPr>
                <w:rFonts w:ascii="Century Gothic" w:hAnsi="Century Gothic" w:cs="Century Gothic"/>
                <w:color w:val="231F20"/>
                <w:w w:val="89"/>
                <w:sz w:val="17"/>
                <w:szCs w:val="17"/>
              </w:rPr>
            </w:pPr>
            <w:r w:rsidRPr="00F200AA">
              <w:rPr>
                <w:rFonts w:ascii="Century Gothic" w:hAnsi="Century Gothic" w:cs="Century Gothic"/>
                <w:color w:val="231F20"/>
                <w:w w:val="89"/>
                <w:sz w:val="17"/>
                <w:szCs w:val="17"/>
              </w:rPr>
              <w:t>8</w:t>
            </w:r>
          </w:p>
        </w:tc>
        <w:tc>
          <w:tcPr>
            <w:tcW w:w="1399" w:type="dxa"/>
            <w:tcBorders>
              <w:top w:val="none" w:sz="6" w:space="0" w:color="auto"/>
              <w:left w:val="none" w:sz="6" w:space="0" w:color="auto"/>
              <w:bottom w:val="none" w:sz="6" w:space="0" w:color="auto"/>
              <w:right w:val="none" w:sz="6" w:space="0" w:color="auto"/>
            </w:tcBorders>
            <w:shd w:val="clear" w:color="auto" w:fill="EBEBEC"/>
          </w:tcPr>
          <w:p w14:paraId="366CE6F0" w14:textId="77777777" w:rsidR="00A02A7B" w:rsidRPr="00F200AA" w:rsidRDefault="00A02A7B" w:rsidP="00566BA6">
            <w:pPr>
              <w:kinsoku w:val="0"/>
              <w:spacing w:before="15" w:after="0" w:line="240" w:lineRule="auto"/>
              <w:ind w:right="52"/>
              <w:jc w:val="right"/>
              <w:textAlignment w:val="auto"/>
              <w:rPr>
                <w:rFonts w:ascii="Century Gothic" w:hAnsi="Century Gothic" w:cs="Century Gothic"/>
                <w:color w:val="231F20"/>
                <w:w w:val="90"/>
                <w:sz w:val="17"/>
                <w:szCs w:val="17"/>
              </w:rPr>
            </w:pPr>
            <w:r w:rsidRPr="00F200AA">
              <w:rPr>
                <w:rFonts w:ascii="Century Gothic" w:hAnsi="Century Gothic" w:cs="Century Gothic"/>
                <w:color w:val="231F20"/>
                <w:w w:val="90"/>
                <w:sz w:val="17"/>
                <w:szCs w:val="17"/>
              </w:rPr>
              <w:t>72,73</w:t>
            </w:r>
          </w:p>
        </w:tc>
      </w:tr>
      <w:tr w:rsidR="00A02A7B" w:rsidRPr="00F200AA" w14:paraId="0BCA30B2" w14:textId="77777777" w:rsidTr="00B44E7E">
        <w:trPr>
          <w:trHeight w:val="260"/>
        </w:trPr>
        <w:tc>
          <w:tcPr>
            <w:tcW w:w="4032" w:type="dxa"/>
            <w:tcBorders>
              <w:top w:val="none" w:sz="6" w:space="0" w:color="auto"/>
              <w:left w:val="none" w:sz="6" w:space="0" w:color="auto"/>
              <w:bottom w:val="none" w:sz="6" w:space="0" w:color="auto"/>
              <w:right w:val="none" w:sz="6" w:space="0" w:color="auto"/>
            </w:tcBorders>
            <w:shd w:val="clear" w:color="auto" w:fill="EBEBEC"/>
          </w:tcPr>
          <w:p w14:paraId="76521EE2" w14:textId="77777777" w:rsidR="00A02A7B" w:rsidRPr="00F200AA" w:rsidRDefault="00A02A7B" w:rsidP="00566BA6">
            <w:pPr>
              <w:kinsoku w:val="0"/>
              <w:spacing w:before="15" w:after="0" w:line="240" w:lineRule="auto"/>
              <w:ind w:left="45"/>
              <w:textAlignment w:val="auto"/>
              <w:rPr>
                <w:rFonts w:ascii="Century Gothic" w:hAnsi="Century Gothic" w:cs="Century Gothic"/>
                <w:color w:val="231F20"/>
                <w:sz w:val="17"/>
                <w:szCs w:val="17"/>
              </w:rPr>
            </w:pPr>
            <w:r w:rsidRPr="00F200AA">
              <w:rPr>
                <w:rFonts w:ascii="Century Gothic" w:hAnsi="Century Gothic" w:cs="Century Gothic"/>
                <w:color w:val="231F20"/>
                <w:sz w:val="17"/>
                <w:szCs w:val="17"/>
              </w:rPr>
              <w:t>provozní výnosy</w:t>
            </w:r>
          </w:p>
        </w:tc>
        <w:tc>
          <w:tcPr>
            <w:tcW w:w="1801" w:type="dxa"/>
            <w:tcBorders>
              <w:top w:val="none" w:sz="6" w:space="0" w:color="auto"/>
              <w:left w:val="none" w:sz="6" w:space="0" w:color="auto"/>
              <w:bottom w:val="none" w:sz="6" w:space="0" w:color="auto"/>
              <w:right w:val="none" w:sz="6" w:space="0" w:color="auto"/>
            </w:tcBorders>
            <w:shd w:val="clear" w:color="auto" w:fill="EBEBEC"/>
          </w:tcPr>
          <w:p w14:paraId="4777C667" w14:textId="77777777" w:rsidR="00A02A7B" w:rsidRPr="00F200AA" w:rsidRDefault="00A02A7B" w:rsidP="00566BA6">
            <w:pPr>
              <w:kinsoku w:val="0"/>
              <w:spacing w:before="15" w:after="0" w:line="240" w:lineRule="auto"/>
              <w:ind w:right="479"/>
              <w:jc w:val="right"/>
              <w:textAlignment w:val="auto"/>
              <w:rPr>
                <w:rFonts w:ascii="Century Gothic" w:hAnsi="Century Gothic" w:cs="Century Gothic"/>
                <w:color w:val="231F20"/>
                <w:w w:val="90"/>
                <w:sz w:val="17"/>
                <w:szCs w:val="17"/>
              </w:rPr>
            </w:pPr>
            <w:r w:rsidRPr="00F200AA">
              <w:rPr>
                <w:rFonts w:ascii="Century Gothic" w:hAnsi="Century Gothic" w:cs="Century Gothic"/>
                <w:color w:val="231F20"/>
                <w:w w:val="90"/>
                <w:sz w:val="17"/>
                <w:szCs w:val="17"/>
              </w:rPr>
              <w:t>68</w:t>
            </w:r>
          </w:p>
        </w:tc>
        <w:tc>
          <w:tcPr>
            <w:tcW w:w="1612" w:type="dxa"/>
            <w:tcBorders>
              <w:top w:val="none" w:sz="6" w:space="0" w:color="auto"/>
              <w:left w:val="none" w:sz="6" w:space="0" w:color="auto"/>
              <w:bottom w:val="none" w:sz="6" w:space="0" w:color="auto"/>
              <w:right w:val="none" w:sz="6" w:space="0" w:color="auto"/>
            </w:tcBorders>
            <w:shd w:val="clear" w:color="auto" w:fill="EBEBEC"/>
          </w:tcPr>
          <w:p w14:paraId="59033276" w14:textId="77777777" w:rsidR="00A02A7B" w:rsidRPr="00F200AA" w:rsidRDefault="00A02A7B" w:rsidP="00566BA6">
            <w:pPr>
              <w:kinsoku w:val="0"/>
              <w:spacing w:before="15" w:after="0" w:line="240" w:lineRule="auto"/>
              <w:ind w:right="308"/>
              <w:jc w:val="right"/>
              <w:textAlignment w:val="auto"/>
              <w:rPr>
                <w:rFonts w:ascii="Century Gothic" w:hAnsi="Century Gothic" w:cs="Century Gothic"/>
                <w:color w:val="231F20"/>
                <w:w w:val="85"/>
                <w:sz w:val="17"/>
                <w:szCs w:val="17"/>
              </w:rPr>
            </w:pPr>
            <w:r w:rsidRPr="00F200AA">
              <w:rPr>
                <w:rFonts w:ascii="Century Gothic" w:hAnsi="Century Gothic" w:cs="Century Gothic"/>
                <w:color w:val="231F20"/>
                <w:w w:val="85"/>
                <w:sz w:val="17"/>
                <w:szCs w:val="17"/>
              </w:rPr>
              <w:t>-66</w:t>
            </w:r>
          </w:p>
        </w:tc>
        <w:tc>
          <w:tcPr>
            <w:tcW w:w="1399" w:type="dxa"/>
            <w:tcBorders>
              <w:top w:val="none" w:sz="6" w:space="0" w:color="auto"/>
              <w:left w:val="none" w:sz="6" w:space="0" w:color="auto"/>
              <w:bottom w:val="none" w:sz="6" w:space="0" w:color="auto"/>
              <w:right w:val="none" w:sz="6" w:space="0" w:color="auto"/>
            </w:tcBorders>
            <w:shd w:val="clear" w:color="auto" w:fill="EBEBEC"/>
          </w:tcPr>
          <w:p w14:paraId="6AB3B8EC" w14:textId="77777777" w:rsidR="00A02A7B" w:rsidRPr="00F200AA" w:rsidRDefault="00A02A7B" w:rsidP="00566BA6">
            <w:pPr>
              <w:kinsoku w:val="0"/>
              <w:spacing w:before="15" w:after="0" w:line="240" w:lineRule="auto"/>
              <w:ind w:right="52"/>
              <w:jc w:val="right"/>
              <w:textAlignment w:val="auto"/>
              <w:rPr>
                <w:rFonts w:ascii="Century Gothic" w:hAnsi="Century Gothic" w:cs="Century Gothic"/>
                <w:color w:val="231F20"/>
                <w:w w:val="85"/>
                <w:sz w:val="17"/>
                <w:szCs w:val="17"/>
              </w:rPr>
            </w:pPr>
            <w:r w:rsidRPr="00F200AA">
              <w:rPr>
                <w:rFonts w:ascii="Century Gothic" w:hAnsi="Century Gothic" w:cs="Century Gothic"/>
                <w:color w:val="231F20"/>
                <w:w w:val="85"/>
                <w:sz w:val="17"/>
                <w:szCs w:val="17"/>
              </w:rPr>
              <w:t>-97,06</w:t>
            </w:r>
          </w:p>
        </w:tc>
      </w:tr>
      <w:tr w:rsidR="00A02A7B" w:rsidRPr="00F200AA" w14:paraId="1455D8BF" w14:textId="77777777" w:rsidTr="00B44E7E">
        <w:trPr>
          <w:trHeight w:val="240"/>
        </w:trPr>
        <w:tc>
          <w:tcPr>
            <w:tcW w:w="4032" w:type="dxa"/>
            <w:tcBorders>
              <w:top w:val="none" w:sz="6" w:space="0" w:color="auto"/>
              <w:left w:val="none" w:sz="6" w:space="0" w:color="auto"/>
              <w:bottom w:val="none" w:sz="6" w:space="0" w:color="auto"/>
              <w:right w:val="none" w:sz="6" w:space="0" w:color="auto"/>
            </w:tcBorders>
            <w:shd w:val="clear" w:color="auto" w:fill="EBEBEC"/>
          </w:tcPr>
          <w:p w14:paraId="66BAD2E9" w14:textId="77777777" w:rsidR="00A02A7B" w:rsidRPr="00F200AA" w:rsidRDefault="00A02A7B" w:rsidP="00566BA6">
            <w:pPr>
              <w:kinsoku w:val="0"/>
              <w:spacing w:before="21" w:after="0" w:line="240" w:lineRule="auto"/>
              <w:ind w:left="45"/>
              <w:textAlignment w:val="auto"/>
              <w:rPr>
                <w:rFonts w:ascii="Lucida Sans" w:hAnsi="Lucida Sans" w:cs="Lucida Sans"/>
                <w:i/>
                <w:iCs/>
                <w:color w:val="231F20"/>
                <w:sz w:val="17"/>
                <w:szCs w:val="17"/>
              </w:rPr>
            </w:pPr>
            <w:r w:rsidRPr="00F200AA">
              <w:rPr>
                <w:rFonts w:ascii="Lucida Sans" w:hAnsi="Lucida Sans" w:cs="Lucida Sans"/>
                <w:i/>
                <w:iCs/>
                <w:color w:val="231F20"/>
                <w:sz w:val="17"/>
                <w:szCs w:val="17"/>
              </w:rPr>
              <w:t>v tom: státní dotace</w:t>
            </w:r>
          </w:p>
        </w:tc>
        <w:tc>
          <w:tcPr>
            <w:tcW w:w="1801" w:type="dxa"/>
            <w:tcBorders>
              <w:top w:val="none" w:sz="6" w:space="0" w:color="auto"/>
              <w:left w:val="none" w:sz="6" w:space="0" w:color="auto"/>
              <w:bottom w:val="none" w:sz="6" w:space="0" w:color="auto"/>
              <w:right w:val="none" w:sz="6" w:space="0" w:color="auto"/>
            </w:tcBorders>
            <w:shd w:val="clear" w:color="auto" w:fill="EBEBEC"/>
          </w:tcPr>
          <w:p w14:paraId="283A21F7" w14:textId="77777777" w:rsidR="00A02A7B" w:rsidRPr="00F200AA" w:rsidRDefault="00A02A7B" w:rsidP="00566BA6">
            <w:pPr>
              <w:kinsoku w:val="0"/>
              <w:spacing w:before="21" w:after="0" w:line="240" w:lineRule="auto"/>
              <w:ind w:right="482"/>
              <w:jc w:val="right"/>
              <w:textAlignment w:val="auto"/>
              <w:rPr>
                <w:rFonts w:ascii="Lucida Sans" w:hAnsi="Lucida Sans" w:cs="Lucida Sans"/>
                <w:i/>
                <w:iCs/>
                <w:color w:val="231F20"/>
                <w:w w:val="78"/>
                <w:sz w:val="17"/>
                <w:szCs w:val="17"/>
              </w:rPr>
            </w:pPr>
            <w:r w:rsidRPr="00F200AA">
              <w:rPr>
                <w:rFonts w:ascii="Lucida Sans" w:hAnsi="Lucida Sans" w:cs="Lucida Sans"/>
                <w:i/>
                <w:iCs/>
                <w:color w:val="231F20"/>
                <w:w w:val="78"/>
                <w:sz w:val="17"/>
                <w:szCs w:val="17"/>
              </w:rPr>
              <w:t>0</w:t>
            </w:r>
          </w:p>
        </w:tc>
        <w:tc>
          <w:tcPr>
            <w:tcW w:w="1612" w:type="dxa"/>
            <w:tcBorders>
              <w:top w:val="none" w:sz="6" w:space="0" w:color="auto"/>
              <w:left w:val="none" w:sz="6" w:space="0" w:color="auto"/>
              <w:bottom w:val="none" w:sz="6" w:space="0" w:color="auto"/>
              <w:right w:val="none" w:sz="6" w:space="0" w:color="auto"/>
            </w:tcBorders>
            <w:shd w:val="clear" w:color="auto" w:fill="EBEBEC"/>
          </w:tcPr>
          <w:p w14:paraId="5935DB18" w14:textId="77777777" w:rsidR="00A02A7B" w:rsidRPr="00F200AA" w:rsidRDefault="00A02A7B" w:rsidP="00566BA6">
            <w:pPr>
              <w:kinsoku w:val="0"/>
              <w:spacing w:before="21" w:after="0" w:line="240" w:lineRule="auto"/>
              <w:ind w:right="311"/>
              <w:jc w:val="right"/>
              <w:textAlignment w:val="auto"/>
              <w:rPr>
                <w:rFonts w:ascii="Lucida Sans" w:hAnsi="Lucida Sans" w:cs="Lucida Sans"/>
                <w:i/>
                <w:iCs/>
                <w:color w:val="231F20"/>
                <w:w w:val="78"/>
                <w:sz w:val="17"/>
                <w:szCs w:val="17"/>
              </w:rPr>
            </w:pPr>
            <w:r w:rsidRPr="00F200AA">
              <w:rPr>
                <w:rFonts w:ascii="Lucida Sans" w:hAnsi="Lucida Sans" w:cs="Lucida Sans"/>
                <w:i/>
                <w:iCs/>
                <w:color w:val="231F20"/>
                <w:w w:val="78"/>
                <w:sz w:val="17"/>
                <w:szCs w:val="17"/>
              </w:rPr>
              <w:t>0</w:t>
            </w:r>
          </w:p>
        </w:tc>
        <w:tc>
          <w:tcPr>
            <w:tcW w:w="1399" w:type="dxa"/>
            <w:tcBorders>
              <w:top w:val="none" w:sz="6" w:space="0" w:color="auto"/>
              <w:left w:val="none" w:sz="6" w:space="0" w:color="auto"/>
              <w:bottom w:val="none" w:sz="6" w:space="0" w:color="auto"/>
              <w:right w:val="none" w:sz="6" w:space="0" w:color="auto"/>
            </w:tcBorders>
            <w:shd w:val="clear" w:color="auto" w:fill="EBEBEC"/>
          </w:tcPr>
          <w:p w14:paraId="022303CF" w14:textId="77777777" w:rsidR="00A02A7B" w:rsidRPr="00F200AA" w:rsidRDefault="00A02A7B" w:rsidP="00566BA6">
            <w:pPr>
              <w:kinsoku w:val="0"/>
              <w:spacing w:before="21" w:after="0" w:line="240" w:lineRule="auto"/>
              <w:ind w:right="52"/>
              <w:jc w:val="right"/>
              <w:textAlignment w:val="auto"/>
              <w:rPr>
                <w:rFonts w:ascii="Lucida Sans" w:hAnsi="Lucida Sans" w:cs="Lucida Sans"/>
                <w:i/>
                <w:iCs/>
                <w:color w:val="231F20"/>
                <w:w w:val="75"/>
                <w:sz w:val="17"/>
                <w:szCs w:val="17"/>
              </w:rPr>
            </w:pPr>
            <w:r w:rsidRPr="00F200AA">
              <w:rPr>
                <w:rFonts w:ascii="Lucida Sans" w:hAnsi="Lucida Sans" w:cs="Lucida Sans"/>
                <w:i/>
                <w:iCs/>
                <w:color w:val="231F20"/>
                <w:w w:val="75"/>
                <w:sz w:val="17"/>
                <w:szCs w:val="17"/>
              </w:rPr>
              <w:t>0,00</w:t>
            </w:r>
          </w:p>
        </w:tc>
      </w:tr>
      <w:tr w:rsidR="00A02A7B" w:rsidRPr="00F200AA" w14:paraId="76C01217" w14:textId="77777777" w:rsidTr="00B44E7E">
        <w:trPr>
          <w:trHeight w:val="240"/>
        </w:trPr>
        <w:tc>
          <w:tcPr>
            <w:tcW w:w="4032" w:type="dxa"/>
            <w:tcBorders>
              <w:top w:val="none" w:sz="6" w:space="0" w:color="auto"/>
              <w:left w:val="none" w:sz="6" w:space="0" w:color="auto"/>
              <w:bottom w:val="none" w:sz="6" w:space="0" w:color="auto"/>
              <w:right w:val="none" w:sz="6" w:space="0" w:color="auto"/>
            </w:tcBorders>
            <w:shd w:val="clear" w:color="auto" w:fill="EBEBEC"/>
          </w:tcPr>
          <w:p w14:paraId="3C68C1E0" w14:textId="77777777" w:rsidR="00A02A7B" w:rsidRPr="00F200AA" w:rsidRDefault="00A02A7B" w:rsidP="00566BA6">
            <w:pPr>
              <w:kinsoku w:val="0"/>
              <w:spacing w:before="15" w:after="0" w:line="240" w:lineRule="auto"/>
              <w:ind w:left="45"/>
              <w:textAlignment w:val="auto"/>
              <w:rPr>
                <w:rFonts w:ascii="Century Gothic" w:hAnsi="Century Gothic" w:cs="Century Gothic"/>
                <w:color w:val="231F20"/>
                <w:sz w:val="17"/>
                <w:szCs w:val="17"/>
              </w:rPr>
            </w:pPr>
            <w:r w:rsidRPr="00F200AA">
              <w:rPr>
                <w:rFonts w:ascii="Century Gothic" w:hAnsi="Century Gothic" w:cs="Century Gothic"/>
                <w:color w:val="231F20"/>
                <w:sz w:val="17"/>
                <w:szCs w:val="17"/>
              </w:rPr>
              <w:t>provozní náklady</w:t>
            </w:r>
          </w:p>
        </w:tc>
        <w:tc>
          <w:tcPr>
            <w:tcW w:w="1801" w:type="dxa"/>
            <w:tcBorders>
              <w:top w:val="none" w:sz="6" w:space="0" w:color="auto"/>
              <w:left w:val="none" w:sz="6" w:space="0" w:color="auto"/>
              <w:bottom w:val="none" w:sz="6" w:space="0" w:color="auto"/>
              <w:right w:val="none" w:sz="6" w:space="0" w:color="auto"/>
            </w:tcBorders>
            <w:shd w:val="clear" w:color="auto" w:fill="EBEBEC"/>
          </w:tcPr>
          <w:p w14:paraId="19E2787B" w14:textId="77777777" w:rsidR="00A02A7B" w:rsidRPr="00F200AA" w:rsidRDefault="00A02A7B" w:rsidP="00566BA6">
            <w:pPr>
              <w:kinsoku w:val="0"/>
              <w:spacing w:before="15" w:after="0" w:line="240" w:lineRule="auto"/>
              <w:ind w:right="483"/>
              <w:jc w:val="right"/>
              <w:textAlignment w:val="auto"/>
              <w:rPr>
                <w:rFonts w:ascii="Century Gothic" w:hAnsi="Century Gothic" w:cs="Century Gothic"/>
                <w:color w:val="231F20"/>
                <w:w w:val="85"/>
                <w:sz w:val="17"/>
                <w:szCs w:val="17"/>
              </w:rPr>
            </w:pPr>
            <w:r w:rsidRPr="00F200AA">
              <w:rPr>
                <w:rFonts w:ascii="Century Gothic" w:hAnsi="Century Gothic" w:cs="Century Gothic"/>
                <w:color w:val="231F20"/>
                <w:w w:val="85"/>
                <w:sz w:val="17"/>
                <w:szCs w:val="17"/>
              </w:rPr>
              <w:t>-411</w:t>
            </w:r>
          </w:p>
        </w:tc>
        <w:tc>
          <w:tcPr>
            <w:tcW w:w="1612" w:type="dxa"/>
            <w:tcBorders>
              <w:top w:val="none" w:sz="6" w:space="0" w:color="auto"/>
              <w:left w:val="none" w:sz="6" w:space="0" w:color="auto"/>
              <w:bottom w:val="none" w:sz="6" w:space="0" w:color="auto"/>
              <w:right w:val="none" w:sz="6" w:space="0" w:color="auto"/>
            </w:tcBorders>
            <w:shd w:val="clear" w:color="auto" w:fill="EBEBEC"/>
          </w:tcPr>
          <w:p w14:paraId="2034D2D0" w14:textId="77777777" w:rsidR="00A02A7B" w:rsidRPr="00F200AA" w:rsidRDefault="00A02A7B" w:rsidP="00566BA6">
            <w:pPr>
              <w:kinsoku w:val="0"/>
              <w:spacing w:before="15" w:after="0" w:line="240" w:lineRule="auto"/>
              <w:ind w:right="308"/>
              <w:jc w:val="right"/>
              <w:textAlignment w:val="auto"/>
              <w:rPr>
                <w:rFonts w:ascii="Century Gothic" w:hAnsi="Century Gothic" w:cs="Century Gothic"/>
                <w:color w:val="231F20"/>
                <w:w w:val="85"/>
                <w:sz w:val="17"/>
                <w:szCs w:val="17"/>
              </w:rPr>
            </w:pPr>
            <w:r w:rsidRPr="00F200AA">
              <w:rPr>
                <w:rFonts w:ascii="Century Gothic" w:hAnsi="Century Gothic" w:cs="Century Gothic"/>
                <w:color w:val="231F20"/>
                <w:w w:val="85"/>
                <w:sz w:val="17"/>
                <w:szCs w:val="17"/>
              </w:rPr>
              <w:t>-402</w:t>
            </w:r>
          </w:p>
        </w:tc>
        <w:tc>
          <w:tcPr>
            <w:tcW w:w="1399" w:type="dxa"/>
            <w:tcBorders>
              <w:top w:val="none" w:sz="6" w:space="0" w:color="auto"/>
              <w:left w:val="none" w:sz="6" w:space="0" w:color="auto"/>
              <w:bottom w:val="none" w:sz="6" w:space="0" w:color="auto"/>
              <w:right w:val="none" w:sz="6" w:space="0" w:color="auto"/>
            </w:tcBorders>
            <w:shd w:val="clear" w:color="auto" w:fill="EBEBEC"/>
          </w:tcPr>
          <w:p w14:paraId="25883E05" w14:textId="77777777" w:rsidR="00A02A7B" w:rsidRPr="00F200AA" w:rsidRDefault="00A02A7B" w:rsidP="00566BA6">
            <w:pPr>
              <w:kinsoku w:val="0"/>
              <w:spacing w:before="15" w:after="0" w:line="240" w:lineRule="auto"/>
              <w:ind w:right="52"/>
              <w:jc w:val="right"/>
              <w:textAlignment w:val="auto"/>
              <w:rPr>
                <w:rFonts w:ascii="Century Gothic" w:hAnsi="Century Gothic" w:cs="Century Gothic"/>
                <w:color w:val="231F20"/>
                <w:w w:val="85"/>
                <w:sz w:val="17"/>
                <w:szCs w:val="17"/>
              </w:rPr>
            </w:pPr>
            <w:r w:rsidRPr="00F200AA">
              <w:rPr>
                <w:rFonts w:ascii="Century Gothic" w:hAnsi="Century Gothic" w:cs="Century Gothic"/>
                <w:color w:val="231F20"/>
                <w:w w:val="85"/>
                <w:sz w:val="17"/>
                <w:szCs w:val="17"/>
              </w:rPr>
              <w:t>97,79</w:t>
            </w:r>
          </w:p>
        </w:tc>
      </w:tr>
      <w:tr w:rsidR="00A02A7B" w:rsidRPr="00F200AA" w14:paraId="63A7A5AC" w14:textId="77777777" w:rsidTr="00B44E7E">
        <w:trPr>
          <w:trHeight w:val="240"/>
        </w:trPr>
        <w:tc>
          <w:tcPr>
            <w:tcW w:w="4032" w:type="dxa"/>
            <w:tcBorders>
              <w:top w:val="none" w:sz="6" w:space="0" w:color="auto"/>
              <w:left w:val="none" w:sz="6" w:space="0" w:color="auto"/>
              <w:bottom w:val="none" w:sz="6" w:space="0" w:color="auto"/>
              <w:right w:val="none" w:sz="6" w:space="0" w:color="auto"/>
            </w:tcBorders>
            <w:shd w:val="clear" w:color="auto" w:fill="EBEBEC"/>
          </w:tcPr>
          <w:p w14:paraId="4182F91C" w14:textId="77777777" w:rsidR="00A02A7B" w:rsidRPr="00F200AA" w:rsidRDefault="00A02A7B" w:rsidP="00566BA6">
            <w:pPr>
              <w:kinsoku w:val="0"/>
              <w:spacing w:before="15" w:after="0" w:line="240" w:lineRule="auto"/>
              <w:ind w:left="45"/>
              <w:textAlignment w:val="auto"/>
              <w:rPr>
                <w:rFonts w:ascii="Century Gothic" w:hAnsi="Century Gothic" w:cs="Century Gothic"/>
                <w:color w:val="231F20"/>
                <w:sz w:val="17"/>
                <w:szCs w:val="17"/>
              </w:rPr>
            </w:pPr>
            <w:r w:rsidRPr="00F200AA">
              <w:rPr>
                <w:rFonts w:ascii="Century Gothic" w:hAnsi="Century Gothic" w:cs="Century Gothic"/>
                <w:color w:val="231F20"/>
                <w:sz w:val="17"/>
                <w:szCs w:val="17"/>
              </w:rPr>
              <w:t>ztráty ze snížení hodnoty úvěrů a záruk</w:t>
            </w:r>
          </w:p>
        </w:tc>
        <w:tc>
          <w:tcPr>
            <w:tcW w:w="1801" w:type="dxa"/>
            <w:tcBorders>
              <w:top w:val="none" w:sz="6" w:space="0" w:color="auto"/>
              <w:left w:val="none" w:sz="6" w:space="0" w:color="auto"/>
              <w:bottom w:val="none" w:sz="6" w:space="0" w:color="auto"/>
              <w:right w:val="none" w:sz="6" w:space="0" w:color="auto"/>
            </w:tcBorders>
            <w:shd w:val="clear" w:color="auto" w:fill="EBEBEC"/>
          </w:tcPr>
          <w:p w14:paraId="589B91A5" w14:textId="77777777" w:rsidR="00A02A7B" w:rsidRPr="00F200AA" w:rsidRDefault="00A02A7B" w:rsidP="00566BA6">
            <w:pPr>
              <w:kinsoku w:val="0"/>
              <w:spacing w:before="15" w:after="0" w:line="240" w:lineRule="auto"/>
              <w:ind w:right="479"/>
              <w:jc w:val="right"/>
              <w:textAlignment w:val="auto"/>
              <w:rPr>
                <w:rFonts w:ascii="Century Gothic" w:hAnsi="Century Gothic" w:cs="Century Gothic"/>
                <w:color w:val="231F20"/>
                <w:w w:val="85"/>
                <w:sz w:val="17"/>
                <w:szCs w:val="17"/>
              </w:rPr>
            </w:pPr>
            <w:r w:rsidRPr="00F200AA">
              <w:rPr>
                <w:rFonts w:ascii="Century Gothic" w:hAnsi="Century Gothic" w:cs="Century Gothic"/>
                <w:color w:val="231F20"/>
                <w:w w:val="85"/>
                <w:sz w:val="17"/>
                <w:szCs w:val="17"/>
              </w:rPr>
              <w:t>-50</w:t>
            </w:r>
          </w:p>
        </w:tc>
        <w:tc>
          <w:tcPr>
            <w:tcW w:w="1612" w:type="dxa"/>
            <w:tcBorders>
              <w:top w:val="none" w:sz="6" w:space="0" w:color="auto"/>
              <w:left w:val="none" w:sz="6" w:space="0" w:color="auto"/>
              <w:bottom w:val="none" w:sz="6" w:space="0" w:color="auto"/>
              <w:right w:val="none" w:sz="6" w:space="0" w:color="auto"/>
            </w:tcBorders>
            <w:shd w:val="clear" w:color="auto" w:fill="EBEBEC"/>
          </w:tcPr>
          <w:p w14:paraId="632F450D" w14:textId="77777777" w:rsidR="00A02A7B" w:rsidRPr="00F200AA" w:rsidRDefault="00A02A7B" w:rsidP="00566BA6">
            <w:pPr>
              <w:kinsoku w:val="0"/>
              <w:spacing w:before="15" w:after="0" w:line="240" w:lineRule="auto"/>
              <w:ind w:right="308"/>
              <w:jc w:val="right"/>
              <w:textAlignment w:val="auto"/>
              <w:rPr>
                <w:rFonts w:ascii="Century Gothic" w:hAnsi="Century Gothic" w:cs="Century Gothic"/>
                <w:color w:val="231F20"/>
                <w:w w:val="85"/>
                <w:sz w:val="17"/>
                <w:szCs w:val="17"/>
              </w:rPr>
            </w:pPr>
            <w:r w:rsidRPr="00F200AA">
              <w:rPr>
                <w:rFonts w:ascii="Century Gothic" w:hAnsi="Century Gothic" w:cs="Century Gothic"/>
                <w:color w:val="231F20"/>
                <w:w w:val="85"/>
                <w:sz w:val="17"/>
                <w:szCs w:val="17"/>
              </w:rPr>
              <w:t>-286</w:t>
            </w:r>
          </w:p>
        </w:tc>
        <w:tc>
          <w:tcPr>
            <w:tcW w:w="1399" w:type="dxa"/>
            <w:tcBorders>
              <w:top w:val="none" w:sz="6" w:space="0" w:color="auto"/>
              <w:left w:val="none" w:sz="6" w:space="0" w:color="auto"/>
              <w:bottom w:val="none" w:sz="6" w:space="0" w:color="auto"/>
              <w:right w:val="none" w:sz="6" w:space="0" w:color="auto"/>
            </w:tcBorders>
            <w:shd w:val="clear" w:color="auto" w:fill="EBEBEC"/>
          </w:tcPr>
          <w:p w14:paraId="2778E2F5" w14:textId="77777777" w:rsidR="00A02A7B" w:rsidRPr="00F200AA" w:rsidRDefault="00A02A7B" w:rsidP="00566BA6">
            <w:pPr>
              <w:kinsoku w:val="0"/>
              <w:spacing w:before="15" w:after="0" w:line="240" w:lineRule="auto"/>
              <w:ind w:right="52"/>
              <w:jc w:val="right"/>
              <w:textAlignment w:val="auto"/>
              <w:rPr>
                <w:rFonts w:ascii="Century Gothic" w:hAnsi="Century Gothic" w:cs="Century Gothic"/>
                <w:color w:val="231F20"/>
                <w:w w:val="85"/>
                <w:sz w:val="17"/>
                <w:szCs w:val="17"/>
              </w:rPr>
            </w:pPr>
            <w:r w:rsidRPr="00F200AA">
              <w:rPr>
                <w:rFonts w:ascii="Century Gothic" w:hAnsi="Century Gothic" w:cs="Century Gothic"/>
                <w:color w:val="231F20"/>
                <w:w w:val="85"/>
                <w:sz w:val="17"/>
                <w:szCs w:val="17"/>
              </w:rPr>
              <w:t>572,00</w:t>
            </w:r>
          </w:p>
        </w:tc>
      </w:tr>
      <w:tr w:rsidR="00A02A7B" w:rsidRPr="00F200AA" w14:paraId="344BB66E" w14:textId="77777777" w:rsidTr="00B44E7E">
        <w:trPr>
          <w:trHeight w:val="240"/>
        </w:trPr>
        <w:tc>
          <w:tcPr>
            <w:tcW w:w="4032" w:type="dxa"/>
            <w:tcBorders>
              <w:top w:val="none" w:sz="6" w:space="0" w:color="auto"/>
              <w:left w:val="none" w:sz="6" w:space="0" w:color="auto"/>
              <w:bottom w:val="single" w:sz="8" w:space="0" w:color="FFFFFF"/>
              <w:right w:val="none" w:sz="6" w:space="0" w:color="auto"/>
            </w:tcBorders>
            <w:shd w:val="clear" w:color="auto" w:fill="EBEBEC"/>
          </w:tcPr>
          <w:p w14:paraId="318B9B11" w14:textId="77777777" w:rsidR="00A02A7B" w:rsidRPr="00F200AA" w:rsidRDefault="00A02A7B" w:rsidP="00566BA6">
            <w:pPr>
              <w:kinsoku w:val="0"/>
              <w:spacing w:before="15" w:after="0" w:line="240" w:lineRule="auto"/>
              <w:ind w:left="45"/>
              <w:textAlignment w:val="auto"/>
              <w:rPr>
                <w:rFonts w:ascii="Century Gothic" w:hAnsi="Century Gothic" w:cs="Century Gothic"/>
                <w:color w:val="231F20"/>
                <w:sz w:val="17"/>
                <w:szCs w:val="17"/>
              </w:rPr>
            </w:pPr>
            <w:r w:rsidRPr="00F200AA">
              <w:rPr>
                <w:rFonts w:ascii="Century Gothic" w:hAnsi="Century Gothic" w:cs="Century Gothic"/>
                <w:color w:val="231F20"/>
                <w:sz w:val="17"/>
                <w:szCs w:val="17"/>
              </w:rPr>
              <w:t>zisk před zdaněním</w:t>
            </w:r>
          </w:p>
        </w:tc>
        <w:tc>
          <w:tcPr>
            <w:tcW w:w="1801" w:type="dxa"/>
            <w:tcBorders>
              <w:top w:val="none" w:sz="6" w:space="0" w:color="auto"/>
              <w:left w:val="none" w:sz="6" w:space="0" w:color="auto"/>
              <w:bottom w:val="single" w:sz="8" w:space="0" w:color="FFFFFF"/>
              <w:right w:val="none" w:sz="6" w:space="0" w:color="auto"/>
            </w:tcBorders>
            <w:shd w:val="clear" w:color="auto" w:fill="EBEBEC"/>
          </w:tcPr>
          <w:p w14:paraId="53C89E03" w14:textId="77777777" w:rsidR="00A02A7B" w:rsidRPr="00F200AA" w:rsidRDefault="00A02A7B" w:rsidP="00566BA6">
            <w:pPr>
              <w:kinsoku w:val="0"/>
              <w:spacing w:before="15" w:after="0" w:line="240" w:lineRule="auto"/>
              <w:ind w:right="480"/>
              <w:jc w:val="right"/>
              <w:textAlignment w:val="auto"/>
              <w:rPr>
                <w:rFonts w:ascii="Century Gothic" w:hAnsi="Century Gothic" w:cs="Century Gothic"/>
                <w:color w:val="231F20"/>
                <w:w w:val="90"/>
                <w:sz w:val="17"/>
                <w:szCs w:val="17"/>
              </w:rPr>
            </w:pPr>
            <w:r w:rsidRPr="00F200AA">
              <w:rPr>
                <w:rFonts w:ascii="Century Gothic" w:hAnsi="Century Gothic" w:cs="Century Gothic"/>
                <w:color w:val="231F20"/>
                <w:w w:val="90"/>
                <w:sz w:val="17"/>
                <w:szCs w:val="17"/>
              </w:rPr>
              <w:t>259</w:t>
            </w:r>
          </w:p>
        </w:tc>
        <w:tc>
          <w:tcPr>
            <w:tcW w:w="1612" w:type="dxa"/>
            <w:tcBorders>
              <w:top w:val="none" w:sz="6" w:space="0" w:color="auto"/>
              <w:left w:val="none" w:sz="6" w:space="0" w:color="auto"/>
              <w:bottom w:val="single" w:sz="8" w:space="0" w:color="FFFFFF"/>
              <w:right w:val="none" w:sz="6" w:space="0" w:color="auto"/>
            </w:tcBorders>
            <w:shd w:val="clear" w:color="auto" w:fill="EBEBEC"/>
          </w:tcPr>
          <w:p w14:paraId="5262B3D4" w14:textId="77777777" w:rsidR="00A02A7B" w:rsidRPr="00F200AA" w:rsidRDefault="00A02A7B" w:rsidP="00566BA6">
            <w:pPr>
              <w:kinsoku w:val="0"/>
              <w:spacing w:before="15" w:after="0" w:line="240" w:lineRule="auto"/>
              <w:ind w:right="308"/>
              <w:jc w:val="right"/>
              <w:textAlignment w:val="auto"/>
              <w:rPr>
                <w:rFonts w:ascii="Century Gothic" w:hAnsi="Century Gothic" w:cs="Century Gothic"/>
                <w:color w:val="231F20"/>
                <w:w w:val="90"/>
                <w:sz w:val="17"/>
                <w:szCs w:val="17"/>
              </w:rPr>
            </w:pPr>
            <w:r w:rsidRPr="00F200AA">
              <w:rPr>
                <w:rFonts w:ascii="Century Gothic" w:hAnsi="Century Gothic" w:cs="Century Gothic"/>
                <w:color w:val="231F20"/>
                <w:w w:val="90"/>
                <w:sz w:val="17"/>
                <w:szCs w:val="17"/>
              </w:rPr>
              <w:t>223</w:t>
            </w:r>
          </w:p>
        </w:tc>
        <w:tc>
          <w:tcPr>
            <w:tcW w:w="1399" w:type="dxa"/>
            <w:tcBorders>
              <w:top w:val="none" w:sz="6" w:space="0" w:color="auto"/>
              <w:left w:val="none" w:sz="6" w:space="0" w:color="auto"/>
              <w:bottom w:val="single" w:sz="8" w:space="0" w:color="FFFFFF"/>
              <w:right w:val="none" w:sz="6" w:space="0" w:color="auto"/>
            </w:tcBorders>
            <w:shd w:val="clear" w:color="auto" w:fill="EBEBEC"/>
          </w:tcPr>
          <w:p w14:paraId="2F99A495" w14:textId="77777777" w:rsidR="00A02A7B" w:rsidRPr="00F200AA" w:rsidRDefault="00A02A7B" w:rsidP="00566BA6">
            <w:pPr>
              <w:kinsoku w:val="0"/>
              <w:spacing w:before="15" w:after="0" w:line="240" w:lineRule="auto"/>
              <w:ind w:right="56"/>
              <w:jc w:val="right"/>
              <w:textAlignment w:val="auto"/>
              <w:rPr>
                <w:rFonts w:ascii="Century Gothic" w:hAnsi="Century Gothic" w:cs="Century Gothic"/>
                <w:color w:val="231F20"/>
                <w:w w:val="85"/>
                <w:sz w:val="17"/>
                <w:szCs w:val="17"/>
              </w:rPr>
            </w:pPr>
            <w:r w:rsidRPr="00F200AA">
              <w:rPr>
                <w:rFonts w:ascii="Century Gothic" w:hAnsi="Century Gothic" w:cs="Century Gothic"/>
                <w:color w:val="231F20"/>
                <w:w w:val="85"/>
                <w:sz w:val="17"/>
                <w:szCs w:val="17"/>
              </w:rPr>
              <w:t>86,10</w:t>
            </w:r>
          </w:p>
        </w:tc>
      </w:tr>
      <w:tr w:rsidR="00A02A7B" w:rsidRPr="00F200AA" w14:paraId="2AFC6802" w14:textId="77777777" w:rsidTr="00B44E7E">
        <w:trPr>
          <w:trHeight w:val="240"/>
        </w:trPr>
        <w:tc>
          <w:tcPr>
            <w:tcW w:w="4032" w:type="dxa"/>
            <w:tcBorders>
              <w:top w:val="single" w:sz="8" w:space="0" w:color="FFFFFF"/>
              <w:left w:val="none" w:sz="6" w:space="0" w:color="auto"/>
              <w:bottom w:val="single" w:sz="8" w:space="0" w:color="FFFFFF"/>
              <w:right w:val="none" w:sz="6" w:space="0" w:color="auto"/>
            </w:tcBorders>
            <w:shd w:val="clear" w:color="auto" w:fill="EBEBEC"/>
          </w:tcPr>
          <w:p w14:paraId="57A26CAE" w14:textId="77777777" w:rsidR="00A02A7B" w:rsidRPr="00F200AA" w:rsidRDefault="00A02A7B" w:rsidP="00566BA6">
            <w:pPr>
              <w:kinsoku w:val="0"/>
              <w:spacing w:after="0" w:line="204" w:lineRule="exact"/>
              <w:ind w:left="45"/>
              <w:textAlignment w:val="auto"/>
              <w:rPr>
                <w:rFonts w:ascii="Century Gothic" w:hAnsi="Century Gothic" w:cs="Century Gothic"/>
                <w:color w:val="231F20"/>
                <w:sz w:val="17"/>
                <w:szCs w:val="17"/>
              </w:rPr>
            </w:pPr>
            <w:r w:rsidRPr="00F200AA">
              <w:rPr>
                <w:rFonts w:ascii="Century Gothic" w:hAnsi="Century Gothic" w:cs="Century Gothic"/>
                <w:color w:val="231F20"/>
                <w:sz w:val="17"/>
                <w:szCs w:val="17"/>
              </w:rPr>
              <w:t>daň z příjmů</w:t>
            </w:r>
          </w:p>
        </w:tc>
        <w:tc>
          <w:tcPr>
            <w:tcW w:w="1801" w:type="dxa"/>
            <w:tcBorders>
              <w:top w:val="single" w:sz="8" w:space="0" w:color="FFFFFF"/>
              <w:left w:val="none" w:sz="6" w:space="0" w:color="auto"/>
              <w:bottom w:val="single" w:sz="8" w:space="0" w:color="FFFFFF"/>
              <w:right w:val="none" w:sz="6" w:space="0" w:color="auto"/>
            </w:tcBorders>
            <w:shd w:val="clear" w:color="auto" w:fill="EBEBEC"/>
          </w:tcPr>
          <w:p w14:paraId="0D303D6F" w14:textId="77777777" w:rsidR="00A02A7B" w:rsidRPr="00F200AA" w:rsidRDefault="00A02A7B" w:rsidP="00566BA6">
            <w:pPr>
              <w:kinsoku w:val="0"/>
              <w:spacing w:after="0" w:line="204" w:lineRule="exact"/>
              <w:ind w:right="479"/>
              <w:jc w:val="right"/>
              <w:textAlignment w:val="auto"/>
              <w:rPr>
                <w:rFonts w:ascii="Century Gothic" w:hAnsi="Century Gothic" w:cs="Century Gothic"/>
                <w:color w:val="231F20"/>
                <w:w w:val="85"/>
                <w:sz w:val="17"/>
                <w:szCs w:val="17"/>
              </w:rPr>
            </w:pPr>
            <w:r w:rsidRPr="00F200AA">
              <w:rPr>
                <w:rFonts w:ascii="Century Gothic" w:hAnsi="Century Gothic" w:cs="Century Gothic"/>
                <w:color w:val="231F20"/>
                <w:w w:val="85"/>
                <w:sz w:val="17"/>
                <w:szCs w:val="17"/>
              </w:rPr>
              <w:t>-2</w:t>
            </w:r>
          </w:p>
        </w:tc>
        <w:tc>
          <w:tcPr>
            <w:tcW w:w="1612" w:type="dxa"/>
            <w:tcBorders>
              <w:top w:val="single" w:sz="8" w:space="0" w:color="FFFFFF"/>
              <w:left w:val="none" w:sz="6" w:space="0" w:color="auto"/>
              <w:bottom w:val="single" w:sz="8" w:space="0" w:color="FFFFFF"/>
              <w:right w:val="none" w:sz="6" w:space="0" w:color="auto"/>
            </w:tcBorders>
            <w:shd w:val="clear" w:color="auto" w:fill="EBEBEC"/>
          </w:tcPr>
          <w:p w14:paraId="0EB18639" w14:textId="77777777" w:rsidR="00A02A7B" w:rsidRPr="00F200AA" w:rsidRDefault="00A02A7B" w:rsidP="00566BA6">
            <w:pPr>
              <w:kinsoku w:val="0"/>
              <w:spacing w:after="0" w:line="204" w:lineRule="exact"/>
              <w:ind w:right="311"/>
              <w:jc w:val="right"/>
              <w:textAlignment w:val="auto"/>
              <w:rPr>
                <w:rFonts w:ascii="Century Gothic" w:hAnsi="Century Gothic" w:cs="Century Gothic"/>
                <w:color w:val="231F20"/>
                <w:w w:val="85"/>
                <w:sz w:val="17"/>
                <w:szCs w:val="17"/>
              </w:rPr>
            </w:pPr>
            <w:r w:rsidRPr="00F200AA">
              <w:rPr>
                <w:rFonts w:ascii="Century Gothic" w:hAnsi="Century Gothic" w:cs="Century Gothic"/>
                <w:color w:val="231F20"/>
                <w:w w:val="85"/>
                <w:sz w:val="17"/>
                <w:szCs w:val="17"/>
              </w:rPr>
              <w:t>129</w:t>
            </w:r>
          </w:p>
        </w:tc>
        <w:tc>
          <w:tcPr>
            <w:tcW w:w="1399" w:type="dxa"/>
            <w:tcBorders>
              <w:top w:val="single" w:sz="8" w:space="0" w:color="FFFFFF"/>
              <w:left w:val="none" w:sz="6" w:space="0" w:color="auto"/>
              <w:bottom w:val="single" w:sz="8" w:space="0" w:color="FFFFFF"/>
              <w:right w:val="none" w:sz="6" w:space="0" w:color="auto"/>
            </w:tcBorders>
            <w:shd w:val="clear" w:color="auto" w:fill="EBEBEC"/>
          </w:tcPr>
          <w:p w14:paraId="4B76E357" w14:textId="77777777" w:rsidR="00A02A7B" w:rsidRPr="00F200AA" w:rsidRDefault="00A02A7B" w:rsidP="00566BA6">
            <w:pPr>
              <w:kinsoku w:val="0"/>
              <w:spacing w:after="0" w:line="204" w:lineRule="exact"/>
              <w:ind w:right="53"/>
              <w:jc w:val="right"/>
              <w:textAlignment w:val="auto"/>
              <w:rPr>
                <w:rFonts w:ascii="Century Gothic" w:hAnsi="Century Gothic" w:cs="Century Gothic"/>
                <w:color w:val="231F20"/>
                <w:w w:val="90"/>
                <w:sz w:val="17"/>
                <w:szCs w:val="17"/>
              </w:rPr>
            </w:pPr>
            <w:r w:rsidRPr="00F200AA">
              <w:rPr>
                <w:rFonts w:ascii="Century Gothic" w:hAnsi="Century Gothic" w:cs="Century Gothic"/>
                <w:color w:val="231F20"/>
                <w:w w:val="90"/>
                <w:sz w:val="17"/>
                <w:szCs w:val="17"/>
              </w:rPr>
              <w:t>-6 450,00</w:t>
            </w:r>
          </w:p>
        </w:tc>
      </w:tr>
      <w:tr w:rsidR="00A02A7B" w:rsidRPr="00F200AA" w14:paraId="1730B69D" w14:textId="77777777" w:rsidTr="00B44E7E">
        <w:trPr>
          <w:trHeight w:val="240"/>
        </w:trPr>
        <w:tc>
          <w:tcPr>
            <w:tcW w:w="4032" w:type="dxa"/>
            <w:tcBorders>
              <w:top w:val="single" w:sz="8" w:space="0" w:color="FFFFFF"/>
              <w:left w:val="none" w:sz="6" w:space="0" w:color="auto"/>
              <w:bottom w:val="none" w:sz="6" w:space="0" w:color="auto"/>
              <w:right w:val="none" w:sz="6" w:space="0" w:color="auto"/>
            </w:tcBorders>
            <w:shd w:val="clear" w:color="auto" w:fill="EBEBEC"/>
          </w:tcPr>
          <w:p w14:paraId="302EE1AE" w14:textId="77777777" w:rsidR="00A02A7B" w:rsidRPr="00F200AA" w:rsidRDefault="00A02A7B" w:rsidP="00566BA6">
            <w:pPr>
              <w:kinsoku w:val="0"/>
              <w:spacing w:before="5" w:after="0" w:line="240" w:lineRule="auto"/>
              <w:ind w:left="45"/>
              <w:textAlignment w:val="auto"/>
              <w:rPr>
                <w:rFonts w:ascii="Calibri" w:hAnsi="Calibri" w:cs="Calibri"/>
                <w:b/>
                <w:bCs/>
                <w:color w:val="231F20"/>
                <w:w w:val="105"/>
                <w:sz w:val="17"/>
                <w:szCs w:val="17"/>
              </w:rPr>
            </w:pPr>
            <w:r w:rsidRPr="00F200AA">
              <w:rPr>
                <w:rFonts w:ascii="Calibri" w:hAnsi="Calibri" w:cs="Calibri"/>
                <w:b/>
                <w:bCs/>
                <w:color w:val="231F20"/>
                <w:w w:val="105"/>
                <w:sz w:val="17"/>
                <w:szCs w:val="17"/>
              </w:rPr>
              <w:t>čistý zisk za účetní období</w:t>
            </w:r>
          </w:p>
        </w:tc>
        <w:tc>
          <w:tcPr>
            <w:tcW w:w="1801" w:type="dxa"/>
            <w:tcBorders>
              <w:top w:val="single" w:sz="8" w:space="0" w:color="FFFFFF"/>
              <w:left w:val="none" w:sz="6" w:space="0" w:color="auto"/>
              <w:bottom w:val="none" w:sz="6" w:space="0" w:color="auto"/>
              <w:right w:val="none" w:sz="6" w:space="0" w:color="auto"/>
            </w:tcBorders>
            <w:shd w:val="clear" w:color="auto" w:fill="EBEBEC"/>
          </w:tcPr>
          <w:p w14:paraId="11949898" w14:textId="77777777" w:rsidR="00A02A7B" w:rsidRPr="00F200AA" w:rsidRDefault="00A02A7B" w:rsidP="00566BA6">
            <w:pPr>
              <w:kinsoku w:val="0"/>
              <w:spacing w:before="5" w:after="0" w:line="240" w:lineRule="auto"/>
              <w:ind w:right="483"/>
              <w:jc w:val="right"/>
              <w:textAlignment w:val="auto"/>
              <w:rPr>
                <w:rFonts w:ascii="Calibri" w:hAnsi="Calibri" w:cs="Calibri"/>
                <w:b/>
                <w:bCs/>
                <w:color w:val="231F20"/>
                <w:w w:val="95"/>
                <w:sz w:val="17"/>
                <w:szCs w:val="17"/>
              </w:rPr>
            </w:pPr>
            <w:r w:rsidRPr="00F200AA">
              <w:rPr>
                <w:rFonts w:ascii="Calibri" w:hAnsi="Calibri" w:cs="Calibri"/>
                <w:b/>
                <w:bCs/>
                <w:color w:val="231F20"/>
                <w:w w:val="95"/>
                <w:sz w:val="17"/>
                <w:szCs w:val="17"/>
              </w:rPr>
              <w:t>257</w:t>
            </w:r>
          </w:p>
        </w:tc>
        <w:tc>
          <w:tcPr>
            <w:tcW w:w="1612" w:type="dxa"/>
            <w:tcBorders>
              <w:top w:val="single" w:sz="8" w:space="0" w:color="FFFFFF"/>
              <w:left w:val="none" w:sz="6" w:space="0" w:color="auto"/>
              <w:bottom w:val="none" w:sz="6" w:space="0" w:color="auto"/>
              <w:right w:val="none" w:sz="6" w:space="0" w:color="auto"/>
            </w:tcBorders>
            <w:shd w:val="clear" w:color="auto" w:fill="EBEBEC"/>
          </w:tcPr>
          <w:p w14:paraId="0CAEC488" w14:textId="77777777" w:rsidR="00A02A7B" w:rsidRPr="00F200AA" w:rsidRDefault="00A02A7B" w:rsidP="00566BA6">
            <w:pPr>
              <w:kinsoku w:val="0"/>
              <w:spacing w:before="5" w:after="0" w:line="240" w:lineRule="auto"/>
              <w:ind w:right="308"/>
              <w:jc w:val="right"/>
              <w:textAlignment w:val="auto"/>
              <w:rPr>
                <w:rFonts w:ascii="Calibri" w:hAnsi="Calibri" w:cs="Calibri"/>
                <w:b/>
                <w:bCs/>
                <w:color w:val="231F20"/>
                <w:w w:val="95"/>
                <w:sz w:val="17"/>
                <w:szCs w:val="17"/>
              </w:rPr>
            </w:pPr>
            <w:r w:rsidRPr="00F200AA">
              <w:rPr>
                <w:rFonts w:ascii="Calibri" w:hAnsi="Calibri" w:cs="Calibri"/>
                <w:b/>
                <w:bCs/>
                <w:color w:val="231F20"/>
                <w:w w:val="95"/>
                <w:sz w:val="17"/>
                <w:szCs w:val="17"/>
              </w:rPr>
              <w:t>352</w:t>
            </w:r>
          </w:p>
        </w:tc>
        <w:tc>
          <w:tcPr>
            <w:tcW w:w="1399" w:type="dxa"/>
            <w:tcBorders>
              <w:top w:val="single" w:sz="8" w:space="0" w:color="FFFFFF"/>
              <w:left w:val="none" w:sz="6" w:space="0" w:color="auto"/>
              <w:bottom w:val="none" w:sz="6" w:space="0" w:color="auto"/>
              <w:right w:val="none" w:sz="6" w:space="0" w:color="auto"/>
            </w:tcBorders>
            <w:shd w:val="clear" w:color="auto" w:fill="EBEBEC"/>
          </w:tcPr>
          <w:p w14:paraId="27B6498F" w14:textId="77777777" w:rsidR="00A02A7B" w:rsidRPr="00F200AA" w:rsidRDefault="00A02A7B" w:rsidP="00566BA6">
            <w:pPr>
              <w:kinsoku w:val="0"/>
              <w:spacing w:before="5" w:after="0" w:line="240" w:lineRule="auto"/>
              <w:ind w:right="56"/>
              <w:jc w:val="right"/>
              <w:textAlignment w:val="auto"/>
              <w:rPr>
                <w:rFonts w:ascii="Calibri" w:hAnsi="Calibri" w:cs="Calibri"/>
                <w:b/>
                <w:bCs/>
                <w:color w:val="231F20"/>
                <w:w w:val="95"/>
                <w:sz w:val="17"/>
                <w:szCs w:val="17"/>
              </w:rPr>
            </w:pPr>
            <w:r w:rsidRPr="00F200AA">
              <w:rPr>
                <w:rFonts w:ascii="Calibri" w:hAnsi="Calibri" w:cs="Calibri"/>
                <w:b/>
                <w:bCs/>
                <w:color w:val="231F20"/>
                <w:w w:val="95"/>
                <w:sz w:val="17"/>
                <w:szCs w:val="17"/>
              </w:rPr>
              <w:t>137,01</w:t>
            </w:r>
          </w:p>
        </w:tc>
      </w:tr>
    </w:tbl>
    <w:p w14:paraId="42DA5956" w14:textId="77777777" w:rsidR="00A02A7B" w:rsidRDefault="00A02A7B" w:rsidP="00A02A7B">
      <w:pPr>
        <w:spacing w:before="120" w:after="120"/>
        <w:ind w:left="360"/>
        <w:jc w:val="right"/>
        <w:rPr>
          <w:rFonts w:ascii="Times New Roman" w:hAnsi="Times New Roman"/>
          <w:i/>
          <w:sz w:val="24"/>
          <w:szCs w:val="24"/>
        </w:rPr>
      </w:pPr>
      <w:r w:rsidRPr="00BD695E">
        <w:rPr>
          <w:rFonts w:ascii="Times New Roman" w:hAnsi="Times New Roman"/>
          <w:i/>
          <w:sz w:val="24"/>
          <w:szCs w:val="24"/>
        </w:rPr>
        <w:t>zdroj: Výroční zpráva ČEB za rok 2018</w:t>
      </w:r>
    </w:p>
    <w:p w14:paraId="4DA209D7" w14:textId="77777777" w:rsidR="00A02A7B" w:rsidRDefault="00A02A7B" w:rsidP="00A02A7B"/>
    <w:p w14:paraId="5C604F86" w14:textId="77777777" w:rsidR="00B44E7E" w:rsidRDefault="0093594E" w:rsidP="0093594E">
      <w:pPr>
        <w:spacing w:before="120" w:after="120"/>
        <w:ind w:left="360"/>
        <w:jc w:val="both"/>
        <w:rPr>
          <w:rFonts w:ascii="Times New Roman" w:hAnsi="Times New Roman"/>
          <w:sz w:val="24"/>
          <w:szCs w:val="24"/>
          <w:lang w:eastAsia="en-US"/>
        </w:rPr>
      </w:pPr>
      <w:r w:rsidRPr="00BD695E">
        <w:rPr>
          <w:rFonts w:ascii="Times New Roman" w:hAnsi="Times New Roman"/>
          <w:sz w:val="24"/>
          <w:szCs w:val="24"/>
          <w:lang w:eastAsia="en-US"/>
        </w:rPr>
        <w:t xml:space="preserve">Za dobu více než </w:t>
      </w:r>
      <w:r w:rsidR="00BD11EE">
        <w:rPr>
          <w:rFonts w:ascii="Times New Roman" w:hAnsi="Times New Roman"/>
          <w:sz w:val="24"/>
          <w:szCs w:val="24"/>
          <w:lang w:eastAsia="en-US"/>
        </w:rPr>
        <w:t>pěta</w:t>
      </w:r>
      <w:r w:rsidRPr="00BD695E">
        <w:rPr>
          <w:rFonts w:ascii="Times New Roman" w:hAnsi="Times New Roman"/>
          <w:sz w:val="24"/>
          <w:szCs w:val="24"/>
          <w:lang w:eastAsia="en-US"/>
        </w:rPr>
        <w:t xml:space="preserve">dvaceti let od vzniku systému </w:t>
      </w:r>
      <w:r w:rsidR="00BE3725">
        <w:rPr>
          <w:rFonts w:ascii="Times New Roman" w:hAnsi="Times New Roman"/>
          <w:sz w:val="24"/>
          <w:szCs w:val="24"/>
          <w:lang w:eastAsia="en-US"/>
        </w:rPr>
        <w:t xml:space="preserve">podpořeného financování a pojištění </w:t>
      </w:r>
      <w:r w:rsidRPr="00BD695E">
        <w:rPr>
          <w:rFonts w:ascii="Times New Roman" w:hAnsi="Times New Roman"/>
          <w:sz w:val="24"/>
          <w:szCs w:val="24"/>
          <w:lang w:eastAsia="en-US"/>
        </w:rPr>
        <w:t>byl jeho prostřednictvím pojištěn a financován export v řádu několika set miliard korun. ČEB podpořila obchodní případy ve více než 80 zemích světa v objemu přesahujícím 380</w:t>
      </w:r>
      <w:r w:rsidR="00BE3725">
        <w:rPr>
          <w:rFonts w:ascii="Times New Roman" w:hAnsi="Times New Roman"/>
          <w:sz w:val="24"/>
          <w:szCs w:val="24"/>
          <w:lang w:eastAsia="en-US"/>
        </w:rPr>
        <w:t> </w:t>
      </w:r>
      <w:r w:rsidRPr="00BD695E">
        <w:rPr>
          <w:rFonts w:ascii="Times New Roman" w:hAnsi="Times New Roman"/>
          <w:sz w:val="24"/>
          <w:szCs w:val="24"/>
          <w:lang w:eastAsia="en-US"/>
        </w:rPr>
        <w:t xml:space="preserve">mld. Kč, EGAP za dobu svého působení pojistil se státní podporou obchodní případy za více jak  830 mld. Kč. </w:t>
      </w:r>
      <w:r w:rsidR="00DA15F4" w:rsidRPr="00BD695E">
        <w:rPr>
          <w:rFonts w:ascii="Times New Roman" w:hAnsi="Times New Roman"/>
          <w:sz w:val="24"/>
          <w:szCs w:val="24"/>
          <w:lang w:eastAsia="en-US"/>
        </w:rPr>
        <w:t>Na systém podpořeného financování</w:t>
      </w:r>
      <w:r w:rsidRPr="00BD695E">
        <w:rPr>
          <w:rFonts w:ascii="Times New Roman" w:hAnsi="Times New Roman"/>
          <w:sz w:val="24"/>
          <w:szCs w:val="24"/>
          <w:lang w:eastAsia="en-US"/>
        </w:rPr>
        <w:t xml:space="preserve"> však</w:t>
      </w:r>
      <w:r w:rsidR="00DA15F4" w:rsidRPr="00BD695E">
        <w:rPr>
          <w:rFonts w:ascii="Times New Roman" w:hAnsi="Times New Roman"/>
          <w:sz w:val="24"/>
          <w:szCs w:val="24"/>
          <w:lang w:eastAsia="en-US"/>
        </w:rPr>
        <w:t xml:space="preserve"> byly doposud využity nemalé rozpočtové zdroje ČR, a to v celkové částce převyšující 30 mld. Kč (viz tabulka). </w:t>
      </w:r>
    </w:p>
    <w:p w14:paraId="75D7C063" w14:textId="77777777" w:rsidR="00DA15F4" w:rsidRPr="00BD695E" w:rsidRDefault="00DA15F4" w:rsidP="0093594E">
      <w:pPr>
        <w:spacing w:before="120" w:after="120"/>
        <w:ind w:left="360"/>
        <w:jc w:val="both"/>
        <w:rPr>
          <w:rFonts w:ascii="Times New Roman" w:hAnsi="Times New Roman"/>
          <w:sz w:val="24"/>
          <w:szCs w:val="24"/>
          <w:lang w:eastAsia="en-US"/>
        </w:rPr>
      </w:pPr>
      <w:r w:rsidRPr="00BD695E">
        <w:rPr>
          <w:rFonts w:ascii="Times New Roman" w:hAnsi="Times New Roman"/>
          <w:sz w:val="24"/>
          <w:szCs w:val="24"/>
          <w:lang w:eastAsia="en-US"/>
        </w:rPr>
        <w:t>Tabulka: Prostředky vynaložené ze státního rozpočtu na podporu exportu v letech 2006 – 2019 (uvedeno v mld. Kč)</w:t>
      </w:r>
    </w:p>
    <w:p w14:paraId="70FC87B4" w14:textId="77777777" w:rsidR="003331DE" w:rsidRPr="001F58EA" w:rsidRDefault="003331DE" w:rsidP="003331DE">
      <w:pPr>
        <w:spacing w:line="276" w:lineRule="auto"/>
        <w:jc w:val="center"/>
      </w:pPr>
      <w:r w:rsidRPr="001F58EA">
        <w:rPr>
          <w:noProof/>
        </w:rPr>
        <w:drawing>
          <wp:inline distT="0" distB="0" distL="0" distR="0" wp14:anchorId="3453F792" wp14:editId="144D610D">
            <wp:extent cx="4029075" cy="2990729"/>
            <wp:effectExtent l="0" t="0" r="0" b="63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33212" cy="2993800"/>
                    </a:xfrm>
                    <a:prstGeom prst="rect">
                      <a:avLst/>
                    </a:prstGeom>
                    <a:noFill/>
                    <a:ln>
                      <a:noFill/>
                    </a:ln>
                  </pic:spPr>
                </pic:pic>
              </a:graphicData>
            </a:graphic>
          </wp:inline>
        </w:drawing>
      </w:r>
    </w:p>
    <w:p w14:paraId="22EEFA68" w14:textId="77777777" w:rsidR="003331DE" w:rsidRPr="003331DE" w:rsidRDefault="003331DE" w:rsidP="003331DE">
      <w:pPr>
        <w:ind w:left="5664" w:firstLine="708"/>
        <w:rPr>
          <w:rFonts w:ascii="Times New Roman" w:hAnsi="Times New Roman"/>
          <w:szCs w:val="24"/>
        </w:rPr>
      </w:pPr>
      <w:r w:rsidRPr="003331DE">
        <w:rPr>
          <w:rFonts w:ascii="Times New Roman" w:hAnsi="Times New Roman"/>
          <w:i/>
          <w:szCs w:val="24"/>
        </w:rPr>
        <w:t>zdroj: Data MF</w:t>
      </w:r>
    </w:p>
    <w:p w14:paraId="45091E8E" w14:textId="549BBA00" w:rsidR="00E262DD" w:rsidRPr="00286395" w:rsidRDefault="00E262DD" w:rsidP="00EB147E">
      <w:pPr>
        <w:spacing w:before="120" w:after="120"/>
        <w:ind w:left="360"/>
        <w:jc w:val="both"/>
        <w:rPr>
          <w:rFonts w:ascii="Times New Roman" w:hAnsi="Times New Roman"/>
          <w:sz w:val="24"/>
          <w:szCs w:val="24"/>
          <w:lang w:eastAsia="en-US"/>
        </w:rPr>
      </w:pPr>
      <w:r w:rsidRPr="00286395">
        <w:rPr>
          <w:rFonts w:ascii="Times New Roman" w:hAnsi="Times New Roman"/>
          <w:sz w:val="24"/>
          <w:szCs w:val="24"/>
          <w:lang w:eastAsia="en-US"/>
        </w:rPr>
        <w:t xml:space="preserve">Usnesením </w:t>
      </w:r>
      <w:r w:rsidR="00A8564D">
        <w:rPr>
          <w:rFonts w:ascii="Times New Roman" w:hAnsi="Times New Roman"/>
          <w:sz w:val="24"/>
          <w:szCs w:val="24"/>
          <w:lang w:eastAsia="en-US"/>
        </w:rPr>
        <w:t xml:space="preserve">vlády ČR </w:t>
      </w:r>
      <w:r w:rsidRPr="00286395">
        <w:rPr>
          <w:rFonts w:ascii="Times New Roman" w:hAnsi="Times New Roman"/>
          <w:sz w:val="24"/>
          <w:szCs w:val="24"/>
          <w:lang w:eastAsia="en-US"/>
        </w:rPr>
        <w:t xml:space="preserve">ze dne 14. března 2018 </w:t>
      </w:r>
      <w:r w:rsidR="00A8564D" w:rsidRPr="00286395">
        <w:rPr>
          <w:rFonts w:ascii="Times New Roman" w:hAnsi="Times New Roman"/>
          <w:sz w:val="24"/>
          <w:szCs w:val="24"/>
          <w:lang w:eastAsia="en-US"/>
        </w:rPr>
        <w:t>č. 171</w:t>
      </w:r>
      <w:r w:rsidR="002669B8">
        <w:rPr>
          <w:rFonts w:ascii="Times New Roman" w:hAnsi="Times New Roman"/>
          <w:sz w:val="24"/>
          <w:szCs w:val="24"/>
          <w:lang w:eastAsia="en-US"/>
        </w:rPr>
        <w:t xml:space="preserve"> </w:t>
      </w:r>
      <w:r w:rsidRPr="00286395">
        <w:rPr>
          <w:rFonts w:ascii="Times New Roman" w:hAnsi="Times New Roman"/>
          <w:sz w:val="24"/>
          <w:szCs w:val="24"/>
          <w:lang w:eastAsia="en-US"/>
        </w:rPr>
        <w:t>o změně příslušnosti hospodařit s</w:t>
      </w:r>
      <w:r w:rsidR="005644EC">
        <w:rPr>
          <w:rFonts w:ascii="Times New Roman" w:hAnsi="Times New Roman"/>
          <w:sz w:val="24"/>
          <w:szCs w:val="24"/>
          <w:lang w:eastAsia="en-US"/>
        </w:rPr>
        <w:t> </w:t>
      </w:r>
      <w:r w:rsidRPr="00286395">
        <w:rPr>
          <w:rFonts w:ascii="Times New Roman" w:hAnsi="Times New Roman"/>
          <w:sz w:val="24"/>
          <w:szCs w:val="24"/>
          <w:lang w:eastAsia="en-US"/>
        </w:rPr>
        <w:t>majetkovými účastmi státu v ČEB a EGAP schválila vláda převod příslušnosti hospodařit z</w:t>
      </w:r>
      <w:r w:rsidR="006E250C">
        <w:rPr>
          <w:rFonts w:ascii="Times New Roman" w:hAnsi="Times New Roman"/>
          <w:sz w:val="24"/>
          <w:szCs w:val="24"/>
          <w:lang w:eastAsia="en-US"/>
        </w:rPr>
        <w:t> </w:t>
      </w:r>
      <w:r w:rsidR="006E250C" w:rsidRPr="00286395">
        <w:rPr>
          <w:rFonts w:ascii="Times New Roman" w:hAnsi="Times New Roman"/>
          <w:sz w:val="24"/>
          <w:szCs w:val="24"/>
          <w:lang w:eastAsia="en-US"/>
        </w:rPr>
        <w:t>M</w:t>
      </w:r>
      <w:r w:rsidR="00226C26">
        <w:rPr>
          <w:rFonts w:ascii="Times New Roman" w:hAnsi="Times New Roman"/>
          <w:sz w:val="24"/>
          <w:szCs w:val="24"/>
          <w:lang w:eastAsia="en-US"/>
        </w:rPr>
        <w:t>PO</w:t>
      </w:r>
      <w:r w:rsidRPr="00286395">
        <w:rPr>
          <w:rFonts w:ascii="Times New Roman" w:hAnsi="Times New Roman"/>
          <w:sz w:val="24"/>
          <w:szCs w:val="24"/>
          <w:lang w:eastAsia="en-US"/>
        </w:rPr>
        <w:t xml:space="preserve">, </w:t>
      </w:r>
      <w:r w:rsidR="006E250C">
        <w:rPr>
          <w:rFonts w:ascii="Times New Roman" w:hAnsi="Times New Roman"/>
          <w:sz w:val="24"/>
          <w:szCs w:val="24"/>
          <w:lang w:eastAsia="en-US"/>
        </w:rPr>
        <w:t>Ministerstva zahraničních věcí a</w:t>
      </w:r>
      <w:r w:rsidR="001D1A24">
        <w:rPr>
          <w:rFonts w:ascii="Times New Roman" w:hAnsi="Times New Roman"/>
          <w:sz w:val="24"/>
          <w:szCs w:val="24"/>
          <w:lang w:eastAsia="en-US"/>
        </w:rPr>
        <w:t> </w:t>
      </w:r>
      <w:r w:rsidR="006E250C">
        <w:rPr>
          <w:rFonts w:ascii="Times New Roman" w:hAnsi="Times New Roman"/>
          <w:sz w:val="24"/>
          <w:szCs w:val="24"/>
          <w:lang w:eastAsia="en-US"/>
        </w:rPr>
        <w:t>Ministerstva zemědělství na M</w:t>
      </w:r>
      <w:r w:rsidR="00226C26">
        <w:rPr>
          <w:rFonts w:ascii="Times New Roman" w:hAnsi="Times New Roman"/>
          <w:sz w:val="24"/>
          <w:szCs w:val="24"/>
          <w:lang w:eastAsia="en-US"/>
        </w:rPr>
        <w:t>F</w:t>
      </w:r>
      <w:r w:rsidRPr="00286395">
        <w:rPr>
          <w:rFonts w:ascii="Times New Roman" w:hAnsi="Times New Roman"/>
          <w:sz w:val="24"/>
          <w:szCs w:val="24"/>
          <w:lang w:eastAsia="en-US"/>
        </w:rPr>
        <w:t>. Z uvedeného důvodu Česká republika vykonává svá akcionářská práva v exportní bance a</w:t>
      </w:r>
      <w:r w:rsidR="00FF76EB">
        <w:rPr>
          <w:rFonts w:ascii="Times New Roman" w:hAnsi="Times New Roman"/>
          <w:sz w:val="24"/>
          <w:szCs w:val="24"/>
          <w:lang w:eastAsia="en-US"/>
        </w:rPr>
        <w:t> </w:t>
      </w:r>
      <w:r w:rsidRPr="00286395">
        <w:rPr>
          <w:rFonts w:ascii="Times New Roman" w:hAnsi="Times New Roman"/>
          <w:sz w:val="24"/>
          <w:szCs w:val="24"/>
          <w:lang w:eastAsia="en-US"/>
        </w:rPr>
        <w:t>exportní pojišťovně výhradně prostřednictvím M</w:t>
      </w:r>
      <w:r w:rsidR="00226C26">
        <w:rPr>
          <w:rFonts w:ascii="Times New Roman" w:hAnsi="Times New Roman"/>
          <w:sz w:val="24"/>
          <w:szCs w:val="24"/>
          <w:lang w:eastAsia="en-US"/>
        </w:rPr>
        <w:t>F</w:t>
      </w:r>
      <w:r w:rsidRPr="00286395">
        <w:rPr>
          <w:rFonts w:ascii="Times New Roman" w:hAnsi="Times New Roman"/>
          <w:sz w:val="24"/>
          <w:szCs w:val="24"/>
          <w:lang w:eastAsia="en-US"/>
        </w:rPr>
        <w:t>.</w:t>
      </w:r>
    </w:p>
    <w:p w14:paraId="09E5FEF6" w14:textId="30E4C06A" w:rsidR="00E262DD" w:rsidRPr="00286395" w:rsidRDefault="00E262DD" w:rsidP="00EB147E">
      <w:pPr>
        <w:spacing w:before="120" w:after="120"/>
        <w:ind w:left="360"/>
        <w:jc w:val="both"/>
        <w:rPr>
          <w:rFonts w:ascii="Times New Roman" w:hAnsi="Times New Roman"/>
          <w:sz w:val="24"/>
          <w:szCs w:val="24"/>
          <w:lang w:eastAsia="en-US"/>
        </w:rPr>
      </w:pPr>
      <w:r w:rsidRPr="00286395">
        <w:rPr>
          <w:rFonts w:ascii="Times New Roman" w:hAnsi="Times New Roman"/>
          <w:sz w:val="24"/>
          <w:szCs w:val="24"/>
          <w:lang w:eastAsia="en-US"/>
        </w:rPr>
        <w:t>Z hlediska závažnosti změn existujícího právního rámce pro pojišťování a financování vývozu se státní podporou byly nejvýznamnější dvě novelizace zákona</w:t>
      </w:r>
      <w:r w:rsidR="004D7950">
        <w:rPr>
          <w:rFonts w:ascii="Times New Roman" w:hAnsi="Times New Roman"/>
          <w:sz w:val="24"/>
          <w:szCs w:val="24"/>
          <w:lang w:eastAsia="en-US"/>
        </w:rPr>
        <w:t xml:space="preserve"> </w:t>
      </w:r>
      <w:r w:rsidR="004D7950" w:rsidRPr="0073392D">
        <w:rPr>
          <w:rFonts w:ascii="Times New Roman" w:hAnsi="Times New Roman"/>
          <w:sz w:val="24"/>
          <w:szCs w:val="24"/>
        </w:rPr>
        <w:t>č.</w:t>
      </w:r>
      <w:r w:rsidR="00913112">
        <w:rPr>
          <w:rFonts w:ascii="Times New Roman" w:hAnsi="Times New Roman"/>
          <w:sz w:val="24"/>
          <w:szCs w:val="24"/>
        </w:rPr>
        <w:t> </w:t>
      </w:r>
      <w:r w:rsidR="004D7950" w:rsidRPr="0073392D">
        <w:rPr>
          <w:rFonts w:ascii="Times New Roman" w:hAnsi="Times New Roman"/>
          <w:sz w:val="24"/>
          <w:szCs w:val="24"/>
        </w:rPr>
        <w:t>58/1995 Sb.</w:t>
      </w:r>
      <w:r w:rsidRPr="00286395">
        <w:rPr>
          <w:rFonts w:ascii="Times New Roman" w:hAnsi="Times New Roman"/>
          <w:sz w:val="24"/>
          <w:szCs w:val="24"/>
          <w:lang w:eastAsia="en-US"/>
        </w:rPr>
        <w:t xml:space="preserve">, a to z roku 2009 </w:t>
      </w:r>
      <w:r w:rsidR="00B92D7B">
        <w:rPr>
          <w:rFonts w:ascii="Times New Roman" w:hAnsi="Times New Roman"/>
          <w:sz w:val="24"/>
          <w:szCs w:val="24"/>
          <w:lang w:eastAsia="en-US"/>
        </w:rPr>
        <w:t>provedená zákonem č.</w:t>
      </w:r>
      <w:r w:rsidR="00913112">
        <w:rPr>
          <w:rFonts w:ascii="Times New Roman" w:hAnsi="Times New Roman"/>
          <w:sz w:val="24"/>
          <w:szCs w:val="24"/>
          <w:lang w:eastAsia="en-US"/>
        </w:rPr>
        <w:t> </w:t>
      </w:r>
      <w:r w:rsidRPr="00286395">
        <w:rPr>
          <w:rFonts w:ascii="Times New Roman" w:hAnsi="Times New Roman"/>
          <w:sz w:val="24"/>
          <w:szCs w:val="24"/>
          <w:lang w:eastAsia="en-US"/>
        </w:rPr>
        <w:t>293/2009 Sb.</w:t>
      </w:r>
      <w:r w:rsidR="001A1418">
        <w:rPr>
          <w:rFonts w:ascii="Times New Roman" w:hAnsi="Times New Roman"/>
          <w:sz w:val="24"/>
          <w:szCs w:val="24"/>
          <w:lang w:eastAsia="en-US"/>
        </w:rPr>
        <w:t>,</w:t>
      </w:r>
      <w:r w:rsidR="00B92D7B">
        <w:rPr>
          <w:rFonts w:ascii="Times New Roman" w:hAnsi="Times New Roman"/>
          <w:sz w:val="24"/>
          <w:szCs w:val="24"/>
          <w:lang w:eastAsia="en-US"/>
        </w:rPr>
        <w:t xml:space="preserve"> účinná od 4. září 2009</w:t>
      </w:r>
      <w:r w:rsidRPr="00286395">
        <w:rPr>
          <w:rFonts w:ascii="Times New Roman" w:hAnsi="Times New Roman"/>
          <w:sz w:val="24"/>
          <w:szCs w:val="24"/>
          <w:lang w:eastAsia="en-US"/>
        </w:rPr>
        <w:t xml:space="preserve"> a z roku 2013 </w:t>
      </w:r>
      <w:r w:rsidR="00B92D7B">
        <w:rPr>
          <w:rFonts w:ascii="Times New Roman" w:hAnsi="Times New Roman"/>
          <w:sz w:val="24"/>
          <w:szCs w:val="24"/>
          <w:lang w:eastAsia="en-US"/>
        </w:rPr>
        <w:t>provedená zákonem č.</w:t>
      </w:r>
      <w:r w:rsidR="00913112">
        <w:rPr>
          <w:rFonts w:ascii="Times New Roman" w:hAnsi="Times New Roman"/>
          <w:sz w:val="24"/>
          <w:szCs w:val="24"/>
          <w:lang w:eastAsia="en-US"/>
        </w:rPr>
        <w:t> </w:t>
      </w:r>
      <w:r w:rsidRPr="00286395">
        <w:rPr>
          <w:rFonts w:ascii="Times New Roman" w:hAnsi="Times New Roman"/>
          <w:sz w:val="24"/>
          <w:szCs w:val="24"/>
          <w:lang w:eastAsia="en-US"/>
        </w:rPr>
        <w:t>230/2013 Sb.</w:t>
      </w:r>
      <w:r w:rsidR="001A1418">
        <w:rPr>
          <w:rFonts w:ascii="Times New Roman" w:hAnsi="Times New Roman"/>
          <w:sz w:val="24"/>
          <w:szCs w:val="24"/>
          <w:lang w:eastAsia="en-US"/>
        </w:rPr>
        <w:t>,</w:t>
      </w:r>
      <w:r w:rsidR="00B92D7B">
        <w:rPr>
          <w:rFonts w:ascii="Times New Roman" w:hAnsi="Times New Roman"/>
          <w:sz w:val="24"/>
          <w:szCs w:val="24"/>
          <w:lang w:eastAsia="en-US"/>
        </w:rPr>
        <w:t xml:space="preserve"> účinná od 2. srpna 2013</w:t>
      </w:r>
      <w:r w:rsidRPr="00286395">
        <w:rPr>
          <w:rFonts w:ascii="Times New Roman" w:hAnsi="Times New Roman"/>
          <w:sz w:val="24"/>
          <w:szCs w:val="24"/>
          <w:lang w:eastAsia="en-US"/>
        </w:rPr>
        <w:t xml:space="preserve">. Novelizace z roku 2009 zahrnula do státní podpory rovněž úvěry na investice, místo pojmu </w:t>
      </w:r>
      <w:r w:rsidR="00162BA3">
        <w:rPr>
          <w:rFonts w:ascii="Times New Roman" w:hAnsi="Times New Roman"/>
          <w:sz w:val="24"/>
          <w:szCs w:val="24"/>
          <w:lang w:eastAsia="en-US"/>
        </w:rPr>
        <w:t>„</w:t>
      </w:r>
      <w:r w:rsidRPr="00286395">
        <w:rPr>
          <w:rFonts w:ascii="Times New Roman" w:hAnsi="Times New Roman"/>
          <w:sz w:val="24"/>
          <w:szCs w:val="24"/>
          <w:lang w:eastAsia="en-US"/>
        </w:rPr>
        <w:t>národní obsah exportu</w:t>
      </w:r>
      <w:r w:rsidR="00162BA3">
        <w:rPr>
          <w:rFonts w:ascii="Times New Roman" w:hAnsi="Times New Roman"/>
          <w:sz w:val="24"/>
          <w:szCs w:val="24"/>
          <w:lang w:eastAsia="en-US"/>
        </w:rPr>
        <w:t>“</w:t>
      </w:r>
      <w:r w:rsidRPr="00286395">
        <w:rPr>
          <w:rFonts w:ascii="Times New Roman" w:hAnsi="Times New Roman"/>
          <w:sz w:val="24"/>
          <w:szCs w:val="24"/>
          <w:lang w:eastAsia="en-US"/>
        </w:rPr>
        <w:t xml:space="preserve"> zavedla pojem </w:t>
      </w:r>
      <w:r w:rsidR="00162BA3">
        <w:rPr>
          <w:rFonts w:ascii="Times New Roman" w:hAnsi="Times New Roman"/>
          <w:sz w:val="24"/>
          <w:szCs w:val="24"/>
          <w:lang w:eastAsia="en-US"/>
        </w:rPr>
        <w:t>„</w:t>
      </w:r>
      <w:r w:rsidRPr="00286395">
        <w:rPr>
          <w:rFonts w:ascii="Times New Roman" w:hAnsi="Times New Roman"/>
          <w:sz w:val="24"/>
          <w:szCs w:val="24"/>
          <w:lang w:eastAsia="en-US"/>
        </w:rPr>
        <w:t>národní zájem na exportu</w:t>
      </w:r>
      <w:r w:rsidR="00162BA3">
        <w:rPr>
          <w:rFonts w:ascii="Times New Roman" w:hAnsi="Times New Roman"/>
          <w:sz w:val="24"/>
          <w:szCs w:val="24"/>
          <w:lang w:eastAsia="en-US"/>
        </w:rPr>
        <w:t>“</w:t>
      </w:r>
      <w:r w:rsidRPr="00286395">
        <w:rPr>
          <w:rFonts w:ascii="Times New Roman" w:hAnsi="Times New Roman"/>
          <w:sz w:val="24"/>
          <w:szCs w:val="24"/>
          <w:lang w:eastAsia="en-US"/>
        </w:rPr>
        <w:t xml:space="preserve"> a tím umožnila zahrnutí do systému</w:t>
      </w:r>
      <w:r w:rsidR="009D6C65">
        <w:rPr>
          <w:rFonts w:ascii="Times New Roman" w:hAnsi="Times New Roman"/>
          <w:sz w:val="24"/>
          <w:szCs w:val="24"/>
          <w:lang w:eastAsia="en-US"/>
        </w:rPr>
        <w:t xml:space="preserve"> státní podpory exportu rovněž </w:t>
      </w:r>
      <w:r w:rsidRPr="00286395">
        <w:rPr>
          <w:rFonts w:ascii="Times New Roman" w:hAnsi="Times New Roman"/>
          <w:sz w:val="24"/>
          <w:szCs w:val="24"/>
          <w:lang w:eastAsia="en-US"/>
        </w:rPr>
        <w:t>pojiš</w:t>
      </w:r>
      <w:r w:rsidR="001E1167">
        <w:rPr>
          <w:rFonts w:ascii="Times New Roman" w:hAnsi="Times New Roman"/>
          <w:sz w:val="24"/>
          <w:szCs w:val="24"/>
          <w:lang w:eastAsia="en-US"/>
        </w:rPr>
        <w:t>ťování</w:t>
      </w:r>
      <w:r w:rsidRPr="00286395">
        <w:rPr>
          <w:rFonts w:ascii="Times New Roman" w:hAnsi="Times New Roman"/>
          <w:sz w:val="24"/>
          <w:szCs w:val="24"/>
          <w:lang w:eastAsia="en-US"/>
        </w:rPr>
        <w:t xml:space="preserve"> a</w:t>
      </w:r>
      <w:r w:rsidR="00526A82">
        <w:rPr>
          <w:rFonts w:ascii="Times New Roman" w:hAnsi="Times New Roman"/>
          <w:sz w:val="24"/>
          <w:szCs w:val="24"/>
          <w:lang w:eastAsia="en-US"/>
        </w:rPr>
        <w:t> </w:t>
      </w:r>
      <w:r w:rsidRPr="00286395">
        <w:rPr>
          <w:rFonts w:ascii="Times New Roman" w:hAnsi="Times New Roman"/>
          <w:sz w:val="24"/>
          <w:szCs w:val="24"/>
          <w:lang w:eastAsia="en-US"/>
        </w:rPr>
        <w:t>financování zahraničních společností ovládaných českými subjekty a upravila mechanismus dorovnávání úrokových sazeb při poskytování podpořeného financování ze</w:t>
      </w:r>
      <w:r w:rsidR="00A358F3">
        <w:rPr>
          <w:rFonts w:ascii="Times New Roman" w:hAnsi="Times New Roman"/>
          <w:sz w:val="24"/>
          <w:szCs w:val="24"/>
          <w:lang w:eastAsia="en-US"/>
        </w:rPr>
        <w:t> </w:t>
      </w:r>
      <w:r w:rsidRPr="00286395">
        <w:rPr>
          <w:rFonts w:ascii="Times New Roman" w:hAnsi="Times New Roman"/>
          <w:sz w:val="24"/>
          <w:szCs w:val="24"/>
          <w:lang w:eastAsia="en-US"/>
        </w:rPr>
        <w:t>strany komerčních bank. Základním charakteristickým rysem novelizace z roku 2013 bylo zprůchodnění systému dorovnávání úrokových sazeb při</w:t>
      </w:r>
      <w:r w:rsidR="005644EC">
        <w:rPr>
          <w:rFonts w:ascii="Times New Roman" w:hAnsi="Times New Roman"/>
          <w:sz w:val="24"/>
          <w:szCs w:val="24"/>
          <w:lang w:eastAsia="en-US"/>
        </w:rPr>
        <w:t> </w:t>
      </w:r>
      <w:r w:rsidRPr="00286395">
        <w:rPr>
          <w:rFonts w:ascii="Times New Roman" w:hAnsi="Times New Roman"/>
          <w:sz w:val="24"/>
          <w:szCs w:val="24"/>
          <w:lang w:eastAsia="en-US"/>
        </w:rPr>
        <w:t>poskytování podpořeného financování, protože tento systém se po</w:t>
      </w:r>
      <w:r w:rsidR="001D1A24">
        <w:rPr>
          <w:rFonts w:ascii="Times New Roman" w:hAnsi="Times New Roman"/>
          <w:sz w:val="24"/>
          <w:szCs w:val="24"/>
          <w:lang w:eastAsia="en-US"/>
        </w:rPr>
        <w:t> </w:t>
      </w:r>
      <w:r w:rsidRPr="00286395">
        <w:rPr>
          <w:rFonts w:ascii="Times New Roman" w:hAnsi="Times New Roman"/>
          <w:sz w:val="24"/>
          <w:szCs w:val="24"/>
          <w:lang w:eastAsia="en-US"/>
        </w:rPr>
        <w:t>svém zavedení ukázal jako nedostatečně funkční.</w:t>
      </w:r>
    </w:p>
    <w:p w14:paraId="5772E0E2" w14:textId="5CDF1F10" w:rsidR="00E262DD" w:rsidRPr="00286395" w:rsidRDefault="00417B91" w:rsidP="00EB147E">
      <w:pPr>
        <w:spacing w:before="120" w:after="120"/>
        <w:ind w:left="360"/>
        <w:jc w:val="both"/>
        <w:rPr>
          <w:rFonts w:ascii="Times New Roman" w:hAnsi="Times New Roman"/>
          <w:sz w:val="24"/>
          <w:szCs w:val="24"/>
          <w:lang w:eastAsia="en-US"/>
        </w:rPr>
      </w:pPr>
      <w:r>
        <w:rPr>
          <w:rFonts w:ascii="Times New Roman" w:hAnsi="Times New Roman"/>
          <w:sz w:val="24"/>
          <w:szCs w:val="24"/>
          <w:lang w:eastAsia="en-US"/>
        </w:rPr>
        <w:t>P</w:t>
      </w:r>
      <w:r w:rsidR="00E262DD" w:rsidRPr="00286395">
        <w:rPr>
          <w:rFonts w:ascii="Times New Roman" w:hAnsi="Times New Roman"/>
          <w:sz w:val="24"/>
          <w:szCs w:val="24"/>
          <w:lang w:eastAsia="en-US"/>
        </w:rPr>
        <w:t>rováděcí</w:t>
      </w:r>
      <w:r w:rsidR="00B12734">
        <w:rPr>
          <w:rFonts w:ascii="Times New Roman" w:hAnsi="Times New Roman"/>
          <w:sz w:val="24"/>
          <w:szCs w:val="24"/>
          <w:lang w:eastAsia="en-US"/>
        </w:rPr>
        <w:t>m</w:t>
      </w:r>
      <w:r w:rsidR="00E262DD" w:rsidRPr="00286395">
        <w:rPr>
          <w:rFonts w:ascii="Times New Roman" w:hAnsi="Times New Roman"/>
          <w:sz w:val="24"/>
          <w:szCs w:val="24"/>
          <w:lang w:eastAsia="en-US"/>
        </w:rPr>
        <w:t xml:space="preserve"> předpis</w:t>
      </w:r>
      <w:r>
        <w:rPr>
          <w:rFonts w:ascii="Times New Roman" w:hAnsi="Times New Roman"/>
          <w:sz w:val="24"/>
          <w:szCs w:val="24"/>
          <w:lang w:eastAsia="en-US"/>
        </w:rPr>
        <w:t xml:space="preserve">em k zákonu </w:t>
      </w:r>
      <w:r w:rsidR="004D7950" w:rsidRPr="0073392D">
        <w:rPr>
          <w:rFonts w:ascii="Times New Roman" w:hAnsi="Times New Roman"/>
          <w:sz w:val="24"/>
          <w:szCs w:val="24"/>
        </w:rPr>
        <w:t>č.</w:t>
      </w:r>
      <w:r w:rsidR="00913112">
        <w:rPr>
          <w:rFonts w:ascii="Times New Roman" w:hAnsi="Times New Roman"/>
          <w:sz w:val="24"/>
          <w:szCs w:val="24"/>
        </w:rPr>
        <w:t> </w:t>
      </w:r>
      <w:r w:rsidR="004D7950" w:rsidRPr="0073392D">
        <w:rPr>
          <w:rFonts w:ascii="Times New Roman" w:hAnsi="Times New Roman"/>
          <w:sz w:val="24"/>
          <w:szCs w:val="24"/>
        </w:rPr>
        <w:t>58/1995 Sb.</w:t>
      </w:r>
      <w:r w:rsidR="004D7950">
        <w:rPr>
          <w:rFonts w:ascii="Times New Roman" w:hAnsi="Times New Roman"/>
          <w:sz w:val="24"/>
          <w:szCs w:val="24"/>
        </w:rPr>
        <w:t xml:space="preserve"> </w:t>
      </w:r>
      <w:r>
        <w:rPr>
          <w:rFonts w:ascii="Times New Roman" w:hAnsi="Times New Roman"/>
          <w:sz w:val="24"/>
          <w:szCs w:val="24"/>
          <w:lang w:eastAsia="en-US"/>
        </w:rPr>
        <w:t xml:space="preserve">je </w:t>
      </w:r>
      <w:r w:rsidR="00B12734" w:rsidRPr="00286395">
        <w:rPr>
          <w:rFonts w:ascii="Times New Roman" w:hAnsi="Times New Roman"/>
          <w:sz w:val="24"/>
          <w:szCs w:val="24"/>
          <w:lang w:eastAsia="en-US"/>
        </w:rPr>
        <w:t>vyhláška M</w:t>
      </w:r>
      <w:r w:rsidR="00226C26">
        <w:rPr>
          <w:rFonts w:ascii="Times New Roman" w:hAnsi="Times New Roman"/>
          <w:sz w:val="24"/>
          <w:szCs w:val="24"/>
          <w:lang w:eastAsia="en-US"/>
        </w:rPr>
        <w:t>F</w:t>
      </w:r>
      <w:r w:rsidR="00B12734">
        <w:rPr>
          <w:rFonts w:ascii="Times New Roman" w:hAnsi="Times New Roman"/>
          <w:sz w:val="24"/>
          <w:szCs w:val="24"/>
          <w:lang w:eastAsia="en-US"/>
        </w:rPr>
        <w:t xml:space="preserve"> č.</w:t>
      </w:r>
      <w:r w:rsidR="00526A82">
        <w:rPr>
          <w:rFonts w:ascii="Times New Roman" w:hAnsi="Times New Roman"/>
          <w:sz w:val="24"/>
          <w:szCs w:val="24"/>
          <w:lang w:eastAsia="en-US"/>
        </w:rPr>
        <w:t> </w:t>
      </w:r>
      <w:r w:rsidR="00B12734" w:rsidRPr="00286395">
        <w:rPr>
          <w:rFonts w:ascii="Times New Roman" w:hAnsi="Times New Roman"/>
          <w:sz w:val="24"/>
          <w:szCs w:val="24"/>
          <w:lang w:eastAsia="en-US"/>
        </w:rPr>
        <w:t>278/1998 Sb.</w:t>
      </w:r>
      <w:r w:rsidR="00B12734">
        <w:rPr>
          <w:rFonts w:ascii="Times New Roman" w:hAnsi="Times New Roman"/>
          <w:sz w:val="24"/>
          <w:szCs w:val="24"/>
          <w:lang w:eastAsia="en-US"/>
        </w:rPr>
        <w:t xml:space="preserve"> </w:t>
      </w:r>
      <w:r w:rsidR="00B12734" w:rsidRPr="00B12734">
        <w:rPr>
          <w:rFonts w:ascii="Times New Roman" w:hAnsi="Times New Roman"/>
          <w:sz w:val="24"/>
          <w:szCs w:val="24"/>
          <w:lang w:eastAsia="en-US"/>
        </w:rPr>
        <w:t>k</w:t>
      </w:r>
      <w:r w:rsidR="00FF76EB">
        <w:rPr>
          <w:rFonts w:ascii="Times New Roman" w:hAnsi="Times New Roman"/>
          <w:sz w:val="24"/>
          <w:szCs w:val="24"/>
          <w:lang w:eastAsia="en-US"/>
        </w:rPr>
        <w:t> </w:t>
      </w:r>
      <w:r w:rsidR="00B12734" w:rsidRPr="00B12734">
        <w:rPr>
          <w:rFonts w:ascii="Times New Roman" w:hAnsi="Times New Roman"/>
          <w:sz w:val="24"/>
          <w:szCs w:val="24"/>
          <w:lang w:eastAsia="en-US"/>
        </w:rPr>
        <w:t>provedení zákona č.</w:t>
      </w:r>
      <w:r w:rsidR="00913112">
        <w:rPr>
          <w:rFonts w:ascii="Times New Roman" w:hAnsi="Times New Roman"/>
          <w:sz w:val="24"/>
          <w:szCs w:val="24"/>
          <w:lang w:eastAsia="en-US"/>
        </w:rPr>
        <w:t> </w:t>
      </w:r>
      <w:r w:rsidR="00B12734" w:rsidRPr="00B12734">
        <w:rPr>
          <w:rFonts w:ascii="Times New Roman" w:hAnsi="Times New Roman"/>
          <w:sz w:val="24"/>
          <w:szCs w:val="24"/>
          <w:lang w:eastAsia="en-US"/>
        </w:rPr>
        <w:t>58/1995 Sb., o pojišťování a financování vývozu se</w:t>
      </w:r>
      <w:r w:rsidR="005644EC">
        <w:rPr>
          <w:rFonts w:ascii="Times New Roman" w:hAnsi="Times New Roman"/>
          <w:sz w:val="24"/>
          <w:szCs w:val="24"/>
          <w:lang w:eastAsia="en-US"/>
        </w:rPr>
        <w:t> </w:t>
      </w:r>
      <w:r w:rsidR="00B12734" w:rsidRPr="00B12734">
        <w:rPr>
          <w:rFonts w:ascii="Times New Roman" w:hAnsi="Times New Roman"/>
          <w:sz w:val="24"/>
          <w:szCs w:val="24"/>
          <w:lang w:eastAsia="en-US"/>
        </w:rPr>
        <w:t>státní podporou a o doplnění zákona č.</w:t>
      </w:r>
      <w:r w:rsidR="00913112">
        <w:rPr>
          <w:rFonts w:ascii="Times New Roman" w:hAnsi="Times New Roman"/>
          <w:sz w:val="24"/>
          <w:szCs w:val="24"/>
          <w:lang w:eastAsia="en-US"/>
        </w:rPr>
        <w:t> </w:t>
      </w:r>
      <w:r w:rsidR="00B12734" w:rsidRPr="00B12734">
        <w:rPr>
          <w:rFonts w:ascii="Times New Roman" w:hAnsi="Times New Roman"/>
          <w:sz w:val="24"/>
          <w:szCs w:val="24"/>
          <w:lang w:eastAsia="en-US"/>
        </w:rPr>
        <w:t>166/1993 Sb., o Nejvyšším kontrolním úřadu, ve</w:t>
      </w:r>
      <w:r w:rsidR="00A358F3">
        <w:rPr>
          <w:rFonts w:ascii="Times New Roman" w:hAnsi="Times New Roman"/>
          <w:sz w:val="24"/>
          <w:szCs w:val="24"/>
          <w:lang w:eastAsia="en-US"/>
        </w:rPr>
        <w:t> </w:t>
      </w:r>
      <w:r w:rsidR="00B12734" w:rsidRPr="00B12734">
        <w:rPr>
          <w:rFonts w:ascii="Times New Roman" w:hAnsi="Times New Roman"/>
          <w:sz w:val="24"/>
          <w:szCs w:val="24"/>
          <w:lang w:eastAsia="en-US"/>
        </w:rPr>
        <w:t>znění pozdějších předpisů,</w:t>
      </w:r>
      <w:r w:rsidR="00B12734">
        <w:rPr>
          <w:rFonts w:ascii="Times New Roman" w:hAnsi="Times New Roman"/>
          <w:sz w:val="24"/>
          <w:szCs w:val="24"/>
          <w:lang w:eastAsia="en-US"/>
        </w:rPr>
        <w:t xml:space="preserve"> </w:t>
      </w:r>
      <w:r w:rsidR="00B12734" w:rsidRPr="00B12734">
        <w:rPr>
          <w:rFonts w:ascii="Times New Roman" w:hAnsi="Times New Roman"/>
          <w:sz w:val="24"/>
          <w:szCs w:val="24"/>
          <w:lang w:eastAsia="en-US"/>
        </w:rPr>
        <w:t>ve znění vyhlášek č.</w:t>
      </w:r>
      <w:r w:rsidR="00913112">
        <w:rPr>
          <w:rFonts w:ascii="Times New Roman" w:hAnsi="Times New Roman"/>
          <w:sz w:val="24"/>
          <w:szCs w:val="24"/>
          <w:lang w:eastAsia="en-US"/>
        </w:rPr>
        <w:t> </w:t>
      </w:r>
      <w:r w:rsidR="00B12734" w:rsidRPr="00B12734">
        <w:rPr>
          <w:rFonts w:ascii="Times New Roman" w:hAnsi="Times New Roman"/>
          <w:sz w:val="24"/>
          <w:szCs w:val="24"/>
          <w:lang w:eastAsia="en-US"/>
        </w:rPr>
        <w:t>88/2000 Sb., č.</w:t>
      </w:r>
      <w:r w:rsidR="00913112">
        <w:rPr>
          <w:rFonts w:ascii="Times New Roman" w:hAnsi="Times New Roman"/>
          <w:sz w:val="24"/>
          <w:szCs w:val="24"/>
          <w:lang w:eastAsia="en-US"/>
        </w:rPr>
        <w:t> </w:t>
      </w:r>
      <w:r w:rsidR="00B12734" w:rsidRPr="00B12734">
        <w:rPr>
          <w:rFonts w:ascii="Times New Roman" w:hAnsi="Times New Roman"/>
          <w:sz w:val="24"/>
          <w:szCs w:val="24"/>
          <w:lang w:eastAsia="en-US"/>
        </w:rPr>
        <w:t>355/2001 Sb., č.</w:t>
      </w:r>
      <w:r w:rsidR="00913112">
        <w:rPr>
          <w:rFonts w:ascii="Times New Roman" w:hAnsi="Times New Roman"/>
          <w:sz w:val="24"/>
          <w:szCs w:val="24"/>
          <w:lang w:eastAsia="en-US"/>
        </w:rPr>
        <w:t> </w:t>
      </w:r>
      <w:r w:rsidR="00B12734" w:rsidRPr="00B12734">
        <w:rPr>
          <w:rFonts w:ascii="Times New Roman" w:hAnsi="Times New Roman"/>
          <w:sz w:val="24"/>
          <w:szCs w:val="24"/>
          <w:lang w:eastAsia="en-US"/>
        </w:rPr>
        <w:t>29/2003</w:t>
      </w:r>
      <w:r w:rsidR="00913112">
        <w:rPr>
          <w:rFonts w:ascii="Times New Roman" w:hAnsi="Times New Roman"/>
          <w:sz w:val="24"/>
          <w:szCs w:val="24"/>
          <w:lang w:eastAsia="en-US"/>
        </w:rPr>
        <w:t> </w:t>
      </w:r>
      <w:r w:rsidR="00B12734" w:rsidRPr="00B12734">
        <w:rPr>
          <w:rFonts w:ascii="Times New Roman" w:hAnsi="Times New Roman"/>
          <w:sz w:val="24"/>
          <w:szCs w:val="24"/>
          <w:lang w:eastAsia="en-US"/>
        </w:rPr>
        <w:t>Sb., č.</w:t>
      </w:r>
      <w:r w:rsidR="00913112">
        <w:rPr>
          <w:rFonts w:ascii="Times New Roman" w:hAnsi="Times New Roman"/>
          <w:sz w:val="24"/>
          <w:szCs w:val="24"/>
          <w:lang w:eastAsia="en-US"/>
        </w:rPr>
        <w:t> </w:t>
      </w:r>
      <w:r w:rsidR="00B12734" w:rsidRPr="00B12734">
        <w:rPr>
          <w:rFonts w:ascii="Times New Roman" w:hAnsi="Times New Roman"/>
          <w:sz w:val="24"/>
          <w:szCs w:val="24"/>
          <w:lang w:eastAsia="en-US"/>
        </w:rPr>
        <w:t>407/2006 Sb., č.</w:t>
      </w:r>
      <w:r w:rsidR="00913112">
        <w:rPr>
          <w:rFonts w:ascii="Times New Roman" w:hAnsi="Times New Roman"/>
          <w:sz w:val="24"/>
          <w:szCs w:val="24"/>
          <w:lang w:eastAsia="en-US"/>
        </w:rPr>
        <w:t> </w:t>
      </w:r>
      <w:r w:rsidR="00B12734" w:rsidRPr="00B12734">
        <w:rPr>
          <w:rFonts w:ascii="Times New Roman" w:hAnsi="Times New Roman"/>
          <w:sz w:val="24"/>
          <w:szCs w:val="24"/>
          <w:lang w:eastAsia="en-US"/>
        </w:rPr>
        <w:t>62/2010 Sb., č.</w:t>
      </w:r>
      <w:r w:rsidR="00913112">
        <w:rPr>
          <w:rFonts w:ascii="Times New Roman" w:hAnsi="Times New Roman"/>
          <w:sz w:val="24"/>
          <w:szCs w:val="24"/>
          <w:lang w:eastAsia="en-US"/>
        </w:rPr>
        <w:t> </w:t>
      </w:r>
      <w:r w:rsidR="00B12734" w:rsidRPr="00B12734">
        <w:rPr>
          <w:rFonts w:ascii="Times New Roman" w:hAnsi="Times New Roman"/>
          <w:sz w:val="24"/>
          <w:szCs w:val="24"/>
          <w:lang w:eastAsia="en-US"/>
        </w:rPr>
        <w:t>116/2015 Sb. a č.</w:t>
      </w:r>
      <w:r w:rsidR="00913112">
        <w:rPr>
          <w:rFonts w:ascii="Times New Roman" w:hAnsi="Times New Roman"/>
          <w:sz w:val="24"/>
          <w:szCs w:val="24"/>
          <w:lang w:eastAsia="en-US"/>
        </w:rPr>
        <w:t> </w:t>
      </w:r>
      <w:r w:rsidR="00B12734" w:rsidRPr="00B12734">
        <w:rPr>
          <w:rFonts w:ascii="Times New Roman" w:hAnsi="Times New Roman"/>
          <w:sz w:val="24"/>
          <w:szCs w:val="24"/>
          <w:lang w:eastAsia="en-US"/>
        </w:rPr>
        <w:t>216/2016 Sb.</w:t>
      </w:r>
      <w:r w:rsidR="00B12734">
        <w:rPr>
          <w:rFonts w:ascii="Times New Roman" w:hAnsi="Times New Roman"/>
          <w:sz w:val="24"/>
          <w:szCs w:val="24"/>
          <w:lang w:eastAsia="en-US"/>
        </w:rPr>
        <w:t xml:space="preserve"> </w:t>
      </w:r>
      <w:r w:rsidR="001A1090">
        <w:rPr>
          <w:rFonts w:ascii="Times New Roman" w:hAnsi="Times New Roman"/>
          <w:sz w:val="24"/>
          <w:szCs w:val="24"/>
          <w:lang w:eastAsia="en-US"/>
        </w:rPr>
        <w:t>Předmětná</w:t>
      </w:r>
      <w:r w:rsidR="00A8564D">
        <w:rPr>
          <w:rFonts w:ascii="Times New Roman" w:hAnsi="Times New Roman"/>
          <w:sz w:val="24"/>
          <w:szCs w:val="24"/>
          <w:lang w:eastAsia="en-US"/>
        </w:rPr>
        <w:t xml:space="preserve"> v</w:t>
      </w:r>
      <w:r w:rsidR="00E262DD" w:rsidRPr="00286395">
        <w:rPr>
          <w:rFonts w:ascii="Times New Roman" w:hAnsi="Times New Roman"/>
          <w:sz w:val="24"/>
          <w:szCs w:val="24"/>
          <w:lang w:eastAsia="en-US"/>
        </w:rPr>
        <w:t xml:space="preserve">yhláška upravuje </w:t>
      </w:r>
      <w:r w:rsidR="001A1090">
        <w:rPr>
          <w:rFonts w:ascii="Times New Roman" w:hAnsi="Times New Roman"/>
          <w:sz w:val="24"/>
          <w:szCs w:val="24"/>
          <w:lang w:eastAsia="en-US"/>
        </w:rPr>
        <w:t xml:space="preserve">zejména </w:t>
      </w:r>
      <w:r w:rsidR="00E262DD" w:rsidRPr="00286395">
        <w:rPr>
          <w:rFonts w:ascii="Times New Roman" w:hAnsi="Times New Roman"/>
          <w:sz w:val="24"/>
          <w:szCs w:val="24"/>
          <w:lang w:eastAsia="en-US"/>
        </w:rPr>
        <w:t>způsoby výpočtu pojistné kapacity, způsob tvorby fondů pro pojišťování vývozních úvěrových rizik</w:t>
      </w:r>
      <w:r w:rsidR="00A8564D">
        <w:rPr>
          <w:rFonts w:ascii="Times New Roman" w:hAnsi="Times New Roman"/>
          <w:sz w:val="24"/>
          <w:szCs w:val="24"/>
          <w:lang w:eastAsia="en-US"/>
        </w:rPr>
        <w:t xml:space="preserve"> a</w:t>
      </w:r>
      <w:r w:rsidR="00E262DD" w:rsidRPr="00286395">
        <w:rPr>
          <w:rFonts w:ascii="Times New Roman" w:hAnsi="Times New Roman"/>
          <w:sz w:val="24"/>
          <w:szCs w:val="24"/>
          <w:lang w:eastAsia="en-US"/>
        </w:rPr>
        <w:t xml:space="preserve"> požadavky na jejich objem, stanoví objem rezerv a pojistnou angažovanost, způsob předkládání žádostí o dotace a způsob a výpočet dorovnávání úrokových sazeb při poskytování podpořeného financování ze</w:t>
      </w:r>
      <w:r w:rsidR="005644EC">
        <w:rPr>
          <w:rFonts w:ascii="Times New Roman" w:hAnsi="Times New Roman"/>
          <w:sz w:val="24"/>
          <w:szCs w:val="24"/>
          <w:lang w:eastAsia="en-US"/>
        </w:rPr>
        <w:t> </w:t>
      </w:r>
      <w:r w:rsidR="00E262DD" w:rsidRPr="00286395">
        <w:rPr>
          <w:rFonts w:ascii="Times New Roman" w:hAnsi="Times New Roman"/>
          <w:sz w:val="24"/>
          <w:szCs w:val="24"/>
          <w:lang w:eastAsia="en-US"/>
        </w:rPr>
        <w:t>strany komerčních bank.</w:t>
      </w:r>
      <w:r w:rsidR="00876BDC">
        <w:rPr>
          <w:rFonts w:ascii="Times New Roman" w:hAnsi="Times New Roman"/>
          <w:sz w:val="24"/>
          <w:szCs w:val="24"/>
          <w:lang w:eastAsia="en-US"/>
        </w:rPr>
        <w:t xml:space="preserve"> </w:t>
      </w:r>
      <w:r w:rsidR="00876BDC" w:rsidRPr="0025552E">
        <w:rPr>
          <w:rFonts w:ascii="Times New Roman" w:hAnsi="Times New Roman"/>
          <w:sz w:val="24"/>
          <w:szCs w:val="24"/>
          <w:lang w:eastAsia="en-US"/>
        </w:rPr>
        <w:t xml:space="preserve">Vzhledem k opakovaným novelizacím této vyhlášky a její již nevyhovující struktuře se jeví jako žádoucí </w:t>
      </w:r>
      <w:r w:rsidR="006D1BC5" w:rsidRPr="0025552E">
        <w:rPr>
          <w:rFonts w:ascii="Times New Roman" w:hAnsi="Times New Roman"/>
          <w:sz w:val="24"/>
          <w:szCs w:val="24"/>
          <w:lang w:eastAsia="en-US"/>
        </w:rPr>
        <w:t xml:space="preserve">přijmout zcela nový prováděcí </w:t>
      </w:r>
      <w:r w:rsidR="00226C26">
        <w:rPr>
          <w:rFonts w:ascii="Times New Roman" w:hAnsi="Times New Roman"/>
          <w:sz w:val="24"/>
          <w:szCs w:val="24"/>
          <w:lang w:eastAsia="en-US"/>
        </w:rPr>
        <w:t xml:space="preserve">právní </w:t>
      </w:r>
      <w:r w:rsidR="006D1BC5" w:rsidRPr="0025552E">
        <w:rPr>
          <w:rFonts w:ascii="Times New Roman" w:hAnsi="Times New Roman"/>
          <w:sz w:val="24"/>
          <w:szCs w:val="24"/>
          <w:lang w:eastAsia="en-US"/>
        </w:rPr>
        <w:t>předpis</w:t>
      </w:r>
      <w:r w:rsidR="0025552E">
        <w:rPr>
          <w:rFonts w:ascii="Times New Roman" w:hAnsi="Times New Roman"/>
          <w:sz w:val="24"/>
          <w:szCs w:val="24"/>
          <w:lang w:eastAsia="en-US"/>
        </w:rPr>
        <w:t xml:space="preserve">, společnou vyhlášku </w:t>
      </w:r>
      <w:r w:rsidR="00780489">
        <w:rPr>
          <w:rFonts w:ascii="Times New Roman" w:hAnsi="Times New Roman"/>
          <w:sz w:val="24"/>
          <w:szCs w:val="24"/>
          <w:lang w:eastAsia="en-US"/>
        </w:rPr>
        <w:t>M</w:t>
      </w:r>
      <w:r w:rsidR="00226C26">
        <w:rPr>
          <w:rFonts w:ascii="Times New Roman" w:hAnsi="Times New Roman"/>
          <w:sz w:val="24"/>
          <w:szCs w:val="24"/>
          <w:lang w:eastAsia="en-US"/>
        </w:rPr>
        <w:t>F</w:t>
      </w:r>
      <w:r w:rsidR="006F7E1F">
        <w:rPr>
          <w:rFonts w:ascii="Times New Roman" w:hAnsi="Times New Roman"/>
          <w:sz w:val="24"/>
          <w:szCs w:val="24"/>
          <w:lang w:eastAsia="en-US"/>
        </w:rPr>
        <w:t xml:space="preserve"> </w:t>
      </w:r>
      <w:r w:rsidR="00780489">
        <w:rPr>
          <w:rFonts w:ascii="Times New Roman" w:hAnsi="Times New Roman"/>
          <w:sz w:val="24"/>
          <w:szCs w:val="24"/>
          <w:lang w:eastAsia="en-US"/>
        </w:rPr>
        <w:t>a</w:t>
      </w:r>
      <w:r w:rsidR="006F7E1F">
        <w:rPr>
          <w:rFonts w:ascii="Times New Roman" w:hAnsi="Times New Roman"/>
          <w:sz w:val="24"/>
          <w:szCs w:val="24"/>
          <w:lang w:eastAsia="en-US"/>
        </w:rPr>
        <w:t> </w:t>
      </w:r>
      <w:r w:rsidR="00226C26">
        <w:rPr>
          <w:rFonts w:ascii="Times New Roman" w:hAnsi="Times New Roman"/>
          <w:sz w:val="24"/>
          <w:szCs w:val="24"/>
          <w:lang w:eastAsia="en-US"/>
        </w:rPr>
        <w:t xml:space="preserve"> </w:t>
      </w:r>
      <w:r w:rsidR="0025552E">
        <w:rPr>
          <w:rFonts w:ascii="Times New Roman" w:hAnsi="Times New Roman"/>
          <w:sz w:val="24"/>
          <w:szCs w:val="24"/>
          <w:lang w:eastAsia="en-US"/>
        </w:rPr>
        <w:t>M</w:t>
      </w:r>
      <w:r w:rsidR="00226C26">
        <w:rPr>
          <w:rFonts w:ascii="Times New Roman" w:hAnsi="Times New Roman"/>
          <w:sz w:val="24"/>
          <w:szCs w:val="24"/>
          <w:lang w:eastAsia="en-US"/>
        </w:rPr>
        <w:t>PO</w:t>
      </w:r>
      <w:r w:rsidR="006D1BC5" w:rsidRPr="0025552E">
        <w:rPr>
          <w:rFonts w:ascii="Times New Roman" w:hAnsi="Times New Roman"/>
          <w:sz w:val="24"/>
          <w:szCs w:val="24"/>
          <w:lang w:eastAsia="en-US"/>
        </w:rPr>
        <w:t>.</w:t>
      </w:r>
    </w:p>
    <w:p w14:paraId="06FCB356" w14:textId="77777777" w:rsidR="00226C26" w:rsidRDefault="00226C26" w:rsidP="00EB147E">
      <w:pPr>
        <w:spacing w:before="120" w:after="120"/>
        <w:ind w:left="360"/>
        <w:jc w:val="both"/>
        <w:rPr>
          <w:rFonts w:ascii="Times New Roman" w:hAnsi="Times New Roman"/>
          <w:b/>
          <w:sz w:val="24"/>
          <w:szCs w:val="24"/>
          <w:lang w:eastAsia="en-US"/>
        </w:rPr>
      </w:pPr>
    </w:p>
    <w:p w14:paraId="6D2A1CCF" w14:textId="77777777" w:rsidR="00F051FD" w:rsidRDefault="00F051FD" w:rsidP="00EB147E">
      <w:pPr>
        <w:spacing w:before="120" w:after="120"/>
        <w:ind w:left="360"/>
        <w:jc w:val="both"/>
        <w:rPr>
          <w:rFonts w:ascii="Times New Roman" w:hAnsi="Times New Roman"/>
          <w:b/>
          <w:sz w:val="24"/>
          <w:szCs w:val="24"/>
          <w:lang w:eastAsia="en-US"/>
        </w:rPr>
      </w:pPr>
      <w:r w:rsidRPr="00286395">
        <w:rPr>
          <w:rFonts w:ascii="Times New Roman" w:hAnsi="Times New Roman"/>
          <w:b/>
          <w:sz w:val="24"/>
          <w:szCs w:val="24"/>
          <w:lang w:eastAsia="en-US"/>
        </w:rPr>
        <w:t>1.4. Identifikace dotčených subjektů</w:t>
      </w:r>
    </w:p>
    <w:p w14:paraId="03A021D2" w14:textId="77777777" w:rsidR="00CF1EB2" w:rsidRPr="00286395" w:rsidRDefault="00A541C7" w:rsidP="00526A82">
      <w:pPr>
        <w:spacing w:before="120" w:after="120"/>
        <w:ind w:left="357"/>
        <w:jc w:val="both"/>
        <w:rPr>
          <w:rFonts w:ascii="Times New Roman" w:hAnsi="Times New Roman"/>
          <w:sz w:val="24"/>
          <w:szCs w:val="24"/>
          <w:lang w:eastAsia="en-US"/>
        </w:rPr>
      </w:pPr>
      <w:r w:rsidRPr="00286395">
        <w:rPr>
          <w:rFonts w:ascii="Times New Roman" w:hAnsi="Times New Roman"/>
          <w:sz w:val="24"/>
          <w:szCs w:val="24"/>
          <w:lang w:eastAsia="en-US"/>
        </w:rPr>
        <w:t>Přímý dopad bude mít navrhovaná právní úprava zejména na</w:t>
      </w:r>
      <w:r w:rsidR="00F051FD" w:rsidRPr="00286395">
        <w:rPr>
          <w:rFonts w:ascii="Times New Roman" w:hAnsi="Times New Roman"/>
          <w:sz w:val="24"/>
          <w:szCs w:val="24"/>
          <w:lang w:eastAsia="en-US"/>
        </w:rPr>
        <w:t xml:space="preserve"> </w:t>
      </w:r>
      <w:r w:rsidRPr="00286395">
        <w:rPr>
          <w:rFonts w:ascii="Times New Roman" w:hAnsi="Times New Roman"/>
          <w:sz w:val="24"/>
          <w:szCs w:val="24"/>
          <w:lang w:eastAsia="en-US"/>
        </w:rPr>
        <w:t xml:space="preserve">dva subjekty: exportní pojišťovnu a exportní banku. </w:t>
      </w:r>
    </w:p>
    <w:p w14:paraId="313E2911" w14:textId="77777777" w:rsidR="00CF1EB2" w:rsidRPr="00286395" w:rsidRDefault="00A541C7" w:rsidP="00526A82">
      <w:pPr>
        <w:spacing w:before="120" w:after="120"/>
        <w:ind w:left="357"/>
        <w:jc w:val="both"/>
        <w:rPr>
          <w:rFonts w:ascii="Times New Roman" w:hAnsi="Times New Roman"/>
          <w:sz w:val="24"/>
          <w:szCs w:val="24"/>
          <w:lang w:eastAsia="en-US"/>
        </w:rPr>
      </w:pPr>
      <w:r w:rsidRPr="00286395">
        <w:rPr>
          <w:rFonts w:ascii="Times New Roman" w:hAnsi="Times New Roman"/>
          <w:sz w:val="24"/>
          <w:szCs w:val="24"/>
          <w:lang w:eastAsia="en-US"/>
        </w:rPr>
        <w:t>Exportní pojišťovnou je Exportní garanční a pojišťovací společnost, a.s.</w:t>
      </w:r>
    </w:p>
    <w:p w14:paraId="38BA385C" w14:textId="77777777" w:rsidR="00CF1EB2" w:rsidRPr="00286395" w:rsidRDefault="00A541C7" w:rsidP="00EB147E">
      <w:pPr>
        <w:spacing w:before="120" w:after="120"/>
        <w:ind w:left="360"/>
        <w:jc w:val="both"/>
        <w:rPr>
          <w:rFonts w:ascii="Times New Roman" w:hAnsi="Times New Roman"/>
          <w:sz w:val="24"/>
          <w:szCs w:val="24"/>
          <w:lang w:eastAsia="en-US"/>
        </w:rPr>
      </w:pPr>
      <w:r w:rsidRPr="00286395">
        <w:rPr>
          <w:rFonts w:ascii="Times New Roman" w:hAnsi="Times New Roman"/>
          <w:sz w:val="24"/>
          <w:szCs w:val="24"/>
          <w:lang w:eastAsia="en-US"/>
        </w:rPr>
        <w:t xml:space="preserve">Exportní bankou je Česká exportní banka, a.s. </w:t>
      </w:r>
    </w:p>
    <w:p w14:paraId="5B10EA53" w14:textId="416DDF49" w:rsidR="00A541C7" w:rsidRPr="00286395" w:rsidRDefault="00A541C7" w:rsidP="00EB147E">
      <w:pPr>
        <w:spacing w:before="120" w:after="120"/>
        <w:ind w:left="360"/>
        <w:jc w:val="both"/>
        <w:rPr>
          <w:rFonts w:ascii="Times New Roman" w:hAnsi="Times New Roman"/>
          <w:sz w:val="24"/>
          <w:szCs w:val="24"/>
          <w:lang w:eastAsia="en-US"/>
        </w:rPr>
      </w:pPr>
      <w:r w:rsidRPr="00286395">
        <w:rPr>
          <w:rFonts w:ascii="Times New Roman" w:hAnsi="Times New Roman"/>
          <w:sz w:val="24"/>
          <w:szCs w:val="24"/>
          <w:lang w:eastAsia="en-US"/>
        </w:rPr>
        <w:t xml:space="preserve">Nepřímý </w:t>
      </w:r>
      <w:r w:rsidR="00635484" w:rsidRPr="00286395">
        <w:rPr>
          <w:rFonts w:ascii="Times New Roman" w:hAnsi="Times New Roman"/>
          <w:sz w:val="24"/>
          <w:szCs w:val="24"/>
          <w:lang w:eastAsia="en-US"/>
        </w:rPr>
        <w:t xml:space="preserve">nebo podle povahy jednotlivých ustanovení i přímý </w:t>
      </w:r>
      <w:r w:rsidRPr="00286395">
        <w:rPr>
          <w:rFonts w:ascii="Times New Roman" w:hAnsi="Times New Roman"/>
          <w:sz w:val="24"/>
          <w:szCs w:val="24"/>
          <w:lang w:eastAsia="en-US"/>
        </w:rPr>
        <w:t>dopad bude mít navrhovaná právní úprava na exportně orientované podniky, a to jak z řad velkých podniků, tak i</w:t>
      </w:r>
      <w:r w:rsidR="001D1A24">
        <w:rPr>
          <w:rFonts w:ascii="Times New Roman" w:hAnsi="Times New Roman"/>
          <w:sz w:val="24"/>
          <w:szCs w:val="24"/>
          <w:lang w:eastAsia="en-US"/>
        </w:rPr>
        <w:t> </w:t>
      </w:r>
      <w:r w:rsidRPr="00286395">
        <w:rPr>
          <w:rFonts w:ascii="Times New Roman" w:hAnsi="Times New Roman"/>
          <w:sz w:val="24"/>
          <w:szCs w:val="24"/>
          <w:lang w:eastAsia="en-US"/>
        </w:rPr>
        <w:t>malých a středních podniků, a dále na celý segment komerčních bank.</w:t>
      </w:r>
    </w:p>
    <w:p w14:paraId="32FA683E" w14:textId="77777777" w:rsidR="00F051FD" w:rsidRPr="00286395" w:rsidRDefault="00B67EBD" w:rsidP="00EB147E">
      <w:pPr>
        <w:tabs>
          <w:tab w:val="left" w:pos="6660"/>
        </w:tabs>
        <w:spacing w:before="120" w:after="120"/>
        <w:ind w:left="360"/>
        <w:jc w:val="both"/>
        <w:rPr>
          <w:rFonts w:ascii="Times New Roman" w:hAnsi="Times New Roman"/>
          <w:bCs/>
          <w:iCs/>
          <w:sz w:val="24"/>
          <w:szCs w:val="24"/>
        </w:rPr>
      </w:pPr>
      <w:r>
        <w:rPr>
          <w:rFonts w:ascii="Times New Roman" w:hAnsi="Times New Roman"/>
          <w:bCs/>
          <w:iCs/>
          <w:sz w:val="24"/>
          <w:szCs w:val="24"/>
        </w:rPr>
        <w:t>Dílčí</w:t>
      </w:r>
      <w:r w:rsidR="00427D08" w:rsidRPr="00286395">
        <w:rPr>
          <w:rFonts w:ascii="Times New Roman" w:hAnsi="Times New Roman"/>
          <w:bCs/>
          <w:iCs/>
          <w:sz w:val="24"/>
          <w:szCs w:val="24"/>
        </w:rPr>
        <w:t xml:space="preserve"> dopad </w:t>
      </w:r>
      <w:r w:rsidR="003831C4" w:rsidRPr="00286395">
        <w:rPr>
          <w:rFonts w:ascii="Times New Roman" w:hAnsi="Times New Roman"/>
          <w:bCs/>
          <w:iCs/>
          <w:sz w:val="24"/>
          <w:szCs w:val="24"/>
        </w:rPr>
        <w:t xml:space="preserve">budou mít </w:t>
      </w:r>
      <w:r w:rsidR="00FA52F9" w:rsidRPr="00286395">
        <w:rPr>
          <w:rFonts w:ascii="Times New Roman" w:hAnsi="Times New Roman"/>
          <w:bCs/>
          <w:iCs/>
          <w:sz w:val="24"/>
          <w:szCs w:val="24"/>
        </w:rPr>
        <w:t xml:space="preserve">vybraná ustanovení dále na soukromé pojišťovny a zajišťovny </w:t>
      </w:r>
      <w:r w:rsidR="00221BFF" w:rsidRPr="00286395">
        <w:rPr>
          <w:rFonts w:ascii="Times New Roman" w:hAnsi="Times New Roman"/>
          <w:bCs/>
          <w:iCs/>
          <w:sz w:val="24"/>
          <w:szCs w:val="24"/>
        </w:rPr>
        <w:t>včetně</w:t>
      </w:r>
      <w:r w:rsidR="00FA52F9" w:rsidRPr="00286395">
        <w:rPr>
          <w:rFonts w:ascii="Times New Roman" w:hAnsi="Times New Roman"/>
          <w:bCs/>
          <w:iCs/>
          <w:sz w:val="24"/>
          <w:szCs w:val="24"/>
        </w:rPr>
        <w:t> zahranič</w:t>
      </w:r>
      <w:r w:rsidR="00221BFF" w:rsidRPr="00286395">
        <w:rPr>
          <w:rFonts w:ascii="Times New Roman" w:hAnsi="Times New Roman"/>
          <w:bCs/>
          <w:iCs/>
          <w:sz w:val="24"/>
          <w:szCs w:val="24"/>
        </w:rPr>
        <w:t>n</w:t>
      </w:r>
      <w:r w:rsidR="00FA52F9" w:rsidRPr="00286395">
        <w:rPr>
          <w:rFonts w:ascii="Times New Roman" w:hAnsi="Times New Roman"/>
          <w:bCs/>
          <w:iCs/>
          <w:sz w:val="24"/>
          <w:szCs w:val="24"/>
        </w:rPr>
        <w:t>í</w:t>
      </w:r>
      <w:r w:rsidR="00221BFF" w:rsidRPr="00286395">
        <w:rPr>
          <w:rFonts w:ascii="Times New Roman" w:hAnsi="Times New Roman"/>
          <w:bCs/>
          <w:iCs/>
          <w:sz w:val="24"/>
          <w:szCs w:val="24"/>
        </w:rPr>
        <w:t>ch</w:t>
      </w:r>
      <w:r w:rsidR="00FA52F9" w:rsidRPr="00286395">
        <w:rPr>
          <w:rFonts w:ascii="Times New Roman" w:hAnsi="Times New Roman"/>
          <w:bCs/>
          <w:iCs/>
          <w:sz w:val="24"/>
          <w:szCs w:val="24"/>
        </w:rPr>
        <w:t xml:space="preserve">, dodavatele a subdodavatele zboží a služeb určených pro export, </w:t>
      </w:r>
      <w:r w:rsidR="002C37CB" w:rsidRPr="00286395">
        <w:rPr>
          <w:rFonts w:ascii="Times New Roman" w:hAnsi="Times New Roman"/>
          <w:bCs/>
          <w:iCs/>
          <w:sz w:val="24"/>
          <w:szCs w:val="24"/>
        </w:rPr>
        <w:t>zahraniční konkurenci</w:t>
      </w:r>
      <w:r w:rsidR="004730B1" w:rsidRPr="00286395">
        <w:rPr>
          <w:rFonts w:ascii="Times New Roman" w:hAnsi="Times New Roman"/>
          <w:bCs/>
          <w:iCs/>
          <w:sz w:val="24"/>
          <w:szCs w:val="24"/>
        </w:rPr>
        <w:t xml:space="preserve"> domácích exportérů, potažmo konkurující zahraniční instituce</w:t>
      </w:r>
      <w:r w:rsidR="002C37CB" w:rsidRPr="00286395">
        <w:rPr>
          <w:rFonts w:ascii="Times New Roman" w:hAnsi="Times New Roman"/>
          <w:bCs/>
          <w:iCs/>
          <w:sz w:val="24"/>
          <w:szCs w:val="24"/>
        </w:rPr>
        <w:t xml:space="preserve"> exportního pojištění a financování, zahraniční subjekty v pozici odběratelů </w:t>
      </w:r>
      <w:r w:rsidR="0026449E" w:rsidRPr="00286395">
        <w:rPr>
          <w:rFonts w:ascii="Times New Roman" w:hAnsi="Times New Roman"/>
          <w:bCs/>
          <w:iCs/>
          <w:sz w:val="24"/>
          <w:szCs w:val="24"/>
        </w:rPr>
        <w:t>českého exportu</w:t>
      </w:r>
      <w:r w:rsidR="006303FD" w:rsidRPr="00286395">
        <w:rPr>
          <w:rFonts w:ascii="Times New Roman" w:hAnsi="Times New Roman"/>
          <w:bCs/>
          <w:iCs/>
          <w:sz w:val="24"/>
          <w:szCs w:val="24"/>
        </w:rPr>
        <w:t>, cizí státy v pozici dlužníka nebo ručitele a zahraniční osoby s akceptovatelnou zárukou cizího státu.</w:t>
      </w:r>
    </w:p>
    <w:p w14:paraId="4B7DD030" w14:textId="0A79C905" w:rsidR="001C6F84" w:rsidRDefault="00E36576" w:rsidP="00EB147E">
      <w:pPr>
        <w:tabs>
          <w:tab w:val="left" w:pos="6660"/>
        </w:tabs>
        <w:spacing w:before="120" w:after="120"/>
        <w:ind w:left="360"/>
        <w:jc w:val="both"/>
        <w:rPr>
          <w:rFonts w:ascii="Times New Roman" w:hAnsi="Times New Roman"/>
          <w:bCs/>
          <w:iCs/>
          <w:sz w:val="24"/>
          <w:szCs w:val="24"/>
        </w:rPr>
      </w:pPr>
      <w:r w:rsidRPr="00286395">
        <w:rPr>
          <w:rFonts w:ascii="Times New Roman" w:hAnsi="Times New Roman"/>
          <w:bCs/>
          <w:iCs/>
          <w:sz w:val="24"/>
          <w:szCs w:val="24"/>
        </w:rPr>
        <w:t xml:space="preserve">Přímý i nepřímý dopad budou mít vybraná ustanovení na </w:t>
      </w:r>
      <w:r w:rsidR="00EA22B2" w:rsidRPr="00286395">
        <w:rPr>
          <w:rFonts w:ascii="Times New Roman" w:hAnsi="Times New Roman"/>
          <w:bCs/>
          <w:iCs/>
          <w:sz w:val="24"/>
          <w:szCs w:val="24"/>
        </w:rPr>
        <w:t>vládu jako celek a zejména na</w:t>
      </w:r>
      <w:r w:rsidR="00A358F3">
        <w:rPr>
          <w:rFonts w:ascii="Times New Roman" w:hAnsi="Times New Roman"/>
          <w:bCs/>
          <w:iCs/>
          <w:sz w:val="24"/>
          <w:szCs w:val="24"/>
        </w:rPr>
        <w:t> </w:t>
      </w:r>
      <w:r w:rsidR="00EA22B2" w:rsidRPr="00286395">
        <w:rPr>
          <w:rFonts w:ascii="Times New Roman" w:hAnsi="Times New Roman"/>
          <w:bCs/>
          <w:iCs/>
          <w:sz w:val="24"/>
          <w:szCs w:val="24"/>
        </w:rPr>
        <w:t>M</w:t>
      </w:r>
      <w:r w:rsidR="00226C26">
        <w:rPr>
          <w:rFonts w:ascii="Times New Roman" w:hAnsi="Times New Roman"/>
          <w:bCs/>
          <w:iCs/>
          <w:sz w:val="24"/>
          <w:szCs w:val="24"/>
        </w:rPr>
        <w:t>F</w:t>
      </w:r>
      <w:r w:rsidR="00E6020C">
        <w:rPr>
          <w:rFonts w:ascii="Times New Roman" w:hAnsi="Times New Roman"/>
          <w:bCs/>
          <w:iCs/>
          <w:sz w:val="24"/>
          <w:szCs w:val="24"/>
        </w:rPr>
        <w:t xml:space="preserve"> a </w:t>
      </w:r>
      <w:r w:rsidR="003E01A3">
        <w:rPr>
          <w:rFonts w:ascii="Times New Roman" w:hAnsi="Times New Roman"/>
          <w:bCs/>
          <w:iCs/>
          <w:sz w:val="24"/>
          <w:szCs w:val="24"/>
        </w:rPr>
        <w:t>M</w:t>
      </w:r>
      <w:r w:rsidR="00226C26">
        <w:rPr>
          <w:rFonts w:ascii="Times New Roman" w:hAnsi="Times New Roman"/>
          <w:bCs/>
          <w:iCs/>
          <w:sz w:val="24"/>
          <w:szCs w:val="24"/>
        </w:rPr>
        <w:t>PO</w:t>
      </w:r>
      <w:r w:rsidR="00CE5CF5" w:rsidRPr="00286395">
        <w:rPr>
          <w:rFonts w:ascii="Times New Roman" w:hAnsi="Times New Roman"/>
          <w:bCs/>
          <w:iCs/>
          <w:sz w:val="24"/>
          <w:szCs w:val="24"/>
        </w:rPr>
        <w:t>.</w:t>
      </w:r>
    </w:p>
    <w:p w14:paraId="34A8AE16" w14:textId="77777777" w:rsidR="001C6F84" w:rsidRDefault="001C6F84">
      <w:pPr>
        <w:overflowPunct/>
        <w:autoSpaceDE/>
        <w:autoSpaceDN/>
        <w:adjustRightInd/>
        <w:spacing w:after="0" w:line="240" w:lineRule="auto"/>
        <w:textAlignment w:val="auto"/>
        <w:rPr>
          <w:rFonts w:ascii="Times New Roman" w:hAnsi="Times New Roman"/>
          <w:bCs/>
          <w:iCs/>
          <w:sz w:val="24"/>
          <w:szCs w:val="24"/>
        </w:rPr>
      </w:pPr>
      <w:r>
        <w:rPr>
          <w:rFonts w:ascii="Times New Roman" w:hAnsi="Times New Roman"/>
          <w:bCs/>
          <w:iCs/>
          <w:sz w:val="24"/>
          <w:szCs w:val="24"/>
        </w:rPr>
        <w:br w:type="page"/>
      </w:r>
    </w:p>
    <w:p w14:paraId="462B4401" w14:textId="77777777" w:rsidR="00F6155D" w:rsidRDefault="003E01A3" w:rsidP="00EB147E">
      <w:pPr>
        <w:tabs>
          <w:tab w:val="left" w:pos="6660"/>
        </w:tabs>
        <w:spacing w:before="120" w:after="120"/>
        <w:ind w:left="360"/>
        <w:jc w:val="both"/>
        <w:rPr>
          <w:rFonts w:ascii="Times New Roman" w:hAnsi="Times New Roman"/>
          <w:bCs/>
          <w:iCs/>
          <w:sz w:val="24"/>
          <w:szCs w:val="24"/>
        </w:rPr>
      </w:pPr>
      <w:r>
        <w:rPr>
          <w:rFonts w:ascii="Times New Roman" w:hAnsi="Times New Roman"/>
          <w:bCs/>
          <w:iCs/>
          <w:sz w:val="24"/>
          <w:szCs w:val="24"/>
        </w:rPr>
        <w:t xml:space="preserve">Okruh subjektů dotčených navrhovanou </w:t>
      </w:r>
      <w:r w:rsidR="00940351">
        <w:rPr>
          <w:rFonts w:ascii="Times New Roman" w:hAnsi="Times New Roman"/>
          <w:bCs/>
          <w:iCs/>
          <w:sz w:val="24"/>
          <w:szCs w:val="24"/>
        </w:rPr>
        <w:t>úpravou</w:t>
      </w:r>
      <w:r>
        <w:rPr>
          <w:rFonts w:ascii="Times New Roman" w:hAnsi="Times New Roman"/>
          <w:bCs/>
          <w:iCs/>
          <w:sz w:val="24"/>
          <w:szCs w:val="24"/>
        </w:rPr>
        <w:t xml:space="preserve"> zákona č.</w:t>
      </w:r>
      <w:r w:rsidR="00913112">
        <w:rPr>
          <w:rFonts w:ascii="Times New Roman" w:hAnsi="Times New Roman"/>
          <w:bCs/>
          <w:iCs/>
          <w:sz w:val="24"/>
          <w:szCs w:val="24"/>
        </w:rPr>
        <w:t> </w:t>
      </w:r>
      <w:r>
        <w:rPr>
          <w:rFonts w:ascii="Times New Roman" w:hAnsi="Times New Roman"/>
          <w:bCs/>
          <w:iCs/>
          <w:sz w:val="24"/>
          <w:szCs w:val="24"/>
        </w:rPr>
        <w:t xml:space="preserve">58/1995 Sb. </w:t>
      </w:r>
      <w:r w:rsidR="00FF120D">
        <w:rPr>
          <w:rFonts w:ascii="Times New Roman" w:hAnsi="Times New Roman"/>
          <w:bCs/>
          <w:iCs/>
          <w:sz w:val="24"/>
          <w:szCs w:val="24"/>
        </w:rPr>
        <w:t>stanoví následující tabulka č.</w:t>
      </w:r>
      <w:r w:rsidR="00913112">
        <w:rPr>
          <w:rFonts w:ascii="Times New Roman" w:hAnsi="Times New Roman"/>
          <w:bCs/>
          <w:iCs/>
          <w:sz w:val="24"/>
          <w:szCs w:val="24"/>
        </w:rPr>
        <w:t> </w:t>
      </w:r>
      <w:r w:rsidR="00FF120D">
        <w:rPr>
          <w:rFonts w:ascii="Times New Roman" w:hAnsi="Times New Roman"/>
          <w:bCs/>
          <w:iCs/>
          <w:sz w:val="24"/>
          <w:szCs w:val="24"/>
        </w:rPr>
        <w:t>1:</w:t>
      </w:r>
    </w:p>
    <w:p w14:paraId="04DCB52E" w14:textId="77777777" w:rsidR="00F051FD" w:rsidRPr="00286395" w:rsidRDefault="00F051FD" w:rsidP="00EB147E">
      <w:pPr>
        <w:tabs>
          <w:tab w:val="left" w:pos="6660"/>
        </w:tabs>
        <w:spacing w:before="120" w:after="120"/>
        <w:ind w:left="360"/>
        <w:rPr>
          <w:rFonts w:ascii="Times New Roman" w:hAnsi="Times New Roman"/>
          <w:bCs/>
          <w:i/>
          <w:iCs/>
          <w:sz w:val="24"/>
          <w:szCs w:val="24"/>
        </w:rPr>
      </w:pPr>
      <w:r w:rsidRPr="00286395">
        <w:rPr>
          <w:rFonts w:ascii="Times New Roman" w:hAnsi="Times New Roman"/>
          <w:bCs/>
          <w:i/>
          <w:iCs/>
          <w:sz w:val="24"/>
          <w:szCs w:val="24"/>
        </w:rPr>
        <w:t>Tabulka č.</w:t>
      </w:r>
      <w:r w:rsidR="00913112">
        <w:rPr>
          <w:rFonts w:ascii="Times New Roman" w:hAnsi="Times New Roman"/>
          <w:bCs/>
          <w:i/>
          <w:iCs/>
          <w:sz w:val="24"/>
          <w:szCs w:val="24"/>
        </w:rPr>
        <w:t> </w:t>
      </w:r>
      <w:r w:rsidRPr="00286395">
        <w:rPr>
          <w:rFonts w:ascii="Times New Roman" w:hAnsi="Times New Roman"/>
          <w:bCs/>
          <w:i/>
          <w:iCs/>
          <w:sz w:val="24"/>
          <w:szCs w:val="24"/>
        </w:rPr>
        <w:t>1</w:t>
      </w:r>
    </w:p>
    <w:tbl>
      <w:tblPr>
        <w:tblStyle w:val="Mkatabulky"/>
        <w:tblW w:w="0" w:type="auto"/>
        <w:tblInd w:w="360" w:type="dxa"/>
        <w:tblLook w:val="04A0" w:firstRow="1" w:lastRow="0" w:firstColumn="1" w:lastColumn="0" w:noHBand="0" w:noVBand="1"/>
      </w:tblPr>
      <w:tblGrid>
        <w:gridCol w:w="4328"/>
        <w:gridCol w:w="4374"/>
      </w:tblGrid>
      <w:tr w:rsidR="00F051FD" w:rsidRPr="00286395" w14:paraId="7D017340" w14:textId="77777777" w:rsidTr="00386D94">
        <w:tc>
          <w:tcPr>
            <w:tcW w:w="4328" w:type="dxa"/>
          </w:tcPr>
          <w:p w14:paraId="221F5EE2" w14:textId="77777777" w:rsidR="00F051FD" w:rsidRPr="00286395" w:rsidRDefault="00F051FD" w:rsidP="00556B61">
            <w:pPr>
              <w:tabs>
                <w:tab w:val="left" w:pos="6660"/>
              </w:tabs>
              <w:spacing w:before="120" w:after="120"/>
              <w:rPr>
                <w:rFonts w:ascii="Times New Roman" w:hAnsi="Times New Roman"/>
                <w:b/>
                <w:bCs/>
                <w:iCs/>
                <w:sz w:val="24"/>
                <w:szCs w:val="24"/>
              </w:rPr>
            </w:pPr>
            <w:r w:rsidRPr="00286395">
              <w:rPr>
                <w:rFonts w:ascii="Times New Roman" w:hAnsi="Times New Roman"/>
                <w:b/>
                <w:bCs/>
                <w:iCs/>
                <w:sz w:val="24"/>
                <w:szCs w:val="24"/>
              </w:rPr>
              <w:t xml:space="preserve">Navržená úprava zákona </w:t>
            </w:r>
          </w:p>
        </w:tc>
        <w:tc>
          <w:tcPr>
            <w:tcW w:w="4374" w:type="dxa"/>
          </w:tcPr>
          <w:p w14:paraId="2887CE48" w14:textId="77777777" w:rsidR="00F051FD" w:rsidRPr="00286395" w:rsidRDefault="00F051FD" w:rsidP="00556B61">
            <w:pPr>
              <w:tabs>
                <w:tab w:val="left" w:pos="6660"/>
              </w:tabs>
              <w:spacing w:before="120" w:after="120"/>
              <w:rPr>
                <w:rFonts w:ascii="Times New Roman" w:hAnsi="Times New Roman"/>
                <w:b/>
                <w:bCs/>
                <w:iCs/>
                <w:sz w:val="24"/>
                <w:szCs w:val="24"/>
              </w:rPr>
            </w:pPr>
            <w:r w:rsidRPr="00286395">
              <w:rPr>
                <w:rFonts w:ascii="Times New Roman" w:hAnsi="Times New Roman"/>
                <w:b/>
                <w:bCs/>
                <w:iCs/>
                <w:sz w:val="24"/>
                <w:szCs w:val="24"/>
              </w:rPr>
              <w:t>Okruh subjektů dotčených úpravou</w:t>
            </w:r>
          </w:p>
        </w:tc>
      </w:tr>
      <w:tr w:rsidR="00F051FD" w:rsidRPr="00286395" w14:paraId="46DCA355" w14:textId="77777777" w:rsidTr="00386D94">
        <w:tc>
          <w:tcPr>
            <w:tcW w:w="4328" w:type="dxa"/>
          </w:tcPr>
          <w:p w14:paraId="3BAF48F3" w14:textId="77777777" w:rsidR="00F051FD" w:rsidRPr="00286395" w:rsidRDefault="008F1153" w:rsidP="009320EA">
            <w:pPr>
              <w:spacing w:after="120" w:line="300" w:lineRule="exact"/>
              <w:jc w:val="both"/>
              <w:rPr>
                <w:rFonts w:ascii="Times New Roman" w:hAnsi="Times New Roman"/>
                <w:bCs/>
                <w:iCs/>
                <w:sz w:val="24"/>
                <w:szCs w:val="24"/>
              </w:rPr>
            </w:pPr>
            <w:r w:rsidRPr="00286395">
              <w:rPr>
                <w:rFonts w:ascii="Times New Roman" w:hAnsi="Times New Roman"/>
                <w:sz w:val="24"/>
                <w:szCs w:val="24"/>
              </w:rPr>
              <w:t>Flexibilnější nabídka exportní pojišťovny a exportní banky</w:t>
            </w:r>
          </w:p>
        </w:tc>
        <w:tc>
          <w:tcPr>
            <w:tcW w:w="4374" w:type="dxa"/>
          </w:tcPr>
          <w:p w14:paraId="4E8E5EEE" w14:textId="77777777" w:rsidR="00F051FD" w:rsidRPr="00286395" w:rsidRDefault="008F1153" w:rsidP="00940351">
            <w:pPr>
              <w:tabs>
                <w:tab w:val="left" w:pos="6660"/>
              </w:tabs>
              <w:spacing w:after="120" w:line="300" w:lineRule="exact"/>
              <w:jc w:val="both"/>
              <w:rPr>
                <w:rFonts w:ascii="Times New Roman" w:hAnsi="Times New Roman"/>
                <w:bCs/>
                <w:iCs/>
                <w:sz w:val="24"/>
                <w:szCs w:val="24"/>
              </w:rPr>
            </w:pPr>
            <w:r w:rsidRPr="00286395">
              <w:rPr>
                <w:rFonts w:ascii="Times New Roman" w:hAnsi="Times New Roman"/>
                <w:bCs/>
                <w:iCs/>
                <w:sz w:val="24"/>
                <w:szCs w:val="24"/>
              </w:rPr>
              <w:t>exportní pojišťovna, exportní banka, exportně orientované podniky, komerční banky</w:t>
            </w:r>
            <w:r w:rsidR="001826E8" w:rsidRPr="00286395">
              <w:rPr>
                <w:rFonts w:ascii="Times New Roman" w:hAnsi="Times New Roman"/>
                <w:bCs/>
                <w:iCs/>
                <w:sz w:val="24"/>
                <w:szCs w:val="24"/>
              </w:rPr>
              <w:t>; zahraniční subjekty v pozici odběratelů českého exportu a</w:t>
            </w:r>
            <w:r w:rsidR="00FF120D">
              <w:rPr>
                <w:rFonts w:ascii="Times New Roman" w:hAnsi="Times New Roman"/>
                <w:bCs/>
                <w:iCs/>
                <w:sz w:val="24"/>
                <w:szCs w:val="24"/>
              </w:rPr>
              <w:t> </w:t>
            </w:r>
            <w:r w:rsidR="004730B1" w:rsidRPr="00286395">
              <w:rPr>
                <w:rFonts w:ascii="Times New Roman" w:hAnsi="Times New Roman"/>
                <w:bCs/>
                <w:iCs/>
                <w:sz w:val="24"/>
                <w:szCs w:val="24"/>
              </w:rPr>
              <w:t>zahraniční konkurence</w:t>
            </w:r>
          </w:p>
        </w:tc>
      </w:tr>
      <w:tr w:rsidR="00F051FD" w:rsidRPr="00286395" w14:paraId="6446943F" w14:textId="77777777" w:rsidTr="00386D94">
        <w:tc>
          <w:tcPr>
            <w:tcW w:w="4328" w:type="dxa"/>
          </w:tcPr>
          <w:p w14:paraId="1972C9AD" w14:textId="77777777" w:rsidR="00F051FD" w:rsidRPr="00286395" w:rsidRDefault="004D2804" w:rsidP="005644EC">
            <w:pPr>
              <w:tabs>
                <w:tab w:val="left" w:pos="6660"/>
              </w:tabs>
              <w:spacing w:after="120" w:line="300" w:lineRule="exact"/>
              <w:jc w:val="both"/>
              <w:rPr>
                <w:rFonts w:ascii="Times New Roman" w:hAnsi="Times New Roman"/>
                <w:bCs/>
                <w:iCs/>
                <w:sz w:val="24"/>
                <w:szCs w:val="24"/>
              </w:rPr>
            </w:pPr>
            <w:r>
              <w:rPr>
                <w:rFonts w:ascii="Times New Roman" w:hAnsi="Times New Roman"/>
                <w:sz w:val="24"/>
                <w:szCs w:val="24"/>
              </w:rPr>
              <w:t xml:space="preserve">Vedení </w:t>
            </w:r>
            <w:r w:rsidRPr="004D2804">
              <w:rPr>
                <w:rFonts w:ascii="Times New Roman" w:hAnsi="Times New Roman"/>
                <w:sz w:val="24"/>
                <w:szCs w:val="24"/>
              </w:rPr>
              <w:t>peněžní</w:t>
            </w:r>
            <w:r w:rsidR="002645A2" w:rsidRPr="00286395">
              <w:rPr>
                <w:rFonts w:ascii="Times New Roman" w:hAnsi="Times New Roman"/>
                <w:sz w:val="24"/>
                <w:szCs w:val="24"/>
              </w:rPr>
              <w:t>ch prostředků exportní pojišťovny a exportní banky poskytnutých ze státního rozpočtu na účtech vedených u</w:t>
            </w:r>
            <w:r w:rsidR="005644EC">
              <w:rPr>
                <w:rFonts w:ascii="Times New Roman" w:hAnsi="Times New Roman"/>
                <w:sz w:val="24"/>
                <w:szCs w:val="24"/>
              </w:rPr>
              <w:t> </w:t>
            </w:r>
            <w:r w:rsidR="002645A2" w:rsidRPr="00286395">
              <w:rPr>
                <w:rFonts w:ascii="Times New Roman" w:hAnsi="Times New Roman"/>
                <w:sz w:val="24"/>
                <w:szCs w:val="24"/>
              </w:rPr>
              <w:t>centrální banky</w:t>
            </w:r>
          </w:p>
        </w:tc>
        <w:tc>
          <w:tcPr>
            <w:tcW w:w="4374" w:type="dxa"/>
          </w:tcPr>
          <w:p w14:paraId="63AFA47F" w14:textId="77777777" w:rsidR="00F051FD" w:rsidRPr="00286395" w:rsidRDefault="00E36576" w:rsidP="006D1DD6">
            <w:pPr>
              <w:tabs>
                <w:tab w:val="left" w:pos="6660"/>
              </w:tabs>
              <w:spacing w:after="120" w:line="300" w:lineRule="exact"/>
              <w:jc w:val="both"/>
              <w:rPr>
                <w:rFonts w:ascii="Times New Roman" w:hAnsi="Times New Roman"/>
                <w:bCs/>
                <w:iCs/>
                <w:sz w:val="24"/>
                <w:szCs w:val="24"/>
              </w:rPr>
            </w:pPr>
            <w:r w:rsidRPr="00286395">
              <w:rPr>
                <w:rFonts w:ascii="Times New Roman" w:hAnsi="Times New Roman"/>
                <w:bCs/>
                <w:iCs/>
                <w:sz w:val="24"/>
                <w:szCs w:val="24"/>
              </w:rPr>
              <w:t>expo</w:t>
            </w:r>
            <w:r w:rsidR="00CE5CF5" w:rsidRPr="00286395">
              <w:rPr>
                <w:rFonts w:ascii="Times New Roman" w:hAnsi="Times New Roman"/>
                <w:bCs/>
                <w:iCs/>
                <w:sz w:val="24"/>
                <w:szCs w:val="24"/>
              </w:rPr>
              <w:t>rtní pojišťovna, exportní banka</w:t>
            </w:r>
          </w:p>
        </w:tc>
      </w:tr>
      <w:tr w:rsidR="00F051FD" w:rsidRPr="00286395" w14:paraId="01356B68" w14:textId="77777777" w:rsidTr="00386D94">
        <w:tc>
          <w:tcPr>
            <w:tcW w:w="4328" w:type="dxa"/>
          </w:tcPr>
          <w:p w14:paraId="02B21540" w14:textId="03762B80" w:rsidR="00F051FD" w:rsidRPr="00286395" w:rsidRDefault="002645A2" w:rsidP="006D1DD6">
            <w:pPr>
              <w:spacing w:after="120" w:line="300" w:lineRule="exact"/>
              <w:jc w:val="both"/>
              <w:rPr>
                <w:rFonts w:ascii="Times New Roman" w:hAnsi="Times New Roman"/>
                <w:bCs/>
                <w:iCs/>
                <w:sz w:val="24"/>
                <w:szCs w:val="24"/>
              </w:rPr>
            </w:pPr>
            <w:r w:rsidRPr="00286395">
              <w:rPr>
                <w:rFonts w:ascii="Times New Roman" w:hAnsi="Times New Roman"/>
                <w:sz w:val="24"/>
                <w:szCs w:val="24"/>
              </w:rPr>
              <w:t xml:space="preserve">Rozšíření možností </w:t>
            </w:r>
            <w:r w:rsidR="00DA5D16" w:rsidRPr="00DA5D16">
              <w:rPr>
                <w:rFonts w:ascii="Times New Roman" w:hAnsi="Times New Roman"/>
                <w:bCs/>
                <w:sz w:val="24"/>
                <w:szCs w:val="24"/>
              </w:rPr>
              <w:t xml:space="preserve">zakládání právnických osob a </w:t>
            </w:r>
            <w:r w:rsidRPr="00286395">
              <w:rPr>
                <w:rFonts w:ascii="Times New Roman" w:hAnsi="Times New Roman"/>
                <w:sz w:val="24"/>
                <w:szCs w:val="24"/>
              </w:rPr>
              <w:t>nabývání podílů v právnických osobách exportní pojišťovnou a exportní bankou</w:t>
            </w:r>
          </w:p>
        </w:tc>
        <w:tc>
          <w:tcPr>
            <w:tcW w:w="4374" w:type="dxa"/>
          </w:tcPr>
          <w:p w14:paraId="04E5DBFF" w14:textId="77777777" w:rsidR="00F051FD" w:rsidRPr="00286395" w:rsidRDefault="002E57AE" w:rsidP="005644EC">
            <w:pPr>
              <w:tabs>
                <w:tab w:val="left" w:pos="6660"/>
              </w:tabs>
              <w:spacing w:after="120" w:line="300" w:lineRule="exact"/>
              <w:jc w:val="both"/>
              <w:rPr>
                <w:rFonts w:ascii="Times New Roman" w:hAnsi="Times New Roman"/>
                <w:bCs/>
                <w:iCs/>
                <w:sz w:val="24"/>
                <w:szCs w:val="24"/>
              </w:rPr>
            </w:pPr>
            <w:r w:rsidRPr="00286395">
              <w:rPr>
                <w:rFonts w:ascii="Times New Roman" w:hAnsi="Times New Roman"/>
                <w:bCs/>
                <w:iCs/>
                <w:sz w:val="24"/>
                <w:szCs w:val="24"/>
              </w:rPr>
              <w:t xml:space="preserve">exportní pojišťovna, exportní banka, zahraniční </w:t>
            </w:r>
            <w:r w:rsidR="00E05652" w:rsidRPr="00286395">
              <w:rPr>
                <w:rFonts w:ascii="Times New Roman" w:hAnsi="Times New Roman"/>
                <w:bCs/>
                <w:iCs/>
                <w:sz w:val="24"/>
                <w:szCs w:val="24"/>
              </w:rPr>
              <w:t xml:space="preserve">nebo domácí </w:t>
            </w:r>
            <w:r w:rsidRPr="00286395">
              <w:rPr>
                <w:rFonts w:ascii="Times New Roman" w:hAnsi="Times New Roman"/>
                <w:bCs/>
                <w:iCs/>
                <w:sz w:val="24"/>
                <w:szCs w:val="24"/>
              </w:rPr>
              <w:t>subjekty</w:t>
            </w:r>
            <w:r w:rsidR="007555B9" w:rsidRPr="00286395">
              <w:rPr>
                <w:rFonts w:ascii="Times New Roman" w:hAnsi="Times New Roman"/>
                <w:bCs/>
                <w:iCs/>
                <w:sz w:val="24"/>
                <w:szCs w:val="24"/>
              </w:rPr>
              <w:t>, v nichž je exportní pojišťovna nebo exportní banka způsobilá nabývat podíl nebo je zakládat za</w:t>
            </w:r>
            <w:r w:rsidR="005644EC">
              <w:rPr>
                <w:rFonts w:ascii="Times New Roman" w:hAnsi="Times New Roman"/>
                <w:bCs/>
                <w:iCs/>
                <w:sz w:val="24"/>
                <w:szCs w:val="24"/>
              </w:rPr>
              <w:t> </w:t>
            </w:r>
            <w:r w:rsidR="007555B9" w:rsidRPr="00286395">
              <w:rPr>
                <w:rFonts w:ascii="Times New Roman" w:hAnsi="Times New Roman"/>
                <w:bCs/>
                <w:iCs/>
                <w:sz w:val="24"/>
                <w:szCs w:val="24"/>
              </w:rPr>
              <w:t>účelem zajištění vymahatelnosti pohledávek</w:t>
            </w:r>
            <w:r w:rsidR="0009254D" w:rsidRPr="00286395">
              <w:rPr>
                <w:rFonts w:ascii="Times New Roman" w:hAnsi="Times New Roman"/>
                <w:bCs/>
                <w:iCs/>
                <w:sz w:val="24"/>
                <w:szCs w:val="24"/>
              </w:rPr>
              <w:t xml:space="preserve"> nebo vykonání činností směřujících k předcházení vzniku škod nebo zmírňování jejich následků</w:t>
            </w:r>
            <w:r w:rsidRPr="00286395">
              <w:rPr>
                <w:rFonts w:ascii="Times New Roman" w:hAnsi="Times New Roman"/>
                <w:bCs/>
                <w:iCs/>
                <w:sz w:val="24"/>
                <w:szCs w:val="24"/>
              </w:rPr>
              <w:t xml:space="preserve"> </w:t>
            </w:r>
          </w:p>
        </w:tc>
      </w:tr>
      <w:tr w:rsidR="00F051FD" w:rsidRPr="00286395" w14:paraId="26D926CF" w14:textId="77777777" w:rsidTr="00386D94">
        <w:tc>
          <w:tcPr>
            <w:tcW w:w="4328" w:type="dxa"/>
          </w:tcPr>
          <w:p w14:paraId="79662DDD" w14:textId="77777777" w:rsidR="00F051FD" w:rsidRPr="00286395" w:rsidRDefault="00350EF6" w:rsidP="006D1DD6">
            <w:pPr>
              <w:tabs>
                <w:tab w:val="left" w:pos="6660"/>
              </w:tabs>
              <w:spacing w:after="120" w:line="300" w:lineRule="exact"/>
              <w:jc w:val="both"/>
              <w:rPr>
                <w:rFonts w:ascii="Times New Roman" w:hAnsi="Times New Roman"/>
                <w:bCs/>
                <w:iCs/>
                <w:sz w:val="24"/>
                <w:szCs w:val="24"/>
              </w:rPr>
            </w:pPr>
            <w:r w:rsidRPr="00286395">
              <w:rPr>
                <w:rFonts w:ascii="Times New Roman" w:hAnsi="Times New Roman"/>
                <w:sz w:val="24"/>
                <w:szCs w:val="24"/>
              </w:rPr>
              <w:t>Nastavení limitů pro schvalování obchodních případů od určitého objemu vládou</w:t>
            </w:r>
          </w:p>
        </w:tc>
        <w:tc>
          <w:tcPr>
            <w:tcW w:w="4374" w:type="dxa"/>
          </w:tcPr>
          <w:p w14:paraId="5FFA77F7" w14:textId="77777777" w:rsidR="00F051FD" w:rsidRPr="00286395" w:rsidRDefault="0009254D" w:rsidP="001C6521">
            <w:pPr>
              <w:tabs>
                <w:tab w:val="left" w:pos="6660"/>
              </w:tabs>
              <w:spacing w:after="120" w:line="300" w:lineRule="exact"/>
              <w:jc w:val="both"/>
              <w:rPr>
                <w:rFonts w:ascii="Times New Roman" w:hAnsi="Times New Roman"/>
                <w:bCs/>
                <w:iCs/>
                <w:sz w:val="24"/>
                <w:szCs w:val="24"/>
              </w:rPr>
            </w:pPr>
            <w:r w:rsidRPr="00286395">
              <w:rPr>
                <w:rFonts w:ascii="Times New Roman" w:hAnsi="Times New Roman"/>
                <w:bCs/>
                <w:iCs/>
                <w:sz w:val="24"/>
                <w:szCs w:val="24"/>
              </w:rPr>
              <w:t>exportní pojišťovna, exportní banka, vláda</w:t>
            </w:r>
          </w:p>
        </w:tc>
      </w:tr>
      <w:tr w:rsidR="00F051FD" w:rsidRPr="00286395" w14:paraId="3E964D0D" w14:textId="77777777" w:rsidTr="00386D94">
        <w:tc>
          <w:tcPr>
            <w:tcW w:w="4328" w:type="dxa"/>
          </w:tcPr>
          <w:p w14:paraId="73B29223" w14:textId="77777777" w:rsidR="00F051FD" w:rsidRPr="00286395" w:rsidRDefault="00350EF6" w:rsidP="006D1DD6">
            <w:pPr>
              <w:tabs>
                <w:tab w:val="left" w:pos="6660"/>
              </w:tabs>
              <w:spacing w:after="120" w:line="300" w:lineRule="exact"/>
              <w:jc w:val="both"/>
              <w:rPr>
                <w:rFonts w:ascii="Times New Roman" w:hAnsi="Times New Roman"/>
                <w:bCs/>
                <w:iCs/>
                <w:sz w:val="24"/>
                <w:szCs w:val="24"/>
              </w:rPr>
            </w:pPr>
            <w:r w:rsidRPr="00286395">
              <w:rPr>
                <w:rFonts w:ascii="Times New Roman" w:hAnsi="Times New Roman"/>
                <w:sz w:val="24"/>
                <w:szCs w:val="24"/>
              </w:rPr>
              <w:t>Zjednodušení rozpočtování a vyúčtování záloh na dorovnávání úrokových rozdílů</w:t>
            </w:r>
          </w:p>
        </w:tc>
        <w:tc>
          <w:tcPr>
            <w:tcW w:w="4374" w:type="dxa"/>
          </w:tcPr>
          <w:p w14:paraId="249D38BC" w14:textId="45EE465B" w:rsidR="00F051FD" w:rsidRPr="00286395" w:rsidRDefault="001220D4" w:rsidP="00226C26">
            <w:pPr>
              <w:tabs>
                <w:tab w:val="left" w:pos="6660"/>
              </w:tabs>
              <w:spacing w:after="120" w:line="300" w:lineRule="exact"/>
              <w:jc w:val="both"/>
              <w:rPr>
                <w:rFonts w:ascii="Times New Roman" w:hAnsi="Times New Roman"/>
                <w:bCs/>
                <w:iCs/>
                <w:sz w:val="24"/>
                <w:szCs w:val="24"/>
              </w:rPr>
            </w:pPr>
            <w:r w:rsidRPr="00286395">
              <w:rPr>
                <w:rFonts w:ascii="Times New Roman" w:hAnsi="Times New Roman"/>
                <w:bCs/>
                <w:iCs/>
                <w:sz w:val="24"/>
                <w:szCs w:val="24"/>
              </w:rPr>
              <w:t>exportní banka, M</w:t>
            </w:r>
            <w:r w:rsidR="00226C26">
              <w:rPr>
                <w:rFonts w:ascii="Times New Roman" w:hAnsi="Times New Roman"/>
                <w:bCs/>
                <w:iCs/>
                <w:sz w:val="24"/>
                <w:szCs w:val="24"/>
              </w:rPr>
              <w:t>F</w:t>
            </w:r>
          </w:p>
        </w:tc>
      </w:tr>
      <w:tr w:rsidR="002645A2" w:rsidRPr="00286395" w14:paraId="5389FC0D" w14:textId="77777777" w:rsidTr="00386D94">
        <w:tc>
          <w:tcPr>
            <w:tcW w:w="4328" w:type="dxa"/>
          </w:tcPr>
          <w:p w14:paraId="2716D3E0" w14:textId="4255C1C4" w:rsidR="002645A2" w:rsidRPr="00286395" w:rsidRDefault="00350EF6" w:rsidP="00226C26">
            <w:pPr>
              <w:tabs>
                <w:tab w:val="left" w:pos="6660"/>
              </w:tabs>
              <w:spacing w:after="120" w:line="300" w:lineRule="exact"/>
              <w:jc w:val="both"/>
              <w:rPr>
                <w:rFonts w:ascii="Times New Roman" w:hAnsi="Times New Roman"/>
                <w:bCs/>
                <w:iCs/>
                <w:sz w:val="24"/>
                <w:szCs w:val="24"/>
              </w:rPr>
            </w:pPr>
            <w:r w:rsidRPr="00286395">
              <w:rPr>
                <w:rFonts w:ascii="Times New Roman" w:hAnsi="Times New Roman"/>
                <w:sz w:val="24"/>
                <w:szCs w:val="24"/>
              </w:rPr>
              <w:t>Rozšíření kontrolní pravomoci M</w:t>
            </w:r>
            <w:r w:rsidR="00226C26">
              <w:rPr>
                <w:rFonts w:ascii="Times New Roman" w:hAnsi="Times New Roman"/>
                <w:sz w:val="24"/>
                <w:szCs w:val="24"/>
              </w:rPr>
              <w:t>F</w:t>
            </w:r>
            <w:r w:rsidRPr="00286395">
              <w:rPr>
                <w:rFonts w:ascii="Times New Roman" w:hAnsi="Times New Roman"/>
                <w:sz w:val="24"/>
                <w:szCs w:val="24"/>
              </w:rPr>
              <w:t xml:space="preserve"> vůči exportní pojišťovně</w:t>
            </w:r>
          </w:p>
        </w:tc>
        <w:tc>
          <w:tcPr>
            <w:tcW w:w="4374" w:type="dxa"/>
          </w:tcPr>
          <w:p w14:paraId="31CAFE49" w14:textId="616207F9" w:rsidR="002645A2" w:rsidRPr="00286395" w:rsidRDefault="00221BFF" w:rsidP="00226C26">
            <w:pPr>
              <w:tabs>
                <w:tab w:val="left" w:pos="6660"/>
              </w:tabs>
              <w:spacing w:after="120" w:line="300" w:lineRule="exact"/>
              <w:rPr>
                <w:rFonts w:ascii="Times New Roman" w:hAnsi="Times New Roman"/>
                <w:bCs/>
                <w:iCs/>
                <w:sz w:val="24"/>
                <w:szCs w:val="24"/>
              </w:rPr>
            </w:pPr>
            <w:r w:rsidRPr="00286395">
              <w:rPr>
                <w:rFonts w:ascii="Times New Roman" w:hAnsi="Times New Roman"/>
                <w:bCs/>
                <w:iCs/>
                <w:sz w:val="24"/>
                <w:szCs w:val="24"/>
              </w:rPr>
              <w:t>exportní pojišťovna, M</w:t>
            </w:r>
            <w:r w:rsidR="00226C26">
              <w:rPr>
                <w:rFonts w:ascii="Times New Roman" w:hAnsi="Times New Roman"/>
                <w:bCs/>
                <w:iCs/>
                <w:sz w:val="24"/>
                <w:szCs w:val="24"/>
              </w:rPr>
              <w:t>F</w:t>
            </w:r>
          </w:p>
        </w:tc>
      </w:tr>
    </w:tbl>
    <w:p w14:paraId="6F976E23" w14:textId="5A4B80F4" w:rsidR="002F676E" w:rsidRPr="00286395" w:rsidRDefault="00F051FD" w:rsidP="00556B61">
      <w:pPr>
        <w:tabs>
          <w:tab w:val="left" w:pos="6660"/>
        </w:tabs>
        <w:spacing w:before="120" w:after="120"/>
        <w:ind w:left="357"/>
        <w:jc w:val="both"/>
        <w:rPr>
          <w:rFonts w:ascii="Times New Roman" w:hAnsi="Times New Roman"/>
          <w:bCs/>
          <w:iCs/>
          <w:sz w:val="24"/>
          <w:szCs w:val="24"/>
        </w:rPr>
      </w:pPr>
      <w:r w:rsidRPr="00286395">
        <w:rPr>
          <w:rFonts w:ascii="Times New Roman" w:hAnsi="Times New Roman"/>
          <w:bCs/>
          <w:iCs/>
          <w:sz w:val="24"/>
          <w:szCs w:val="24"/>
        </w:rPr>
        <w:t>Vzhledem k charakteru uvažovaných úprav zákona nelze konstatovat, že by některá skupina subjektů z jejich aplikace získala vůči ostatním dodatečný materiální prospěch ve</w:t>
      </w:r>
      <w:r w:rsidR="001D1A24">
        <w:rPr>
          <w:rFonts w:ascii="Times New Roman" w:hAnsi="Times New Roman"/>
          <w:bCs/>
          <w:iCs/>
          <w:sz w:val="24"/>
          <w:szCs w:val="24"/>
        </w:rPr>
        <w:t> </w:t>
      </w:r>
      <w:r w:rsidRPr="00286395">
        <w:rPr>
          <w:rFonts w:ascii="Times New Roman" w:hAnsi="Times New Roman"/>
          <w:bCs/>
          <w:iCs/>
          <w:sz w:val="24"/>
          <w:szCs w:val="24"/>
        </w:rPr>
        <w:t xml:space="preserve">srovnání se současným stavem. </w:t>
      </w:r>
    </w:p>
    <w:p w14:paraId="59276B84" w14:textId="77777777" w:rsidR="0087638B" w:rsidRDefault="0087638B" w:rsidP="009363E1">
      <w:pPr>
        <w:spacing w:before="120" w:after="120"/>
        <w:ind w:left="360"/>
        <w:jc w:val="both"/>
        <w:rPr>
          <w:rFonts w:ascii="Times New Roman" w:hAnsi="Times New Roman"/>
          <w:b/>
          <w:sz w:val="24"/>
          <w:szCs w:val="24"/>
          <w:lang w:eastAsia="en-US"/>
        </w:rPr>
      </w:pPr>
    </w:p>
    <w:p w14:paraId="1F6938BE" w14:textId="77777777" w:rsidR="00F051FD" w:rsidRPr="009363E1" w:rsidRDefault="009363E1" w:rsidP="009363E1">
      <w:pPr>
        <w:spacing w:before="120" w:after="120"/>
        <w:ind w:left="360"/>
        <w:jc w:val="both"/>
        <w:rPr>
          <w:rFonts w:ascii="Times New Roman" w:hAnsi="Times New Roman"/>
          <w:b/>
          <w:sz w:val="24"/>
          <w:szCs w:val="24"/>
          <w:lang w:eastAsia="en-US"/>
        </w:rPr>
      </w:pPr>
      <w:r w:rsidRPr="009363E1">
        <w:rPr>
          <w:rFonts w:ascii="Times New Roman" w:hAnsi="Times New Roman"/>
          <w:b/>
          <w:sz w:val="24"/>
          <w:szCs w:val="24"/>
          <w:lang w:eastAsia="en-US"/>
        </w:rPr>
        <w:t>1</w:t>
      </w:r>
      <w:r w:rsidR="009D6C65">
        <w:rPr>
          <w:rFonts w:ascii="Times New Roman" w:hAnsi="Times New Roman"/>
          <w:b/>
          <w:sz w:val="24"/>
          <w:szCs w:val="24"/>
          <w:lang w:eastAsia="en-US"/>
        </w:rPr>
        <w:t xml:space="preserve">.5. </w:t>
      </w:r>
      <w:r w:rsidR="00F051FD" w:rsidRPr="009363E1">
        <w:rPr>
          <w:rFonts w:ascii="Times New Roman" w:hAnsi="Times New Roman"/>
          <w:b/>
          <w:sz w:val="24"/>
          <w:szCs w:val="24"/>
          <w:lang w:eastAsia="en-US"/>
        </w:rPr>
        <w:t xml:space="preserve">Popis cílového stavu </w:t>
      </w:r>
    </w:p>
    <w:p w14:paraId="22B28699" w14:textId="4E89AAB4" w:rsidR="002F676E" w:rsidRPr="00286395" w:rsidRDefault="00F051FD" w:rsidP="00556B61">
      <w:pPr>
        <w:tabs>
          <w:tab w:val="left" w:pos="6660"/>
        </w:tabs>
        <w:spacing w:before="120" w:after="120"/>
        <w:ind w:left="357"/>
        <w:jc w:val="both"/>
        <w:rPr>
          <w:rFonts w:ascii="Times New Roman" w:hAnsi="Times New Roman"/>
          <w:bCs/>
          <w:iCs/>
          <w:sz w:val="24"/>
          <w:szCs w:val="24"/>
        </w:rPr>
      </w:pPr>
      <w:r w:rsidRPr="00286395">
        <w:rPr>
          <w:rFonts w:ascii="Times New Roman" w:hAnsi="Times New Roman"/>
          <w:bCs/>
          <w:iCs/>
          <w:sz w:val="24"/>
          <w:szCs w:val="24"/>
        </w:rPr>
        <w:t xml:space="preserve">Stav, který lze považovat u předkládaného záměru za cílový, je zvýšení právní jistoty velkého okruhu podnikatelských subjektů napříč celým spektrem podnikatelských odvětví, </w:t>
      </w:r>
      <w:r w:rsidR="002F676E" w:rsidRPr="00286395">
        <w:rPr>
          <w:rFonts w:ascii="Times New Roman" w:hAnsi="Times New Roman"/>
          <w:bCs/>
          <w:iCs/>
          <w:sz w:val="24"/>
          <w:szCs w:val="24"/>
        </w:rPr>
        <w:t>zejména exportní banky, exportní pojišťovny, velkých exportérů schopných dodávek rozsáhlých technologických celků na klíč i exportérů</w:t>
      </w:r>
      <w:r w:rsidR="0074491C">
        <w:rPr>
          <w:rFonts w:ascii="Times New Roman" w:hAnsi="Times New Roman"/>
          <w:bCs/>
          <w:iCs/>
          <w:sz w:val="24"/>
          <w:szCs w:val="24"/>
        </w:rPr>
        <w:t>,</w:t>
      </w:r>
      <w:r w:rsidR="002F676E" w:rsidRPr="00286395">
        <w:rPr>
          <w:rFonts w:ascii="Times New Roman" w:hAnsi="Times New Roman"/>
          <w:bCs/>
          <w:iCs/>
          <w:sz w:val="24"/>
          <w:szCs w:val="24"/>
        </w:rPr>
        <w:t xml:space="preserve"> </w:t>
      </w:r>
      <w:r w:rsidR="00226C26">
        <w:rPr>
          <w:rFonts w:ascii="Times New Roman" w:hAnsi="Times New Roman"/>
          <w:bCs/>
          <w:iCs/>
          <w:sz w:val="24"/>
          <w:szCs w:val="24"/>
        </w:rPr>
        <w:t>MSP</w:t>
      </w:r>
      <w:r w:rsidR="002F676E" w:rsidRPr="00286395">
        <w:rPr>
          <w:rFonts w:ascii="Times New Roman" w:hAnsi="Times New Roman"/>
          <w:bCs/>
          <w:iCs/>
          <w:sz w:val="24"/>
          <w:szCs w:val="24"/>
        </w:rPr>
        <w:t xml:space="preserve">, domácích </w:t>
      </w:r>
      <w:r w:rsidR="0074491C">
        <w:rPr>
          <w:rFonts w:ascii="Times New Roman" w:hAnsi="Times New Roman"/>
          <w:bCs/>
          <w:iCs/>
          <w:sz w:val="24"/>
          <w:szCs w:val="24"/>
        </w:rPr>
        <w:t>i</w:t>
      </w:r>
      <w:r w:rsidR="00820ABE">
        <w:rPr>
          <w:rFonts w:ascii="Times New Roman" w:hAnsi="Times New Roman"/>
          <w:bCs/>
          <w:iCs/>
          <w:sz w:val="24"/>
          <w:szCs w:val="24"/>
        </w:rPr>
        <w:t> </w:t>
      </w:r>
      <w:r w:rsidR="002F676E" w:rsidRPr="00286395">
        <w:rPr>
          <w:rFonts w:ascii="Times New Roman" w:hAnsi="Times New Roman"/>
          <w:bCs/>
          <w:iCs/>
          <w:sz w:val="24"/>
          <w:szCs w:val="24"/>
        </w:rPr>
        <w:t>zahraničních bank.</w:t>
      </w:r>
    </w:p>
    <w:p w14:paraId="35E2708D" w14:textId="04A2E82B" w:rsidR="00366B8B" w:rsidRPr="00286395" w:rsidRDefault="00366B8B" w:rsidP="00556B61">
      <w:pPr>
        <w:tabs>
          <w:tab w:val="left" w:pos="6660"/>
        </w:tabs>
        <w:spacing w:before="120" w:after="120"/>
        <w:ind w:left="357"/>
        <w:jc w:val="both"/>
        <w:rPr>
          <w:rFonts w:ascii="Times New Roman" w:hAnsi="Times New Roman"/>
          <w:bCs/>
          <w:iCs/>
          <w:sz w:val="24"/>
          <w:szCs w:val="24"/>
        </w:rPr>
      </w:pPr>
      <w:r w:rsidRPr="00286395">
        <w:rPr>
          <w:rFonts w:ascii="Times New Roman" w:hAnsi="Times New Roman"/>
          <w:bCs/>
          <w:iCs/>
          <w:sz w:val="24"/>
          <w:szCs w:val="24"/>
        </w:rPr>
        <w:t xml:space="preserve">Dosavadní text zákona </w:t>
      </w:r>
      <w:r w:rsidR="007A63C8" w:rsidRPr="0073392D">
        <w:rPr>
          <w:rFonts w:ascii="Times New Roman" w:hAnsi="Times New Roman"/>
          <w:sz w:val="24"/>
          <w:szCs w:val="24"/>
        </w:rPr>
        <w:t>č.</w:t>
      </w:r>
      <w:r w:rsidR="00913112">
        <w:rPr>
          <w:rFonts w:ascii="Times New Roman" w:hAnsi="Times New Roman"/>
          <w:sz w:val="24"/>
          <w:szCs w:val="24"/>
        </w:rPr>
        <w:t> </w:t>
      </w:r>
      <w:r w:rsidR="007A63C8" w:rsidRPr="0073392D">
        <w:rPr>
          <w:rFonts w:ascii="Times New Roman" w:hAnsi="Times New Roman"/>
          <w:sz w:val="24"/>
          <w:szCs w:val="24"/>
        </w:rPr>
        <w:t>58/1995 Sb.</w:t>
      </w:r>
      <w:r w:rsidR="007A63C8">
        <w:rPr>
          <w:rFonts w:ascii="Times New Roman" w:hAnsi="Times New Roman"/>
          <w:sz w:val="24"/>
          <w:szCs w:val="24"/>
        </w:rPr>
        <w:t xml:space="preserve"> </w:t>
      </w:r>
      <w:r w:rsidRPr="00286395">
        <w:rPr>
          <w:rFonts w:ascii="Times New Roman" w:hAnsi="Times New Roman"/>
          <w:bCs/>
          <w:iCs/>
          <w:sz w:val="24"/>
          <w:szCs w:val="24"/>
        </w:rPr>
        <w:t>vychází z důsledně taxativního výčtu nástrojů pojištění vývozních úvěrových rizik a podpořeného financování (§ 1 odst. 2, resp. odst. 3</w:t>
      </w:r>
      <w:r w:rsidR="00C72E4F">
        <w:rPr>
          <w:rFonts w:ascii="Times New Roman" w:hAnsi="Times New Roman"/>
          <w:bCs/>
          <w:iCs/>
          <w:sz w:val="24"/>
          <w:szCs w:val="24"/>
        </w:rPr>
        <w:t xml:space="preserve"> zákona č.</w:t>
      </w:r>
      <w:r w:rsidR="00913112">
        <w:rPr>
          <w:rFonts w:ascii="Times New Roman" w:hAnsi="Times New Roman"/>
          <w:bCs/>
          <w:iCs/>
          <w:sz w:val="24"/>
          <w:szCs w:val="24"/>
        </w:rPr>
        <w:t> </w:t>
      </w:r>
      <w:r w:rsidR="00C72E4F">
        <w:rPr>
          <w:rFonts w:ascii="Times New Roman" w:hAnsi="Times New Roman"/>
          <w:bCs/>
          <w:iCs/>
          <w:sz w:val="24"/>
          <w:szCs w:val="24"/>
        </w:rPr>
        <w:t>58/1995 Sb.</w:t>
      </w:r>
      <w:r w:rsidRPr="00286395">
        <w:rPr>
          <w:rFonts w:ascii="Times New Roman" w:hAnsi="Times New Roman"/>
          <w:bCs/>
          <w:iCs/>
          <w:sz w:val="24"/>
          <w:szCs w:val="24"/>
        </w:rPr>
        <w:t xml:space="preserve">). Praxe exportní pojišťovny a exportní banky však vyžaduje změnu přístupu, aby realizované </w:t>
      </w:r>
      <w:r w:rsidR="009C0B37">
        <w:rPr>
          <w:rFonts w:ascii="Times New Roman" w:hAnsi="Times New Roman"/>
          <w:bCs/>
          <w:iCs/>
          <w:sz w:val="24"/>
          <w:szCs w:val="24"/>
        </w:rPr>
        <w:t>nástroje</w:t>
      </w:r>
      <w:r w:rsidRPr="00286395">
        <w:rPr>
          <w:rFonts w:ascii="Times New Roman" w:hAnsi="Times New Roman"/>
          <w:bCs/>
          <w:iCs/>
          <w:sz w:val="24"/>
          <w:szCs w:val="24"/>
        </w:rPr>
        <w:t xml:space="preserve"> flexibilně reagovaly na změny na globálním trhu a</w:t>
      </w:r>
      <w:r w:rsidR="00526A82">
        <w:rPr>
          <w:rFonts w:ascii="Times New Roman" w:hAnsi="Times New Roman"/>
          <w:bCs/>
          <w:iCs/>
          <w:sz w:val="24"/>
          <w:szCs w:val="24"/>
        </w:rPr>
        <w:t> </w:t>
      </w:r>
      <w:r w:rsidRPr="00286395">
        <w:rPr>
          <w:rFonts w:ascii="Times New Roman" w:hAnsi="Times New Roman"/>
          <w:bCs/>
          <w:iCs/>
          <w:sz w:val="24"/>
          <w:szCs w:val="24"/>
        </w:rPr>
        <w:t xml:space="preserve">v obchodní praxi a aby byly jednotlivé nástroje konkurenceschopné nástrojům zahraničních </w:t>
      </w:r>
      <w:proofErr w:type="spellStart"/>
      <w:r w:rsidRPr="00286395">
        <w:rPr>
          <w:rFonts w:ascii="Times New Roman" w:hAnsi="Times New Roman"/>
          <w:bCs/>
          <w:iCs/>
          <w:sz w:val="24"/>
          <w:szCs w:val="24"/>
        </w:rPr>
        <w:t>ECAs</w:t>
      </w:r>
      <w:proofErr w:type="spellEnd"/>
      <w:r w:rsidRPr="00286395">
        <w:rPr>
          <w:rFonts w:ascii="Times New Roman" w:hAnsi="Times New Roman"/>
          <w:bCs/>
          <w:iCs/>
          <w:sz w:val="24"/>
          <w:szCs w:val="24"/>
        </w:rPr>
        <w:t>. Navržen je proto přesun výčtu nástrojů exportní pojišťovny a exportní banky do prováděcího právního předpisu. Současně budou nově zaváděné nástroje pojištění vývozních úvěrových rizik a podpořeného financování před jejich zavedením do</w:t>
      </w:r>
      <w:r w:rsidR="001D1A24">
        <w:rPr>
          <w:rFonts w:ascii="Times New Roman" w:hAnsi="Times New Roman"/>
          <w:bCs/>
          <w:iCs/>
          <w:sz w:val="24"/>
          <w:szCs w:val="24"/>
        </w:rPr>
        <w:t> </w:t>
      </w:r>
      <w:r w:rsidRPr="00286395">
        <w:rPr>
          <w:rFonts w:ascii="Times New Roman" w:hAnsi="Times New Roman"/>
          <w:bCs/>
          <w:iCs/>
          <w:sz w:val="24"/>
          <w:szCs w:val="24"/>
        </w:rPr>
        <w:t>praxe schvalovány M</w:t>
      </w:r>
      <w:r w:rsidR="00226C26">
        <w:rPr>
          <w:rFonts w:ascii="Times New Roman" w:hAnsi="Times New Roman"/>
          <w:bCs/>
          <w:iCs/>
          <w:sz w:val="24"/>
          <w:szCs w:val="24"/>
        </w:rPr>
        <w:t>F</w:t>
      </w:r>
      <w:r w:rsidRPr="00286395">
        <w:rPr>
          <w:rFonts w:ascii="Times New Roman" w:hAnsi="Times New Roman"/>
          <w:bCs/>
          <w:iCs/>
          <w:sz w:val="24"/>
          <w:szCs w:val="24"/>
        </w:rPr>
        <w:t xml:space="preserve"> </w:t>
      </w:r>
      <w:r w:rsidR="00E30549">
        <w:rPr>
          <w:rFonts w:ascii="Times New Roman" w:hAnsi="Times New Roman"/>
          <w:bCs/>
          <w:iCs/>
          <w:sz w:val="24"/>
          <w:szCs w:val="24"/>
        </w:rPr>
        <w:t>a</w:t>
      </w:r>
      <w:r w:rsidRPr="00286395">
        <w:rPr>
          <w:rFonts w:ascii="Times New Roman" w:hAnsi="Times New Roman"/>
          <w:bCs/>
          <w:iCs/>
          <w:sz w:val="24"/>
          <w:szCs w:val="24"/>
        </w:rPr>
        <w:t xml:space="preserve"> </w:t>
      </w:r>
      <w:r w:rsidR="00780489">
        <w:rPr>
          <w:rFonts w:ascii="Times New Roman" w:hAnsi="Times New Roman"/>
          <w:bCs/>
          <w:iCs/>
          <w:sz w:val="24"/>
          <w:szCs w:val="24"/>
        </w:rPr>
        <w:t xml:space="preserve">konzultovány s </w:t>
      </w:r>
      <w:r w:rsidR="00E30549" w:rsidRPr="00286395">
        <w:rPr>
          <w:rFonts w:ascii="Times New Roman" w:hAnsi="Times New Roman"/>
          <w:bCs/>
          <w:iCs/>
          <w:sz w:val="24"/>
          <w:szCs w:val="24"/>
        </w:rPr>
        <w:t>M</w:t>
      </w:r>
      <w:r w:rsidR="00226C26">
        <w:rPr>
          <w:rFonts w:ascii="Times New Roman" w:hAnsi="Times New Roman"/>
          <w:bCs/>
          <w:iCs/>
          <w:sz w:val="24"/>
          <w:szCs w:val="24"/>
        </w:rPr>
        <w:t>PO</w:t>
      </w:r>
      <w:r w:rsidRPr="00286395">
        <w:rPr>
          <w:rFonts w:ascii="Times New Roman" w:hAnsi="Times New Roman"/>
          <w:bCs/>
          <w:iCs/>
          <w:sz w:val="24"/>
          <w:szCs w:val="24"/>
        </w:rPr>
        <w:t xml:space="preserve">, a to </w:t>
      </w:r>
      <w:r w:rsidR="00E30549">
        <w:rPr>
          <w:rFonts w:ascii="Times New Roman" w:hAnsi="Times New Roman"/>
          <w:bCs/>
          <w:iCs/>
          <w:sz w:val="24"/>
          <w:szCs w:val="24"/>
        </w:rPr>
        <w:t>jak </w:t>
      </w:r>
      <w:r w:rsidRPr="00286395">
        <w:rPr>
          <w:rFonts w:ascii="Times New Roman" w:hAnsi="Times New Roman"/>
          <w:bCs/>
          <w:iCs/>
          <w:sz w:val="24"/>
          <w:szCs w:val="24"/>
        </w:rPr>
        <w:t>s ohledem na případné dopady na státní rozpočet ČR</w:t>
      </w:r>
      <w:r w:rsidR="00E30549">
        <w:rPr>
          <w:rFonts w:ascii="Times New Roman" w:hAnsi="Times New Roman"/>
          <w:bCs/>
          <w:iCs/>
          <w:sz w:val="24"/>
          <w:szCs w:val="24"/>
        </w:rPr>
        <w:t xml:space="preserve">, tak </w:t>
      </w:r>
      <w:r w:rsidR="00E30549" w:rsidRPr="00E30549">
        <w:rPr>
          <w:rFonts w:ascii="Times New Roman" w:hAnsi="Times New Roman"/>
          <w:bCs/>
          <w:iCs/>
          <w:sz w:val="24"/>
          <w:szCs w:val="24"/>
        </w:rPr>
        <w:t>s ohledem na</w:t>
      </w:r>
      <w:r w:rsidR="001D1A24">
        <w:rPr>
          <w:rFonts w:ascii="Times New Roman" w:hAnsi="Times New Roman"/>
          <w:bCs/>
          <w:iCs/>
          <w:sz w:val="24"/>
          <w:szCs w:val="24"/>
        </w:rPr>
        <w:t> </w:t>
      </w:r>
      <w:r w:rsidR="00E30549" w:rsidRPr="00E30549">
        <w:rPr>
          <w:rFonts w:ascii="Times New Roman" w:hAnsi="Times New Roman"/>
          <w:bCs/>
          <w:iCs/>
          <w:sz w:val="24"/>
          <w:szCs w:val="24"/>
        </w:rPr>
        <w:t>potřebu konzistentnosti, komplementarity a</w:t>
      </w:r>
      <w:r w:rsidR="00820ABE">
        <w:rPr>
          <w:rFonts w:ascii="Times New Roman" w:hAnsi="Times New Roman"/>
          <w:bCs/>
          <w:iCs/>
          <w:sz w:val="24"/>
          <w:szCs w:val="24"/>
        </w:rPr>
        <w:t> </w:t>
      </w:r>
      <w:r w:rsidR="00E30549" w:rsidRPr="00E30549">
        <w:rPr>
          <w:rFonts w:ascii="Times New Roman" w:hAnsi="Times New Roman"/>
          <w:bCs/>
          <w:iCs/>
          <w:sz w:val="24"/>
          <w:szCs w:val="24"/>
        </w:rPr>
        <w:t>synergie jednotlivých nástrojů podpory exportu</w:t>
      </w:r>
      <w:r w:rsidRPr="00286395">
        <w:rPr>
          <w:rFonts w:ascii="Times New Roman" w:hAnsi="Times New Roman"/>
          <w:bCs/>
          <w:iCs/>
          <w:sz w:val="24"/>
          <w:szCs w:val="24"/>
        </w:rPr>
        <w:t>.</w:t>
      </w:r>
    </w:p>
    <w:p w14:paraId="4B04AA50" w14:textId="7E12992D" w:rsidR="00780489" w:rsidRDefault="00366B8B" w:rsidP="00EB147E">
      <w:pPr>
        <w:tabs>
          <w:tab w:val="left" w:pos="6660"/>
        </w:tabs>
        <w:spacing w:before="120" w:after="120"/>
        <w:ind w:left="357"/>
        <w:jc w:val="both"/>
        <w:rPr>
          <w:rFonts w:ascii="Times New Roman" w:hAnsi="Times New Roman"/>
          <w:bCs/>
          <w:iCs/>
          <w:sz w:val="24"/>
          <w:szCs w:val="24"/>
        </w:rPr>
      </w:pPr>
      <w:r w:rsidRPr="00286395">
        <w:rPr>
          <w:rFonts w:ascii="Times New Roman" w:hAnsi="Times New Roman"/>
          <w:bCs/>
          <w:iCs/>
          <w:sz w:val="24"/>
          <w:szCs w:val="24"/>
        </w:rPr>
        <w:t xml:space="preserve">Platné znění zákona </w:t>
      </w:r>
      <w:r w:rsidR="003871D4">
        <w:rPr>
          <w:rFonts w:ascii="Times New Roman" w:hAnsi="Times New Roman"/>
          <w:bCs/>
          <w:iCs/>
          <w:sz w:val="24"/>
          <w:szCs w:val="24"/>
        </w:rPr>
        <w:t>č.</w:t>
      </w:r>
      <w:r w:rsidR="00A046DC">
        <w:rPr>
          <w:rFonts w:ascii="Times New Roman" w:hAnsi="Times New Roman"/>
          <w:bCs/>
          <w:iCs/>
          <w:sz w:val="24"/>
          <w:szCs w:val="24"/>
        </w:rPr>
        <w:t> </w:t>
      </w:r>
      <w:r w:rsidR="003871D4">
        <w:rPr>
          <w:rFonts w:ascii="Times New Roman" w:hAnsi="Times New Roman"/>
          <w:bCs/>
          <w:iCs/>
          <w:sz w:val="24"/>
          <w:szCs w:val="24"/>
        </w:rPr>
        <w:t xml:space="preserve">58/1995 Sb. </w:t>
      </w:r>
      <w:r w:rsidRPr="00286395">
        <w:rPr>
          <w:rFonts w:ascii="Times New Roman" w:hAnsi="Times New Roman"/>
          <w:bCs/>
          <w:iCs/>
          <w:sz w:val="24"/>
          <w:szCs w:val="24"/>
        </w:rPr>
        <w:t xml:space="preserve">důsledně neupravuje, jakým způsobem exportní pojišťovna a exportní banka naloží s </w:t>
      </w:r>
      <w:r w:rsidR="004D2804" w:rsidRPr="004D2804">
        <w:rPr>
          <w:rFonts w:ascii="Times New Roman" w:hAnsi="Times New Roman"/>
          <w:sz w:val="24"/>
          <w:szCs w:val="24"/>
        </w:rPr>
        <w:t>peněžní</w:t>
      </w:r>
      <w:r w:rsidRPr="00286395">
        <w:rPr>
          <w:rFonts w:ascii="Times New Roman" w:hAnsi="Times New Roman"/>
          <w:bCs/>
          <w:iCs/>
          <w:sz w:val="24"/>
          <w:szCs w:val="24"/>
        </w:rPr>
        <w:t>mi prostředky, které jsou exportní pojišťovně nebo exportní bance poskytovány prostřednictvím státního rozpočtu. Zejména se jedná o</w:t>
      </w:r>
      <w:r w:rsidR="00696D02">
        <w:rPr>
          <w:rFonts w:ascii="Times New Roman" w:hAnsi="Times New Roman"/>
          <w:bCs/>
          <w:iCs/>
          <w:sz w:val="24"/>
          <w:szCs w:val="24"/>
        </w:rPr>
        <w:t> </w:t>
      </w:r>
      <w:r w:rsidRPr="00286395">
        <w:rPr>
          <w:rFonts w:ascii="Times New Roman" w:hAnsi="Times New Roman"/>
          <w:bCs/>
          <w:iCs/>
          <w:sz w:val="24"/>
          <w:szCs w:val="24"/>
        </w:rPr>
        <w:t xml:space="preserve">dotace na úhradu ztrát, dotace na posílení fondů, </w:t>
      </w:r>
      <w:r w:rsidR="004D2804" w:rsidRPr="004D2804">
        <w:rPr>
          <w:rFonts w:ascii="Times New Roman" w:hAnsi="Times New Roman"/>
          <w:sz w:val="24"/>
          <w:szCs w:val="24"/>
        </w:rPr>
        <w:t>peněžní</w:t>
      </w:r>
      <w:r w:rsidR="004D2804" w:rsidRPr="00286395">
        <w:rPr>
          <w:rFonts w:ascii="Times New Roman" w:hAnsi="Times New Roman"/>
          <w:bCs/>
          <w:iCs/>
          <w:sz w:val="24"/>
          <w:szCs w:val="24"/>
        </w:rPr>
        <w:t xml:space="preserve"> </w:t>
      </w:r>
      <w:r w:rsidRPr="00286395">
        <w:rPr>
          <w:rFonts w:ascii="Times New Roman" w:hAnsi="Times New Roman"/>
          <w:bCs/>
          <w:iCs/>
          <w:sz w:val="24"/>
          <w:szCs w:val="24"/>
        </w:rPr>
        <w:t xml:space="preserve">prostředky na navýšení primárního kapitálu, </w:t>
      </w:r>
      <w:r w:rsidR="004D2804" w:rsidRPr="004D2804">
        <w:rPr>
          <w:rFonts w:ascii="Times New Roman" w:hAnsi="Times New Roman"/>
          <w:sz w:val="24"/>
          <w:szCs w:val="24"/>
        </w:rPr>
        <w:t>peněžní</w:t>
      </w:r>
      <w:r w:rsidR="004D2804" w:rsidRPr="00286395">
        <w:rPr>
          <w:rFonts w:ascii="Times New Roman" w:hAnsi="Times New Roman"/>
          <w:bCs/>
          <w:iCs/>
          <w:sz w:val="24"/>
          <w:szCs w:val="24"/>
        </w:rPr>
        <w:t xml:space="preserve"> </w:t>
      </w:r>
      <w:r w:rsidRPr="00286395">
        <w:rPr>
          <w:rFonts w:ascii="Times New Roman" w:hAnsi="Times New Roman"/>
          <w:bCs/>
          <w:iCs/>
          <w:sz w:val="24"/>
          <w:szCs w:val="24"/>
        </w:rPr>
        <w:t xml:space="preserve">prostředky na navýšení základního kapitálu nebo </w:t>
      </w:r>
      <w:r w:rsidR="00182552" w:rsidRPr="004D2804">
        <w:rPr>
          <w:rFonts w:ascii="Times New Roman" w:hAnsi="Times New Roman"/>
          <w:sz w:val="24"/>
          <w:szCs w:val="24"/>
        </w:rPr>
        <w:t>peněžní</w:t>
      </w:r>
      <w:r w:rsidRPr="00286395">
        <w:rPr>
          <w:rFonts w:ascii="Times New Roman" w:hAnsi="Times New Roman"/>
          <w:bCs/>
          <w:iCs/>
          <w:sz w:val="24"/>
          <w:szCs w:val="24"/>
        </w:rPr>
        <w:t xml:space="preserve"> prostředky na refinancování úvěrů a emitovaných dluhových cenných papírů. Jeví se jako účelné, aby exportní pojišťovna a exportní banka byly povinny vést tyto </w:t>
      </w:r>
      <w:r w:rsidR="00182552" w:rsidRPr="004D2804">
        <w:rPr>
          <w:rFonts w:ascii="Times New Roman" w:hAnsi="Times New Roman"/>
          <w:sz w:val="24"/>
          <w:szCs w:val="24"/>
        </w:rPr>
        <w:t>peněžní</w:t>
      </w:r>
      <w:r w:rsidR="00182552" w:rsidRPr="00286395">
        <w:rPr>
          <w:rFonts w:ascii="Times New Roman" w:hAnsi="Times New Roman"/>
          <w:bCs/>
          <w:iCs/>
          <w:sz w:val="24"/>
          <w:szCs w:val="24"/>
        </w:rPr>
        <w:t xml:space="preserve"> </w:t>
      </w:r>
      <w:r w:rsidRPr="00286395">
        <w:rPr>
          <w:rFonts w:ascii="Times New Roman" w:hAnsi="Times New Roman"/>
          <w:bCs/>
          <w:iCs/>
          <w:sz w:val="24"/>
          <w:szCs w:val="24"/>
        </w:rPr>
        <w:t>prostředky na</w:t>
      </w:r>
      <w:r w:rsidR="00696D02">
        <w:rPr>
          <w:rFonts w:ascii="Times New Roman" w:hAnsi="Times New Roman"/>
          <w:bCs/>
          <w:iCs/>
          <w:sz w:val="24"/>
          <w:szCs w:val="24"/>
        </w:rPr>
        <w:t> </w:t>
      </w:r>
      <w:r w:rsidRPr="00286395">
        <w:rPr>
          <w:rFonts w:ascii="Times New Roman" w:hAnsi="Times New Roman"/>
          <w:bCs/>
          <w:iCs/>
          <w:sz w:val="24"/>
          <w:szCs w:val="24"/>
        </w:rPr>
        <w:t xml:space="preserve">svých bankovních účtech podřízených státní pokladně vedených u České národní banky; v této souvislosti se navrhuje změna </w:t>
      </w:r>
      <w:r w:rsidR="006F7E1F">
        <w:rPr>
          <w:rFonts w:ascii="Times New Roman" w:hAnsi="Times New Roman"/>
          <w:bCs/>
          <w:iCs/>
          <w:sz w:val="24"/>
          <w:szCs w:val="24"/>
        </w:rPr>
        <w:t xml:space="preserve">i </w:t>
      </w:r>
      <w:r w:rsidRPr="00286395">
        <w:rPr>
          <w:rFonts w:ascii="Times New Roman" w:hAnsi="Times New Roman"/>
          <w:bCs/>
          <w:iCs/>
          <w:sz w:val="24"/>
          <w:szCs w:val="24"/>
        </w:rPr>
        <w:t>zákona o rozpočtových pravidlech.</w:t>
      </w:r>
    </w:p>
    <w:p w14:paraId="0D0697C8" w14:textId="0F2BD002" w:rsidR="00780489" w:rsidRDefault="00780489" w:rsidP="00EB147E">
      <w:pPr>
        <w:tabs>
          <w:tab w:val="left" w:pos="6660"/>
        </w:tabs>
        <w:spacing w:before="120" w:after="120"/>
        <w:ind w:left="357"/>
        <w:jc w:val="both"/>
        <w:rPr>
          <w:rFonts w:ascii="Times New Roman" w:hAnsi="Times New Roman"/>
          <w:bCs/>
          <w:iCs/>
          <w:sz w:val="24"/>
          <w:szCs w:val="24"/>
        </w:rPr>
      </w:pPr>
      <w:r>
        <w:rPr>
          <w:rFonts w:ascii="Times New Roman" w:hAnsi="Times New Roman"/>
          <w:bCs/>
          <w:iCs/>
          <w:sz w:val="24"/>
          <w:szCs w:val="24"/>
        </w:rPr>
        <w:t>Vedle prostředků poskytnutých ze státního rozpočtu bude mít exportní pojišťovna i</w:t>
      </w:r>
      <w:r w:rsidR="001D1A24">
        <w:rPr>
          <w:rFonts w:ascii="Times New Roman" w:hAnsi="Times New Roman"/>
          <w:bCs/>
          <w:iCs/>
          <w:sz w:val="24"/>
          <w:szCs w:val="24"/>
        </w:rPr>
        <w:t> </w:t>
      </w:r>
      <w:r>
        <w:rPr>
          <w:rFonts w:ascii="Times New Roman" w:hAnsi="Times New Roman"/>
          <w:bCs/>
          <w:iCs/>
          <w:sz w:val="24"/>
          <w:szCs w:val="24"/>
        </w:rPr>
        <w:t xml:space="preserve">exportní banka </w:t>
      </w:r>
      <w:r w:rsidR="00693808">
        <w:rPr>
          <w:rFonts w:ascii="Times New Roman" w:hAnsi="Times New Roman"/>
          <w:bCs/>
          <w:iCs/>
          <w:sz w:val="24"/>
          <w:szCs w:val="24"/>
        </w:rPr>
        <w:t xml:space="preserve">povinnost </w:t>
      </w:r>
      <w:r>
        <w:rPr>
          <w:rFonts w:ascii="Times New Roman" w:hAnsi="Times New Roman"/>
          <w:bCs/>
          <w:iCs/>
          <w:sz w:val="24"/>
          <w:szCs w:val="24"/>
        </w:rPr>
        <w:t>vést na účtech podřízených státní pokladně i další prostředky. Zákon pak stanoví z daného pravidla určité výjimky.</w:t>
      </w:r>
    </w:p>
    <w:p w14:paraId="50F98987" w14:textId="65C6D3BA" w:rsidR="00366B8B" w:rsidRDefault="00366B8B" w:rsidP="00EB147E">
      <w:pPr>
        <w:tabs>
          <w:tab w:val="left" w:pos="6660"/>
        </w:tabs>
        <w:spacing w:before="120" w:after="120"/>
        <w:ind w:left="357"/>
        <w:jc w:val="both"/>
        <w:rPr>
          <w:rFonts w:ascii="Times New Roman" w:hAnsi="Times New Roman"/>
          <w:bCs/>
          <w:iCs/>
          <w:sz w:val="24"/>
          <w:szCs w:val="24"/>
        </w:rPr>
      </w:pPr>
      <w:r w:rsidRPr="00286395">
        <w:rPr>
          <w:rFonts w:ascii="Times New Roman" w:hAnsi="Times New Roman"/>
          <w:bCs/>
          <w:iCs/>
          <w:sz w:val="24"/>
          <w:szCs w:val="24"/>
        </w:rPr>
        <w:t xml:space="preserve">Vzhledem k začlenění části </w:t>
      </w:r>
      <w:r w:rsidR="00182552" w:rsidRPr="004D2804">
        <w:rPr>
          <w:rFonts w:ascii="Times New Roman" w:hAnsi="Times New Roman"/>
          <w:sz w:val="24"/>
          <w:szCs w:val="24"/>
        </w:rPr>
        <w:t>peněžní</w:t>
      </w:r>
      <w:r w:rsidR="00182552">
        <w:rPr>
          <w:rFonts w:ascii="Times New Roman" w:hAnsi="Times New Roman"/>
          <w:bCs/>
          <w:iCs/>
          <w:sz w:val="24"/>
          <w:szCs w:val="24"/>
        </w:rPr>
        <w:t xml:space="preserve">ch </w:t>
      </w:r>
      <w:r w:rsidRPr="00286395">
        <w:rPr>
          <w:rFonts w:ascii="Times New Roman" w:hAnsi="Times New Roman"/>
          <w:bCs/>
          <w:iCs/>
          <w:sz w:val="24"/>
          <w:szCs w:val="24"/>
        </w:rPr>
        <w:t>prostředků exportní banky do systému státní pokladny by mohl stát prostřednictvím M</w:t>
      </w:r>
      <w:r w:rsidR="00D46213">
        <w:rPr>
          <w:rFonts w:ascii="Times New Roman" w:hAnsi="Times New Roman"/>
          <w:bCs/>
          <w:iCs/>
          <w:sz w:val="24"/>
          <w:szCs w:val="24"/>
        </w:rPr>
        <w:t>F</w:t>
      </w:r>
      <w:r w:rsidRPr="00286395">
        <w:rPr>
          <w:rFonts w:ascii="Times New Roman" w:hAnsi="Times New Roman"/>
          <w:bCs/>
          <w:iCs/>
          <w:sz w:val="24"/>
          <w:szCs w:val="24"/>
        </w:rPr>
        <w:t xml:space="preserve"> ve větší míře zajišťovat financování exportní banky, ta by pak nemusela být nucena získávat zdroje především na finančních trzích.</w:t>
      </w:r>
    </w:p>
    <w:p w14:paraId="101DF0E3" w14:textId="364A7941" w:rsidR="00AE3920" w:rsidRPr="007E6BC1" w:rsidRDefault="00AE3920" w:rsidP="00D46213">
      <w:pPr>
        <w:tabs>
          <w:tab w:val="left" w:pos="6660"/>
        </w:tabs>
        <w:spacing w:before="120" w:after="120"/>
        <w:ind w:left="357"/>
        <w:jc w:val="both"/>
        <w:rPr>
          <w:rFonts w:ascii="Times New Roman" w:hAnsi="Times New Roman"/>
          <w:sz w:val="24"/>
          <w:szCs w:val="24"/>
        </w:rPr>
      </w:pPr>
      <w:r w:rsidRPr="00AE3920">
        <w:rPr>
          <w:rFonts w:ascii="Times New Roman" w:hAnsi="Times New Roman"/>
          <w:bCs/>
          <w:iCs/>
          <w:sz w:val="24"/>
          <w:szCs w:val="24"/>
        </w:rPr>
        <w:t xml:space="preserve">Dosud jsou pro ČEB </w:t>
      </w:r>
      <w:r w:rsidRPr="007E6BC1">
        <w:rPr>
          <w:rFonts w:ascii="Times New Roman" w:hAnsi="Times New Roman"/>
          <w:sz w:val="24"/>
          <w:szCs w:val="24"/>
        </w:rPr>
        <w:t xml:space="preserve">základním zdrojem financování emise </w:t>
      </w:r>
      <w:proofErr w:type="spellStart"/>
      <w:r w:rsidRPr="007E6BC1">
        <w:rPr>
          <w:rFonts w:ascii="Times New Roman" w:hAnsi="Times New Roman"/>
          <w:sz w:val="24"/>
          <w:szCs w:val="24"/>
        </w:rPr>
        <w:t>cizoměnových</w:t>
      </w:r>
      <w:proofErr w:type="spellEnd"/>
      <w:r w:rsidRPr="007E6BC1">
        <w:rPr>
          <w:rFonts w:ascii="Times New Roman" w:hAnsi="Times New Roman"/>
          <w:sz w:val="24"/>
          <w:szCs w:val="24"/>
        </w:rPr>
        <w:t xml:space="preserve"> a korunových dluhopisů, jejichž objem ke konci roku 2018 dosahoval částky 39 mld. Kč a pokrýval úvěrové potřeby téměř z 98 %.</w:t>
      </w:r>
    </w:p>
    <w:p w14:paraId="67AEFD11" w14:textId="7E1F124B" w:rsidR="00AE3920" w:rsidRPr="007E6BC1" w:rsidRDefault="00AE3920" w:rsidP="00D46213">
      <w:pPr>
        <w:tabs>
          <w:tab w:val="left" w:pos="6660"/>
        </w:tabs>
        <w:spacing w:before="120" w:after="120"/>
        <w:ind w:left="357"/>
        <w:jc w:val="both"/>
        <w:rPr>
          <w:rFonts w:ascii="Times New Roman" w:hAnsi="Times New Roman"/>
          <w:sz w:val="24"/>
          <w:szCs w:val="24"/>
        </w:rPr>
      </w:pPr>
      <w:r w:rsidRPr="007E6BC1">
        <w:rPr>
          <w:rFonts w:ascii="Times New Roman" w:hAnsi="Times New Roman"/>
          <w:sz w:val="24"/>
          <w:szCs w:val="24"/>
        </w:rPr>
        <w:t xml:space="preserve">ČEB využívá zejména dluhopisový Euro Medium Term </w:t>
      </w:r>
      <w:proofErr w:type="spellStart"/>
      <w:r w:rsidRPr="007E6BC1">
        <w:rPr>
          <w:rFonts w:ascii="Times New Roman" w:hAnsi="Times New Roman"/>
          <w:sz w:val="24"/>
          <w:szCs w:val="24"/>
        </w:rPr>
        <w:t>Note</w:t>
      </w:r>
      <w:proofErr w:type="spellEnd"/>
      <w:r w:rsidRPr="007E6BC1">
        <w:rPr>
          <w:rFonts w:ascii="Times New Roman" w:hAnsi="Times New Roman"/>
          <w:sz w:val="24"/>
          <w:szCs w:val="24"/>
        </w:rPr>
        <w:t xml:space="preserve"> </w:t>
      </w:r>
      <w:proofErr w:type="spellStart"/>
      <w:r w:rsidRPr="007E6BC1">
        <w:rPr>
          <w:rFonts w:ascii="Times New Roman" w:hAnsi="Times New Roman"/>
          <w:sz w:val="24"/>
          <w:szCs w:val="24"/>
        </w:rPr>
        <w:t>Programme</w:t>
      </w:r>
      <w:proofErr w:type="spellEnd"/>
      <w:r w:rsidRPr="007E6BC1">
        <w:rPr>
          <w:rFonts w:ascii="Times New Roman" w:hAnsi="Times New Roman"/>
          <w:sz w:val="24"/>
          <w:szCs w:val="24"/>
        </w:rPr>
        <w:t xml:space="preserve"> (dále jen „EMTN Program“) a doplňkově také mezibankovní úvěry pro získání zdrojů delších než jeden rok a Euro </w:t>
      </w:r>
      <w:proofErr w:type="spellStart"/>
      <w:r w:rsidRPr="007E6BC1">
        <w:rPr>
          <w:rFonts w:ascii="Times New Roman" w:hAnsi="Times New Roman"/>
          <w:sz w:val="24"/>
          <w:szCs w:val="24"/>
        </w:rPr>
        <w:t>Commercial</w:t>
      </w:r>
      <w:proofErr w:type="spellEnd"/>
      <w:r w:rsidRPr="007E6BC1">
        <w:rPr>
          <w:rFonts w:ascii="Times New Roman" w:hAnsi="Times New Roman"/>
          <w:sz w:val="24"/>
          <w:szCs w:val="24"/>
        </w:rPr>
        <w:t xml:space="preserve"> </w:t>
      </w:r>
      <w:proofErr w:type="spellStart"/>
      <w:r w:rsidRPr="007E6BC1">
        <w:rPr>
          <w:rFonts w:ascii="Times New Roman" w:hAnsi="Times New Roman"/>
          <w:sz w:val="24"/>
          <w:szCs w:val="24"/>
        </w:rPr>
        <w:t>Paper</w:t>
      </w:r>
      <w:proofErr w:type="spellEnd"/>
      <w:r w:rsidRPr="007E6BC1">
        <w:rPr>
          <w:rFonts w:ascii="Times New Roman" w:hAnsi="Times New Roman"/>
          <w:sz w:val="24"/>
          <w:szCs w:val="24"/>
        </w:rPr>
        <w:t xml:space="preserve"> </w:t>
      </w:r>
      <w:proofErr w:type="spellStart"/>
      <w:r w:rsidRPr="007E6BC1">
        <w:rPr>
          <w:rFonts w:ascii="Times New Roman" w:hAnsi="Times New Roman"/>
          <w:sz w:val="24"/>
          <w:szCs w:val="24"/>
        </w:rPr>
        <w:t>Programme</w:t>
      </w:r>
      <w:proofErr w:type="spellEnd"/>
      <w:r w:rsidRPr="007E6BC1">
        <w:rPr>
          <w:rFonts w:ascii="Times New Roman" w:hAnsi="Times New Roman"/>
          <w:sz w:val="24"/>
          <w:szCs w:val="24"/>
        </w:rPr>
        <w:t xml:space="preserve"> (dále jen „ECP Program“) pro</w:t>
      </w:r>
      <w:r w:rsidR="00820ABE">
        <w:rPr>
          <w:rFonts w:ascii="Times New Roman" w:hAnsi="Times New Roman"/>
          <w:sz w:val="24"/>
          <w:szCs w:val="24"/>
        </w:rPr>
        <w:t> </w:t>
      </w:r>
      <w:r w:rsidRPr="007E6BC1">
        <w:rPr>
          <w:rFonts w:ascii="Times New Roman" w:hAnsi="Times New Roman"/>
          <w:sz w:val="24"/>
          <w:szCs w:val="24"/>
        </w:rPr>
        <w:t>krátkodobé financování do jednoho roku. Dluhopisy ČEB jsou kótovány na</w:t>
      </w:r>
      <w:r w:rsidR="00820ABE">
        <w:rPr>
          <w:rFonts w:ascii="Times New Roman" w:hAnsi="Times New Roman"/>
          <w:sz w:val="24"/>
          <w:szCs w:val="24"/>
        </w:rPr>
        <w:t> </w:t>
      </w:r>
      <w:r w:rsidRPr="007E6BC1">
        <w:rPr>
          <w:rFonts w:ascii="Times New Roman" w:hAnsi="Times New Roman"/>
          <w:sz w:val="24"/>
          <w:szCs w:val="24"/>
        </w:rPr>
        <w:t>Lucemburské burze cenných papírů. Pro</w:t>
      </w:r>
      <w:r w:rsidR="001D1A24">
        <w:rPr>
          <w:rFonts w:ascii="Times New Roman" w:hAnsi="Times New Roman"/>
          <w:sz w:val="24"/>
          <w:szCs w:val="24"/>
        </w:rPr>
        <w:t> </w:t>
      </w:r>
      <w:r w:rsidRPr="007E6BC1">
        <w:rPr>
          <w:rFonts w:ascii="Times New Roman" w:hAnsi="Times New Roman"/>
          <w:sz w:val="24"/>
          <w:szCs w:val="24"/>
        </w:rPr>
        <w:t>optimalizaci řízení likvidity banky byl v roce 2011 podepsán ECP Program pro vydávání krátkodobých cenných papírů, jehož rámec činí 400 mil. EUR. Tento program umožňuje flexibilně pokrývat krátkodobou potřebu likvidity ČEB za</w:t>
      </w:r>
      <w:r w:rsidR="00820ABE">
        <w:rPr>
          <w:rFonts w:ascii="Times New Roman" w:hAnsi="Times New Roman"/>
          <w:sz w:val="24"/>
          <w:szCs w:val="24"/>
        </w:rPr>
        <w:t> </w:t>
      </w:r>
      <w:r w:rsidRPr="007E6BC1">
        <w:rPr>
          <w:rFonts w:ascii="Times New Roman" w:hAnsi="Times New Roman"/>
          <w:sz w:val="24"/>
          <w:szCs w:val="24"/>
        </w:rPr>
        <w:t xml:space="preserve">využití příznivých cenových podmínek na trhu. </w:t>
      </w:r>
    </w:p>
    <w:p w14:paraId="3F2F75C1" w14:textId="77777777" w:rsidR="00F9033D" w:rsidRPr="007E6BC1" w:rsidRDefault="00F9033D" w:rsidP="00D46213">
      <w:pPr>
        <w:spacing w:after="200" w:line="276" w:lineRule="auto"/>
        <w:ind w:left="357"/>
        <w:contextualSpacing/>
        <w:jc w:val="both"/>
        <w:rPr>
          <w:rFonts w:ascii="Times New Roman" w:hAnsi="Times New Roman"/>
          <w:b/>
          <w:bCs/>
          <w:sz w:val="24"/>
          <w:szCs w:val="24"/>
        </w:rPr>
      </w:pPr>
      <w:r w:rsidRPr="007E6BC1">
        <w:rPr>
          <w:rFonts w:ascii="Times New Roman" w:hAnsi="Times New Roman"/>
          <w:b/>
          <w:bCs/>
          <w:sz w:val="24"/>
          <w:szCs w:val="24"/>
        </w:rPr>
        <w:t xml:space="preserve">Emise dluhopisů ČEB v rámci EMTN programu – rámec 4 mld. EUR </w:t>
      </w:r>
    </w:p>
    <w:p w14:paraId="621A7D2A" w14:textId="77777777" w:rsidR="00D46213" w:rsidRDefault="00F9033D" w:rsidP="00D46213">
      <w:pPr>
        <w:spacing w:after="200" w:line="276" w:lineRule="auto"/>
        <w:ind w:left="357"/>
        <w:contextualSpacing/>
        <w:jc w:val="both"/>
        <w:rPr>
          <w:rFonts w:ascii="Times New Roman" w:hAnsi="Times New Roman"/>
          <w:sz w:val="24"/>
          <w:szCs w:val="24"/>
          <w:lang w:bidi="cs-CZ"/>
        </w:rPr>
      </w:pPr>
      <w:r w:rsidRPr="007E6BC1">
        <w:rPr>
          <w:rFonts w:ascii="Times New Roman" w:hAnsi="Times New Roman"/>
          <w:sz w:val="24"/>
          <w:szCs w:val="24"/>
        </w:rPr>
        <w:t xml:space="preserve">Tabulka: </w:t>
      </w:r>
      <w:r w:rsidRPr="007E6BC1">
        <w:rPr>
          <w:rFonts w:ascii="Times New Roman" w:hAnsi="Times New Roman"/>
          <w:sz w:val="24"/>
          <w:szCs w:val="24"/>
          <w:lang w:bidi="cs-CZ"/>
        </w:rPr>
        <w:t>Přehled dluhopisů dle data vystavení</w:t>
      </w:r>
    </w:p>
    <w:p w14:paraId="1AC53B44" w14:textId="2D40AA32" w:rsidR="00F9033D" w:rsidRPr="007E6BC1" w:rsidRDefault="00F9033D" w:rsidP="00D46213">
      <w:pPr>
        <w:spacing w:after="200" w:line="276" w:lineRule="auto"/>
        <w:ind w:left="357"/>
        <w:contextualSpacing/>
        <w:jc w:val="both"/>
        <w:rPr>
          <w:rFonts w:ascii="Times New Roman" w:hAnsi="Times New Roman"/>
          <w:b/>
          <w:bCs/>
          <w:sz w:val="24"/>
          <w:szCs w:val="24"/>
        </w:rPr>
      </w:pPr>
      <w:r w:rsidRPr="007E6BC1">
        <w:rPr>
          <w:rFonts w:ascii="Times New Roman" w:hAnsi="Times New Roman"/>
          <w:b/>
          <w:bCs/>
          <w:sz w:val="24"/>
          <w:szCs w:val="24"/>
        </w:rPr>
        <w:t xml:space="preserve"> </w:t>
      </w:r>
    </w:p>
    <w:tbl>
      <w:tblPr>
        <w:tblW w:w="2884" w:type="pct"/>
        <w:tblInd w:w="779" w:type="dxa"/>
        <w:tblCellMar>
          <w:left w:w="70" w:type="dxa"/>
          <w:right w:w="70" w:type="dxa"/>
        </w:tblCellMar>
        <w:tblLook w:val="04A0" w:firstRow="1" w:lastRow="0" w:firstColumn="1" w:lastColumn="0" w:noHBand="0" w:noVBand="1"/>
      </w:tblPr>
      <w:tblGrid>
        <w:gridCol w:w="1247"/>
        <w:gridCol w:w="992"/>
        <w:gridCol w:w="1954"/>
        <w:gridCol w:w="1034"/>
      </w:tblGrid>
      <w:tr w:rsidR="00F9033D" w:rsidRPr="00AE3920" w14:paraId="15A11AF5" w14:textId="77777777" w:rsidTr="008B71DB">
        <w:trPr>
          <w:trHeight w:val="600"/>
        </w:trPr>
        <w:tc>
          <w:tcPr>
            <w:tcW w:w="1199" w:type="pct"/>
            <w:tcBorders>
              <w:top w:val="single" w:sz="4" w:space="0" w:color="auto"/>
              <w:left w:val="single" w:sz="4" w:space="0" w:color="auto"/>
              <w:bottom w:val="single" w:sz="4" w:space="0" w:color="auto"/>
              <w:right w:val="single" w:sz="4" w:space="0" w:color="auto"/>
            </w:tcBorders>
            <w:shd w:val="clear" w:color="000000" w:fill="92D050"/>
            <w:vAlign w:val="center"/>
            <w:hideMark/>
          </w:tcPr>
          <w:p w14:paraId="1B7F647D" w14:textId="77777777" w:rsidR="00F9033D" w:rsidRPr="007E6BC1" w:rsidRDefault="00F9033D" w:rsidP="00F810B6">
            <w:pPr>
              <w:rPr>
                <w:rFonts w:ascii="Times New Roman" w:hAnsi="Times New Roman"/>
                <w:color w:val="000000"/>
                <w:sz w:val="24"/>
                <w:szCs w:val="24"/>
              </w:rPr>
            </w:pPr>
            <w:r w:rsidRPr="007E6BC1">
              <w:rPr>
                <w:rFonts w:ascii="Times New Roman" w:hAnsi="Times New Roman"/>
                <w:color w:val="000000"/>
                <w:sz w:val="24"/>
                <w:szCs w:val="24"/>
              </w:rPr>
              <w:t>Datum emise</w:t>
            </w:r>
          </w:p>
        </w:tc>
        <w:tc>
          <w:tcPr>
            <w:tcW w:w="954" w:type="pct"/>
            <w:tcBorders>
              <w:top w:val="single" w:sz="4" w:space="0" w:color="auto"/>
              <w:left w:val="nil"/>
              <w:bottom w:val="single" w:sz="4" w:space="0" w:color="auto"/>
              <w:right w:val="single" w:sz="4" w:space="0" w:color="auto"/>
            </w:tcBorders>
            <w:shd w:val="clear" w:color="000000" w:fill="92D050"/>
            <w:vAlign w:val="center"/>
            <w:hideMark/>
          </w:tcPr>
          <w:p w14:paraId="013EDF83" w14:textId="77777777" w:rsidR="00F9033D" w:rsidRPr="007E6BC1" w:rsidRDefault="00F9033D" w:rsidP="00F810B6">
            <w:pPr>
              <w:jc w:val="center"/>
              <w:rPr>
                <w:rFonts w:ascii="Times New Roman" w:hAnsi="Times New Roman"/>
                <w:color w:val="000000"/>
                <w:sz w:val="24"/>
                <w:szCs w:val="24"/>
              </w:rPr>
            </w:pPr>
            <w:r w:rsidRPr="007E6BC1">
              <w:rPr>
                <w:rFonts w:ascii="Times New Roman" w:hAnsi="Times New Roman"/>
                <w:color w:val="000000"/>
                <w:sz w:val="24"/>
                <w:szCs w:val="24"/>
              </w:rPr>
              <w:t>Měna</w:t>
            </w:r>
          </w:p>
        </w:tc>
        <w:tc>
          <w:tcPr>
            <w:tcW w:w="1874" w:type="pct"/>
            <w:tcBorders>
              <w:top w:val="single" w:sz="4" w:space="0" w:color="auto"/>
              <w:left w:val="nil"/>
              <w:bottom w:val="single" w:sz="4" w:space="0" w:color="auto"/>
              <w:right w:val="single" w:sz="4" w:space="0" w:color="auto"/>
            </w:tcBorders>
            <w:shd w:val="clear" w:color="000000" w:fill="92D050"/>
            <w:vAlign w:val="center"/>
            <w:hideMark/>
          </w:tcPr>
          <w:p w14:paraId="64115EBB" w14:textId="77777777" w:rsidR="00F9033D" w:rsidRPr="007E6BC1" w:rsidRDefault="00F9033D" w:rsidP="00F810B6">
            <w:pPr>
              <w:jc w:val="right"/>
              <w:rPr>
                <w:rFonts w:ascii="Times New Roman" w:hAnsi="Times New Roman"/>
                <w:color w:val="000000"/>
                <w:sz w:val="24"/>
                <w:szCs w:val="24"/>
              </w:rPr>
            </w:pPr>
            <w:r w:rsidRPr="007E6BC1">
              <w:rPr>
                <w:rFonts w:ascii="Times New Roman" w:hAnsi="Times New Roman"/>
                <w:color w:val="000000"/>
                <w:sz w:val="24"/>
                <w:szCs w:val="24"/>
              </w:rPr>
              <w:t>Částka</w:t>
            </w:r>
          </w:p>
        </w:tc>
        <w:tc>
          <w:tcPr>
            <w:tcW w:w="973" w:type="pct"/>
            <w:tcBorders>
              <w:top w:val="single" w:sz="4" w:space="0" w:color="auto"/>
              <w:left w:val="nil"/>
              <w:bottom w:val="single" w:sz="4" w:space="0" w:color="auto"/>
              <w:right w:val="single" w:sz="4" w:space="0" w:color="auto"/>
            </w:tcBorders>
            <w:shd w:val="clear" w:color="000000" w:fill="92D050"/>
            <w:vAlign w:val="center"/>
            <w:hideMark/>
          </w:tcPr>
          <w:p w14:paraId="096C2A58" w14:textId="77777777" w:rsidR="00F9033D" w:rsidRPr="007E6BC1" w:rsidRDefault="00F9033D" w:rsidP="00F810B6">
            <w:pPr>
              <w:jc w:val="right"/>
              <w:rPr>
                <w:rFonts w:ascii="Times New Roman" w:hAnsi="Times New Roman"/>
                <w:color w:val="000000"/>
                <w:sz w:val="24"/>
                <w:szCs w:val="24"/>
              </w:rPr>
            </w:pPr>
            <w:r w:rsidRPr="007E6BC1">
              <w:rPr>
                <w:rFonts w:ascii="Times New Roman" w:hAnsi="Times New Roman"/>
                <w:color w:val="000000"/>
                <w:sz w:val="24"/>
                <w:szCs w:val="24"/>
              </w:rPr>
              <w:t>Splatnost (roky)</w:t>
            </w:r>
          </w:p>
        </w:tc>
      </w:tr>
      <w:tr w:rsidR="00F9033D" w:rsidRPr="00AE3920" w14:paraId="089AC0A5" w14:textId="77777777" w:rsidTr="008B71DB">
        <w:trPr>
          <w:trHeight w:val="300"/>
        </w:trPr>
        <w:tc>
          <w:tcPr>
            <w:tcW w:w="1199" w:type="pct"/>
            <w:tcBorders>
              <w:top w:val="nil"/>
              <w:left w:val="single" w:sz="4" w:space="0" w:color="auto"/>
              <w:bottom w:val="single" w:sz="4" w:space="0" w:color="auto"/>
              <w:right w:val="single" w:sz="4" w:space="0" w:color="auto"/>
            </w:tcBorders>
            <w:shd w:val="clear" w:color="auto" w:fill="auto"/>
            <w:noWrap/>
            <w:vAlign w:val="center"/>
            <w:hideMark/>
          </w:tcPr>
          <w:p w14:paraId="6093EA31" w14:textId="77777777" w:rsidR="00F9033D" w:rsidRPr="007E6BC1" w:rsidRDefault="00F9033D" w:rsidP="00F810B6">
            <w:pPr>
              <w:jc w:val="both"/>
              <w:rPr>
                <w:rFonts w:ascii="Times New Roman" w:hAnsi="Times New Roman"/>
                <w:color w:val="000000"/>
                <w:sz w:val="24"/>
                <w:szCs w:val="24"/>
              </w:rPr>
            </w:pPr>
            <w:proofErr w:type="gramStart"/>
            <w:r w:rsidRPr="007E6BC1">
              <w:rPr>
                <w:rFonts w:ascii="Times New Roman" w:hAnsi="Times New Roman"/>
                <w:color w:val="000000"/>
                <w:sz w:val="24"/>
                <w:szCs w:val="24"/>
              </w:rPr>
              <w:t>15.4.2010</w:t>
            </w:r>
            <w:proofErr w:type="gramEnd"/>
          </w:p>
        </w:tc>
        <w:tc>
          <w:tcPr>
            <w:tcW w:w="954" w:type="pct"/>
            <w:tcBorders>
              <w:top w:val="nil"/>
              <w:left w:val="nil"/>
              <w:bottom w:val="single" w:sz="4" w:space="0" w:color="auto"/>
              <w:right w:val="single" w:sz="4" w:space="0" w:color="auto"/>
            </w:tcBorders>
            <w:shd w:val="clear" w:color="auto" w:fill="auto"/>
            <w:noWrap/>
            <w:vAlign w:val="center"/>
            <w:hideMark/>
          </w:tcPr>
          <w:p w14:paraId="258C34B1" w14:textId="77777777" w:rsidR="00F9033D" w:rsidRPr="007E6BC1" w:rsidRDefault="00F9033D" w:rsidP="00F810B6">
            <w:pPr>
              <w:jc w:val="center"/>
              <w:rPr>
                <w:rFonts w:ascii="Times New Roman" w:hAnsi="Times New Roman"/>
                <w:color w:val="000000"/>
                <w:sz w:val="24"/>
                <w:szCs w:val="24"/>
              </w:rPr>
            </w:pPr>
            <w:r w:rsidRPr="007E6BC1">
              <w:rPr>
                <w:rFonts w:ascii="Times New Roman" w:hAnsi="Times New Roman"/>
                <w:color w:val="000000"/>
                <w:sz w:val="24"/>
                <w:szCs w:val="24"/>
              </w:rPr>
              <w:t>EUR</w:t>
            </w:r>
          </w:p>
        </w:tc>
        <w:tc>
          <w:tcPr>
            <w:tcW w:w="1874" w:type="pct"/>
            <w:tcBorders>
              <w:top w:val="nil"/>
              <w:left w:val="nil"/>
              <w:bottom w:val="single" w:sz="4" w:space="0" w:color="auto"/>
              <w:right w:val="single" w:sz="4" w:space="0" w:color="auto"/>
            </w:tcBorders>
            <w:shd w:val="clear" w:color="auto" w:fill="auto"/>
            <w:noWrap/>
            <w:vAlign w:val="center"/>
            <w:hideMark/>
          </w:tcPr>
          <w:p w14:paraId="0ECE2A71" w14:textId="77777777" w:rsidR="00F9033D" w:rsidRPr="007E6BC1" w:rsidRDefault="00F9033D" w:rsidP="00F810B6">
            <w:pPr>
              <w:jc w:val="right"/>
              <w:rPr>
                <w:rFonts w:ascii="Times New Roman" w:hAnsi="Times New Roman"/>
                <w:color w:val="000000"/>
                <w:sz w:val="24"/>
                <w:szCs w:val="24"/>
              </w:rPr>
            </w:pPr>
            <w:r w:rsidRPr="007E6BC1">
              <w:rPr>
                <w:rFonts w:ascii="Times New Roman" w:hAnsi="Times New Roman"/>
                <w:color w:val="000000"/>
                <w:sz w:val="24"/>
                <w:szCs w:val="24"/>
              </w:rPr>
              <w:t>150 000 000</w:t>
            </w:r>
          </w:p>
        </w:tc>
        <w:tc>
          <w:tcPr>
            <w:tcW w:w="973" w:type="pct"/>
            <w:tcBorders>
              <w:top w:val="nil"/>
              <w:left w:val="nil"/>
              <w:bottom w:val="single" w:sz="4" w:space="0" w:color="auto"/>
              <w:right w:val="single" w:sz="4" w:space="0" w:color="auto"/>
            </w:tcBorders>
            <w:shd w:val="clear" w:color="auto" w:fill="auto"/>
            <w:noWrap/>
            <w:vAlign w:val="center"/>
            <w:hideMark/>
          </w:tcPr>
          <w:p w14:paraId="163EF71D" w14:textId="77777777" w:rsidR="00F9033D" w:rsidRPr="007E6BC1" w:rsidRDefault="00F9033D" w:rsidP="00F810B6">
            <w:pPr>
              <w:jc w:val="center"/>
              <w:rPr>
                <w:rFonts w:ascii="Times New Roman" w:hAnsi="Times New Roman"/>
                <w:color w:val="000000"/>
                <w:sz w:val="24"/>
                <w:szCs w:val="24"/>
              </w:rPr>
            </w:pPr>
            <w:r w:rsidRPr="007E6BC1">
              <w:rPr>
                <w:rFonts w:ascii="Times New Roman" w:hAnsi="Times New Roman"/>
                <w:color w:val="000000"/>
                <w:sz w:val="24"/>
                <w:szCs w:val="24"/>
              </w:rPr>
              <w:t>10</w:t>
            </w:r>
          </w:p>
        </w:tc>
      </w:tr>
      <w:tr w:rsidR="00F9033D" w:rsidRPr="00AE3920" w14:paraId="7BE22FE2" w14:textId="77777777" w:rsidTr="008B71DB">
        <w:trPr>
          <w:trHeight w:val="300"/>
        </w:trPr>
        <w:tc>
          <w:tcPr>
            <w:tcW w:w="1199" w:type="pct"/>
            <w:tcBorders>
              <w:top w:val="nil"/>
              <w:left w:val="single" w:sz="4" w:space="0" w:color="auto"/>
              <w:bottom w:val="single" w:sz="4" w:space="0" w:color="auto"/>
              <w:right w:val="single" w:sz="4" w:space="0" w:color="auto"/>
            </w:tcBorders>
            <w:shd w:val="clear" w:color="auto" w:fill="auto"/>
            <w:noWrap/>
            <w:vAlign w:val="center"/>
            <w:hideMark/>
          </w:tcPr>
          <w:p w14:paraId="33DD3AC1" w14:textId="77777777" w:rsidR="00F9033D" w:rsidRPr="007E6BC1" w:rsidRDefault="00F9033D" w:rsidP="00F810B6">
            <w:pPr>
              <w:jc w:val="both"/>
              <w:rPr>
                <w:rFonts w:ascii="Times New Roman" w:hAnsi="Times New Roman"/>
                <w:color w:val="000000"/>
                <w:sz w:val="24"/>
                <w:szCs w:val="24"/>
              </w:rPr>
            </w:pPr>
            <w:proofErr w:type="gramStart"/>
            <w:r w:rsidRPr="007E6BC1">
              <w:rPr>
                <w:rFonts w:ascii="Times New Roman" w:hAnsi="Times New Roman"/>
                <w:color w:val="000000"/>
                <w:sz w:val="24"/>
                <w:szCs w:val="24"/>
              </w:rPr>
              <w:t>3.3.2011</w:t>
            </w:r>
            <w:proofErr w:type="gramEnd"/>
          </w:p>
        </w:tc>
        <w:tc>
          <w:tcPr>
            <w:tcW w:w="954" w:type="pct"/>
            <w:tcBorders>
              <w:top w:val="nil"/>
              <w:left w:val="nil"/>
              <w:bottom w:val="single" w:sz="4" w:space="0" w:color="auto"/>
              <w:right w:val="single" w:sz="4" w:space="0" w:color="auto"/>
            </w:tcBorders>
            <w:shd w:val="clear" w:color="auto" w:fill="auto"/>
            <w:noWrap/>
            <w:vAlign w:val="center"/>
            <w:hideMark/>
          </w:tcPr>
          <w:p w14:paraId="4923DC86" w14:textId="77777777" w:rsidR="00F9033D" w:rsidRPr="007E6BC1" w:rsidRDefault="00F9033D" w:rsidP="00F810B6">
            <w:pPr>
              <w:jc w:val="center"/>
              <w:rPr>
                <w:rFonts w:ascii="Times New Roman" w:hAnsi="Times New Roman"/>
                <w:color w:val="000000"/>
                <w:sz w:val="24"/>
                <w:szCs w:val="24"/>
              </w:rPr>
            </w:pPr>
            <w:r w:rsidRPr="007E6BC1">
              <w:rPr>
                <w:rFonts w:ascii="Times New Roman" w:hAnsi="Times New Roman"/>
                <w:color w:val="000000"/>
                <w:sz w:val="24"/>
                <w:szCs w:val="24"/>
              </w:rPr>
              <w:t>EUR</w:t>
            </w:r>
          </w:p>
        </w:tc>
        <w:tc>
          <w:tcPr>
            <w:tcW w:w="1874" w:type="pct"/>
            <w:tcBorders>
              <w:top w:val="nil"/>
              <w:left w:val="nil"/>
              <w:bottom w:val="single" w:sz="4" w:space="0" w:color="auto"/>
              <w:right w:val="single" w:sz="4" w:space="0" w:color="auto"/>
            </w:tcBorders>
            <w:shd w:val="clear" w:color="auto" w:fill="auto"/>
            <w:noWrap/>
            <w:vAlign w:val="center"/>
            <w:hideMark/>
          </w:tcPr>
          <w:p w14:paraId="7FCFD56C" w14:textId="77777777" w:rsidR="00F9033D" w:rsidRPr="007E6BC1" w:rsidRDefault="00F9033D" w:rsidP="00F810B6">
            <w:pPr>
              <w:jc w:val="right"/>
              <w:rPr>
                <w:rFonts w:ascii="Times New Roman" w:hAnsi="Times New Roman"/>
                <w:color w:val="000000"/>
                <w:sz w:val="24"/>
                <w:szCs w:val="24"/>
              </w:rPr>
            </w:pPr>
            <w:r w:rsidRPr="007E6BC1">
              <w:rPr>
                <w:rFonts w:ascii="Times New Roman" w:hAnsi="Times New Roman"/>
                <w:color w:val="000000"/>
                <w:sz w:val="24"/>
                <w:szCs w:val="24"/>
              </w:rPr>
              <w:t>70 000 000</w:t>
            </w:r>
          </w:p>
        </w:tc>
        <w:tc>
          <w:tcPr>
            <w:tcW w:w="973" w:type="pct"/>
            <w:tcBorders>
              <w:top w:val="nil"/>
              <w:left w:val="nil"/>
              <w:bottom w:val="single" w:sz="4" w:space="0" w:color="auto"/>
              <w:right w:val="single" w:sz="4" w:space="0" w:color="auto"/>
            </w:tcBorders>
            <w:shd w:val="clear" w:color="auto" w:fill="auto"/>
            <w:noWrap/>
            <w:vAlign w:val="center"/>
            <w:hideMark/>
          </w:tcPr>
          <w:p w14:paraId="633B7AC8" w14:textId="77777777" w:rsidR="00F9033D" w:rsidRPr="007E6BC1" w:rsidRDefault="00F9033D" w:rsidP="00F810B6">
            <w:pPr>
              <w:jc w:val="center"/>
              <w:rPr>
                <w:rFonts w:ascii="Times New Roman" w:hAnsi="Times New Roman"/>
                <w:color w:val="000000"/>
                <w:sz w:val="24"/>
                <w:szCs w:val="24"/>
              </w:rPr>
            </w:pPr>
            <w:r w:rsidRPr="007E6BC1">
              <w:rPr>
                <w:rFonts w:ascii="Times New Roman" w:hAnsi="Times New Roman"/>
                <w:color w:val="000000"/>
                <w:sz w:val="24"/>
                <w:szCs w:val="24"/>
              </w:rPr>
              <w:t>10</w:t>
            </w:r>
          </w:p>
        </w:tc>
      </w:tr>
      <w:tr w:rsidR="00F9033D" w:rsidRPr="00AE3920" w14:paraId="31275CD7" w14:textId="77777777" w:rsidTr="008B71DB">
        <w:trPr>
          <w:trHeight w:val="300"/>
        </w:trPr>
        <w:tc>
          <w:tcPr>
            <w:tcW w:w="1199" w:type="pct"/>
            <w:tcBorders>
              <w:top w:val="nil"/>
              <w:left w:val="single" w:sz="4" w:space="0" w:color="auto"/>
              <w:bottom w:val="single" w:sz="4" w:space="0" w:color="auto"/>
              <w:right w:val="single" w:sz="4" w:space="0" w:color="auto"/>
            </w:tcBorders>
            <w:shd w:val="clear" w:color="auto" w:fill="auto"/>
            <w:noWrap/>
            <w:vAlign w:val="center"/>
            <w:hideMark/>
          </w:tcPr>
          <w:p w14:paraId="2F53DA27" w14:textId="77777777" w:rsidR="00F9033D" w:rsidRPr="007E6BC1" w:rsidRDefault="00F9033D" w:rsidP="00F810B6">
            <w:pPr>
              <w:jc w:val="both"/>
              <w:rPr>
                <w:rFonts w:ascii="Times New Roman" w:hAnsi="Times New Roman"/>
                <w:color w:val="000000"/>
                <w:sz w:val="24"/>
                <w:szCs w:val="24"/>
              </w:rPr>
            </w:pPr>
            <w:proofErr w:type="gramStart"/>
            <w:r w:rsidRPr="007E6BC1">
              <w:rPr>
                <w:rFonts w:ascii="Times New Roman" w:hAnsi="Times New Roman"/>
                <w:color w:val="000000"/>
                <w:sz w:val="24"/>
                <w:szCs w:val="24"/>
              </w:rPr>
              <w:t>26.5.2011</w:t>
            </w:r>
            <w:proofErr w:type="gramEnd"/>
          </w:p>
        </w:tc>
        <w:tc>
          <w:tcPr>
            <w:tcW w:w="954" w:type="pct"/>
            <w:tcBorders>
              <w:top w:val="nil"/>
              <w:left w:val="nil"/>
              <w:bottom w:val="single" w:sz="4" w:space="0" w:color="auto"/>
              <w:right w:val="single" w:sz="4" w:space="0" w:color="auto"/>
            </w:tcBorders>
            <w:shd w:val="clear" w:color="auto" w:fill="auto"/>
            <w:noWrap/>
            <w:vAlign w:val="center"/>
            <w:hideMark/>
          </w:tcPr>
          <w:p w14:paraId="3EE4D71F" w14:textId="77777777" w:rsidR="00F9033D" w:rsidRPr="007E6BC1" w:rsidRDefault="00F9033D" w:rsidP="00F810B6">
            <w:pPr>
              <w:jc w:val="center"/>
              <w:rPr>
                <w:rFonts w:ascii="Times New Roman" w:hAnsi="Times New Roman"/>
                <w:color w:val="000000"/>
                <w:sz w:val="24"/>
                <w:szCs w:val="24"/>
              </w:rPr>
            </w:pPr>
            <w:r w:rsidRPr="007E6BC1">
              <w:rPr>
                <w:rFonts w:ascii="Times New Roman" w:hAnsi="Times New Roman"/>
                <w:color w:val="000000"/>
                <w:sz w:val="24"/>
                <w:szCs w:val="24"/>
              </w:rPr>
              <w:t>CZK</w:t>
            </w:r>
          </w:p>
        </w:tc>
        <w:tc>
          <w:tcPr>
            <w:tcW w:w="1874" w:type="pct"/>
            <w:tcBorders>
              <w:top w:val="nil"/>
              <w:left w:val="nil"/>
              <w:bottom w:val="single" w:sz="4" w:space="0" w:color="auto"/>
              <w:right w:val="single" w:sz="4" w:space="0" w:color="auto"/>
            </w:tcBorders>
            <w:shd w:val="clear" w:color="auto" w:fill="auto"/>
            <w:noWrap/>
            <w:vAlign w:val="center"/>
            <w:hideMark/>
          </w:tcPr>
          <w:p w14:paraId="6C1D88A4" w14:textId="77777777" w:rsidR="00F9033D" w:rsidRPr="007E6BC1" w:rsidRDefault="00F9033D" w:rsidP="00F810B6">
            <w:pPr>
              <w:jc w:val="right"/>
              <w:rPr>
                <w:rFonts w:ascii="Times New Roman" w:hAnsi="Times New Roman"/>
                <w:color w:val="000000"/>
                <w:sz w:val="24"/>
                <w:szCs w:val="24"/>
              </w:rPr>
            </w:pPr>
            <w:r w:rsidRPr="007E6BC1">
              <w:rPr>
                <w:rFonts w:ascii="Times New Roman" w:hAnsi="Times New Roman"/>
                <w:color w:val="000000"/>
                <w:sz w:val="24"/>
                <w:szCs w:val="24"/>
              </w:rPr>
              <w:t>3 675 000 000</w:t>
            </w:r>
          </w:p>
        </w:tc>
        <w:tc>
          <w:tcPr>
            <w:tcW w:w="973" w:type="pct"/>
            <w:tcBorders>
              <w:top w:val="nil"/>
              <w:left w:val="nil"/>
              <w:bottom w:val="single" w:sz="4" w:space="0" w:color="auto"/>
              <w:right w:val="single" w:sz="4" w:space="0" w:color="auto"/>
            </w:tcBorders>
            <w:shd w:val="clear" w:color="auto" w:fill="auto"/>
            <w:noWrap/>
            <w:vAlign w:val="center"/>
            <w:hideMark/>
          </w:tcPr>
          <w:p w14:paraId="440FE740" w14:textId="77777777" w:rsidR="00F9033D" w:rsidRPr="007E6BC1" w:rsidRDefault="00F9033D" w:rsidP="00F810B6">
            <w:pPr>
              <w:jc w:val="center"/>
              <w:rPr>
                <w:rFonts w:ascii="Times New Roman" w:hAnsi="Times New Roman"/>
                <w:color w:val="000000"/>
                <w:sz w:val="24"/>
                <w:szCs w:val="24"/>
              </w:rPr>
            </w:pPr>
            <w:r w:rsidRPr="007E6BC1">
              <w:rPr>
                <w:rFonts w:ascii="Times New Roman" w:hAnsi="Times New Roman"/>
                <w:color w:val="000000"/>
                <w:sz w:val="24"/>
                <w:szCs w:val="24"/>
              </w:rPr>
              <w:t>10</w:t>
            </w:r>
          </w:p>
        </w:tc>
      </w:tr>
      <w:tr w:rsidR="00F9033D" w:rsidRPr="00AE3920" w14:paraId="0913771B" w14:textId="77777777" w:rsidTr="008B71DB">
        <w:trPr>
          <w:trHeight w:val="300"/>
        </w:trPr>
        <w:tc>
          <w:tcPr>
            <w:tcW w:w="1199" w:type="pct"/>
            <w:tcBorders>
              <w:top w:val="nil"/>
              <w:left w:val="single" w:sz="4" w:space="0" w:color="auto"/>
              <w:bottom w:val="single" w:sz="4" w:space="0" w:color="auto"/>
              <w:right w:val="single" w:sz="4" w:space="0" w:color="auto"/>
            </w:tcBorders>
            <w:shd w:val="clear" w:color="auto" w:fill="auto"/>
            <w:noWrap/>
            <w:vAlign w:val="center"/>
            <w:hideMark/>
          </w:tcPr>
          <w:p w14:paraId="4E216EBC" w14:textId="77777777" w:rsidR="00F9033D" w:rsidRPr="00602F63" w:rsidRDefault="00F9033D" w:rsidP="00F810B6">
            <w:pPr>
              <w:jc w:val="both"/>
              <w:rPr>
                <w:rFonts w:ascii="Times New Roman" w:hAnsi="Times New Roman"/>
                <w:color w:val="000000"/>
                <w:sz w:val="24"/>
                <w:szCs w:val="24"/>
              </w:rPr>
            </w:pPr>
            <w:proofErr w:type="gramStart"/>
            <w:r w:rsidRPr="00602F63">
              <w:rPr>
                <w:rFonts w:ascii="Times New Roman" w:hAnsi="Times New Roman"/>
                <w:color w:val="000000"/>
                <w:sz w:val="24"/>
                <w:szCs w:val="24"/>
              </w:rPr>
              <w:t>15.3.2012</w:t>
            </w:r>
            <w:proofErr w:type="gramEnd"/>
          </w:p>
        </w:tc>
        <w:tc>
          <w:tcPr>
            <w:tcW w:w="954" w:type="pct"/>
            <w:tcBorders>
              <w:top w:val="nil"/>
              <w:left w:val="nil"/>
              <w:bottom w:val="single" w:sz="4" w:space="0" w:color="auto"/>
              <w:right w:val="single" w:sz="4" w:space="0" w:color="auto"/>
            </w:tcBorders>
            <w:shd w:val="clear" w:color="auto" w:fill="auto"/>
            <w:noWrap/>
            <w:vAlign w:val="center"/>
            <w:hideMark/>
          </w:tcPr>
          <w:p w14:paraId="73A1F8D6" w14:textId="77777777" w:rsidR="00F9033D" w:rsidRPr="00602F63" w:rsidRDefault="00F9033D" w:rsidP="00F810B6">
            <w:pPr>
              <w:jc w:val="center"/>
              <w:rPr>
                <w:rFonts w:ascii="Times New Roman" w:hAnsi="Times New Roman"/>
                <w:color w:val="000000"/>
                <w:sz w:val="24"/>
                <w:szCs w:val="24"/>
              </w:rPr>
            </w:pPr>
            <w:r w:rsidRPr="00602F63">
              <w:rPr>
                <w:rFonts w:ascii="Times New Roman" w:hAnsi="Times New Roman"/>
                <w:color w:val="000000"/>
                <w:sz w:val="24"/>
                <w:szCs w:val="24"/>
              </w:rPr>
              <w:t>EUR</w:t>
            </w:r>
          </w:p>
        </w:tc>
        <w:tc>
          <w:tcPr>
            <w:tcW w:w="1874" w:type="pct"/>
            <w:tcBorders>
              <w:top w:val="nil"/>
              <w:left w:val="nil"/>
              <w:bottom w:val="single" w:sz="4" w:space="0" w:color="auto"/>
              <w:right w:val="single" w:sz="4" w:space="0" w:color="auto"/>
            </w:tcBorders>
            <w:shd w:val="clear" w:color="auto" w:fill="auto"/>
            <w:noWrap/>
            <w:vAlign w:val="center"/>
            <w:hideMark/>
          </w:tcPr>
          <w:p w14:paraId="27D42214" w14:textId="77777777" w:rsidR="00F9033D" w:rsidRPr="00602F63" w:rsidRDefault="00F9033D" w:rsidP="00F810B6">
            <w:pPr>
              <w:jc w:val="right"/>
              <w:rPr>
                <w:rFonts w:ascii="Times New Roman" w:hAnsi="Times New Roman"/>
                <w:color w:val="000000"/>
                <w:sz w:val="24"/>
                <w:szCs w:val="24"/>
              </w:rPr>
            </w:pPr>
            <w:r w:rsidRPr="00602F63">
              <w:rPr>
                <w:rFonts w:ascii="Times New Roman" w:hAnsi="Times New Roman"/>
                <w:color w:val="000000"/>
                <w:sz w:val="24"/>
                <w:szCs w:val="24"/>
              </w:rPr>
              <w:t>250 000 000</w:t>
            </w:r>
          </w:p>
        </w:tc>
        <w:tc>
          <w:tcPr>
            <w:tcW w:w="973" w:type="pct"/>
            <w:tcBorders>
              <w:top w:val="nil"/>
              <w:left w:val="nil"/>
              <w:bottom w:val="single" w:sz="4" w:space="0" w:color="auto"/>
              <w:right w:val="single" w:sz="4" w:space="0" w:color="auto"/>
            </w:tcBorders>
            <w:shd w:val="clear" w:color="auto" w:fill="auto"/>
            <w:noWrap/>
            <w:vAlign w:val="center"/>
            <w:hideMark/>
          </w:tcPr>
          <w:p w14:paraId="102C2851" w14:textId="77777777" w:rsidR="00F9033D" w:rsidRPr="00602F63" w:rsidRDefault="00F9033D" w:rsidP="00F810B6">
            <w:pPr>
              <w:jc w:val="center"/>
              <w:rPr>
                <w:rFonts w:ascii="Times New Roman" w:hAnsi="Times New Roman"/>
                <w:color w:val="000000"/>
                <w:sz w:val="24"/>
                <w:szCs w:val="24"/>
              </w:rPr>
            </w:pPr>
            <w:r w:rsidRPr="00602F63">
              <w:rPr>
                <w:rFonts w:ascii="Times New Roman" w:hAnsi="Times New Roman"/>
                <w:color w:val="000000"/>
                <w:sz w:val="24"/>
                <w:szCs w:val="24"/>
              </w:rPr>
              <w:t>7</w:t>
            </w:r>
          </w:p>
        </w:tc>
      </w:tr>
      <w:tr w:rsidR="00F9033D" w:rsidRPr="00AE3920" w14:paraId="7F04DFA3" w14:textId="77777777" w:rsidTr="008B71DB">
        <w:trPr>
          <w:trHeight w:val="300"/>
        </w:trPr>
        <w:tc>
          <w:tcPr>
            <w:tcW w:w="1199" w:type="pct"/>
            <w:tcBorders>
              <w:top w:val="nil"/>
              <w:left w:val="single" w:sz="4" w:space="0" w:color="auto"/>
              <w:bottom w:val="single" w:sz="4" w:space="0" w:color="auto"/>
              <w:right w:val="single" w:sz="4" w:space="0" w:color="auto"/>
            </w:tcBorders>
            <w:shd w:val="clear" w:color="auto" w:fill="auto"/>
            <w:noWrap/>
            <w:vAlign w:val="center"/>
            <w:hideMark/>
          </w:tcPr>
          <w:p w14:paraId="4ACD0BD1" w14:textId="77777777" w:rsidR="00F9033D" w:rsidRPr="00602F63" w:rsidRDefault="00F9033D" w:rsidP="00F810B6">
            <w:pPr>
              <w:jc w:val="both"/>
              <w:rPr>
                <w:rFonts w:ascii="Times New Roman" w:hAnsi="Times New Roman"/>
                <w:color w:val="000000"/>
                <w:sz w:val="24"/>
                <w:szCs w:val="24"/>
              </w:rPr>
            </w:pPr>
            <w:proofErr w:type="gramStart"/>
            <w:r w:rsidRPr="00602F63">
              <w:rPr>
                <w:rFonts w:ascii="Times New Roman" w:hAnsi="Times New Roman"/>
                <w:color w:val="000000"/>
                <w:sz w:val="24"/>
                <w:szCs w:val="24"/>
              </w:rPr>
              <w:t>3.10.2012</w:t>
            </w:r>
            <w:proofErr w:type="gramEnd"/>
          </w:p>
        </w:tc>
        <w:tc>
          <w:tcPr>
            <w:tcW w:w="954" w:type="pct"/>
            <w:tcBorders>
              <w:top w:val="nil"/>
              <w:left w:val="nil"/>
              <w:bottom w:val="single" w:sz="4" w:space="0" w:color="auto"/>
              <w:right w:val="single" w:sz="4" w:space="0" w:color="auto"/>
            </w:tcBorders>
            <w:shd w:val="clear" w:color="auto" w:fill="auto"/>
            <w:noWrap/>
            <w:vAlign w:val="center"/>
            <w:hideMark/>
          </w:tcPr>
          <w:p w14:paraId="374B35EE" w14:textId="77777777" w:rsidR="00F9033D" w:rsidRPr="00602F63" w:rsidRDefault="00F9033D" w:rsidP="00F810B6">
            <w:pPr>
              <w:jc w:val="center"/>
              <w:rPr>
                <w:rFonts w:ascii="Times New Roman" w:hAnsi="Times New Roman"/>
                <w:color w:val="000000"/>
                <w:sz w:val="24"/>
                <w:szCs w:val="24"/>
              </w:rPr>
            </w:pPr>
            <w:r w:rsidRPr="00602F63">
              <w:rPr>
                <w:rFonts w:ascii="Times New Roman" w:hAnsi="Times New Roman"/>
                <w:color w:val="000000"/>
                <w:sz w:val="24"/>
                <w:szCs w:val="24"/>
              </w:rPr>
              <w:t>EUR</w:t>
            </w:r>
          </w:p>
        </w:tc>
        <w:tc>
          <w:tcPr>
            <w:tcW w:w="1874" w:type="pct"/>
            <w:tcBorders>
              <w:top w:val="nil"/>
              <w:left w:val="nil"/>
              <w:bottom w:val="single" w:sz="4" w:space="0" w:color="auto"/>
              <w:right w:val="single" w:sz="4" w:space="0" w:color="auto"/>
            </w:tcBorders>
            <w:shd w:val="clear" w:color="auto" w:fill="auto"/>
            <w:noWrap/>
            <w:vAlign w:val="center"/>
            <w:hideMark/>
          </w:tcPr>
          <w:p w14:paraId="5B60BF9B" w14:textId="77777777" w:rsidR="00F9033D" w:rsidRPr="00602F63" w:rsidRDefault="00F9033D" w:rsidP="00F810B6">
            <w:pPr>
              <w:jc w:val="right"/>
              <w:rPr>
                <w:rFonts w:ascii="Times New Roman" w:hAnsi="Times New Roman"/>
                <w:color w:val="000000"/>
                <w:sz w:val="24"/>
                <w:szCs w:val="24"/>
              </w:rPr>
            </w:pPr>
            <w:r w:rsidRPr="00602F63">
              <w:rPr>
                <w:rFonts w:ascii="Times New Roman" w:hAnsi="Times New Roman"/>
                <w:color w:val="000000"/>
                <w:sz w:val="24"/>
                <w:szCs w:val="24"/>
              </w:rPr>
              <w:t>50 000 000</w:t>
            </w:r>
          </w:p>
        </w:tc>
        <w:tc>
          <w:tcPr>
            <w:tcW w:w="973" w:type="pct"/>
            <w:tcBorders>
              <w:top w:val="nil"/>
              <w:left w:val="nil"/>
              <w:bottom w:val="single" w:sz="4" w:space="0" w:color="auto"/>
              <w:right w:val="single" w:sz="4" w:space="0" w:color="auto"/>
            </w:tcBorders>
            <w:shd w:val="clear" w:color="auto" w:fill="auto"/>
            <w:noWrap/>
            <w:vAlign w:val="center"/>
            <w:hideMark/>
          </w:tcPr>
          <w:p w14:paraId="29A3767A" w14:textId="77777777" w:rsidR="00F9033D" w:rsidRPr="00602F63" w:rsidRDefault="00F9033D" w:rsidP="00F810B6">
            <w:pPr>
              <w:jc w:val="center"/>
              <w:rPr>
                <w:rFonts w:ascii="Times New Roman" w:hAnsi="Times New Roman"/>
                <w:color w:val="000000"/>
                <w:sz w:val="24"/>
                <w:szCs w:val="24"/>
              </w:rPr>
            </w:pPr>
            <w:r w:rsidRPr="00602F63">
              <w:rPr>
                <w:rFonts w:ascii="Times New Roman" w:hAnsi="Times New Roman"/>
                <w:color w:val="000000"/>
                <w:sz w:val="24"/>
                <w:szCs w:val="24"/>
              </w:rPr>
              <w:t>10</w:t>
            </w:r>
          </w:p>
        </w:tc>
      </w:tr>
      <w:tr w:rsidR="00F9033D" w:rsidRPr="00AE3920" w14:paraId="56E23375" w14:textId="77777777" w:rsidTr="008B71DB">
        <w:trPr>
          <w:trHeight w:val="300"/>
        </w:trPr>
        <w:tc>
          <w:tcPr>
            <w:tcW w:w="1199" w:type="pct"/>
            <w:tcBorders>
              <w:top w:val="nil"/>
              <w:left w:val="single" w:sz="4" w:space="0" w:color="auto"/>
              <w:bottom w:val="single" w:sz="4" w:space="0" w:color="auto"/>
              <w:right w:val="single" w:sz="4" w:space="0" w:color="auto"/>
            </w:tcBorders>
            <w:shd w:val="clear" w:color="auto" w:fill="auto"/>
            <w:noWrap/>
            <w:vAlign w:val="center"/>
            <w:hideMark/>
          </w:tcPr>
          <w:p w14:paraId="79046EB1" w14:textId="77777777" w:rsidR="00F9033D" w:rsidRPr="00602F63" w:rsidRDefault="00F9033D" w:rsidP="00F810B6">
            <w:pPr>
              <w:jc w:val="both"/>
              <w:rPr>
                <w:rFonts w:ascii="Times New Roman" w:hAnsi="Times New Roman"/>
                <w:color w:val="000000"/>
                <w:sz w:val="24"/>
                <w:szCs w:val="24"/>
              </w:rPr>
            </w:pPr>
            <w:proofErr w:type="gramStart"/>
            <w:r w:rsidRPr="00602F63">
              <w:rPr>
                <w:rFonts w:ascii="Times New Roman" w:hAnsi="Times New Roman"/>
                <w:color w:val="000000"/>
                <w:sz w:val="24"/>
                <w:szCs w:val="24"/>
              </w:rPr>
              <w:t>5.11.2012</w:t>
            </w:r>
            <w:proofErr w:type="gramEnd"/>
          </w:p>
        </w:tc>
        <w:tc>
          <w:tcPr>
            <w:tcW w:w="954" w:type="pct"/>
            <w:tcBorders>
              <w:top w:val="nil"/>
              <w:left w:val="nil"/>
              <w:bottom w:val="single" w:sz="4" w:space="0" w:color="auto"/>
              <w:right w:val="single" w:sz="4" w:space="0" w:color="auto"/>
            </w:tcBorders>
            <w:shd w:val="clear" w:color="auto" w:fill="auto"/>
            <w:noWrap/>
            <w:vAlign w:val="center"/>
            <w:hideMark/>
          </w:tcPr>
          <w:p w14:paraId="3A176D85" w14:textId="77777777" w:rsidR="00F9033D" w:rsidRPr="00602F63" w:rsidRDefault="00F9033D" w:rsidP="00F810B6">
            <w:pPr>
              <w:jc w:val="center"/>
              <w:rPr>
                <w:rFonts w:ascii="Times New Roman" w:hAnsi="Times New Roman"/>
                <w:color w:val="000000"/>
                <w:sz w:val="24"/>
                <w:szCs w:val="24"/>
              </w:rPr>
            </w:pPr>
            <w:r w:rsidRPr="00602F63">
              <w:rPr>
                <w:rFonts w:ascii="Times New Roman" w:hAnsi="Times New Roman"/>
                <w:color w:val="000000"/>
                <w:sz w:val="24"/>
                <w:szCs w:val="24"/>
              </w:rPr>
              <w:t>EUR</w:t>
            </w:r>
          </w:p>
        </w:tc>
        <w:tc>
          <w:tcPr>
            <w:tcW w:w="1874" w:type="pct"/>
            <w:tcBorders>
              <w:top w:val="nil"/>
              <w:left w:val="nil"/>
              <w:bottom w:val="single" w:sz="4" w:space="0" w:color="auto"/>
              <w:right w:val="single" w:sz="4" w:space="0" w:color="auto"/>
            </w:tcBorders>
            <w:shd w:val="clear" w:color="auto" w:fill="auto"/>
            <w:noWrap/>
            <w:vAlign w:val="center"/>
            <w:hideMark/>
          </w:tcPr>
          <w:p w14:paraId="2FD14C7A" w14:textId="77777777" w:rsidR="00F9033D" w:rsidRPr="00602F63" w:rsidRDefault="00F9033D" w:rsidP="00F810B6">
            <w:pPr>
              <w:jc w:val="right"/>
              <w:rPr>
                <w:rFonts w:ascii="Times New Roman" w:hAnsi="Times New Roman"/>
                <w:color w:val="000000"/>
                <w:sz w:val="24"/>
                <w:szCs w:val="24"/>
              </w:rPr>
            </w:pPr>
            <w:r w:rsidRPr="00602F63">
              <w:rPr>
                <w:rFonts w:ascii="Times New Roman" w:hAnsi="Times New Roman"/>
                <w:color w:val="000000"/>
                <w:sz w:val="24"/>
                <w:szCs w:val="24"/>
              </w:rPr>
              <w:t>50 000 000</w:t>
            </w:r>
          </w:p>
        </w:tc>
        <w:tc>
          <w:tcPr>
            <w:tcW w:w="973" w:type="pct"/>
            <w:tcBorders>
              <w:top w:val="nil"/>
              <w:left w:val="nil"/>
              <w:bottom w:val="single" w:sz="4" w:space="0" w:color="auto"/>
              <w:right w:val="single" w:sz="4" w:space="0" w:color="auto"/>
            </w:tcBorders>
            <w:shd w:val="clear" w:color="auto" w:fill="auto"/>
            <w:noWrap/>
            <w:vAlign w:val="center"/>
            <w:hideMark/>
          </w:tcPr>
          <w:p w14:paraId="0B6FB0E7" w14:textId="77777777" w:rsidR="00F9033D" w:rsidRPr="00602F63" w:rsidRDefault="00F9033D" w:rsidP="00F810B6">
            <w:pPr>
              <w:jc w:val="center"/>
              <w:rPr>
                <w:rFonts w:ascii="Times New Roman" w:hAnsi="Times New Roman"/>
                <w:color w:val="000000"/>
                <w:sz w:val="24"/>
                <w:szCs w:val="24"/>
              </w:rPr>
            </w:pPr>
            <w:r w:rsidRPr="00602F63">
              <w:rPr>
                <w:rFonts w:ascii="Times New Roman" w:hAnsi="Times New Roman"/>
                <w:color w:val="000000"/>
                <w:sz w:val="24"/>
                <w:szCs w:val="24"/>
              </w:rPr>
              <w:t>12</w:t>
            </w:r>
          </w:p>
        </w:tc>
      </w:tr>
      <w:tr w:rsidR="00F9033D" w:rsidRPr="00AE3920" w14:paraId="72320EE8" w14:textId="77777777" w:rsidTr="008B71DB">
        <w:trPr>
          <w:trHeight w:val="300"/>
        </w:trPr>
        <w:tc>
          <w:tcPr>
            <w:tcW w:w="1199" w:type="pct"/>
            <w:tcBorders>
              <w:top w:val="nil"/>
              <w:left w:val="single" w:sz="4" w:space="0" w:color="auto"/>
              <w:bottom w:val="single" w:sz="4" w:space="0" w:color="auto"/>
              <w:right w:val="single" w:sz="4" w:space="0" w:color="auto"/>
            </w:tcBorders>
            <w:shd w:val="clear" w:color="auto" w:fill="auto"/>
            <w:noWrap/>
            <w:vAlign w:val="center"/>
            <w:hideMark/>
          </w:tcPr>
          <w:p w14:paraId="3EDCE96B" w14:textId="77777777" w:rsidR="00F9033D" w:rsidRPr="00602F63" w:rsidRDefault="00F9033D" w:rsidP="00F810B6">
            <w:pPr>
              <w:jc w:val="both"/>
              <w:rPr>
                <w:rFonts w:ascii="Times New Roman" w:hAnsi="Times New Roman"/>
                <w:color w:val="000000"/>
                <w:sz w:val="24"/>
                <w:szCs w:val="24"/>
              </w:rPr>
            </w:pPr>
            <w:proofErr w:type="gramStart"/>
            <w:r w:rsidRPr="00602F63">
              <w:rPr>
                <w:rFonts w:ascii="Times New Roman" w:hAnsi="Times New Roman"/>
                <w:color w:val="000000"/>
                <w:sz w:val="24"/>
                <w:szCs w:val="24"/>
              </w:rPr>
              <w:t>15.11.2012</w:t>
            </w:r>
            <w:proofErr w:type="gramEnd"/>
          </w:p>
        </w:tc>
        <w:tc>
          <w:tcPr>
            <w:tcW w:w="954" w:type="pct"/>
            <w:tcBorders>
              <w:top w:val="nil"/>
              <w:left w:val="nil"/>
              <w:bottom w:val="single" w:sz="4" w:space="0" w:color="auto"/>
              <w:right w:val="single" w:sz="4" w:space="0" w:color="auto"/>
            </w:tcBorders>
            <w:shd w:val="clear" w:color="auto" w:fill="auto"/>
            <w:noWrap/>
            <w:vAlign w:val="center"/>
            <w:hideMark/>
          </w:tcPr>
          <w:p w14:paraId="3BF38683" w14:textId="77777777" w:rsidR="00F9033D" w:rsidRPr="00602F63" w:rsidRDefault="00F9033D" w:rsidP="00F810B6">
            <w:pPr>
              <w:jc w:val="center"/>
              <w:rPr>
                <w:rFonts w:ascii="Times New Roman" w:hAnsi="Times New Roman"/>
                <w:color w:val="000000"/>
                <w:sz w:val="24"/>
                <w:szCs w:val="24"/>
              </w:rPr>
            </w:pPr>
            <w:r w:rsidRPr="00602F63">
              <w:rPr>
                <w:rFonts w:ascii="Times New Roman" w:hAnsi="Times New Roman"/>
                <w:color w:val="000000"/>
                <w:sz w:val="24"/>
                <w:szCs w:val="24"/>
              </w:rPr>
              <w:t>EUR</w:t>
            </w:r>
          </w:p>
        </w:tc>
        <w:tc>
          <w:tcPr>
            <w:tcW w:w="1874" w:type="pct"/>
            <w:tcBorders>
              <w:top w:val="nil"/>
              <w:left w:val="nil"/>
              <w:bottom w:val="single" w:sz="4" w:space="0" w:color="auto"/>
              <w:right w:val="single" w:sz="4" w:space="0" w:color="auto"/>
            </w:tcBorders>
            <w:shd w:val="clear" w:color="auto" w:fill="auto"/>
            <w:noWrap/>
            <w:vAlign w:val="center"/>
            <w:hideMark/>
          </w:tcPr>
          <w:p w14:paraId="087C24DD" w14:textId="77777777" w:rsidR="00F9033D" w:rsidRPr="00602F63" w:rsidRDefault="00F9033D" w:rsidP="00F810B6">
            <w:pPr>
              <w:jc w:val="right"/>
              <w:rPr>
                <w:rFonts w:ascii="Times New Roman" w:hAnsi="Times New Roman"/>
                <w:color w:val="000000"/>
                <w:sz w:val="24"/>
                <w:szCs w:val="24"/>
              </w:rPr>
            </w:pPr>
            <w:r w:rsidRPr="00602F63">
              <w:rPr>
                <w:rFonts w:ascii="Times New Roman" w:hAnsi="Times New Roman"/>
                <w:color w:val="000000"/>
                <w:sz w:val="24"/>
                <w:szCs w:val="24"/>
              </w:rPr>
              <w:t>150 000 000</w:t>
            </w:r>
          </w:p>
        </w:tc>
        <w:tc>
          <w:tcPr>
            <w:tcW w:w="973" w:type="pct"/>
            <w:tcBorders>
              <w:top w:val="nil"/>
              <w:left w:val="nil"/>
              <w:bottom w:val="single" w:sz="4" w:space="0" w:color="auto"/>
              <w:right w:val="single" w:sz="4" w:space="0" w:color="auto"/>
            </w:tcBorders>
            <w:shd w:val="clear" w:color="auto" w:fill="auto"/>
            <w:noWrap/>
            <w:vAlign w:val="center"/>
            <w:hideMark/>
          </w:tcPr>
          <w:p w14:paraId="1D9EDA86" w14:textId="77777777" w:rsidR="00F9033D" w:rsidRPr="00602F63" w:rsidRDefault="00F9033D" w:rsidP="00F810B6">
            <w:pPr>
              <w:jc w:val="center"/>
              <w:rPr>
                <w:rFonts w:ascii="Times New Roman" w:hAnsi="Times New Roman"/>
                <w:color w:val="000000"/>
                <w:sz w:val="24"/>
                <w:szCs w:val="24"/>
              </w:rPr>
            </w:pPr>
            <w:r w:rsidRPr="00602F63">
              <w:rPr>
                <w:rFonts w:ascii="Times New Roman" w:hAnsi="Times New Roman"/>
                <w:color w:val="000000"/>
                <w:sz w:val="24"/>
                <w:szCs w:val="24"/>
              </w:rPr>
              <w:t>10</w:t>
            </w:r>
          </w:p>
        </w:tc>
      </w:tr>
      <w:tr w:rsidR="00F9033D" w:rsidRPr="00AE3920" w14:paraId="5278A152" w14:textId="77777777" w:rsidTr="008B71DB">
        <w:trPr>
          <w:trHeight w:val="300"/>
        </w:trPr>
        <w:tc>
          <w:tcPr>
            <w:tcW w:w="1199" w:type="pct"/>
            <w:tcBorders>
              <w:top w:val="nil"/>
              <w:left w:val="single" w:sz="4" w:space="0" w:color="auto"/>
              <w:bottom w:val="single" w:sz="4" w:space="0" w:color="auto"/>
              <w:right w:val="single" w:sz="4" w:space="0" w:color="auto"/>
            </w:tcBorders>
            <w:shd w:val="clear" w:color="auto" w:fill="auto"/>
            <w:noWrap/>
            <w:vAlign w:val="center"/>
            <w:hideMark/>
          </w:tcPr>
          <w:p w14:paraId="0572DE62" w14:textId="77777777" w:rsidR="00F9033D" w:rsidRPr="00602F63" w:rsidRDefault="00F9033D" w:rsidP="00F810B6">
            <w:pPr>
              <w:jc w:val="both"/>
              <w:rPr>
                <w:rFonts w:ascii="Times New Roman" w:hAnsi="Times New Roman"/>
                <w:color w:val="000000"/>
                <w:sz w:val="24"/>
                <w:szCs w:val="24"/>
              </w:rPr>
            </w:pPr>
            <w:proofErr w:type="gramStart"/>
            <w:r w:rsidRPr="00602F63">
              <w:rPr>
                <w:rFonts w:ascii="Times New Roman" w:hAnsi="Times New Roman"/>
                <w:color w:val="000000"/>
                <w:sz w:val="24"/>
                <w:szCs w:val="24"/>
              </w:rPr>
              <w:t>8.4.2013</w:t>
            </w:r>
            <w:proofErr w:type="gramEnd"/>
          </w:p>
        </w:tc>
        <w:tc>
          <w:tcPr>
            <w:tcW w:w="954" w:type="pct"/>
            <w:tcBorders>
              <w:top w:val="nil"/>
              <w:left w:val="nil"/>
              <w:bottom w:val="single" w:sz="4" w:space="0" w:color="auto"/>
              <w:right w:val="single" w:sz="4" w:space="0" w:color="auto"/>
            </w:tcBorders>
            <w:shd w:val="clear" w:color="auto" w:fill="auto"/>
            <w:noWrap/>
            <w:vAlign w:val="center"/>
            <w:hideMark/>
          </w:tcPr>
          <w:p w14:paraId="22CA1212" w14:textId="77777777" w:rsidR="00F9033D" w:rsidRPr="00602F63" w:rsidRDefault="00F9033D" w:rsidP="00F810B6">
            <w:pPr>
              <w:jc w:val="center"/>
              <w:rPr>
                <w:rFonts w:ascii="Times New Roman" w:hAnsi="Times New Roman"/>
                <w:color w:val="000000"/>
                <w:sz w:val="24"/>
                <w:szCs w:val="24"/>
              </w:rPr>
            </w:pPr>
            <w:r w:rsidRPr="00602F63">
              <w:rPr>
                <w:rFonts w:ascii="Times New Roman" w:hAnsi="Times New Roman"/>
                <w:color w:val="000000"/>
                <w:sz w:val="24"/>
                <w:szCs w:val="24"/>
              </w:rPr>
              <w:t>EUR</w:t>
            </w:r>
          </w:p>
        </w:tc>
        <w:tc>
          <w:tcPr>
            <w:tcW w:w="1874" w:type="pct"/>
            <w:tcBorders>
              <w:top w:val="nil"/>
              <w:left w:val="nil"/>
              <w:bottom w:val="single" w:sz="4" w:space="0" w:color="auto"/>
              <w:right w:val="single" w:sz="4" w:space="0" w:color="auto"/>
            </w:tcBorders>
            <w:shd w:val="clear" w:color="auto" w:fill="auto"/>
            <w:noWrap/>
            <w:vAlign w:val="center"/>
            <w:hideMark/>
          </w:tcPr>
          <w:p w14:paraId="3D24066B" w14:textId="77777777" w:rsidR="00F9033D" w:rsidRPr="00602F63" w:rsidRDefault="00F9033D" w:rsidP="00F810B6">
            <w:pPr>
              <w:jc w:val="right"/>
              <w:rPr>
                <w:rFonts w:ascii="Times New Roman" w:hAnsi="Times New Roman"/>
                <w:color w:val="000000"/>
                <w:sz w:val="24"/>
                <w:szCs w:val="24"/>
              </w:rPr>
            </w:pPr>
            <w:r w:rsidRPr="00602F63">
              <w:rPr>
                <w:rFonts w:ascii="Times New Roman" w:hAnsi="Times New Roman"/>
                <w:color w:val="000000"/>
                <w:sz w:val="24"/>
                <w:szCs w:val="24"/>
              </w:rPr>
              <w:t>40 000 000</w:t>
            </w:r>
          </w:p>
        </w:tc>
        <w:tc>
          <w:tcPr>
            <w:tcW w:w="973" w:type="pct"/>
            <w:tcBorders>
              <w:top w:val="nil"/>
              <w:left w:val="nil"/>
              <w:bottom w:val="single" w:sz="4" w:space="0" w:color="auto"/>
              <w:right w:val="single" w:sz="4" w:space="0" w:color="auto"/>
            </w:tcBorders>
            <w:shd w:val="clear" w:color="auto" w:fill="auto"/>
            <w:noWrap/>
            <w:vAlign w:val="center"/>
            <w:hideMark/>
          </w:tcPr>
          <w:p w14:paraId="2A171475" w14:textId="77777777" w:rsidR="00F9033D" w:rsidRPr="00602F63" w:rsidRDefault="00F9033D" w:rsidP="00F810B6">
            <w:pPr>
              <w:jc w:val="center"/>
              <w:rPr>
                <w:rFonts w:ascii="Times New Roman" w:hAnsi="Times New Roman"/>
                <w:color w:val="000000"/>
                <w:sz w:val="24"/>
                <w:szCs w:val="24"/>
              </w:rPr>
            </w:pPr>
            <w:r w:rsidRPr="00602F63">
              <w:rPr>
                <w:rFonts w:ascii="Times New Roman" w:hAnsi="Times New Roman"/>
                <w:color w:val="000000"/>
                <w:sz w:val="24"/>
                <w:szCs w:val="24"/>
              </w:rPr>
              <w:t>12</w:t>
            </w:r>
          </w:p>
        </w:tc>
      </w:tr>
      <w:tr w:rsidR="00F9033D" w:rsidRPr="00AE3920" w14:paraId="22CFE586" w14:textId="77777777" w:rsidTr="008B71DB">
        <w:trPr>
          <w:trHeight w:val="300"/>
        </w:trPr>
        <w:tc>
          <w:tcPr>
            <w:tcW w:w="1199" w:type="pct"/>
            <w:tcBorders>
              <w:top w:val="nil"/>
              <w:left w:val="single" w:sz="4" w:space="0" w:color="auto"/>
              <w:bottom w:val="single" w:sz="4" w:space="0" w:color="auto"/>
              <w:right w:val="single" w:sz="4" w:space="0" w:color="auto"/>
            </w:tcBorders>
            <w:shd w:val="clear" w:color="auto" w:fill="auto"/>
            <w:noWrap/>
            <w:vAlign w:val="center"/>
            <w:hideMark/>
          </w:tcPr>
          <w:p w14:paraId="78D1B84D" w14:textId="77777777" w:rsidR="00F9033D" w:rsidRPr="007E6BC1" w:rsidRDefault="00F9033D" w:rsidP="00F810B6">
            <w:pPr>
              <w:jc w:val="both"/>
              <w:rPr>
                <w:rFonts w:ascii="Times New Roman" w:hAnsi="Times New Roman"/>
                <w:color w:val="000000"/>
                <w:sz w:val="24"/>
                <w:szCs w:val="24"/>
              </w:rPr>
            </w:pPr>
            <w:proofErr w:type="gramStart"/>
            <w:r w:rsidRPr="007E6BC1">
              <w:rPr>
                <w:rFonts w:ascii="Times New Roman" w:hAnsi="Times New Roman"/>
                <w:color w:val="000000"/>
                <w:sz w:val="24"/>
                <w:szCs w:val="24"/>
              </w:rPr>
              <w:t>25.9.2013</w:t>
            </w:r>
            <w:proofErr w:type="gramEnd"/>
          </w:p>
        </w:tc>
        <w:tc>
          <w:tcPr>
            <w:tcW w:w="954" w:type="pct"/>
            <w:tcBorders>
              <w:top w:val="nil"/>
              <w:left w:val="nil"/>
              <w:bottom w:val="single" w:sz="4" w:space="0" w:color="auto"/>
              <w:right w:val="single" w:sz="4" w:space="0" w:color="auto"/>
            </w:tcBorders>
            <w:shd w:val="clear" w:color="auto" w:fill="auto"/>
            <w:noWrap/>
            <w:vAlign w:val="center"/>
            <w:hideMark/>
          </w:tcPr>
          <w:p w14:paraId="2098694C" w14:textId="77777777" w:rsidR="00F9033D" w:rsidRPr="007E6BC1" w:rsidRDefault="00F9033D" w:rsidP="00F810B6">
            <w:pPr>
              <w:jc w:val="center"/>
              <w:rPr>
                <w:rFonts w:ascii="Times New Roman" w:hAnsi="Times New Roman"/>
                <w:color w:val="000000"/>
                <w:sz w:val="24"/>
                <w:szCs w:val="24"/>
              </w:rPr>
            </w:pPr>
            <w:r w:rsidRPr="007E6BC1">
              <w:rPr>
                <w:rFonts w:ascii="Times New Roman" w:hAnsi="Times New Roman"/>
                <w:color w:val="000000"/>
                <w:sz w:val="24"/>
                <w:szCs w:val="24"/>
              </w:rPr>
              <w:t>EUR</w:t>
            </w:r>
          </w:p>
        </w:tc>
        <w:tc>
          <w:tcPr>
            <w:tcW w:w="1874" w:type="pct"/>
            <w:tcBorders>
              <w:top w:val="nil"/>
              <w:left w:val="nil"/>
              <w:bottom w:val="single" w:sz="4" w:space="0" w:color="auto"/>
              <w:right w:val="single" w:sz="4" w:space="0" w:color="auto"/>
            </w:tcBorders>
            <w:shd w:val="clear" w:color="auto" w:fill="auto"/>
            <w:noWrap/>
            <w:vAlign w:val="center"/>
            <w:hideMark/>
          </w:tcPr>
          <w:p w14:paraId="120C3DE3" w14:textId="77777777" w:rsidR="00F9033D" w:rsidRPr="007E6BC1" w:rsidRDefault="00F9033D" w:rsidP="00F810B6">
            <w:pPr>
              <w:jc w:val="right"/>
              <w:rPr>
                <w:rFonts w:ascii="Times New Roman" w:hAnsi="Times New Roman"/>
                <w:color w:val="000000"/>
                <w:sz w:val="24"/>
                <w:szCs w:val="24"/>
              </w:rPr>
            </w:pPr>
            <w:r w:rsidRPr="007E6BC1">
              <w:rPr>
                <w:rFonts w:ascii="Times New Roman" w:hAnsi="Times New Roman"/>
                <w:color w:val="000000"/>
                <w:sz w:val="24"/>
                <w:szCs w:val="24"/>
              </w:rPr>
              <w:t>150 000 000</w:t>
            </w:r>
          </w:p>
        </w:tc>
        <w:tc>
          <w:tcPr>
            <w:tcW w:w="973" w:type="pct"/>
            <w:tcBorders>
              <w:top w:val="nil"/>
              <w:left w:val="nil"/>
              <w:bottom w:val="single" w:sz="4" w:space="0" w:color="auto"/>
              <w:right w:val="single" w:sz="4" w:space="0" w:color="auto"/>
            </w:tcBorders>
            <w:shd w:val="clear" w:color="auto" w:fill="auto"/>
            <w:noWrap/>
            <w:vAlign w:val="center"/>
            <w:hideMark/>
          </w:tcPr>
          <w:p w14:paraId="7AAEE68F" w14:textId="77777777" w:rsidR="00F9033D" w:rsidRPr="007E6BC1" w:rsidRDefault="00F9033D" w:rsidP="00F810B6">
            <w:pPr>
              <w:jc w:val="center"/>
              <w:rPr>
                <w:rFonts w:ascii="Times New Roman" w:hAnsi="Times New Roman"/>
                <w:color w:val="000000"/>
                <w:sz w:val="24"/>
                <w:szCs w:val="24"/>
              </w:rPr>
            </w:pPr>
            <w:r w:rsidRPr="007E6BC1">
              <w:rPr>
                <w:rFonts w:ascii="Times New Roman" w:hAnsi="Times New Roman"/>
                <w:color w:val="000000"/>
                <w:sz w:val="24"/>
                <w:szCs w:val="24"/>
              </w:rPr>
              <w:t>7</w:t>
            </w:r>
          </w:p>
        </w:tc>
      </w:tr>
      <w:tr w:rsidR="00F9033D" w:rsidRPr="00AE3920" w14:paraId="3C94F2BC" w14:textId="77777777" w:rsidTr="008B71DB">
        <w:trPr>
          <w:trHeight w:val="300"/>
        </w:trPr>
        <w:tc>
          <w:tcPr>
            <w:tcW w:w="1199" w:type="pct"/>
            <w:tcBorders>
              <w:top w:val="nil"/>
              <w:left w:val="single" w:sz="4" w:space="0" w:color="auto"/>
              <w:bottom w:val="single" w:sz="4" w:space="0" w:color="auto"/>
              <w:right w:val="single" w:sz="4" w:space="0" w:color="auto"/>
            </w:tcBorders>
            <w:shd w:val="clear" w:color="auto" w:fill="auto"/>
            <w:noWrap/>
            <w:vAlign w:val="center"/>
            <w:hideMark/>
          </w:tcPr>
          <w:p w14:paraId="1CA51CF9" w14:textId="77777777" w:rsidR="00F9033D" w:rsidRPr="00602F63" w:rsidRDefault="00F9033D" w:rsidP="00F810B6">
            <w:pPr>
              <w:jc w:val="both"/>
              <w:rPr>
                <w:rFonts w:ascii="Times New Roman" w:hAnsi="Times New Roman"/>
                <w:color w:val="000000"/>
                <w:sz w:val="24"/>
                <w:szCs w:val="24"/>
              </w:rPr>
            </w:pPr>
            <w:proofErr w:type="gramStart"/>
            <w:r w:rsidRPr="00602F63">
              <w:rPr>
                <w:rFonts w:ascii="Times New Roman" w:hAnsi="Times New Roman"/>
                <w:color w:val="000000"/>
                <w:sz w:val="24"/>
                <w:szCs w:val="24"/>
              </w:rPr>
              <w:t>2.7.2014</w:t>
            </w:r>
            <w:proofErr w:type="gramEnd"/>
          </w:p>
        </w:tc>
        <w:tc>
          <w:tcPr>
            <w:tcW w:w="954" w:type="pct"/>
            <w:tcBorders>
              <w:top w:val="nil"/>
              <w:left w:val="nil"/>
              <w:bottom w:val="single" w:sz="4" w:space="0" w:color="auto"/>
              <w:right w:val="single" w:sz="4" w:space="0" w:color="auto"/>
            </w:tcBorders>
            <w:shd w:val="clear" w:color="auto" w:fill="auto"/>
            <w:noWrap/>
            <w:vAlign w:val="center"/>
            <w:hideMark/>
          </w:tcPr>
          <w:p w14:paraId="05554764" w14:textId="77777777" w:rsidR="00F9033D" w:rsidRPr="00602F63" w:rsidRDefault="00F9033D" w:rsidP="00F810B6">
            <w:pPr>
              <w:jc w:val="center"/>
              <w:rPr>
                <w:rFonts w:ascii="Times New Roman" w:hAnsi="Times New Roman"/>
                <w:color w:val="000000"/>
                <w:sz w:val="24"/>
                <w:szCs w:val="24"/>
              </w:rPr>
            </w:pPr>
            <w:r w:rsidRPr="00602F63">
              <w:rPr>
                <w:rFonts w:ascii="Times New Roman" w:hAnsi="Times New Roman"/>
                <w:color w:val="000000"/>
                <w:sz w:val="24"/>
                <w:szCs w:val="24"/>
              </w:rPr>
              <w:t>EUR</w:t>
            </w:r>
          </w:p>
        </w:tc>
        <w:tc>
          <w:tcPr>
            <w:tcW w:w="1874" w:type="pct"/>
            <w:tcBorders>
              <w:top w:val="nil"/>
              <w:left w:val="nil"/>
              <w:bottom w:val="single" w:sz="4" w:space="0" w:color="auto"/>
              <w:right w:val="single" w:sz="4" w:space="0" w:color="auto"/>
            </w:tcBorders>
            <w:shd w:val="clear" w:color="auto" w:fill="auto"/>
            <w:noWrap/>
            <w:vAlign w:val="center"/>
            <w:hideMark/>
          </w:tcPr>
          <w:p w14:paraId="33A06D05" w14:textId="77777777" w:rsidR="00F9033D" w:rsidRPr="00602F63" w:rsidRDefault="00F9033D" w:rsidP="00F810B6">
            <w:pPr>
              <w:jc w:val="right"/>
              <w:rPr>
                <w:rFonts w:ascii="Times New Roman" w:hAnsi="Times New Roman"/>
                <w:color w:val="000000"/>
                <w:sz w:val="24"/>
                <w:szCs w:val="24"/>
              </w:rPr>
            </w:pPr>
            <w:r w:rsidRPr="00602F63">
              <w:rPr>
                <w:rFonts w:ascii="Times New Roman" w:hAnsi="Times New Roman"/>
                <w:color w:val="000000"/>
                <w:sz w:val="24"/>
                <w:szCs w:val="24"/>
              </w:rPr>
              <w:t>250 000 000</w:t>
            </w:r>
          </w:p>
        </w:tc>
        <w:tc>
          <w:tcPr>
            <w:tcW w:w="973" w:type="pct"/>
            <w:tcBorders>
              <w:top w:val="nil"/>
              <w:left w:val="nil"/>
              <w:bottom w:val="single" w:sz="4" w:space="0" w:color="auto"/>
              <w:right w:val="single" w:sz="4" w:space="0" w:color="auto"/>
            </w:tcBorders>
            <w:shd w:val="clear" w:color="auto" w:fill="auto"/>
            <w:noWrap/>
            <w:vAlign w:val="center"/>
            <w:hideMark/>
          </w:tcPr>
          <w:p w14:paraId="2C831A4E" w14:textId="77777777" w:rsidR="00F9033D" w:rsidRPr="00602F63" w:rsidRDefault="00F9033D" w:rsidP="00F810B6">
            <w:pPr>
              <w:jc w:val="center"/>
              <w:rPr>
                <w:rFonts w:ascii="Times New Roman" w:hAnsi="Times New Roman"/>
                <w:color w:val="000000"/>
                <w:sz w:val="24"/>
                <w:szCs w:val="24"/>
              </w:rPr>
            </w:pPr>
            <w:r w:rsidRPr="00602F63">
              <w:rPr>
                <w:rFonts w:ascii="Times New Roman" w:hAnsi="Times New Roman"/>
                <w:color w:val="000000"/>
                <w:sz w:val="24"/>
                <w:szCs w:val="24"/>
              </w:rPr>
              <w:t>7</w:t>
            </w:r>
          </w:p>
        </w:tc>
      </w:tr>
      <w:tr w:rsidR="00F9033D" w:rsidRPr="00AE3920" w14:paraId="0DBB8875" w14:textId="77777777" w:rsidTr="008B71DB">
        <w:trPr>
          <w:trHeight w:val="300"/>
        </w:trPr>
        <w:tc>
          <w:tcPr>
            <w:tcW w:w="1199" w:type="pct"/>
            <w:tcBorders>
              <w:top w:val="nil"/>
              <w:left w:val="single" w:sz="4" w:space="0" w:color="auto"/>
              <w:bottom w:val="single" w:sz="4" w:space="0" w:color="auto"/>
              <w:right w:val="single" w:sz="4" w:space="0" w:color="auto"/>
            </w:tcBorders>
            <w:shd w:val="clear" w:color="auto" w:fill="auto"/>
            <w:noWrap/>
            <w:vAlign w:val="center"/>
            <w:hideMark/>
          </w:tcPr>
          <w:p w14:paraId="3930EC51" w14:textId="77777777" w:rsidR="00F9033D" w:rsidRPr="00602F63" w:rsidRDefault="00F9033D" w:rsidP="00F810B6">
            <w:pPr>
              <w:jc w:val="both"/>
              <w:rPr>
                <w:rFonts w:ascii="Times New Roman" w:hAnsi="Times New Roman"/>
                <w:color w:val="000000"/>
                <w:sz w:val="24"/>
                <w:szCs w:val="24"/>
              </w:rPr>
            </w:pPr>
            <w:proofErr w:type="gramStart"/>
            <w:r w:rsidRPr="00602F63">
              <w:rPr>
                <w:rFonts w:ascii="Times New Roman" w:hAnsi="Times New Roman"/>
                <w:color w:val="000000"/>
                <w:sz w:val="24"/>
                <w:szCs w:val="24"/>
              </w:rPr>
              <w:t>16.10.2014</w:t>
            </w:r>
            <w:proofErr w:type="gramEnd"/>
          </w:p>
        </w:tc>
        <w:tc>
          <w:tcPr>
            <w:tcW w:w="954" w:type="pct"/>
            <w:tcBorders>
              <w:top w:val="nil"/>
              <w:left w:val="nil"/>
              <w:bottom w:val="single" w:sz="4" w:space="0" w:color="auto"/>
              <w:right w:val="single" w:sz="4" w:space="0" w:color="auto"/>
            </w:tcBorders>
            <w:shd w:val="clear" w:color="auto" w:fill="auto"/>
            <w:noWrap/>
            <w:vAlign w:val="center"/>
            <w:hideMark/>
          </w:tcPr>
          <w:p w14:paraId="24E6A6FC" w14:textId="77777777" w:rsidR="00F9033D" w:rsidRPr="00602F63" w:rsidRDefault="00F9033D" w:rsidP="00F810B6">
            <w:pPr>
              <w:jc w:val="center"/>
              <w:rPr>
                <w:rFonts w:ascii="Times New Roman" w:hAnsi="Times New Roman"/>
                <w:color w:val="000000"/>
                <w:sz w:val="24"/>
                <w:szCs w:val="24"/>
              </w:rPr>
            </w:pPr>
            <w:r w:rsidRPr="00602F63">
              <w:rPr>
                <w:rFonts w:ascii="Times New Roman" w:hAnsi="Times New Roman"/>
                <w:color w:val="000000"/>
                <w:sz w:val="24"/>
                <w:szCs w:val="24"/>
              </w:rPr>
              <w:t>EUR</w:t>
            </w:r>
          </w:p>
        </w:tc>
        <w:tc>
          <w:tcPr>
            <w:tcW w:w="1874" w:type="pct"/>
            <w:tcBorders>
              <w:top w:val="nil"/>
              <w:left w:val="nil"/>
              <w:bottom w:val="single" w:sz="4" w:space="0" w:color="auto"/>
              <w:right w:val="single" w:sz="4" w:space="0" w:color="auto"/>
            </w:tcBorders>
            <w:shd w:val="clear" w:color="auto" w:fill="auto"/>
            <w:noWrap/>
            <w:vAlign w:val="center"/>
            <w:hideMark/>
          </w:tcPr>
          <w:p w14:paraId="3FA0D6EE" w14:textId="77777777" w:rsidR="00F9033D" w:rsidRPr="00602F63" w:rsidRDefault="00F9033D" w:rsidP="00F810B6">
            <w:pPr>
              <w:jc w:val="right"/>
              <w:rPr>
                <w:rFonts w:ascii="Times New Roman" w:hAnsi="Times New Roman"/>
                <w:color w:val="000000"/>
                <w:sz w:val="24"/>
                <w:szCs w:val="24"/>
              </w:rPr>
            </w:pPr>
            <w:r w:rsidRPr="00602F63">
              <w:rPr>
                <w:rFonts w:ascii="Times New Roman" w:hAnsi="Times New Roman"/>
                <w:color w:val="000000"/>
                <w:sz w:val="24"/>
                <w:szCs w:val="24"/>
              </w:rPr>
              <w:t>150 000 000</w:t>
            </w:r>
          </w:p>
        </w:tc>
        <w:tc>
          <w:tcPr>
            <w:tcW w:w="973" w:type="pct"/>
            <w:tcBorders>
              <w:top w:val="nil"/>
              <w:left w:val="nil"/>
              <w:bottom w:val="single" w:sz="4" w:space="0" w:color="auto"/>
              <w:right w:val="single" w:sz="4" w:space="0" w:color="auto"/>
            </w:tcBorders>
            <w:shd w:val="clear" w:color="auto" w:fill="auto"/>
            <w:noWrap/>
            <w:vAlign w:val="center"/>
            <w:hideMark/>
          </w:tcPr>
          <w:p w14:paraId="186249F2" w14:textId="77777777" w:rsidR="00F9033D" w:rsidRPr="00602F63" w:rsidRDefault="00F9033D" w:rsidP="00F810B6">
            <w:pPr>
              <w:jc w:val="center"/>
              <w:rPr>
                <w:rFonts w:ascii="Times New Roman" w:hAnsi="Times New Roman"/>
                <w:color w:val="000000"/>
                <w:sz w:val="24"/>
                <w:szCs w:val="24"/>
              </w:rPr>
            </w:pPr>
            <w:r w:rsidRPr="00602F63">
              <w:rPr>
                <w:rFonts w:ascii="Times New Roman" w:hAnsi="Times New Roman"/>
                <w:color w:val="000000"/>
                <w:sz w:val="24"/>
                <w:szCs w:val="24"/>
              </w:rPr>
              <w:t>10</w:t>
            </w:r>
          </w:p>
        </w:tc>
      </w:tr>
    </w:tbl>
    <w:p w14:paraId="6E6EA52D" w14:textId="47E342D7" w:rsidR="00F7007D" w:rsidRDefault="00F7007D" w:rsidP="00F9033D">
      <w:pPr>
        <w:spacing w:after="200" w:line="276" w:lineRule="auto"/>
        <w:contextualSpacing/>
        <w:jc w:val="both"/>
        <w:rPr>
          <w:rFonts w:ascii="Times New Roman" w:hAnsi="Times New Roman"/>
          <w:sz w:val="24"/>
          <w:szCs w:val="24"/>
        </w:rPr>
      </w:pPr>
    </w:p>
    <w:p w14:paraId="74881AA1" w14:textId="77777777" w:rsidR="00F7007D" w:rsidRDefault="00F7007D">
      <w:pPr>
        <w:overflowPunct/>
        <w:autoSpaceDE/>
        <w:autoSpaceDN/>
        <w:adjustRightInd/>
        <w:spacing w:after="0" w:line="240" w:lineRule="auto"/>
        <w:textAlignment w:val="auto"/>
        <w:rPr>
          <w:rFonts w:ascii="Times New Roman" w:hAnsi="Times New Roman"/>
          <w:sz w:val="24"/>
          <w:szCs w:val="24"/>
        </w:rPr>
      </w:pPr>
      <w:r>
        <w:rPr>
          <w:rFonts w:ascii="Times New Roman" w:hAnsi="Times New Roman"/>
          <w:sz w:val="24"/>
          <w:szCs w:val="24"/>
        </w:rPr>
        <w:br w:type="page"/>
      </w:r>
    </w:p>
    <w:p w14:paraId="25C3A3CA" w14:textId="77777777" w:rsidR="00F9033D" w:rsidRDefault="00F9033D" w:rsidP="00D46213">
      <w:pPr>
        <w:spacing w:after="200" w:line="276" w:lineRule="auto"/>
        <w:ind w:left="708"/>
        <w:contextualSpacing/>
        <w:jc w:val="both"/>
        <w:rPr>
          <w:rFonts w:ascii="Times New Roman" w:hAnsi="Times New Roman"/>
          <w:sz w:val="24"/>
          <w:szCs w:val="24"/>
          <w:lang w:bidi="cs-CZ"/>
        </w:rPr>
      </w:pPr>
      <w:r w:rsidRPr="00602F63">
        <w:rPr>
          <w:rFonts w:ascii="Times New Roman" w:hAnsi="Times New Roman"/>
          <w:sz w:val="24"/>
          <w:szCs w:val="24"/>
        </w:rPr>
        <w:t xml:space="preserve">Tabulka </w:t>
      </w:r>
      <w:r w:rsidRPr="00602F63">
        <w:rPr>
          <w:rFonts w:ascii="Times New Roman" w:hAnsi="Times New Roman"/>
          <w:sz w:val="24"/>
          <w:szCs w:val="24"/>
        </w:rPr>
        <w:fldChar w:fldCharType="begin"/>
      </w:r>
      <w:r w:rsidRPr="00602F63">
        <w:rPr>
          <w:rFonts w:ascii="Times New Roman" w:hAnsi="Times New Roman"/>
          <w:sz w:val="24"/>
          <w:szCs w:val="24"/>
        </w:rPr>
        <w:instrText xml:space="preserve"> SEQ Tabulka \* ARABIC </w:instrText>
      </w:r>
      <w:r w:rsidRPr="00602F63">
        <w:rPr>
          <w:rFonts w:ascii="Times New Roman" w:hAnsi="Times New Roman"/>
          <w:sz w:val="24"/>
          <w:szCs w:val="24"/>
        </w:rPr>
        <w:fldChar w:fldCharType="separate"/>
      </w:r>
      <w:r w:rsidRPr="00602F63">
        <w:rPr>
          <w:rFonts w:ascii="Times New Roman" w:hAnsi="Times New Roman"/>
          <w:noProof/>
          <w:sz w:val="24"/>
          <w:szCs w:val="24"/>
        </w:rPr>
        <w:t>6</w:t>
      </w:r>
      <w:r w:rsidRPr="00602F63">
        <w:rPr>
          <w:rFonts w:ascii="Times New Roman" w:hAnsi="Times New Roman"/>
          <w:noProof/>
          <w:sz w:val="24"/>
          <w:szCs w:val="24"/>
        </w:rPr>
        <w:fldChar w:fldCharType="end"/>
      </w:r>
      <w:r w:rsidRPr="00602F63">
        <w:rPr>
          <w:rFonts w:ascii="Times New Roman" w:hAnsi="Times New Roman"/>
          <w:sz w:val="24"/>
          <w:szCs w:val="24"/>
        </w:rPr>
        <w:t xml:space="preserve">: </w:t>
      </w:r>
      <w:r w:rsidRPr="00602F63">
        <w:rPr>
          <w:rFonts w:ascii="Times New Roman" w:hAnsi="Times New Roman"/>
          <w:sz w:val="24"/>
          <w:szCs w:val="24"/>
          <w:lang w:bidi="cs-CZ"/>
        </w:rPr>
        <w:t>Přehled splatností dluhopisů v jednotlivých letech</w:t>
      </w:r>
    </w:p>
    <w:p w14:paraId="24CE1642" w14:textId="77777777" w:rsidR="00D46213" w:rsidRPr="00602F63" w:rsidRDefault="00D46213" w:rsidP="00D46213">
      <w:pPr>
        <w:spacing w:after="200" w:line="276" w:lineRule="auto"/>
        <w:ind w:left="708"/>
        <w:contextualSpacing/>
        <w:jc w:val="both"/>
        <w:rPr>
          <w:rFonts w:ascii="Times New Roman" w:hAnsi="Times New Roman"/>
          <w:sz w:val="24"/>
          <w:szCs w:val="24"/>
          <w:lang w:bidi="cs-CZ"/>
        </w:rPr>
      </w:pPr>
    </w:p>
    <w:tbl>
      <w:tblPr>
        <w:tblW w:w="2666" w:type="pct"/>
        <w:tblInd w:w="1278" w:type="dxa"/>
        <w:tblCellMar>
          <w:left w:w="70" w:type="dxa"/>
          <w:right w:w="70" w:type="dxa"/>
        </w:tblCellMar>
        <w:tblLook w:val="04A0" w:firstRow="1" w:lastRow="0" w:firstColumn="1" w:lastColumn="0" w:noHBand="0" w:noVBand="1"/>
      </w:tblPr>
      <w:tblGrid>
        <w:gridCol w:w="1746"/>
        <w:gridCol w:w="1042"/>
        <w:gridCol w:w="2044"/>
      </w:tblGrid>
      <w:tr w:rsidR="00F9033D" w:rsidRPr="00AE3920" w14:paraId="16CCE74A" w14:textId="77777777" w:rsidTr="008B71DB">
        <w:trPr>
          <w:trHeight w:val="600"/>
        </w:trPr>
        <w:tc>
          <w:tcPr>
            <w:tcW w:w="1807" w:type="pct"/>
            <w:tcBorders>
              <w:top w:val="single" w:sz="4" w:space="0" w:color="auto"/>
              <w:left w:val="single" w:sz="4" w:space="0" w:color="auto"/>
              <w:bottom w:val="single" w:sz="4" w:space="0" w:color="auto"/>
              <w:right w:val="single" w:sz="4" w:space="0" w:color="auto"/>
            </w:tcBorders>
            <w:shd w:val="clear" w:color="000000" w:fill="92D050"/>
            <w:vAlign w:val="center"/>
            <w:hideMark/>
          </w:tcPr>
          <w:p w14:paraId="5D6F3A59" w14:textId="77777777" w:rsidR="00F9033D" w:rsidRPr="00602F63" w:rsidRDefault="00F9033D" w:rsidP="00F810B6">
            <w:pPr>
              <w:rPr>
                <w:rFonts w:ascii="Times New Roman" w:hAnsi="Times New Roman"/>
                <w:color w:val="000000"/>
                <w:sz w:val="24"/>
                <w:szCs w:val="24"/>
              </w:rPr>
            </w:pPr>
            <w:r w:rsidRPr="00602F63">
              <w:rPr>
                <w:rFonts w:ascii="Times New Roman" w:hAnsi="Times New Roman"/>
                <w:color w:val="000000"/>
                <w:sz w:val="24"/>
                <w:szCs w:val="24"/>
              </w:rPr>
              <w:t>Splatnost v roce</w:t>
            </w:r>
          </w:p>
        </w:tc>
        <w:tc>
          <w:tcPr>
            <w:tcW w:w="1078" w:type="pct"/>
            <w:tcBorders>
              <w:top w:val="single" w:sz="4" w:space="0" w:color="auto"/>
              <w:left w:val="nil"/>
              <w:bottom w:val="single" w:sz="4" w:space="0" w:color="auto"/>
              <w:right w:val="single" w:sz="4" w:space="0" w:color="auto"/>
            </w:tcBorders>
            <w:shd w:val="clear" w:color="000000" w:fill="92D050"/>
            <w:vAlign w:val="center"/>
            <w:hideMark/>
          </w:tcPr>
          <w:p w14:paraId="0F1E4A7E" w14:textId="77777777" w:rsidR="00F9033D" w:rsidRPr="00602F63" w:rsidRDefault="00F9033D" w:rsidP="00F810B6">
            <w:pPr>
              <w:jc w:val="center"/>
              <w:rPr>
                <w:rFonts w:ascii="Times New Roman" w:hAnsi="Times New Roman"/>
                <w:color w:val="000000"/>
                <w:sz w:val="24"/>
                <w:szCs w:val="24"/>
              </w:rPr>
            </w:pPr>
            <w:r w:rsidRPr="00602F63">
              <w:rPr>
                <w:rFonts w:ascii="Times New Roman" w:hAnsi="Times New Roman"/>
                <w:color w:val="000000"/>
                <w:sz w:val="24"/>
                <w:szCs w:val="24"/>
              </w:rPr>
              <w:t>Měna</w:t>
            </w:r>
          </w:p>
        </w:tc>
        <w:tc>
          <w:tcPr>
            <w:tcW w:w="2115" w:type="pct"/>
            <w:tcBorders>
              <w:top w:val="single" w:sz="4" w:space="0" w:color="auto"/>
              <w:left w:val="nil"/>
              <w:bottom w:val="single" w:sz="4" w:space="0" w:color="auto"/>
              <w:right w:val="single" w:sz="4" w:space="0" w:color="auto"/>
            </w:tcBorders>
            <w:shd w:val="clear" w:color="000000" w:fill="92D050"/>
            <w:noWrap/>
            <w:vAlign w:val="center"/>
            <w:hideMark/>
          </w:tcPr>
          <w:p w14:paraId="181C754E" w14:textId="77777777" w:rsidR="00F9033D" w:rsidRPr="00602F63" w:rsidRDefault="00F9033D" w:rsidP="00F810B6">
            <w:pPr>
              <w:jc w:val="center"/>
              <w:rPr>
                <w:rFonts w:ascii="Times New Roman" w:hAnsi="Times New Roman"/>
                <w:color w:val="000000"/>
                <w:sz w:val="24"/>
                <w:szCs w:val="24"/>
              </w:rPr>
            </w:pPr>
            <w:r w:rsidRPr="00602F63">
              <w:rPr>
                <w:rFonts w:ascii="Times New Roman" w:hAnsi="Times New Roman"/>
                <w:color w:val="000000"/>
                <w:sz w:val="24"/>
                <w:szCs w:val="24"/>
              </w:rPr>
              <w:t>Částka</w:t>
            </w:r>
          </w:p>
        </w:tc>
      </w:tr>
      <w:tr w:rsidR="00F9033D" w:rsidRPr="00AE3920" w14:paraId="0A668FC4" w14:textId="77777777" w:rsidTr="008B71DB">
        <w:trPr>
          <w:trHeight w:val="300"/>
        </w:trPr>
        <w:tc>
          <w:tcPr>
            <w:tcW w:w="180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DD1ACF7" w14:textId="77777777" w:rsidR="00F9033D" w:rsidRPr="00602F63" w:rsidRDefault="00F9033D" w:rsidP="00F810B6">
            <w:pPr>
              <w:rPr>
                <w:rFonts w:ascii="Times New Roman" w:hAnsi="Times New Roman"/>
                <w:b/>
                <w:bCs/>
                <w:color w:val="000000"/>
                <w:sz w:val="24"/>
                <w:szCs w:val="24"/>
              </w:rPr>
            </w:pPr>
            <w:r w:rsidRPr="00602F63">
              <w:rPr>
                <w:rFonts w:ascii="Times New Roman" w:hAnsi="Times New Roman"/>
                <w:b/>
                <w:bCs/>
                <w:color w:val="000000"/>
                <w:sz w:val="24"/>
                <w:szCs w:val="24"/>
              </w:rPr>
              <w:t>2020</w:t>
            </w:r>
          </w:p>
        </w:tc>
        <w:tc>
          <w:tcPr>
            <w:tcW w:w="1078" w:type="pct"/>
            <w:vMerge w:val="restart"/>
            <w:tcBorders>
              <w:top w:val="nil"/>
              <w:left w:val="single" w:sz="4" w:space="0" w:color="auto"/>
              <w:bottom w:val="single" w:sz="4" w:space="0" w:color="000000"/>
              <w:right w:val="single" w:sz="4" w:space="0" w:color="auto"/>
            </w:tcBorders>
            <w:shd w:val="clear" w:color="auto" w:fill="auto"/>
            <w:vAlign w:val="center"/>
            <w:hideMark/>
          </w:tcPr>
          <w:p w14:paraId="7FE56A93" w14:textId="77777777" w:rsidR="00F9033D" w:rsidRPr="00602F63" w:rsidRDefault="00F9033D" w:rsidP="00F810B6">
            <w:pPr>
              <w:jc w:val="center"/>
              <w:rPr>
                <w:rFonts w:ascii="Times New Roman" w:hAnsi="Times New Roman"/>
                <w:color w:val="000000"/>
                <w:sz w:val="24"/>
                <w:szCs w:val="24"/>
              </w:rPr>
            </w:pPr>
            <w:r w:rsidRPr="00602F63">
              <w:rPr>
                <w:rFonts w:ascii="Times New Roman" w:hAnsi="Times New Roman"/>
                <w:color w:val="000000"/>
                <w:sz w:val="24"/>
                <w:szCs w:val="24"/>
              </w:rPr>
              <w:t>EUR</w:t>
            </w:r>
          </w:p>
        </w:tc>
        <w:tc>
          <w:tcPr>
            <w:tcW w:w="2115" w:type="pct"/>
            <w:tcBorders>
              <w:top w:val="nil"/>
              <w:left w:val="nil"/>
              <w:bottom w:val="single" w:sz="4" w:space="0" w:color="auto"/>
              <w:right w:val="single" w:sz="4" w:space="0" w:color="auto"/>
            </w:tcBorders>
            <w:shd w:val="clear" w:color="000000" w:fill="FFFFFF"/>
            <w:noWrap/>
            <w:vAlign w:val="center"/>
            <w:hideMark/>
          </w:tcPr>
          <w:p w14:paraId="1F368A5B" w14:textId="77777777" w:rsidR="00F9033D" w:rsidRPr="00602F63" w:rsidRDefault="00F9033D" w:rsidP="00F810B6">
            <w:pPr>
              <w:jc w:val="right"/>
              <w:rPr>
                <w:rFonts w:ascii="Times New Roman" w:hAnsi="Times New Roman"/>
                <w:color w:val="000000"/>
                <w:sz w:val="24"/>
                <w:szCs w:val="24"/>
              </w:rPr>
            </w:pPr>
            <w:r w:rsidRPr="00602F63">
              <w:rPr>
                <w:rFonts w:ascii="Times New Roman" w:hAnsi="Times New Roman"/>
                <w:color w:val="000000"/>
                <w:sz w:val="24"/>
                <w:szCs w:val="24"/>
              </w:rPr>
              <w:t>150 000 000</w:t>
            </w:r>
          </w:p>
        </w:tc>
      </w:tr>
      <w:tr w:rsidR="00F9033D" w:rsidRPr="00AE3920" w14:paraId="0CE0A1F0" w14:textId="77777777" w:rsidTr="008B71DB">
        <w:trPr>
          <w:trHeight w:val="300"/>
        </w:trPr>
        <w:tc>
          <w:tcPr>
            <w:tcW w:w="1807" w:type="pct"/>
            <w:vMerge/>
            <w:tcBorders>
              <w:top w:val="nil"/>
              <w:left w:val="single" w:sz="4" w:space="0" w:color="auto"/>
              <w:bottom w:val="single" w:sz="4" w:space="0" w:color="000000"/>
              <w:right w:val="single" w:sz="4" w:space="0" w:color="auto"/>
            </w:tcBorders>
            <w:vAlign w:val="center"/>
            <w:hideMark/>
          </w:tcPr>
          <w:p w14:paraId="1BA6095A" w14:textId="77777777" w:rsidR="00F9033D" w:rsidRPr="00602F63" w:rsidRDefault="00F9033D" w:rsidP="00F810B6">
            <w:pPr>
              <w:rPr>
                <w:rFonts w:ascii="Times New Roman" w:hAnsi="Times New Roman"/>
                <w:b/>
                <w:bCs/>
                <w:color w:val="000000"/>
                <w:sz w:val="24"/>
                <w:szCs w:val="24"/>
              </w:rPr>
            </w:pPr>
          </w:p>
        </w:tc>
        <w:tc>
          <w:tcPr>
            <w:tcW w:w="1078" w:type="pct"/>
            <w:vMerge/>
            <w:tcBorders>
              <w:top w:val="nil"/>
              <w:left w:val="single" w:sz="4" w:space="0" w:color="auto"/>
              <w:bottom w:val="single" w:sz="4" w:space="0" w:color="000000"/>
              <w:right w:val="single" w:sz="4" w:space="0" w:color="auto"/>
            </w:tcBorders>
            <w:vAlign w:val="center"/>
            <w:hideMark/>
          </w:tcPr>
          <w:p w14:paraId="4BC18F8C" w14:textId="77777777" w:rsidR="00F9033D" w:rsidRPr="00602F63" w:rsidRDefault="00F9033D" w:rsidP="00F810B6">
            <w:pPr>
              <w:rPr>
                <w:rFonts w:ascii="Times New Roman" w:hAnsi="Times New Roman"/>
                <w:color w:val="000000"/>
                <w:sz w:val="24"/>
                <w:szCs w:val="24"/>
              </w:rPr>
            </w:pPr>
          </w:p>
        </w:tc>
        <w:tc>
          <w:tcPr>
            <w:tcW w:w="2115" w:type="pct"/>
            <w:tcBorders>
              <w:top w:val="nil"/>
              <w:left w:val="nil"/>
              <w:bottom w:val="single" w:sz="4" w:space="0" w:color="auto"/>
              <w:right w:val="single" w:sz="4" w:space="0" w:color="auto"/>
            </w:tcBorders>
            <w:shd w:val="clear" w:color="000000" w:fill="FFFFFF"/>
            <w:noWrap/>
            <w:vAlign w:val="center"/>
            <w:hideMark/>
          </w:tcPr>
          <w:p w14:paraId="5BACBD22" w14:textId="77777777" w:rsidR="00F9033D" w:rsidRPr="00602F63" w:rsidRDefault="00F9033D" w:rsidP="00F810B6">
            <w:pPr>
              <w:jc w:val="right"/>
              <w:rPr>
                <w:rFonts w:ascii="Times New Roman" w:hAnsi="Times New Roman"/>
                <w:color w:val="000000"/>
                <w:sz w:val="24"/>
                <w:szCs w:val="24"/>
              </w:rPr>
            </w:pPr>
            <w:r w:rsidRPr="00602F63">
              <w:rPr>
                <w:rFonts w:ascii="Times New Roman" w:hAnsi="Times New Roman"/>
                <w:color w:val="000000"/>
                <w:sz w:val="24"/>
                <w:szCs w:val="24"/>
              </w:rPr>
              <w:t>150 000 000</w:t>
            </w:r>
          </w:p>
        </w:tc>
      </w:tr>
      <w:tr w:rsidR="00F9033D" w:rsidRPr="00AE3920" w14:paraId="6D4F6FE9" w14:textId="77777777" w:rsidTr="008B71DB">
        <w:trPr>
          <w:trHeight w:val="300"/>
        </w:trPr>
        <w:tc>
          <w:tcPr>
            <w:tcW w:w="180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0B12CD6" w14:textId="77777777" w:rsidR="00F9033D" w:rsidRPr="00602F63" w:rsidRDefault="00F9033D" w:rsidP="00F810B6">
            <w:pPr>
              <w:rPr>
                <w:rFonts w:ascii="Times New Roman" w:hAnsi="Times New Roman"/>
                <w:b/>
                <w:bCs/>
                <w:color w:val="000000"/>
                <w:sz w:val="24"/>
                <w:szCs w:val="24"/>
              </w:rPr>
            </w:pPr>
            <w:r w:rsidRPr="00602F63">
              <w:rPr>
                <w:rFonts w:ascii="Times New Roman" w:hAnsi="Times New Roman"/>
                <w:b/>
                <w:bCs/>
                <w:color w:val="000000"/>
                <w:sz w:val="24"/>
                <w:szCs w:val="24"/>
              </w:rPr>
              <w:t>2021</w:t>
            </w:r>
          </w:p>
        </w:tc>
        <w:tc>
          <w:tcPr>
            <w:tcW w:w="1078" w:type="pct"/>
            <w:tcBorders>
              <w:top w:val="nil"/>
              <w:left w:val="nil"/>
              <w:bottom w:val="single" w:sz="4" w:space="0" w:color="auto"/>
              <w:right w:val="single" w:sz="4" w:space="0" w:color="auto"/>
            </w:tcBorders>
            <w:shd w:val="clear" w:color="auto" w:fill="auto"/>
            <w:vAlign w:val="center"/>
            <w:hideMark/>
          </w:tcPr>
          <w:p w14:paraId="4811CD82" w14:textId="77777777" w:rsidR="00F9033D" w:rsidRPr="00602F63" w:rsidRDefault="00F9033D" w:rsidP="00F810B6">
            <w:pPr>
              <w:jc w:val="center"/>
              <w:rPr>
                <w:rFonts w:ascii="Times New Roman" w:hAnsi="Times New Roman"/>
                <w:color w:val="000000"/>
                <w:sz w:val="24"/>
                <w:szCs w:val="24"/>
              </w:rPr>
            </w:pPr>
            <w:r w:rsidRPr="00602F63">
              <w:rPr>
                <w:rFonts w:ascii="Times New Roman" w:hAnsi="Times New Roman"/>
                <w:color w:val="000000"/>
                <w:sz w:val="24"/>
                <w:szCs w:val="24"/>
              </w:rPr>
              <w:t>EUR</w:t>
            </w:r>
          </w:p>
        </w:tc>
        <w:tc>
          <w:tcPr>
            <w:tcW w:w="2115" w:type="pct"/>
            <w:tcBorders>
              <w:top w:val="nil"/>
              <w:left w:val="nil"/>
              <w:bottom w:val="single" w:sz="4" w:space="0" w:color="auto"/>
              <w:right w:val="single" w:sz="4" w:space="0" w:color="auto"/>
            </w:tcBorders>
            <w:shd w:val="clear" w:color="000000" w:fill="FFFFFF"/>
            <w:noWrap/>
            <w:vAlign w:val="center"/>
            <w:hideMark/>
          </w:tcPr>
          <w:p w14:paraId="6E05BDCE" w14:textId="77777777" w:rsidR="00F9033D" w:rsidRPr="00602F63" w:rsidRDefault="00F9033D" w:rsidP="00F810B6">
            <w:pPr>
              <w:jc w:val="right"/>
              <w:rPr>
                <w:rFonts w:ascii="Times New Roman" w:hAnsi="Times New Roman"/>
                <w:color w:val="000000"/>
                <w:sz w:val="24"/>
                <w:szCs w:val="24"/>
              </w:rPr>
            </w:pPr>
            <w:r w:rsidRPr="00602F63">
              <w:rPr>
                <w:rFonts w:ascii="Times New Roman" w:hAnsi="Times New Roman"/>
                <w:color w:val="000000"/>
                <w:sz w:val="24"/>
                <w:szCs w:val="24"/>
              </w:rPr>
              <w:t>70 000 000</w:t>
            </w:r>
          </w:p>
        </w:tc>
      </w:tr>
      <w:tr w:rsidR="00F9033D" w:rsidRPr="00AE3920" w14:paraId="6F823A23" w14:textId="77777777" w:rsidTr="008B71DB">
        <w:trPr>
          <w:trHeight w:val="300"/>
        </w:trPr>
        <w:tc>
          <w:tcPr>
            <w:tcW w:w="1807" w:type="pct"/>
            <w:vMerge/>
            <w:tcBorders>
              <w:top w:val="nil"/>
              <w:left w:val="single" w:sz="4" w:space="0" w:color="auto"/>
              <w:bottom w:val="single" w:sz="4" w:space="0" w:color="000000"/>
              <w:right w:val="single" w:sz="4" w:space="0" w:color="auto"/>
            </w:tcBorders>
            <w:vAlign w:val="center"/>
            <w:hideMark/>
          </w:tcPr>
          <w:p w14:paraId="1B852306" w14:textId="77777777" w:rsidR="00F9033D" w:rsidRPr="00602F63" w:rsidRDefault="00F9033D" w:rsidP="00F810B6">
            <w:pPr>
              <w:rPr>
                <w:rFonts w:ascii="Times New Roman" w:hAnsi="Times New Roman"/>
                <w:b/>
                <w:bCs/>
                <w:color w:val="000000"/>
                <w:sz w:val="24"/>
                <w:szCs w:val="24"/>
              </w:rPr>
            </w:pPr>
          </w:p>
        </w:tc>
        <w:tc>
          <w:tcPr>
            <w:tcW w:w="1078" w:type="pct"/>
            <w:tcBorders>
              <w:top w:val="nil"/>
              <w:left w:val="nil"/>
              <w:bottom w:val="single" w:sz="4" w:space="0" w:color="auto"/>
              <w:right w:val="single" w:sz="4" w:space="0" w:color="auto"/>
            </w:tcBorders>
            <w:shd w:val="clear" w:color="auto" w:fill="auto"/>
            <w:vAlign w:val="center"/>
            <w:hideMark/>
          </w:tcPr>
          <w:p w14:paraId="5D9D6DE0" w14:textId="77777777" w:rsidR="00F9033D" w:rsidRPr="00602F63" w:rsidRDefault="00F9033D" w:rsidP="00F810B6">
            <w:pPr>
              <w:jc w:val="center"/>
              <w:rPr>
                <w:rFonts w:ascii="Times New Roman" w:hAnsi="Times New Roman"/>
                <w:color w:val="000000"/>
                <w:sz w:val="24"/>
                <w:szCs w:val="24"/>
              </w:rPr>
            </w:pPr>
            <w:r w:rsidRPr="00602F63">
              <w:rPr>
                <w:rFonts w:ascii="Times New Roman" w:hAnsi="Times New Roman"/>
                <w:color w:val="000000"/>
                <w:sz w:val="24"/>
                <w:szCs w:val="24"/>
              </w:rPr>
              <w:t>CZK</w:t>
            </w:r>
          </w:p>
        </w:tc>
        <w:tc>
          <w:tcPr>
            <w:tcW w:w="2115" w:type="pct"/>
            <w:tcBorders>
              <w:top w:val="nil"/>
              <w:left w:val="nil"/>
              <w:bottom w:val="single" w:sz="4" w:space="0" w:color="auto"/>
              <w:right w:val="single" w:sz="4" w:space="0" w:color="auto"/>
            </w:tcBorders>
            <w:shd w:val="clear" w:color="000000" w:fill="FFFFFF"/>
            <w:noWrap/>
            <w:vAlign w:val="center"/>
            <w:hideMark/>
          </w:tcPr>
          <w:p w14:paraId="7B8D1C43" w14:textId="77777777" w:rsidR="00F9033D" w:rsidRPr="00602F63" w:rsidRDefault="00F9033D" w:rsidP="00F810B6">
            <w:pPr>
              <w:jc w:val="right"/>
              <w:rPr>
                <w:rFonts w:ascii="Times New Roman" w:hAnsi="Times New Roman"/>
                <w:color w:val="000000"/>
                <w:sz w:val="24"/>
                <w:szCs w:val="24"/>
              </w:rPr>
            </w:pPr>
            <w:r w:rsidRPr="00602F63">
              <w:rPr>
                <w:rFonts w:ascii="Times New Roman" w:hAnsi="Times New Roman"/>
                <w:color w:val="000000"/>
                <w:sz w:val="24"/>
                <w:szCs w:val="24"/>
              </w:rPr>
              <w:t>3 675 000 000</w:t>
            </w:r>
          </w:p>
        </w:tc>
      </w:tr>
      <w:tr w:rsidR="00F9033D" w:rsidRPr="00AE3920" w14:paraId="5C32BEDA" w14:textId="77777777" w:rsidTr="008B71DB">
        <w:trPr>
          <w:trHeight w:val="300"/>
        </w:trPr>
        <w:tc>
          <w:tcPr>
            <w:tcW w:w="1807" w:type="pct"/>
            <w:vMerge/>
            <w:tcBorders>
              <w:top w:val="nil"/>
              <w:left w:val="single" w:sz="4" w:space="0" w:color="auto"/>
              <w:bottom w:val="single" w:sz="4" w:space="0" w:color="000000"/>
              <w:right w:val="single" w:sz="4" w:space="0" w:color="auto"/>
            </w:tcBorders>
            <w:vAlign w:val="center"/>
            <w:hideMark/>
          </w:tcPr>
          <w:p w14:paraId="71FD3E08" w14:textId="77777777" w:rsidR="00F9033D" w:rsidRPr="00602F63" w:rsidRDefault="00F9033D" w:rsidP="00F810B6">
            <w:pPr>
              <w:rPr>
                <w:rFonts w:ascii="Times New Roman" w:hAnsi="Times New Roman"/>
                <w:b/>
                <w:bCs/>
                <w:color w:val="000000"/>
                <w:sz w:val="24"/>
                <w:szCs w:val="24"/>
              </w:rPr>
            </w:pPr>
          </w:p>
        </w:tc>
        <w:tc>
          <w:tcPr>
            <w:tcW w:w="1078" w:type="pct"/>
            <w:tcBorders>
              <w:top w:val="nil"/>
              <w:left w:val="nil"/>
              <w:bottom w:val="single" w:sz="4" w:space="0" w:color="auto"/>
              <w:right w:val="single" w:sz="4" w:space="0" w:color="auto"/>
            </w:tcBorders>
            <w:shd w:val="clear" w:color="auto" w:fill="auto"/>
            <w:vAlign w:val="center"/>
            <w:hideMark/>
          </w:tcPr>
          <w:p w14:paraId="1B41B9B6" w14:textId="77777777" w:rsidR="00F9033D" w:rsidRPr="00602F63" w:rsidRDefault="00F9033D" w:rsidP="00F810B6">
            <w:pPr>
              <w:jc w:val="center"/>
              <w:rPr>
                <w:rFonts w:ascii="Times New Roman" w:hAnsi="Times New Roman"/>
                <w:color w:val="000000"/>
                <w:sz w:val="24"/>
                <w:szCs w:val="24"/>
              </w:rPr>
            </w:pPr>
            <w:r w:rsidRPr="00602F63">
              <w:rPr>
                <w:rFonts w:ascii="Times New Roman" w:hAnsi="Times New Roman"/>
                <w:color w:val="000000"/>
                <w:sz w:val="24"/>
                <w:szCs w:val="24"/>
              </w:rPr>
              <w:t>EUR</w:t>
            </w:r>
          </w:p>
        </w:tc>
        <w:tc>
          <w:tcPr>
            <w:tcW w:w="2115" w:type="pct"/>
            <w:tcBorders>
              <w:top w:val="nil"/>
              <w:left w:val="nil"/>
              <w:bottom w:val="single" w:sz="4" w:space="0" w:color="auto"/>
              <w:right w:val="single" w:sz="4" w:space="0" w:color="auto"/>
            </w:tcBorders>
            <w:shd w:val="clear" w:color="000000" w:fill="FFFFFF"/>
            <w:noWrap/>
            <w:vAlign w:val="center"/>
            <w:hideMark/>
          </w:tcPr>
          <w:p w14:paraId="437E37E2" w14:textId="77777777" w:rsidR="00F9033D" w:rsidRPr="00602F63" w:rsidRDefault="00F9033D" w:rsidP="00F810B6">
            <w:pPr>
              <w:jc w:val="right"/>
              <w:rPr>
                <w:rFonts w:ascii="Times New Roman" w:hAnsi="Times New Roman"/>
                <w:color w:val="000000"/>
                <w:sz w:val="24"/>
                <w:szCs w:val="24"/>
              </w:rPr>
            </w:pPr>
            <w:r w:rsidRPr="00602F63">
              <w:rPr>
                <w:rFonts w:ascii="Times New Roman" w:hAnsi="Times New Roman"/>
                <w:color w:val="000000"/>
                <w:sz w:val="24"/>
                <w:szCs w:val="24"/>
              </w:rPr>
              <w:t>250 000 000</w:t>
            </w:r>
          </w:p>
        </w:tc>
      </w:tr>
      <w:tr w:rsidR="00F9033D" w:rsidRPr="00AE3920" w14:paraId="583D201F" w14:textId="77777777" w:rsidTr="008B71DB">
        <w:trPr>
          <w:trHeight w:val="300"/>
        </w:trPr>
        <w:tc>
          <w:tcPr>
            <w:tcW w:w="180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1D0A4A9" w14:textId="77777777" w:rsidR="00F9033D" w:rsidRPr="00602F63" w:rsidRDefault="00F9033D" w:rsidP="00F810B6">
            <w:pPr>
              <w:rPr>
                <w:rFonts w:ascii="Times New Roman" w:hAnsi="Times New Roman"/>
                <w:b/>
                <w:bCs/>
                <w:color w:val="000000"/>
                <w:sz w:val="24"/>
                <w:szCs w:val="24"/>
              </w:rPr>
            </w:pPr>
            <w:r w:rsidRPr="00602F63">
              <w:rPr>
                <w:rFonts w:ascii="Times New Roman" w:hAnsi="Times New Roman"/>
                <w:b/>
                <w:bCs/>
                <w:color w:val="000000"/>
                <w:sz w:val="24"/>
                <w:szCs w:val="24"/>
              </w:rPr>
              <w:t>2022</w:t>
            </w:r>
          </w:p>
        </w:tc>
        <w:tc>
          <w:tcPr>
            <w:tcW w:w="1078" w:type="pct"/>
            <w:vMerge w:val="restart"/>
            <w:tcBorders>
              <w:top w:val="nil"/>
              <w:left w:val="single" w:sz="4" w:space="0" w:color="auto"/>
              <w:bottom w:val="single" w:sz="4" w:space="0" w:color="000000"/>
              <w:right w:val="single" w:sz="4" w:space="0" w:color="auto"/>
            </w:tcBorders>
            <w:shd w:val="clear" w:color="auto" w:fill="auto"/>
            <w:vAlign w:val="center"/>
            <w:hideMark/>
          </w:tcPr>
          <w:p w14:paraId="5C49BDB6" w14:textId="77777777" w:rsidR="00F9033D" w:rsidRPr="00602F63" w:rsidRDefault="00F9033D" w:rsidP="00F810B6">
            <w:pPr>
              <w:jc w:val="center"/>
              <w:rPr>
                <w:rFonts w:ascii="Times New Roman" w:hAnsi="Times New Roman"/>
                <w:color w:val="000000"/>
                <w:sz w:val="24"/>
                <w:szCs w:val="24"/>
              </w:rPr>
            </w:pPr>
            <w:r w:rsidRPr="00602F63">
              <w:rPr>
                <w:rFonts w:ascii="Times New Roman" w:hAnsi="Times New Roman"/>
                <w:color w:val="000000"/>
                <w:sz w:val="24"/>
                <w:szCs w:val="24"/>
              </w:rPr>
              <w:t>EUR</w:t>
            </w:r>
          </w:p>
        </w:tc>
        <w:tc>
          <w:tcPr>
            <w:tcW w:w="2115" w:type="pct"/>
            <w:tcBorders>
              <w:top w:val="nil"/>
              <w:left w:val="nil"/>
              <w:bottom w:val="single" w:sz="4" w:space="0" w:color="auto"/>
              <w:right w:val="single" w:sz="4" w:space="0" w:color="auto"/>
            </w:tcBorders>
            <w:shd w:val="clear" w:color="000000" w:fill="FFFFFF"/>
            <w:noWrap/>
            <w:vAlign w:val="center"/>
            <w:hideMark/>
          </w:tcPr>
          <w:p w14:paraId="13FFD28D" w14:textId="77777777" w:rsidR="00F9033D" w:rsidRPr="00602F63" w:rsidRDefault="00F9033D" w:rsidP="00F810B6">
            <w:pPr>
              <w:jc w:val="right"/>
              <w:rPr>
                <w:rFonts w:ascii="Times New Roman" w:hAnsi="Times New Roman"/>
                <w:color w:val="000000"/>
                <w:sz w:val="24"/>
                <w:szCs w:val="24"/>
              </w:rPr>
            </w:pPr>
            <w:r w:rsidRPr="00602F63">
              <w:rPr>
                <w:rFonts w:ascii="Times New Roman" w:hAnsi="Times New Roman"/>
                <w:color w:val="000000"/>
                <w:sz w:val="24"/>
                <w:szCs w:val="24"/>
              </w:rPr>
              <w:t>50 000 000</w:t>
            </w:r>
          </w:p>
        </w:tc>
      </w:tr>
      <w:tr w:rsidR="00F9033D" w:rsidRPr="00AE3920" w14:paraId="37645FD9" w14:textId="77777777" w:rsidTr="008B71DB">
        <w:trPr>
          <w:trHeight w:val="300"/>
        </w:trPr>
        <w:tc>
          <w:tcPr>
            <w:tcW w:w="1807" w:type="pct"/>
            <w:vMerge/>
            <w:tcBorders>
              <w:top w:val="nil"/>
              <w:left w:val="single" w:sz="4" w:space="0" w:color="auto"/>
              <w:bottom w:val="single" w:sz="4" w:space="0" w:color="000000"/>
              <w:right w:val="single" w:sz="4" w:space="0" w:color="auto"/>
            </w:tcBorders>
            <w:vAlign w:val="center"/>
            <w:hideMark/>
          </w:tcPr>
          <w:p w14:paraId="3C06283E" w14:textId="77777777" w:rsidR="00F9033D" w:rsidRPr="00602F63" w:rsidRDefault="00F9033D" w:rsidP="00F810B6">
            <w:pPr>
              <w:rPr>
                <w:rFonts w:ascii="Times New Roman" w:hAnsi="Times New Roman"/>
                <w:b/>
                <w:bCs/>
                <w:color w:val="000000"/>
                <w:sz w:val="24"/>
                <w:szCs w:val="24"/>
              </w:rPr>
            </w:pPr>
          </w:p>
        </w:tc>
        <w:tc>
          <w:tcPr>
            <w:tcW w:w="1078" w:type="pct"/>
            <w:vMerge/>
            <w:tcBorders>
              <w:top w:val="nil"/>
              <w:left w:val="single" w:sz="4" w:space="0" w:color="auto"/>
              <w:bottom w:val="single" w:sz="4" w:space="0" w:color="000000"/>
              <w:right w:val="single" w:sz="4" w:space="0" w:color="auto"/>
            </w:tcBorders>
            <w:vAlign w:val="center"/>
            <w:hideMark/>
          </w:tcPr>
          <w:p w14:paraId="5342AA57" w14:textId="77777777" w:rsidR="00F9033D" w:rsidRPr="00602F63" w:rsidRDefault="00F9033D" w:rsidP="00F810B6">
            <w:pPr>
              <w:rPr>
                <w:rFonts w:ascii="Times New Roman" w:hAnsi="Times New Roman"/>
                <w:color w:val="000000"/>
                <w:sz w:val="24"/>
                <w:szCs w:val="24"/>
              </w:rPr>
            </w:pPr>
          </w:p>
        </w:tc>
        <w:tc>
          <w:tcPr>
            <w:tcW w:w="2115" w:type="pct"/>
            <w:tcBorders>
              <w:top w:val="nil"/>
              <w:left w:val="nil"/>
              <w:bottom w:val="single" w:sz="4" w:space="0" w:color="auto"/>
              <w:right w:val="single" w:sz="4" w:space="0" w:color="auto"/>
            </w:tcBorders>
            <w:shd w:val="clear" w:color="000000" w:fill="FFFFFF"/>
            <w:noWrap/>
            <w:vAlign w:val="center"/>
            <w:hideMark/>
          </w:tcPr>
          <w:p w14:paraId="3F8DA0F3" w14:textId="77777777" w:rsidR="00F9033D" w:rsidRPr="00602F63" w:rsidRDefault="00F9033D" w:rsidP="00F810B6">
            <w:pPr>
              <w:jc w:val="right"/>
              <w:rPr>
                <w:rFonts w:ascii="Times New Roman" w:hAnsi="Times New Roman"/>
                <w:color w:val="000000"/>
                <w:sz w:val="24"/>
                <w:szCs w:val="24"/>
              </w:rPr>
            </w:pPr>
            <w:r w:rsidRPr="00602F63">
              <w:rPr>
                <w:rFonts w:ascii="Times New Roman" w:hAnsi="Times New Roman"/>
                <w:color w:val="000000"/>
                <w:sz w:val="24"/>
                <w:szCs w:val="24"/>
              </w:rPr>
              <w:t>117 500 000</w:t>
            </w:r>
          </w:p>
        </w:tc>
      </w:tr>
      <w:tr w:rsidR="00F9033D" w:rsidRPr="00AE3920" w14:paraId="26822929" w14:textId="77777777" w:rsidTr="008B71DB">
        <w:trPr>
          <w:trHeight w:val="300"/>
        </w:trPr>
        <w:tc>
          <w:tcPr>
            <w:tcW w:w="1807" w:type="pct"/>
            <w:tcBorders>
              <w:top w:val="nil"/>
              <w:left w:val="single" w:sz="4" w:space="0" w:color="auto"/>
              <w:bottom w:val="single" w:sz="4" w:space="0" w:color="auto"/>
              <w:right w:val="single" w:sz="4" w:space="0" w:color="auto"/>
            </w:tcBorders>
            <w:shd w:val="clear" w:color="auto" w:fill="auto"/>
            <w:noWrap/>
            <w:vAlign w:val="center"/>
            <w:hideMark/>
          </w:tcPr>
          <w:p w14:paraId="20BDCBF2" w14:textId="77777777" w:rsidR="00F9033D" w:rsidRPr="00602F63" w:rsidRDefault="00F9033D" w:rsidP="00F810B6">
            <w:pPr>
              <w:rPr>
                <w:rFonts w:ascii="Times New Roman" w:hAnsi="Times New Roman"/>
                <w:b/>
                <w:bCs/>
                <w:color w:val="000000"/>
                <w:sz w:val="24"/>
                <w:szCs w:val="24"/>
              </w:rPr>
            </w:pPr>
            <w:r w:rsidRPr="00602F63">
              <w:rPr>
                <w:rFonts w:ascii="Times New Roman" w:hAnsi="Times New Roman"/>
                <w:b/>
                <w:bCs/>
                <w:color w:val="000000"/>
                <w:sz w:val="24"/>
                <w:szCs w:val="24"/>
              </w:rPr>
              <w:t>2023</w:t>
            </w:r>
          </w:p>
        </w:tc>
        <w:tc>
          <w:tcPr>
            <w:tcW w:w="1078" w:type="pct"/>
            <w:tcBorders>
              <w:top w:val="nil"/>
              <w:left w:val="nil"/>
              <w:bottom w:val="single" w:sz="4" w:space="0" w:color="auto"/>
              <w:right w:val="single" w:sz="4" w:space="0" w:color="auto"/>
            </w:tcBorders>
            <w:shd w:val="clear" w:color="auto" w:fill="auto"/>
            <w:vAlign w:val="center"/>
            <w:hideMark/>
          </w:tcPr>
          <w:p w14:paraId="2C45BAAA" w14:textId="77777777" w:rsidR="00F9033D" w:rsidRPr="00602F63" w:rsidRDefault="00F9033D" w:rsidP="00F810B6">
            <w:pPr>
              <w:jc w:val="center"/>
              <w:rPr>
                <w:rFonts w:ascii="Times New Roman" w:hAnsi="Times New Roman"/>
                <w:color w:val="000000"/>
                <w:sz w:val="24"/>
                <w:szCs w:val="24"/>
              </w:rPr>
            </w:pPr>
            <w:r w:rsidRPr="00602F63">
              <w:rPr>
                <w:rFonts w:ascii="Times New Roman" w:hAnsi="Times New Roman"/>
                <w:color w:val="000000"/>
                <w:sz w:val="24"/>
                <w:szCs w:val="24"/>
              </w:rPr>
              <w:t>EUR</w:t>
            </w:r>
          </w:p>
        </w:tc>
        <w:tc>
          <w:tcPr>
            <w:tcW w:w="2115" w:type="pct"/>
            <w:tcBorders>
              <w:top w:val="nil"/>
              <w:left w:val="nil"/>
              <w:bottom w:val="single" w:sz="4" w:space="0" w:color="auto"/>
              <w:right w:val="single" w:sz="4" w:space="0" w:color="auto"/>
            </w:tcBorders>
            <w:shd w:val="clear" w:color="000000" w:fill="FFFFFF"/>
            <w:noWrap/>
            <w:vAlign w:val="center"/>
            <w:hideMark/>
          </w:tcPr>
          <w:p w14:paraId="0A16C4A2" w14:textId="77777777" w:rsidR="00F9033D" w:rsidRPr="00602F63" w:rsidRDefault="00F9033D" w:rsidP="00F810B6">
            <w:pPr>
              <w:jc w:val="right"/>
              <w:rPr>
                <w:rFonts w:ascii="Times New Roman" w:hAnsi="Times New Roman"/>
                <w:color w:val="000000"/>
                <w:sz w:val="24"/>
                <w:szCs w:val="24"/>
              </w:rPr>
            </w:pPr>
            <w:r w:rsidRPr="00602F63">
              <w:rPr>
                <w:rFonts w:ascii="Times New Roman" w:hAnsi="Times New Roman"/>
                <w:color w:val="000000"/>
                <w:sz w:val="24"/>
                <w:szCs w:val="24"/>
              </w:rPr>
              <w:t>100 000 000</w:t>
            </w:r>
          </w:p>
        </w:tc>
      </w:tr>
      <w:tr w:rsidR="00F9033D" w:rsidRPr="00AE3920" w14:paraId="7C65E0D0" w14:textId="77777777" w:rsidTr="008B71DB">
        <w:trPr>
          <w:trHeight w:val="300"/>
        </w:trPr>
        <w:tc>
          <w:tcPr>
            <w:tcW w:w="180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6A71C71C" w14:textId="77777777" w:rsidR="00F9033D" w:rsidRPr="00602F63" w:rsidRDefault="00F9033D" w:rsidP="00F810B6">
            <w:pPr>
              <w:rPr>
                <w:rFonts w:ascii="Times New Roman" w:hAnsi="Times New Roman"/>
                <w:b/>
                <w:bCs/>
                <w:color w:val="000000"/>
                <w:sz w:val="24"/>
                <w:szCs w:val="24"/>
              </w:rPr>
            </w:pPr>
            <w:r w:rsidRPr="00602F63">
              <w:rPr>
                <w:rFonts w:ascii="Times New Roman" w:hAnsi="Times New Roman"/>
                <w:b/>
                <w:bCs/>
                <w:color w:val="000000"/>
                <w:sz w:val="24"/>
                <w:szCs w:val="24"/>
              </w:rPr>
              <w:t>2024</w:t>
            </w:r>
          </w:p>
        </w:tc>
        <w:tc>
          <w:tcPr>
            <w:tcW w:w="1078" w:type="pct"/>
            <w:vMerge w:val="restart"/>
            <w:tcBorders>
              <w:top w:val="nil"/>
              <w:left w:val="single" w:sz="4" w:space="0" w:color="auto"/>
              <w:bottom w:val="single" w:sz="4" w:space="0" w:color="000000"/>
              <w:right w:val="single" w:sz="4" w:space="0" w:color="auto"/>
            </w:tcBorders>
            <w:shd w:val="clear" w:color="auto" w:fill="auto"/>
            <w:vAlign w:val="center"/>
            <w:hideMark/>
          </w:tcPr>
          <w:p w14:paraId="29F0665F" w14:textId="77777777" w:rsidR="00F9033D" w:rsidRPr="00602F63" w:rsidRDefault="00F9033D" w:rsidP="00F810B6">
            <w:pPr>
              <w:jc w:val="center"/>
              <w:rPr>
                <w:rFonts w:ascii="Times New Roman" w:hAnsi="Times New Roman"/>
                <w:color w:val="000000"/>
                <w:sz w:val="24"/>
                <w:szCs w:val="24"/>
              </w:rPr>
            </w:pPr>
            <w:r w:rsidRPr="00602F63">
              <w:rPr>
                <w:rFonts w:ascii="Times New Roman" w:hAnsi="Times New Roman"/>
                <w:color w:val="000000"/>
                <w:sz w:val="24"/>
                <w:szCs w:val="24"/>
              </w:rPr>
              <w:t>EUR</w:t>
            </w:r>
          </w:p>
        </w:tc>
        <w:tc>
          <w:tcPr>
            <w:tcW w:w="2115" w:type="pct"/>
            <w:tcBorders>
              <w:top w:val="nil"/>
              <w:left w:val="nil"/>
              <w:bottom w:val="single" w:sz="4" w:space="0" w:color="auto"/>
              <w:right w:val="single" w:sz="4" w:space="0" w:color="auto"/>
            </w:tcBorders>
            <w:shd w:val="clear" w:color="000000" w:fill="FFFFFF"/>
            <w:noWrap/>
            <w:vAlign w:val="center"/>
            <w:hideMark/>
          </w:tcPr>
          <w:p w14:paraId="06942541" w14:textId="77777777" w:rsidR="00F9033D" w:rsidRPr="00602F63" w:rsidRDefault="00F9033D" w:rsidP="00F810B6">
            <w:pPr>
              <w:jc w:val="right"/>
              <w:rPr>
                <w:rFonts w:ascii="Times New Roman" w:hAnsi="Times New Roman"/>
                <w:color w:val="000000"/>
                <w:sz w:val="24"/>
                <w:szCs w:val="24"/>
              </w:rPr>
            </w:pPr>
            <w:r w:rsidRPr="00602F63">
              <w:rPr>
                <w:rFonts w:ascii="Times New Roman" w:hAnsi="Times New Roman"/>
                <w:color w:val="000000"/>
                <w:sz w:val="24"/>
                <w:szCs w:val="24"/>
              </w:rPr>
              <w:t>50 000 000</w:t>
            </w:r>
          </w:p>
        </w:tc>
      </w:tr>
      <w:tr w:rsidR="00F9033D" w:rsidRPr="00AE3920" w14:paraId="217420F7" w14:textId="77777777" w:rsidTr="008B71DB">
        <w:trPr>
          <w:trHeight w:val="300"/>
        </w:trPr>
        <w:tc>
          <w:tcPr>
            <w:tcW w:w="1807" w:type="pct"/>
            <w:vMerge/>
            <w:tcBorders>
              <w:top w:val="nil"/>
              <w:left w:val="single" w:sz="4" w:space="0" w:color="auto"/>
              <w:bottom w:val="single" w:sz="4" w:space="0" w:color="000000"/>
              <w:right w:val="single" w:sz="4" w:space="0" w:color="auto"/>
            </w:tcBorders>
            <w:vAlign w:val="center"/>
            <w:hideMark/>
          </w:tcPr>
          <w:p w14:paraId="6B6E8039" w14:textId="77777777" w:rsidR="00F9033D" w:rsidRPr="00602F63" w:rsidRDefault="00F9033D" w:rsidP="00F810B6">
            <w:pPr>
              <w:rPr>
                <w:rFonts w:ascii="Times New Roman" w:hAnsi="Times New Roman"/>
                <w:b/>
                <w:bCs/>
                <w:color w:val="000000"/>
                <w:sz w:val="24"/>
                <w:szCs w:val="24"/>
              </w:rPr>
            </w:pPr>
          </w:p>
        </w:tc>
        <w:tc>
          <w:tcPr>
            <w:tcW w:w="1078" w:type="pct"/>
            <w:vMerge/>
            <w:tcBorders>
              <w:top w:val="nil"/>
              <w:left w:val="single" w:sz="4" w:space="0" w:color="auto"/>
              <w:bottom w:val="single" w:sz="4" w:space="0" w:color="000000"/>
              <w:right w:val="single" w:sz="4" w:space="0" w:color="auto"/>
            </w:tcBorders>
            <w:vAlign w:val="center"/>
            <w:hideMark/>
          </w:tcPr>
          <w:p w14:paraId="093A03DF" w14:textId="77777777" w:rsidR="00F9033D" w:rsidRPr="00602F63" w:rsidRDefault="00F9033D" w:rsidP="00F810B6">
            <w:pPr>
              <w:rPr>
                <w:rFonts w:ascii="Times New Roman" w:hAnsi="Times New Roman"/>
                <w:color w:val="000000"/>
                <w:sz w:val="24"/>
                <w:szCs w:val="24"/>
              </w:rPr>
            </w:pPr>
          </w:p>
        </w:tc>
        <w:tc>
          <w:tcPr>
            <w:tcW w:w="2115" w:type="pct"/>
            <w:tcBorders>
              <w:top w:val="nil"/>
              <w:left w:val="nil"/>
              <w:bottom w:val="single" w:sz="4" w:space="0" w:color="auto"/>
              <w:right w:val="single" w:sz="4" w:space="0" w:color="auto"/>
            </w:tcBorders>
            <w:shd w:val="clear" w:color="000000" w:fill="FFFFFF"/>
            <w:noWrap/>
            <w:vAlign w:val="center"/>
            <w:hideMark/>
          </w:tcPr>
          <w:p w14:paraId="11B32A8D" w14:textId="77777777" w:rsidR="00F9033D" w:rsidRPr="00602F63" w:rsidRDefault="00F9033D" w:rsidP="00F810B6">
            <w:pPr>
              <w:jc w:val="right"/>
              <w:rPr>
                <w:rFonts w:ascii="Times New Roman" w:hAnsi="Times New Roman"/>
                <w:color w:val="000000"/>
                <w:sz w:val="24"/>
                <w:szCs w:val="24"/>
              </w:rPr>
            </w:pPr>
            <w:r w:rsidRPr="00602F63">
              <w:rPr>
                <w:rFonts w:ascii="Times New Roman" w:hAnsi="Times New Roman"/>
                <w:color w:val="000000"/>
                <w:sz w:val="24"/>
                <w:szCs w:val="24"/>
              </w:rPr>
              <w:t>150 000 000</w:t>
            </w:r>
          </w:p>
        </w:tc>
      </w:tr>
      <w:tr w:rsidR="00F9033D" w:rsidRPr="00AE3920" w14:paraId="2935DD21" w14:textId="77777777" w:rsidTr="008B71DB">
        <w:trPr>
          <w:trHeight w:val="300"/>
        </w:trPr>
        <w:tc>
          <w:tcPr>
            <w:tcW w:w="1807" w:type="pct"/>
            <w:tcBorders>
              <w:top w:val="nil"/>
              <w:left w:val="single" w:sz="4" w:space="0" w:color="auto"/>
              <w:bottom w:val="single" w:sz="4" w:space="0" w:color="auto"/>
              <w:right w:val="single" w:sz="4" w:space="0" w:color="auto"/>
            </w:tcBorders>
            <w:shd w:val="clear" w:color="auto" w:fill="auto"/>
            <w:noWrap/>
            <w:vAlign w:val="center"/>
            <w:hideMark/>
          </w:tcPr>
          <w:p w14:paraId="7F2170FA" w14:textId="77777777" w:rsidR="00F9033D" w:rsidRPr="00602F63" w:rsidRDefault="00F9033D" w:rsidP="00F810B6">
            <w:pPr>
              <w:rPr>
                <w:rFonts w:ascii="Times New Roman" w:hAnsi="Times New Roman"/>
                <w:b/>
                <w:bCs/>
                <w:color w:val="000000"/>
                <w:sz w:val="24"/>
                <w:szCs w:val="24"/>
              </w:rPr>
            </w:pPr>
            <w:r w:rsidRPr="00602F63">
              <w:rPr>
                <w:rFonts w:ascii="Times New Roman" w:hAnsi="Times New Roman"/>
                <w:b/>
                <w:bCs/>
                <w:color w:val="000000"/>
                <w:sz w:val="24"/>
                <w:szCs w:val="24"/>
              </w:rPr>
              <w:t>2025</w:t>
            </w:r>
          </w:p>
        </w:tc>
        <w:tc>
          <w:tcPr>
            <w:tcW w:w="1078" w:type="pct"/>
            <w:tcBorders>
              <w:top w:val="nil"/>
              <w:left w:val="nil"/>
              <w:bottom w:val="single" w:sz="4" w:space="0" w:color="auto"/>
              <w:right w:val="single" w:sz="4" w:space="0" w:color="auto"/>
            </w:tcBorders>
            <w:shd w:val="clear" w:color="auto" w:fill="auto"/>
            <w:vAlign w:val="center"/>
            <w:hideMark/>
          </w:tcPr>
          <w:p w14:paraId="40F83170" w14:textId="77777777" w:rsidR="00F9033D" w:rsidRPr="00602F63" w:rsidRDefault="00F9033D" w:rsidP="00F810B6">
            <w:pPr>
              <w:jc w:val="center"/>
              <w:rPr>
                <w:rFonts w:ascii="Times New Roman" w:hAnsi="Times New Roman"/>
                <w:color w:val="000000"/>
                <w:sz w:val="24"/>
                <w:szCs w:val="24"/>
              </w:rPr>
            </w:pPr>
            <w:r w:rsidRPr="00602F63">
              <w:rPr>
                <w:rFonts w:ascii="Times New Roman" w:hAnsi="Times New Roman"/>
                <w:color w:val="000000"/>
                <w:sz w:val="24"/>
                <w:szCs w:val="24"/>
              </w:rPr>
              <w:t>EUR</w:t>
            </w:r>
          </w:p>
        </w:tc>
        <w:tc>
          <w:tcPr>
            <w:tcW w:w="2115" w:type="pct"/>
            <w:tcBorders>
              <w:top w:val="nil"/>
              <w:left w:val="nil"/>
              <w:bottom w:val="single" w:sz="4" w:space="0" w:color="auto"/>
              <w:right w:val="single" w:sz="4" w:space="0" w:color="auto"/>
            </w:tcBorders>
            <w:shd w:val="clear" w:color="000000" w:fill="FFFFFF"/>
            <w:noWrap/>
            <w:vAlign w:val="center"/>
            <w:hideMark/>
          </w:tcPr>
          <w:p w14:paraId="0C8D7107" w14:textId="77777777" w:rsidR="00F9033D" w:rsidRPr="00602F63" w:rsidRDefault="00F9033D" w:rsidP="00F810B6">
            <w:pPr>
              <w:jc w:val="right"/>
              <w:rPr>
                <w:rFonts w:ascii="Times New Roman" w:hAnsi="Times New Roman"/>
                <w:color w:val="000000"/>
                <w:sz w:val="24"/>
                <w:szCs w:val="24"/>
              </w:rPr>
            </w:pPr>
            <w:r w:rsidRPr="00602F63">
              <w:rPr>
                <w:rFonts w:ascii="Times New Roman" w:hAnsi="Times New Roman"/>
                <w:color w:val="000000"/>
                <w:sz w:val="24"/>
                <w:szCs w:val="24"/>
              </w:rPr>
              <w:t>40 000 000</w:t>
            </w:r>
          </w:p>
        </w:tc>
      </w:tr>
    </w:tbl>
    <w:p w14:paraId="12710EB0" w14:textId="77777777" w:rsidR="00F9033D" w:rsidRPr="00286395" w:rsidRDefault="00F9033D" w:rsidP="00EB147E">
      <w:pPr>
        <w:tabs>
          <w:tab w:val="left" w:pos="6660"/>
        </w:tabs>
        <w:spacing w:before="120" w:after="120"/>
        <w:ind w:left="357"/>
        <w:jc w:val="both"/>
        <w:rPr>
          <w:rFonts w:ascii="Times New Roman" w:hAnsi="Times New Roman"/>
          <w:bCs/>
          <w:iCs/>
          <w:sz w:val="24"/>
          <w:szCs w:val="24"/>
        </w:rPr>
      </w:pPr>
    </w:p>
    <w:p w14:paraId="289C804B" w14:textId="4DE875E9" w:rsidR="00366B8B" w:rsidRPr="00286395" w:rsidRDefault="00366B8B" w:rsidP="00EB147E">
      <w:pPr>
        <w:tabs>
          <w:tab w:val="left" w:pos="6660"/>
        </w:tabs>
        <w:spacing w:before="120" w:after="120"/>
        <w:ind w:left="357"/>
        <w:jc w:val="both"/>
        <w:rPr>
          <w:rFonts w:ascii="Times New Roman" w:hAnsi="Times New Roman"/>
          <w:bCs/>
          <w:iCs/>
          <w:sz w:val="24"/>
          <w:szCs w:val="24"/>
        </w:rPr>
      </w:pPr>
      <w:r w:rsidRPr="00286395">
        <w:rPr>
          <w:rFonts w:ascii="Times New Roman" w:hAnsi="Times New Roman"/>
          <w:bCs/>
          <w:iCs/>
          <w:sz w:val="24"/>
          <w:szCs w:val="24"/>
        </w:rPr>
        <w:t xml:space="preserve">Dosavadní rozsah možností exportní pojišťovny nebo exportní banky </w:t>
      </w:r>
      <w:r w:rsidR="000F38ED">
        <w:rPr>
          <w:rFonts w:ascii="Times New Roman" w:hAnsi="Times New Roman"/>
          <w:bCs/>
          <w:iCs/>
          <w:sz w:val="24"/>
          <w:szCs w:val="24"/>
        </w:rPr>
        <w:t xml:space="preserve">zakládat právnické osoby a </w:t>
      </w:r>
      <w:r w:rsidRPr="00286395">
        <w:rPr>
          <w:rFonts w:ascii="Times New Roman" w:hAnsi="Times New Roman"/>
          <w:bCs/>
          <w:iCs/>
          <w:sz w:val="24"/>
          <w:szCs w:val="24"/>
        </w:rPr>
        <w:t>nabývat podíly v právnických osobách se ukázal jako nedostatečně flexibilní, proto dochází k rozšíření v souladu s praxí vymáhání pohledávek nebo předcházení škod. Činnost vedoucí k</w:t>
      </w:r>
      <w:r w:rsidR="00696D02">
        <w:rPr>
          <w:rFonts w:ascii="Times New Roman" w:hAnsi="Times New Roman"/>
          <w:bCs/>
          <w:iCs/>
          <w:sz w:val="24"/>
          <w:szCs w:val="24"/>
        </w:rPr>
        <w:t> </w:t>
      </w:r>
      <w:r w:rsidRPr="00286395">
        <w:rPr>
          <w:rFonts w:ascii="Times New Roman" w:hAnsi="Times New Roman"/>
          <w:bCs/>
          <w:iCs/>
          <w:sz w:val="24"/>
          <w:szCs w:val="24"/>
        </w:rPr>
        <w:t xml:space="preserve">předcházení vzniku škod a zmírňování jejich následků není blíže specifikována, neboť </w:t>
      </w:r>
      <w:r w:rsidR="00A12499">
        <w:rPr>
          <w:rFonts w:ascii="Times New Roman" w:hAnsi="Times New Roman"/>
          <w:bCs/>
          <w:iCs/>
          <w:sz w:val="24"/>
          <w:szCs w:val="24"/>
        </w:rPr>
        <w:t>zkušenosti</w:t>
      </w:r>
      <w:r w:rsidRPr="00286395">
        <w:rPr>
          <w:rFonts w:ascii="Times New Roman" w:hAnsi="Times New Roman"/>
          <w:bCs/>
          <w:iCs/>
          <w:sz w:val="24"/>
          <w:szCs w:val="24"/>
        </w:rPr>
        <w:t xml:space="preserve"> ukazují, že se jedná o velmi rozsáhlou skupinu právních, ekonomických a</w:t>
      </w:r>
      <w:r w:rsidR="00696D02">
        <w:rPr>
          <w:rFonts w:ascii="Times New Roman" w:hAnsi="Times New Roman"/>
          <w:bCs/>
          <w:iCs/>
          <w:sz w:val="24"/>
          <w:szCs w:val="24"/>
        </w:rPr>
        <w:t> </w:t>
      </w:r>
      <w:r w:rsidRPr="00286395">
        <w:rPr>
          <w:rFonts w:ascii="Times New Roman" w:hAnsi="Times New Roman"/>
          <w:bCs/>
          <w:iCs/>
          <w:sz w:val="24"/>
          <w:szCs w:val="24"/>
        </w:rPr>
        <w:t>technických činností a bližší definice by mohla být omezující. Zároveň však je nabytí podílu v právnické osob</w:t>
      </w:r>
      <w:r w:rsidR="0085656F">
        <w:rPr>
          <w:rFonts w:ascii="Times New Roman" w:hAnsi="Times New Roman"/>
          <w:bCs/>
          <w:iCs/>
          <w:sz w:val="24"/>
          <w:szCs w:val="24"/>
        </w:rPr>
        <w:t>ě</w:t>
      </w:r>
      <w:r w:rsidRPr="00286395">
        <w:rPr>
          <w:rFonts w:ascii="Times New Roman" w:hAnsi="Times New Roman"/>
          <w:bCs/>
          <w:iCs/>
          <w:sz w:val="24"/>
          <w:szCs w:val="24"/>
        </w:rPr>
        <w:t xml:space="preserve"> ze strany exportní pojišťovny nebo exportní banky podmíněn</w:t>
      </w:r>
      <w:r w:rsidR="00B80C50">
        <w:rPr>
          <w:rFonts w:ascii="Times New Roman" w:hAnsi="Times New Roman"/>
          <w:bCs/>
          <w:iCs/>
          <w:sz w:val="24"/>
          <w:szCs w:val="24"/>
        </w:rPr>
        <w:t>o</w:t>
      </w:r>
      <w:r w:rsidRPr="00286395">
        <w:rPr>
          <w:rFonts w:ascii="Times New Roman" w:hAnsi="Times New Roman"/>
          <w:bCs/>
          <w:iCs/>
          <w:sz w:val="24"/>
          <w:szCs w:val="24"/>
        </w:rPr>
        <w:t xml:space="preserve"> souhlasem M</w:t>
      </w:r>
      <w:r w:rsidR="00D46213">
        <w:rPr>
          <w:rFonts w:ascii="Times New Roman" w:hAnsi="Times New Roman"/>
          <w:bCs/>
          <w:iCs/>
          <w:sz w:val="24"/>
          <w:szCs w:val="24"/>
        </w:rPr>
        <w:t>F</w:t>
      </w:r>
      <w:r w:rsidRPr="00286395">
        <w:rPr>
          <w:rFonts w:ascii="Times New Roman" w:hAnsi="Times New Roman"/>
          <w:bCs/>
          <w:iCs/>
          <w:sz w:val="24"/>
          <w:szCs w:val="24"/>
        </w:rPr>
        <w:t>.</w:t>
      </w:r>
    </w:p>
    <w:p w14:paraId="16F2931E" w14:textId="6DE08422" w:rsidR="00366B8B" w:rsidRPr="00286395" w:rsidRDefault="00FF138D" w:rsidP="00EB147E">
      <w:pPr>
        <w:tabs>
          <w:tab w:val="left" w:pos="6660"/>
        </w:tabs>
        <w:spacing w:before="120" w:after="120"/>
        <w:ind w:left="357"/>
        <w:jc w:val="both"/>
        <w:rPr>
          <w:rFonts w:ascii="Times New Roman" w:hAnsi="Times New Roman"/>
          <w:bCs/>
          <w:iCs/>
          <w:sz w:val="24"/>
          <w:szCs w:val="24"/>
        </w:rPr>
      </w:pPr>
      <w:r>
        <w:rPr>
          <w:rFonts w:ascii="Times New Roman" w:hAnsi="Times New Roman"/>
          <w:bCs/>
          <w:iCs/>
          <w:sz w:val="24"/>
          <w:szCs w:val="24"/>
        </w:rPr>
        <w:t>Dosavadní zkušenost ukazuje</w:t>
      </w:r>
      <w:r w:rsidR="00366B8B" w:rsidRPr="00286395">
        <w:rPr>
          <w:rFonts w:ascii="Times New Roman" w:hAnsi="Times New Roman"/>
          <w:bCs/>
          <w:iCs/>
          <w:sz w:val="24"/>
          <w:szCs w:val="24"/>
        </w:rPr>
        <w:t xml:space="preserve">, že je třeba </w:t>
      </w:r>
      <w:proofErr w:type="spellStart"/>
      <w:r w:rsidR="00366B8B" w:rsidRPr="00286395">
        <w:rPr>
          <w:rFonts w:ascii="Times New Roman" w:hAnsi="Times New Roman"/>
          <w:bCs/>
          <w:iCs/>
          <w:sz w:val="24"/>
          <w:szCs w:val="24"/>
        </w:rPr>
        <w:t>zastropovat</w:t>
      </w:r>
      <w:proofErr w:type="spellEnd"/>
      <w:r w:rsidR="00366B8B" w:rsidRPr="00286395">
        <w:rPr>
          <w:rFonts w:ascii="Times New Roman" w:hAnsi="Times New Roman"/>
          <w:bCs/>
          <w:iCs/>
          <w:sz w:val="24"/>
          <w:szCs w:val="24"/>
        </w:rPr>
        <w:t xml:space="preserve"> objem pojištění vývozních úvěrových rizik i podpořeného financování v jednotlivých obchodních případech, pro</w:t>
      </w:r>
      <w:r w:rsidR="00820ABE">
        <w:rPr>
          <w:rFonts w:ascii="Times New Roman" w:hAnsi="Times New Roman"/>
          <w:bCs/>
          <w:iCs/>
          <w:sz w:val="24"/>
          <w:szCs w:val="24"/>
        </w:rPr>
        <w:t> </w:t>
      </w:r>
      <w:r w:rsidR="00366B8B" w:rsidRPr="00286395">
        <w:rPr>
          <w:rFonts w:ascii="Times New Roman" w:hAnsi="Times New Roman"/>
          <w:bCs/>
          <w:iCs/>
          <w:sz w:val="24"/>
          <w:szCs w:val="24"/>
        </w:rPr>
        <w:t xml:space="preserve">který není potřebný souhlas vlády. Dosavadní limity vázané na procenta pojistné kapacity exportní pojišťovny, jejichž výše je v jednotlivých letech různá, se </w:t>
      </w:r>
      <w:r w:rsidR="00402EA1" w:rsidRPr="00286395">
        <w:rPr>
          <w:rFonts w:ascii="Times New Roman" w:hAnsi="Times New Roman"/>
          <w:bCs/>
          <w:iCs/>
          <w:sz w:val="24"/>
          <w:szCs w:val="24"/>
        </w:rPr>
        <w:t>projevily</w:t>
      </w:r>
      <w:r w:rsidR="00402EA1">
        <w:rPr>
          <w:rFonts w:ascii="Times New Roman" w:hAnsi="Times New Roman"/>
          <w:bCs/>
          <w:iCs/>
          <w:sz w:val="24"/>
          <w:szCs w:val="24"/>
        </w:rPr>
        <w:t xml:space="preserve"> jako</w:t>
      </w:r>
      <w:r w:rsidR="00366B8B" w:rsidRPr="00286395">
        <w:rPr>
          <w:rFonts w:ascii="Times New Roman" w:hAnsi="Times New Roman"/>
          <w:bCs/>
          <w:iCs/>
          <w:sz w:val="24"/>
          <w:szCs w:val="24"/>
        </w:rPr>
        <w:t xml:space="preserve"> nedostačující a</w:t>
      </w:r>
      <w:r w:rsidR="005F3783">
        <w:rPr>
          <w:rFonts w:ascii="Times New Roman" w:hAnsi="Times New Roman"/>
          <w:bCs/>
          <w:iCs/>
          <w:sz w:val="24"/>
          <w:szCs w:val="24"/>
        </w:rPr>
        <w:t> </w:t>
      </w:r>
      <w:r w:rsidR="00366B8B" w:rsidRPr="00286395">
        <w:rPr>
          <w:rFonts w:ascii="Times New Roman" w:hAnsi="Times New Roman"/>
          <w:bCs/>
          <w:iCs/>
          <w:sz w:val="24"/>
          <w:szCs w:val="24"/>
        </w:rPr>
        <w:t>neúčinné a</w:t>
      </w:r>
      <w:r w:rsidR="00696D02">
        <w:rPr>
          <w:rFonts w:ascii="Times New Roman" w:hAnsi="Times New Roman"/>
          <w:bCs/>
          <w:iCs/>
          <w:sz w:val="24"/>
          <w:szCs w:val="24"/>
        </w:rPr>
        <w:t> </w:t>
      </w:r>
      <w:r w:rsidR="00366B8B" w:rsidRPr="00286395">
        <w:rPr>
          <w:rFonts w:ascii="Times New Roman" w:hAnsi="Times New Roman"/>
          <w:bCs/>
          <w:iCs/>
          <w:sz w:val="24"/>
          <w:szCs w:val="24"/>
        </w:rPr>
        <w:t>v případě exportní banky chyběly zcela. V minulosti docházelo k</w:t>
      </w:r>
      <w:r w:rsidR="0050613A">
        <w:rPr>
          <w:rFonts w:ascii="Times New Roman" w:hAnsi="Times New Roman"/>
          <w:bCs/>
          <w:iCs/>
          <w:sz w:val="24"/>
          <w:szCs w:val="24"/>
        </w:rPr>
        <w:t> </w:t>
      </w:r>
      <w:r w:rsidR="00366B8B" w:rsidRPr="00286395">
        <w:rPr>
          <w:rFonts w:ascii="Times New Roman" w:hAnsi="Times New Roman"/>
          <w:bCs/>
          <w:iCs/>
          <w:sz w:val="24"/>
          <w:szCs w:val="24"/>
        </w:rPr>
        <w:t>pojišťování</w:t>
      </w:r>
      <w:r w:rsidR="0050613A">
        <w:rPr>
          <w:rFonts w:ascii="Times New Roman" w:hAnsi="Times New Roman"/>
          <w:bCs/>
          <w:iCs/>
          <w:sz w:val="24"/>
          <w:szCs w:val="24"/>
        </w:rPr>
        <w:t xml:space="preserve"> a</w:t>
      </w:r>
      <w:r>
        <w:rPr>
          <w:rFonts w:ascii="Times New Roman" w:hAnsi="Times New Roman"/>
          <w:bCs/>
          <w:iCs/>
          <w:sz w:val="24"/>
          <w:szCs w:val="24"/>
        </w:rPr>
        <w:t> </w:t>
      </w:r>
      <w:r w:rsidR="0050613A">
        <w:rPr>
          <w:rFonts w:ascii="Times New Roman" w:hAnsi="Times New Roman"/>
          <w:bCs/>
          <w:iCs/>
          <w:sz w:val="24"/>
          <w:szCs w:val="24"/>
        </w:rPr>
        <w:t>financování</w:t>
      </w:r>
      <w:r w:rsidR="00366B8B" w:rsidRPr="00286395">
        <w:rPr>
          <w:rFonts w:ascii="Times New Roman" w:hAnsi="Times New Roman"/>
          <w:bCs/>
          <w:iCs/>
          <w:sz w:val="24"/>
          <w:szCs w:val="24"/>
        </w:rPr>
        <w:t xml:space="preserve"> i velkých expozic, aniž by vláda</w:t>
      </w:r>
      <w:r w:rsidR="003E4F38">
        <w:rPr>
          <w:rFonts w:ascii="Times New Roman" w:hAnsi="Times New Roman"/>
          <w:bCs/>
          <w:iCs/>
          <w:sz w:val="24"/>
          <w:szCs w:val="24"/>
        </w:rPr>
        <w:t xml:space="preserve"> o tom</w:t>
      </w:r>
      <w:r w:rsidR="00366B8B" w:rsidRPr="00286395">
        <w:rPr>
          <w:rFonts w:ascii="Times New Roman" w:hAnsi="Times New Roman"/>
          <w:bCs/>
          <w:iCs/>
          <w:sz w:val="24"/>
          <w:szCs w:val="24"/>
        </w:rPr>
        <w:t xml:space="preserve"> byla informována a</w:t>
      </w:r>
      <w:r w:rsidR="001D1A24">
        <w:rPr>
          <w:rFonts w:ascii="Times New Roman" w:hAnsi="Times New Roman"/>
          <w:bCs/>
          <w:iCs/>
          <w:sz w:val="24"/>
          <w:szCs w:val="24"/>
        </w:rPr>
        <w:t> </w:t>
      </w:r>
      <w:r w:rsidR="00366B8B" w:rsidRPr="00286395">
        <w:rPr>
          <w:rFonts w:ascii="Times New Roman" w:hAnsi="Times New Roman"/>
          <w:bCs/>
          <w:iCs/>
          <w:sz w:val="24"/>
          <w:szCs w:val="24"/>
        </w:rPr>
        <w:t>měla dostatečnou kontrolu.</w:t>
      </w:r>
    </w:p>
    <w:p w14:paraId="73029F84" w14:textId="79857950" w:rsidR="00366B8B" w:rsidRPr="00286395" w:rsidRDefault="00366B8B" w:rsidP="00EB147E">
      <w:pPr>
        <w:tabs>
          <w:tab w:val="left" w:pos="6660"/>
        </w:tabs>
        <w:spacing w:before="120" w:after="120"/>
        <w:ind w:left="357"/>
        <w:jc w:val="both"/>
        <w:rPr>
          <w:rFonts w:ascii="Times New Roman" w:hAnsi="Times New Roman"/>
          <w:bCs/>
          <w:iCs/>
          <w:sz w:val="24"/>
          <w:szCs w:val="24"/>
        </w:rPr>
      </w:pPr>
      <w:r w:rsidRPr="00286395">
        <w:rPr>
          <w:rFonts w:ascii="Times New Roman" w:hAnsi="Times New Roman"/>
          <w:bCs/>
          <w:iCs/>
          <w:sz w:val="24"/>
          <w:szCs w:val="24"/>
        </w:rPr>
        <w:t>Oproti stávajícímu stavu, kdy M</w:t>
      </w:r>
      <w:r w:rsidR="00D46213">
        <w:rPr>
          <w:rFonts w:ascii="Times New Roman" w:hAnsi="Times New Roman"/>
          <w:bCs/>
          <w:iCs/>
          <w:sz w:val="24"/>
          <w:szCs w:val="24"/>
        </w:rPr>
        <w:t>F</w:t>
      </w:r>
      <w:r w:rsidRPr="00286395">
        <w:rPr>
          <w:rFonts w:ascii="Times New Roman" w:hAnsi="Times New Roman"/>
          <w:bCs/>
          <w:iCs/>
          <w:sz w:val="24"/>
          <w:szCs w:val="24"/>
        </w:rPr>
        <w:t xml:space="preserve"> provádí v exportní pojišťovně kontrolu přijaté dotace</w:t>
      </w:r>
      <w:r w:rsidR="009F6441">
        <w:rPr>
          <w:rFonts w:ascii="Times New Roman" w:hAnsi="Times New Roman"/>
          <w:bCs/>
          <w:iCs/>
          <w:sz w:val="24"/>
          <w:szCs w:val="24"/>
        </w:rPr>
        <w:t xml:space="preserve"> jako její poskytovatel</w:t>
      </w:r>
      <w:r w:rsidRPr="00286395">
        <w:rPr>
          <w:rFonts w:ascii="Times New Roman" w:hAnsi="Times New Roman"/>
          <w:bCs/>
          <w:iCs/>
          <w:sz w:val="24"/>
          <w:szCs w:val="24"/>
        </w:rPr>
        <w:t xml:space="preserve"> na základě zákona </w:t>
      </w:r>
      <w:r w:rsidR="00185748">
        <w:rPr>
          <w:rFonts w:ascii="Times New Roman" w:hAnsi="Times New Roman"/>
          <w:bCs/>
          <w:iCs/>
          <w:sz w:val="24"/>
          <w:szCs w:val="24"/>
        </w:rPr>
        <w:t>č.</w:t>
      </w:r>
      <w:r w:rsidR="00A046DC">
        <w:rPr>
          <w:rFonts w:ascii="Times New Roman" w:hAnsi="Times New Roman"/>
          <w:bCs/>
          <w:iCs/>
          <w:sz w:val="24"/>
          <w:szCs w:val="24"/>
        </w:rPr>
        <w:t> </w:t>
      </w:r>
      <w:r w:rsidRPr="00286395">
        <w:rPr>
          <w:rFonts w:ascii="Times New Roman" w:hAnsi="Times New Roman"/>
          <w:bCs/>
          <w:iCs/>
          <w:sz w:val="24"/>
          <w:szCs w:val="24"/>
        </w:rPr>
        <w:t>320/2001 Sb., o finanční kontrole</w:t>
      </w:r>
      <w:r w:rsidR="00B87AAF">
        <w:rPr>
          <w:rFonts w:ascii="Times New Roman" w:hAnsi="Times New Roman"/>
          <w:bCs/>
          <w:iCs/>
          <w:sz w:val="24"/>
          <w:szCs w:val="24"/>
        </w:rPr>
        <w:t xml:space="preserve"> </w:t>
      </w:r>
      <w:r w:rsidR="00B87AAF" w:rsidRPr="00D561D8">
        <w:rPr>
          <w:rFonts w:ascii="Times New Roman" w:hAnsi="Times New Roman"/>
          <w:bCs/>
          <w:iCs/>
          <w:sz w:val="24"/>
          <w:szCs w:val="24"/>
        </w:rPr>
        <w:t>ve veřejné správě a</w:t>
      </w:r>
      <w:r w:rsidR="00696D02">
        <w:rPr>
          <w:rFonts w:ascii="Times New Roman" w:hAnsi="Times New Roman"/>
          <w:bCs/>
          <w:iCs/>
          <w:sz w:val="24"/>
          <w:szCs w:val="24"/>
        </w:rPr>
        <w:t> </w:t>
      </w:r>
      <w:r w:rsidR="00B87AAF" w:rsidRPr="00D561D8">
        <w:rPr>
          <w:rFonts w:ascii="Times New Roman" w:hAnsi="Times New Roman"/>
          <w:bCs/>
          <w:iCs/>
          <w:sz w:val="24"/>
          <w:szCs w:val="24"/>
        </w:rPr>
        <w:t>o</w:t>
      </w:r>
      <w:r w:rsidR="00696D02">
        <w:rPr>
          <w:rFonts w:ascii="Times New Roman" w:hAnsi="Times New Roman"/>
          <w:bCs/>
          <w:iCs/>
          <w:sz w:val="24"/>
          <w:szCs w:val="24"/>
        </w:rPr>
        <w:t> </w:t>
      </w:r>
      <w:r w:rsidR="00B87AAF" w:rsidRPr="00D561D8">
        <w:rPr>
          <w:rFonts w:ascii="Times New Roman" w:hAnsi="Times New Roman"/>
          <w:bCs/>
          <w:iCs/>
          <w:sz w:val="24"/>
          <w:szCs w:val="24"/>
        </w:rPr>
        <w:t>změně některých zákonů</w:t>
      </w:r>
      <w:r w:rsidR="00B87AAF">
        <w:rPr>
          <w:rFonts w:ascii="Times New Roman" w:hAnsi="Times New Roman"/>
          <w:bCs/>
          <w:iCs/>
          <w:sz w:val="24"/>
          <w:szCs w:val="24"/>
        </w:rPr>
        <w:t xml:space="preserve"> </w:t>
      </w:r>
      <w:r w:rsidR="00B87AAF" w:rsidRPr="00D561D8">
        <w:rPr>
          <w:rFonts w:ascii="Times New Roman" w:hAnsi="Times New Roman"/>
          <w:bCs/>
          <w:iCs/>
          <w:sz w:val="24"/>
          <w:szCs w:val="24"/>
        </w:rPr>
        <w:t>(zákon o finanční kontrole)</w:t>
      </w:r>
      <w:r w:rsidRPr="00286395">
        <w:rPr>
          <w:rFonts w:ascii="Times New Roman" w:hAnsi="Times New Roman"/>
          <w:bCs/>
          <w:iCs/>
          <w:sz w:val="24"/>
          <w:szCs w:val="24"/>
        </w:rPr>
        <w:t>, v</w:t>
      </w:r>
      <w:r w:rsidR="00185748">
        <w:rPr>
          <w:rFonts w:ascii="Times New Roman" w:hAnsi="Times New Roman"/>
          <w:bCs/>
          <w:iCs/>
          <w:sz w:val="24"/>
          <w:szCs w:val="24"/>
        </w:rPr>
        <w:t>e</w:t>
      </w:r>
      <w:r w:rsidR="001D1A24">
        <w:rPr>
          <w:rFonts w:ascii="Times New Roman" w:hAnsi="Times New Roman"/>
          <w:bCs/>
          <w:iCs/>
          <w:sz w:val="24"/>
          <w:szCs w:val="24"/>
        </w:rPr>
        <w:t> </w:t>
      </w:r>
      <w:r w:rsidR="00185748">
        <w:rPr>
          <w:rFonts w:ascii="Times New Roman" w:hAnsi="Times New Roman"/>
          <w:bCs/>
          <w:iCs/>
          <w:sz w:val="24"/>
          <w:szCs w:val="24"/>
        </w:rPr>
        <w:t>znění pozdějších předpisů</w:t>
      </w:r>
      <w:r w:rsidRPr="00286395">
        <w:rPr>
          <w:rFonts w:ascii="Times New Roman" w:hAnsi="Times New Roman"/>
          <w:bCs/>
          <w:iCs/>
          <w:sz w:val="24"/>
          <w:szCs w:val="24"/>
        </w:rPr>
        <w:t xml:space="preserve">, </w:t>
      </w:r>
      <w:r w:rsidR="00B87AAF">
        <w:rPr>
          <w:rFonts w:ascii="Times New Roman" w:hAnsi="Times New Roman"/>
          <w:bCs/>
          <w:iCs/>
          <w:sz w:val="24"/>
          <w:szCs w:val="24"/>
        </w:rPr>
        <w:t xml:space="preserve">(dále jen „zákon o finanční kontrole“) </w:t>
      </w:r>
      <w:r w:rsidRPr="00286395">
        <w:rPr>
          <w:rFonts w:ascii="Times New Roman" w:hAnsi="Times New Roman"/>
          <w:bCs/>
          <w:iCs/>
          <w:sz w:val="24"/>
          <w:szCs w:val="24"/>
        </w:rPr>
        <w:t>bude kontrolní pravomoc M</w:t>
      </w:r>
      <w:r w:rsidR="00D46213">
        <w:rPr>
          <w:rFonts w:ascii="Times New Roman" w:hAnsi="Times New Roman"/>
          <w:bCs/>
          <w:iCs/>
          <w:sz w:val="24"/>
          <w:szCs w:val="24"/>
        </w:rPr>
        <w:t>F</w:t>
      </w:r>
      <w:r w:rsidRPr="00286395">
        <w:rPr>
          <w:rFonts w:ascii="Times New Roman" w:hAnsi="Times New Roman"/>
          <w:bCs/>
          <w:iCs/>
          <w:sz w:val="24"/>
          <w:szCs w:val="24"/>
        </w:rPr>
        <w:t xml:space="preserve"> ve</w:t>
      </w:r>
      <w:r w:rsidR="00696D02">
        <w:rPr>
          <w:rFonts w:ascii="Times New Roman" w:hAnsi="Times New Roman"/>
          <w:bCs/>
          <w:iCs/>
          <w:sz w:val="24"/>
          <w:szCs w:val="24"/>
        </w:rPr>
        <w:t> </w:t>
      </w:r>
      <w:r w:rsidRPr="00286395">
        <w:rPr>
          <w:rFonts w:ascii="Times New Roman" w:hAnsi="Times New Roman"/>
          <w:bCs/>
          <w:iCs/>
          <w:sz w:val="24"/>
          <w:szCs w:val="24"/>
        </w:rPr>
        <w:t>vztahu k hospodaření exportní pojišťovny ve vazbě na</w:t>
      </w:r>
      <w:r w:rsidR="003F4DFB">
        <w:rPr>
          <w:rFonts w:ascii="Times New Roman" w:hAnsi="Times New Roman"/>
          <w:bCs/>
          <w:iCs/>
          <w:sz w:val="24"/>
          <w:szCs w:val="24"/>
        </w:rPr>
        <w:t> </w:t>
      </w:r>
      <w:r w:rsidRPr="00286395">
        <w:rPr>
          <w:rFonts w:ascii="Times New Roman" w:hAnsi="Times New Roman"/>
          <w:bCs/>
          <w:iCs/>
          <w:sz w:val="24"/>
          <w:szCs w:val="24"/>
        </w:rPr>
        <w:t>žádost exportní pojišťovny o</w:t>
      </w:r>
      <w:r w:rsidR="00696D02">
        <w:rPr>
          <w:rFonts w:ascii="Times New Roman" w:hAnsi="Times New Roman"/>
          <w:bCs/>
          <w:iCs/>
          <w:sz w:val="24"/>
          <w:szCs w:val="24"/>
        </w:rPr>
        <w:t> </w:t>
      </w:r>
      <w:r w:rsidRPr="00286395">
        <w:rPr>
          <w:rFonts w:ascii="Times New Roman" w:hAnsi="Times New Roman"/>
          <w:bCs/>
          <w:iCs/>
          <w:sz w:val="24"/>
          <w:szCs w:val="24"/>
        </w:rPr>
        <w:t xml:space="preserve">dotaci nově vymezena též v zákoně </w:t>
      </w:r>
      <w:r w:rsidR="007A63C8" w:rsidRPr="0073392D">
        <w:rPr>
          <w:rFonts w:ascii="Times New Roman" w:hAnsi="Times New Roman"/>
          <w:sz w:val="24"/>
          <w:szCs w:val="24"/>
        </w:rPr>
        <w:t>č.</w:t>
      </w:r>
      <w:r w:rsidR="00A046DC">
        <w:rPr>
          <w:rFonts w:ascii="Times New Roman" w:hAnsi="Times New Roman"/>
          <w:sz w:val="24"/>
          <w:szCs w:val="24"/>
        </w:rPr>
        <w:t> </w:t>
      </w:r>
      <w:r w:rsidR="007A63C8" w:rsidRPr="0073392D">
        <w:rPr>
          <w:rFonts w:ascii="Times New Roman" w:hAnsi="Times New Roman"/>
          <w:sz w:val="24"/>
          <w:szCs w:val="24"/>
        </w:rPr>
        <w:t>58/1995 Sb.</w:t>
      </w:r>
      <w:r w:rsidRPr="00286395">
        <w:rPr>
          <w:rFonts w:ascii="Times New Roman" w:hAnsi="Times New Roman"/>
          <w:bCs/>
          <w:iCs/>
          <w:sz w:val="24"/>
          <w:szCs w:val="24"/>
        </w:rPr>
        <w:t xml:space="preserve"> Jedná se současně o analogii stávající právní úpravy kontrolní pravomoci M</w:t>
      </w:r>
      <w:r w:rsidR="00D46213">
        <w:rPr>
          <w:rFonts w:ascii="Times New Roman" w:hAnsi="Times New Roman"/>
          <w:bCs/>
          <w:iCs/>
          <w:sz w:val="24"/>
          <w:szCs w:val="24"/>
        </w:rPr>
        <w:t>F</w:t>
      </w:r>
      <w:r w:rsidRPr="00286395">
        <w:rPr>
          <w:rFonts w:ascii="Times New Roman" w:hAnsi="Times New Roman"/>
          <w:bCs/>
          <w:iCs/>
          <w:sz w:val="24"/>
          <w:szCs w:val="24"/>
        </w:rPr>
        <w:t xml:space="preserve"> ve</w:t>
      </w:r>
      <w:r w:rsidR="003F4DFB">
        <w:rPr>
          <w:rFonts w:ascii="Times New Roman" w:hAnsi="Times New Roman"/>
          <w:bCs/>
          <w:iCs/>
          <w:sz w:val="24"/>
          <w:szCs w:val="24"/>
        </w:rPr>
        <w:t> </w:t>
      </w:r>
      <w:r w:rsidRPr="00286395">
        <w:rPr>
          <w:rFonts w:ascii="Times New Roman" w:hAnsi="Times New Roman"/>
          <w:bCs/>
          <w:iCs/>
          <w:sz w:val="24"/>
          <w:szCs w:val="24"/>
        </w:rPr>
        <w:t>vztahu k exportní bance.</w:t>
      </w:r>
    </w:p>
    <w:p w14:paraId="46AE7EF1" w14:textId="7C38187A" w:rsidR="00366B8B" w:rsidRPr="00286395" w:rsidRDefault="00366B8B" w:rsidP="00EB147E">
      <w:pPr>
        <w:tabs>
          <w:tab w:val="left" w:pos="6660"/>
        </w:tabs>
        <w:spacing w:before="120" w:after="120"/>
        <w:ind w:left="357"/>
        <w:jc w:val="both"/>
        <w:rPr>
          <w:rFonts w:ascii="Times New Roman" w:hAnsi="Times New Roman"/>
          <w:bCs/>
          <w:iCs/>
          <w:sz w:val="24"/>
          <w:szCs w:val="24"/>
        </w:rPr>
      </w:pPr>
      <w:r w:rsidRPr="00286395">
        <w:rPr>
          <w:rFonts w:ascii="Times New Roman" w:hAnsi="Times New Roman"/>
          <w:bCs/>
          <w:iCs/>
          <w:sz w:val="24"/>
          <w:szCs w:val="24"/>
        </w:rPr>
        <w:t xml:space="preserve">Exportní bance jsou podle zákona </w:t>
      </w:r>
      <w:r w:rsidR="007A63C8" w:rsidRPr="0073392D">
        <w:rPr>
          <w:rFonts w:ascii="Times New Roman" w:hAnsi="Times New Roman"/>
          <w:sz w:val="24"/>
          <w:szCs w:val="24"/>
        </w:rPr>
        <w:t>č.</w:t>
      </w:r>
      <w:r w:rsidR="00A046DC">
        <w:rPr>
          <w:rFonts w:ascii="Times New Roman" w:hAnsi="Times New Roman"/>
          <w:sz w:val="24"/>
          <w:szCs w:val="24"/>
        </w:rPr>
        <w:t> </w:t>
      </w:r>
      <w:r w:rsidR="007A63C8" w:rsidRPr="0073392D">
        <w:rPr>
          <w:rFonts w:ascii="Times New Roman" w:hAnsi="Times New Roman"/>
          <w:sz w:val="24"/>
          <w:szCs w:val="24"/>
        </w:rPr>
        <w:t>58/1995 Sb.</w:t>
      </w:r>
      <w:r w:rsidR="007A63C8">
        <w:rPr>
          <w:rFonts w:ascii="Times New Roman" w:hAnsi="Times New Roman"/>
          <w:sz w:val="24"/>
          <w:szCs w:val="24"/>
        </w:rPr>
        <w:t xml:space="preserve"> </w:t>
      </w:r>
      <w:r w:rsidRPr="00286395">
        <w:rPr>
          <w:rFonts w:ascii="Times New Roman" w:hAnsi="Times New Roman"/>
          <w:bCs/>
          <w:iCs/>
          <w:sz w:val="24"/>
          <w:szCs w:val="24"/>
        </w:rPr>
        <w:t>poskytovány dotace ze státního rozpočtu na úhradu ztrát z provozování podpořeného financování. Navrhuje se úprava příslušného ustanovení s cílem zpřesnit výčet položek a činností, které vstupují nebo by mohly vstoupit formou nákladu, výnosu, zisku či ztráty do vyčíslení nároku na dotaci</w:t>
      </w:r>
      <w:r w:rsidR="00FE0BE7">
        <w:rPr>
          <w:rFonts w:ascii="Times New Roman" w:hAnsi="Times New Roman"/>
          <w:bCs/>
          <w:iCs/>
          <w:sz w:val="24"/>
          <w:szCs w:val="24"/>
        </w:rPr>
        <w:t xml:space="preserve"> vznášeného</w:t>
      </w:r>
      <w:r w:rsidRPr="00286395">
        <w:rPr>
          <w:rFonts w:ascii="Times New Roman" w:hAnsi="Times New Roman"/>
          <w:bCs/>
          <w:iCs/>
          <w:sz w:val="24"/>
          <w:szCs w:val="24"/>
        </w:rPr>
        <w:t xml:space="preserve"> exportní bank</w:t>
      </w:r>
      <w:r w:rsidR="00FE0BE7">
        <w:rPr>
          <w:rFonts w:ascii="Times New Roman" w:hAnsi="Times New Roman"/>
          <w:bCs/>
          <w:iCs/>
          <w:sz w:val="24"/>
          <w:szCs w:val="24"/>
        </w:rPr>
        <w:t>ou</w:t>
      </w:r>
      <w:r w:rsidRPr="00286395">
        <w:rPr>
          <w:rFonts w:ascii="Times New Roman" w:hAnsi="Times New Roman"/>
          <w:bCs/>
          <w:iCs/>
          <w:sz w:val="24"/>
          <w:szCs w:val="24"/>
        </w:rPr>
        <w:t xml:space="preserve"> vůči státnímu rozpočtu tak, aby byly přesně vymezeny státní dotace na</w:t>
      </w:r>
      <w:r w:rsidR="003F4DFB">
        <w:rPr>
          <w:rFonts w:ascii="Times New Roman" w:hAnsi="Times New Roman"/>
          <w:bCs/>
          <w:iCs/>
          <w:sz w:val="24"/>
          <w:szCs w:val="24"/>
        </w:rPr>
        <w:t> </w:t>
      </w:r>
      <w:r w:rsidRPr="00286395">
        <w:rPr>
          <w:rFonts w:ascii="Times New Roman" w:hAnsi="Times New Roman"/>
          <w:bCs/>
          <w:iCs/>
          <w:sz w:val="24"/>
          <w:szCs w:val="24"/>
        </w:rPr>
        <w:t>úhradu ztrát a aby byly eliminovány interpretační nejistoty, přičemž fakticky nedochází ke změně rozsahu okruhů dotačních titulů.</w:t>
      </w:r>
    </w:p>
    <w:p w14:paraId="2F48C449" w14:textId="77777777" w:rsidR="00366B8B" w:rsidRPr="00286395" w:rsidRDefault="00366B8B" w:rsidP="0061219A">
      <w:pPr>
        <w:tabs>
          <w:tab w:val="left" w:pos="6660"/>
        </w:tabs>
        <w:spacing w:before="120" w:after="120"/>
        <w:ind w:left="357"/>
        <w:jc w:val="both"/>
        <w:rPr>
          <w:rFonts w:ascii="Times New Roman" w:hAnsi="Times New Roman"/>
          <w:bCs/>
          <w:iCs/>
          <w:sz w:val="24"/>
          <w:szCs w:val="24"/>
        </w:rPr>
      </w:pPr>
      <w:r w:rsidRPr="00286395">
        <w:rPr>
          <w:rFonts w:ascii="Times New Roman" w:hAnsi="Times New Roman"/>
          <w:bCs/>
          <w:iCs/>
          <w:sz w:val="24"/>
          <w:szCs w:val="24"/>
        </w:rPr>
        <w:t xml:space="preserve">Navrhuje se zjednodušení </w:t>
      </w:r>
      <w:r w:rsidR="0061219A">
        <w:rPr>
          <w:rFonts w:ascii="Times New Roman" w:hAnsi="Times New Roman"/>
          <w:bCs/>
          <w:iCs/>
          <w:sz w:val="24"/>
          <w:szCs w:val="24"/>
        </w:rPr>
        <w:t xml:space="preserve">zákonných </w:t>
      </w:r>
      <w:r w:rsidR="00036905">
        <w:rPr>
          <w:rFonts w:ascii="Times New Roman" w:hAnsi="Times New Roman"/>
          <w:bCs/>
          <w:iCs/>
          <w:sz w:val="24"/>
          <w:szCs w:val="24"/>
        </w:rPr>
        <w:t>p</w:t>
      </w:r>
      <w:r w:rsidR="0061219A">
        <w:rPr>
          <w:rFonts w:ascii="Times New Roman" w:hAnsi="Times New Roman"/>
          <w:bCs/>
          <w:iCs/>
          <w:sz w:val="24"/>
          <w:szCs w:val="24"/>
        </w:rPr>
        <w:t xml:space="preserve">ožadavků </w:t>
      </w:r>
      <w:r w:rsidR="00BA353F">
        <w:rPr>
          <w:rFonts w:ascii="Times New Roman" w:hAnsi="Times New Roman"/>
          <w:bCs/>
          <w:iCs/>
          <w:sz w:val="24"/>
          <w:szCs w:val="24"/>
        </w:rPr>
        <w:t>na</w:t>
      </w:r>
      <w:r w:rsidR="0061219A">
        <w:rPr>
          <w:rFonts w:ascii="Times New Roman" w:hAnsi="Times New Roman"/>
          <w:bCs/>
          <w:iCs/>
          <w:sz w:val="24"/>
          <w:szCs w:val="24"/>
        </w:rPr>
        <w:t xml:space="preserve"> </w:t>
      </w:r>
      <w:r w:rsidRPr="00286395">
        <w:rPr>
          <w:rFonts w:ascii="Times New Roman" w:hAnsi="Times New Roman"/>
          <w:bCs/>
          <w:iCs/>
          <w:sz w:val="24"/>
          <w:szCs w:val="24"/>
        </w:rPr>
        <w:t>náležitost</w:t>
      </w:r>
      <w:r w:rsidR="0061219A">
        <w:rPr>
          <w:rFonts w:ascii="Times New Roman" w:hAnsi="Times New Roman"/>
          <w:bCs/>
          <w:iCs/>
          <w:sz w:val="24"/>
          <w:szCs w:val="24"/>
        </w:rPr>
        <w:t>i</w:t>
      </w:r>
      <w:r w:rsidRPr="00286395">
        <w:rPr>
          <w:rFonts w:ascii="Times New Roman" w:hAnsi="Times New Roman"/>
          <w:bCs/>
          <w:iCs/>
          <w:sz w:val="24"/>
          <w:szCs w:val="24"/>
        </w:rPr>
        <w:t xml:space="preserve"> žádostí o pojištění vývozních úvěrových rizik, o podpořené financování a o zařazení úvěru do systému dorovnávání úrokových rozdílů.</w:t>
      </w:r>
    </w:p>
    <w:p w14:paraId="159EEB1B" w14:textId="203760C8" w:rsidR="00366B8B" w:rsidRPr="00286395" w:rsidRDefault="00366B8B" w:rsidP="00EB147E">
      <w:pPr>
        <w:tabs>
          <w:tab w:val="left" w:pos="6660"/>
        </w:tabs>
        <w:spacing w:before="120" w:after="120"/>
        <w:ind w:left="357"/>
        <w:jc w:val="both"/>
        <w:rPr>
          <w:rFonts w:ascii="Times New Roman" w:hAnsi="Times New Roman"/>
          <w:bCs/>
          <w:iCs/>
          <w:sz w:val="24"/>
          <w:szCs w:val="24"/>
        </w:rPr>
      </w:pPr>
      <w:r w:rsidRPr="00286395">
        <w:rPr>
          <w:rFonts w:ascii="Times New Roman" w:hAnsi="Times New Roman"/>
          <w:bCs/>
          <w:iCs/>
          <w:sz w:val="24"/>
          <w:szCs w:val="24"/>
        </w:rPr>
        <w:t>Navrhuje se nahrazení závazku státu poskytovat každoročně exportní bance finanční částku ve výši 250 mil. Kč na dorovnávání úrokových rozdílů obecnějším poskytováním záloh ze</w:t>
      </w:r>
      <w:r w:rsidR="00696D02">
        <w:rPr>
          <w:rFonts w:ascii="Times New Roman" w:hAnsi="Times New Roman"/>
          <w:bCs/>
          <w:iCs/>
          <w:sz w:val="24"/>
          <w:szCs w:val="24"/>
        </w:rPr>
        <w:t> </w:t>
      </w:r>
      <w:r w:rsidRPr="00286395">
        <w:rPr>
          <w:rFonts w:ascii="Times New Roman" w:hAnsi="Times New Roman"/>
          <w:bCs/>
          <w:iCs/>
          <w:sz w:val="24"/>
          <w:szCs w:val="24"/>
        </w:rPr>
        <w:t>strany M</w:t>
      </w:r>
      <w:r w:rsidR="00D46213">
        <w:rPr>
          <w:rFonts w:ascii="Times New Roman" w:hAnsi="Times New Roman"/>
          <w:bCs/>
          <w:iCs/>
          <w:sz w:val="24"/>
          <w:szCs w:val="24"/>
        </w:rPr>
        <w:t>F</w:t>
      </w:r>
      <w:r w:rsidRPr="00286395">
        <w:rPr>
          <w:rFonts w:ascii="Times New Roman" w:hAnsi="Times New Roman"/>
          <w:bCs/>
          <w:iCs/>
          <w:sz w:val="24"/>
          <w:szCs w:val="24"/>
        </w:rPr>
        <w:t xml:space="preserve"> a zjednodušení procesu vyúčtování záloh, které M</w:t>
      </w:r>
      <w:r w:rsidR="00D46213">
        <w:rPr>
          <w:rFonts w:ascii="Times New Roman" w:hAnsi="Times New Roman"/>
          <w:bCs/>
          <w:iCs/>
          <w:sz w:val="24"/>
          <w:szCs w:val="24"/>
        </w:rPr>
        <w:t>F</w:t>
      </w:r>
      <w:r w:rsidRPr="00286395">
        <w:rPr>
          <w:rFonts w:ascii="Times New Roman" w:hAnsi="Times New Roman"/>
          <w:bCs/>
          <w:iCs/>
          <w:sz w:val="24"/>
          <w:szCs w:val="24"/>
        </w:rPr>
        <w:t xml:space="preserve"> exportní bance poskytne na dorovnávání úrokových rozdílů, ze strany exportní banky.</w:t>
      </w:r>
    </w:p>
    <w:p w14:paraId="0CAE2255" w14:textId="706D2EFA" w:rsidR="001C6F84" w:rsidRDefault="00F051FD" w:rsidP="00EB147E">
      <w:pPr>
        <w:spacing w:before="120" w:after="120"/>
        <w:ind w:left="360"/>
        <w:jc w:val="both"/>
        <w:rPr>
          <w:rFonts w:ascii="Times New Roman" w:hAnsi="Times New Roman"/>
          <w:sz w:val="24"/>
          <w:szCs w:val="24"/>
        </w:rPr>
      </w:pPr>
      <w:r w:rsidRPr="00286395">
        <w:rPr>
          <w:rFonts w:ascii="Times New Roman" w:hAnsi="Times New Roman"/>
          <w:sz w:val="24"/>
          <w:szCs w:val="24"/>
        </w:rPr>
        <w:t xml:space="preserve">Cílový stav, resp. popis jeho jednotlivých atributů, byl formulován obsáhlými konzultacemi uvnitř státní správy, </w:t>
      </w:r>
      <w:r w:rsidR="00366B8B" w:rsidRPr="00286395">
        <w:rPr>
          <w:rFonts w:ascii="Times New Roman" w:hAnsi="Times New Roman"/>
          <w:sz w:val="24"/>
          <w:szCs w:val="24"/>
        </w:rPr>
        <w:t>s exportní pojišťovnou a exportní bankou</w:t>
      </w:r>
      <w:r w:rsidR="00167FFD" w:rsidRPr="00286395">
        <w:rPr>
          <w:rFonts w:ascii="Times New Roman" w:hAnsi="Times New Roman"/>
          <w:sz w:val="24"/>
          <w:szCs w:val="24"/>
        </w:rPr>
        <w:t xml:space="preserve"> i</w:t>
      </w:r>
      <w:r w:rsidRPr="00286395">
        <w:rPr>
          <w:rFonts w:ascii="Times New Roman" w:hAnsi="Times New Roman"/>
          <w:sz w:val="24"/>
          <w:szCs w:val="24"/>
        </w:rPr>
        <w:t xml:space="preserve"> se zástupci podnikatelské veřejnosti. Nevyužití příležitosti se k cílovému stavu přiblížit by znamenalo promarněnou příležitost možné nápravy aktuálních nedostatků </w:t>
      </w:r>
      <w:r w:rsidR="008458C5" w:rsidRPr="00286395">
        <w:rPr>
          <w:rFonts w:ascii="Times New Roman" w:hAnsi="Times New Roman"/>
          <w:sz w:val="24"/>
          <w:szCs w:val="24"/>
        </w:rPr>
        <w:t>v oblasti pojišťování a</w:t>
      </w:r>
      <w:r w:rsidR="003F4DFB">
        <w:rPr>
          <w:rFonts w:ascii="Times New Roman" w:hAnsi="Times New Roman"/>
          <w:sz w:val="24"/>
          <w:szCs w:val="24"/>
        </w:rPr>
        <w:t> </w:t>
      </w:r>
      <w:r w:rsidR="008458C5" w:rsidRPr="00286395">
        <w:rPr>
          <w:rFonts w:ascii="Times New Roman" w:hAnsi="Times New Roman"/>
          <w:sz w:val="24"/>
          <w:szCs w:val="24"/>
        </w:rPr>
        <w:t>financování vývozu se státní podporou v kontextu celého podnikatelského prostředí</w:t>
      </w:r>
      <w:r w:rsidRPr="00286395">
        <w:rPr>
          <w:rFonts w:ascii="Times New Roman" w:hAnsi="Times New Roman"/>
          <w:sz w:val="24"/>
          <w:szCs w:val="24"/>
        </w:rPr>
        <w:t xml:space="preserve"> a žádoucího posílení právního rámce </w:t>
      </w:r>
      <w:r w:rsidR="00591EF8" w:rsidRPr="00286395">
        <w:rPr>
          <w:rFonts w:ascii="Times New Roman" w:hAnsi="Times New Roman"/>
          <w:sz w:val="24"/>
          <w:szCs w:val="24"/>
        </w:rPr>
        <w:t>v této oblasti</w:t>
      </w:r>
      <w:r w:rsidRPr="00286395">
        <w:rPr>
          <w:rFonts w:ascii="Times New Roman" w:hAnsi="Times New Roman"/>
          <w:sz w:val="24"/>
          <w:szCs w:val="24"/>
        </w:rPr>
        <w:t>.</w:t>
      </w:r>
    </w:p>
    <w:p w14:paraId="0F67E136" w14:textId="76B7A3C4" w:rsidR="001C6F84" w:rsidRDefault="001C6F84">
      <w:pPr>
        <w:overflowPunct/>
        <w:autoSpaceDE/>
        <w:autoSpaceDN/>
        <w:adjustRightInd/>
        <w:spacing w:after="0" w:line="240" w:lineRule="auto"/>
        <w:textAlignment w:val="auto"/>
        <w:rPr>
          <w:rFonts w:ascii="Times New Roman" w:hAnsi="Times New Roman"/>
          <w:sz w:val="24"/>
          <w:szCs w:val="24"/>
        </w:rPr>
      </w:pPr>
    </w:p>
    <w:p w14:paraId="1F378F4A" w14:textId="77777777" w:rsidR="00F051FD" w:rsidRPr="00286395" w:rsidRDefault="00F051FD" w:rsidP="00EB147E">
      <w:pPr>
        <w:spacing w:before="120" w:after="120"/>
        <w:ind w:left="360"/>
        <w:rPr>
          <w:rFonts w:ascii="Times New Roman" w:hAnsi="Times New Roman"/>
          <w:b/>
          <w:sz w:val="24"/>
          <w:szCs w:val="24"/>
        </w:rPr>
      </w:pPr>
      <w:r w:rsidRPr="00286395">
        <w:rPr>
          <w:rFonts w:ascii="Times New Roman" w:hAnsi="Times New Roman"/>
          <w:b/>
          <w:sz w:val="24"/>
          <w:szCs w:val="24"/>
        </w:rPr>
        <w:t>1.6. Zhodnocení rizika</w:t>
      </w:r>
    </w:p>
    <w:p w14:paraId="3180C5FA" w14:textId="77777777" w:rsidR="00F051FD" w:rsidRPr="00286395" w:rsidRDefault="00F051FD" w:rsidP="00EB147E">
      <w:pPr>
        <w:spacing w:before="120" w:after="120"/>
        <w:ind w:left="360"/>
        <w:jc w:val="both"/>
        <w:rPr>
          <w:rFonts w:ascii="Times New Roman" w:hAnsi="Times New Roman"/>
          <w:sz w:val="24"/>
          <w:szCs w:val="24"/>
        </w:rPr>
      </w:pPr>
      <w:r w:rsidRPr="00286395">
        <w:rPr>
          <w:rFonts w:ascii="Times New Roman" w:hAnsi="Times New Roman"/>
          <w:sz w:val="24"/>
          <w:szCs w:val="24"/>
        </w:rPr>
        <w:t>Rizika plynoucí z neřešení aktuálního stavu lze spatřovat jak v právním, tak věcném ohledu. Různorodý charakter, dopady a zájmy na řešení v průběhu času praxí nashromážděných problematickýc</w:t>
      </w:r>
      <w:r w:rsidR="00751B75" w:rsidRPr="00286395">
        <w:rPr>
          <w:rFonts w:ascii="Times New Roman" w:hAnsi="Times New Roman"/>
          <w:sz w:val="24"/>
          <w:szCs w:val="24"/>
        </w:rPr>
        <w:t xml:space="preserve">h oblastí uplatňování zákona </w:t>
      </w:r>
      <w:r w:rsidR="00CC3334" w:rsidRPr="0073392D">
        <w:rPr>
          <w:rFonts w:ascii="Times New Roman" w:hAnsi="Times New Roman"/>
          <w:sz w:val="24"/>
          <w:szCs w:val="24"/>
        </w:rPr>
        <w:t>č.</w:t>
      </w:r>
      <w:r w:rsidR="00A046DC">
        <w:rPr>
          <w:rFonts w:ascii="Times New Roman" w:hAnsi="Times New Roman"/>
          <w:sz w:val="24"/>
          <w:szCs w:val="24"/>
        </w:rPr>
        <w:t> </w:t>
      </w:r>
      <w:r w:rsidR="00CC3334" w:rsidRPr="0073392D">
        <w:rPr>
          <w:rFonts w:ascii="Times New Roman" w:hAnsi="Times New Roman"/>
          <w:sz w:val="24"/>
          <w:szCs w:val="24"/>
        </w:rPr>
        <w:t>58/1995 Sb.</w:t>
      </w:r>
      <w:r w:rsidRPr="00286395">
        <w:rPr>
          <w:rFonts w:ascii="Times New Roman" w:hAnsi="Times New Roman"/>
          <w:sz w:val="24"/>
          <w:szCs w:val="24"/>
        </w:rPr>
        <w:t xml:space="preserve"> nelze popsat jednoduchým formátem. Liší se z pohledu státní správy a z pohledu podnikatelské veřejnosti.</w:t>
      </w:r>
      <w:r w:rsidR="00751B75" w:rsidRPr="00286395">
        <w:rPr>
          <w:rFonts w:ascii="Times New Roman" w:hAnsi="Times New Roman"/>
          <w:sz w:val="24"/>
          <w:szCs w:val="24"/>
        </w:rPr>
        <w:t xml:space="preserve"> K získání základního přehledu </w:t>
      </w:r>
      <w:r w:rsidRPr="00286395">
        <w:rPr>
          <w:rFonts w:ascii="Times New Roman" w:hAnsi="Times New Roman"/>
          <w:sz w:val="24"/>
          <w:szCs w:val="24"/>
        </w:rPr>
        <w:t>slouží tabulka č.</w:t>
      </w:r>
      <w:r w:rsidR="00A046DC">
        <w:rPr>
          <w:rFonts w:ascii="Times New Roman" w:hAnsi="Times New Roman"/>
          <w:sz w:val="24"/>
          <w:szCs w:val="24"/>
        </w:rPr>
        <w:t> </w:t>
      </w:r>
      <w:r w:rsidRPr="00286395">
        <w:rPr>
          <w:rFonts w:ascii="Times New Roman" w:hAnsi="Times New Roman"/>
          <w:sz w:val="24"/>
          <w:szCs w:val="24"/>
        </w:rPr>
        <w:t>2</w:t>
      </w:r>
      <w:r w:rsidR="002F55F9">
        <w:rPr>
          <w:rFonts w:ascii="Times New Roman" w:hAnsi="Times New Roman"/>
          <w:sz w:val="24"/>
          <w:szCs w:val="24"/>
        </w:rPr>
        <w:t xml:space="preserve"> zaměřená na oblasti rizika z existujícího </w:t>
      </w:r>
      <w:r w:rsidR="00AE5108">
        <w:rPr>
          <w:rFonts w:ascii="Times New Roman" w:hAnsi="Times New Roman"/>
          <w:sz w:val="24"/>
          <w:szCs w:val="24"/>
        </w:rPr>
        <w:t xml:space="preserve">právního stavu. </w:t>
      </w:r>
      <w:r w:rsidRPr="00286395">
        <w:rPr>
          <w:rFonts w:ascii="Times New Roman" w:hAnsi="Times New Roman"/>
          <w:sz w:val="24"/>
          <w:szCs w:val="24"/>
        </w:rPr>
        <w:t>Integrální součástí právního rizika je vždy i riziko věcné, což nezbytně nemusí platit naopak. Přesto je logické, že existence věcného rizika a jeho neřešení má dopad do právní odpovědnosti povinných subjektů.</w:t>
      </w:r>
    </w:p>
    <w:p w14:paraId="3437D539" w14:textId="77777777" w:rsidR="0028351C" w:rsidRPr="00286395" w:rsidRDefault="00C90F05" w:rsidP="00EB147E">
      <w:pPr>
        <w:spacing w:before="120" w:after="120"/>
        <w:ind w:left="360"/>
        <w:jc w:val="both"/>
        <w:rPr>
          <w:rFonts w:ascii="Times New Roman" w:hAnsi="Times New Roman"/>
          <w:bCs/>
          <w:sz w:val="24"/>
          <w:szCs w:val="24"/>
        </w:rPr>
      </w:pPr>
      <w:r w:rsidRPr="00286395">
        <w:rPr>
          <w:rFonts w:ascii="Times New Roman" w:hAnsi="Times New Roman"/>
          <w:sz w:val="24"/>
          <w:szCs w:val="24"/>
        </w:rPr>
        <w:t>V případě zachování současného stavu existují věcná i právní rizika.</w:t>
      </w:r>
    </w:p>
    <w:p w14:paraId="5CFBB788" w14:textId="77777777" w:rsidR="00F051FD" w:rsidRPr="00286395" w:rsidRDefault="00F051FD" w:rsidP="00EB147E">
      <w:pPr>
        <w:spacing w:before="120" w:after="120"/>
        <w:ind w:firstLine="360"/>
        <w:rPr>
          <w:rFonts w:ascii="Times New Roman" w:hAnsi="Times New Roman"/>
          <w:i/>
          <w:sz w:val="24"/>
          <w:szCs w:val="24"/>
        </w:rPr>
      </w:pPr>
      <w:r w:rsidRPr="00286395">
        <w:rPr>
          <w:rFonts w:ascii="Times New Roman" w:hAnsi="Times New Roman"/>
          <w:i/>
          <w:sz w:val="24"/>
          <w:szCs w:val="24"/>
        </w:rPr>
        <w:t>Tabulka č.</w:t>
      </w:r>
      <w:r w:rsidR="00A046DC">
        <w:rPr>
          <w:rFonts w:ascii="Times New Roman" w:hAnsi="Times New Roman"/>
          <w:i/>
          <w:sz w:val="24"/>
          <w:szCs w:val="24"/>
        </w:rPr>
        <w:t> </w:t>
      </w:r>
      <w:r w:rsidRPr="00286395">
        <w:rPr>
          <w:rFonts w:ascii="Times New Roman" w:hAnsi="Times New Roman"/>
          <w:i/>
          <w:sz w:val="24"/>
          <w:szCs w:val="24"/>
        </w:rPr>
        <w:t>2</w:t>
      </w:r>
    </w:p>
    <w:tbl>
      <w:tblPr>
        <w:tblStyle w:val="Mkatabulky"/>
        <w:tblW w:w="0" w:type="auto"/>
        <w:tblInd w:w="360" w:type="dxa"/>
        <w:tblLook w:val="04A0" w:firstRow="1" w:lastRow="0" w:firstColumn="1" w:lastColumn="0" w:noHBand="0" w:noVBand="1"/>
      </w:tblPr>
      <w:tblGrid>
        <w:gridCol w:w="4384"/>
        <w:gridCol w:w="4318"/>
      </w:tblGrid>
      <w:tr w:rsidR="00F051FD" w:rsidRPr="00286395" w14:paraId="5312E16B" w14:textId="77777777" w:rsidTr="008B631B">
        <w:tc>
          <w:tcPr>
            <w:tcW w:w="4384" w:type="dxa"/>
          </w:tcPr>
          <w:p w14:paraId="3FBCD5B7" w14:textId="77777777" w:rsidR="00F051FD" w:rsidRPr="00286395" w:rsidRDefault="00F051FD" w:rsidP="00556B61">
            <w:pPr>
              <w:tabs>
                <w:tab w:val="left" w:pos="6660"/>
              </w:tabs>
              <w:spacing w:before="120" w:after="120"/>
              <w:rPr>
                <w:rFonts w:ascii="Times New Roman" w:hAnsi="Times New Roman"/>
                <w:b/>
                <w:bCs/>
                <w:iCs/>
                <w:sz w:val="24"/>
                <w:szCs w:val="24"/>
              </w:rPr>
            </w:pPr>
            <w:r w:rsidRPr="00286395">
              <w:rPr>
                <w:rFonts w:ascii="Times New Roman" w:hAnsi="Times New Roman"/>
                <w:b/>
                <w:bCs/>
                <w:iCs/>
                <w:sz w:val="24"/>
                <w:szCs w:val="24"/>
              </w:rPr>
              <w:t>Oblast rizika z existujícího stavu</w:t>
            </w:r>
          </w:p>
        </w:tc>
        <w:tc>
          <w:tcPr>
            <w:tcW w:w="4318" w:type="dxa"/>
          </w:tcPr>
          <w:p w14:paraId="4A5FAA3E" w14:textId="77777777" w:rsidR="00F051FD" w:rsidRPr="00286395" w:rsidRDefault="00F051FD" w:rsidP="00556B61">
            <w:pPr>
              <w:tabs>
                <w:tab w:val="left" w:pos="6660"/>
              </w:tabs>
              <w:spacing w:before="120" w:after="120"/>
              <w:rPr>
                <w:rFonts w:ascii="Times New Roman" w:hAnsi="Times New Roman"/>
                <w:b/>
                <w:bCs/>
                <w:iCs/>
                <w:sz w:val="24"/>
                <w:szCs w:val="24"/>
              </w:rPr>
            </w:pPr>
            <w:r w:rsidRPr="00286395">
              <w:rPr>
                <w:rFonts w:ascii="Times New Roman" w:hAnsi="Times New Roman"/>
                <w:b/>
                <w:bCs/>
                <w:iCs/>
                <w:sz w:val="24"/>
                <w:szCs w:val="24"/>
              </w:rPr>
              <w:t>Převažující typ rizika</w:t>
            </w:r>
          </w:p>
        </w:tc>
      </w:tr>
      <w:tr w:rsidR="008B631B" w:rsidRPr="00286395" w14:paraId="1A7EB609" w14:textId="77777777" w:rsidTr="008B631B">
        <w:tc>
          <w:tcPr>
            <w:tcW w:w="4384" w:type="dxa"/>
          </w:tcPr>
          <w:p w14:paraId="165E97FF" w14:textId="77777777" w:rsidR="008B631B" w:rsidRPr="00286395" w:rsidRDefault="00054019" w:rsidP="00F47C25">
            <w:pPr>
              <w:spacing w:after="120" w:line="300" w:lineRule="exact"/>
              <w:jc w:val="both"/>
              <w:rPr>
                <w:rFonts w:ascii="Times New Roman" w:hAnsi="Times New Roman"/>
                <w:bCs/>
                <w:iCs/>
                <w:sz w:val="24"/>
                <w:szCs w:val="24"/>
              </w:rPr>
            </w:pPr>
            <w:r w:rsidRPr="00286395">
              <w:rPr>
                <w:rFonts w:ascii="Times New Roman" w:hAnsi="Times New Roman"/>
                <w:sz w:val="24"/>
                <w:szCs w:val="24"/>
              </w:rPr>
              <w:t>Rigidní</w:t>
            </w:r>
            <w:r w:rsidR="008B631B" w:rsidRPr="00286395">
              <w:rPr>
                <w:rFonts w:ascii="Times New Roman" w:hAnsi="Times New Roman"/>
                <w:sz w:val="24"/>
                <w:szCs w:val="24"/>
              </w:rPr>
              <w:t xml:space="preserve"> nabídka exportní pojišťovny a</w:t>
            </w:r>
            <w:r w:rsidR="00F47C25">
              <w:rPr>
                <w:rFonts w:ascii="Times New Roman" w:hAnsi="Times New Roman"/>
                <w:sz w:val="24"/>
                <w:szCs w:val="24"/>
              </w:rPr>
              <w:t> </w:t>
            </w:r>
            <w:r w:rsidR="008B631B" w:rsidRPr="00286395">
              <w:rPr>
                <w:rFonts w:ascii="Times New Roman" w:hAnsi="Times New Roman"/>
                <w:sz w:val="24"/>
                <w:szCs w:val="24"/>
              </w:rPr>
              <w:t>exportní banky</w:t>
            </w:r>
            <w:r w:rsidRPr="00286395">
              <w:rPr>
                <w:rFonts w:ascii="Times New Roman" w:hAnsi="Times New Roman"/>
                <w:sz w:val="24"/>
                <w:szCs w:val="24"/>
              </w:rPr>
              <w:t xml:space="preserve"> daná taxativním výčtem daným zákonem</w:t>
            </w:r>
            <w:r w:rsidR="00CC3334">
              <w:rPr>
                <w:rFonts w:ascii="Times New Roman" w:hAnsi="Times New Roman"/>
                <w:sz w:val="24"/>
                <w:szCs w:val="24"/>
              </w:rPr>
              <w:t xml:space="preserve"> </w:t>
            </w:r>
            <w:r w:rsidR="00CC3334" w:rsidRPr="0073392D">
              <w:rPr>
                <w:rFonts w:ascii="Times New Roman" w:hAnsi="Times New Roman"/>
                <w:sz w:val="24"/>
                <w:szCs w:val="24"/>
              </w:rPr>
              <w:t>č.</w:t>
            </w:r>
            <w:r w:rsidR="00CC3334">
              <w:rPr>
                <w:rFonts w:ascii="Times New Roman" w:hAnsi="Times New Roman"/>
                <w:sz w:val="24"/>
                <w:szCs w:val="24"/>
              </w:rPr>
              <w:t> </w:t>
            </w:r>
            <w:r w:rsidR="00CC3334" w:rsidRPr="0073392D">
              <w:rPr>
                <w:rFonts w:ascii="Times New Roman" w:hAnsi="Times New Roman"/>
                <w:sz w:val="24"/>
                <w:szCs w:val="24"/>
              </w:rPr>
              <w:t>58/1995 Sb.</w:t>
            </w:r>
            <w:r w:rsidRPr="00286395">
              <w:rPr>
                <w:rFonts w:ascii="Times New Roman" w:hAnsi="Times New Roman"/>
                <w:sz w:val="24"/>
                <w:szCs w:val="24"/>
              </w:rPr>
              <w:t xml:space="preserve"> </w:t>
            </w:r>
          </w:p>
        </w:tc>
        <w:tc>
          <w:tcPr>
            <w:tcW w:w="4318" w:type="dxa"/>
          </w:tcPr>
          <w:p w14:paraId="45F9C81C" w14:textId="77777777" w:rsidR="00FE1395" w:rsidRPr="00286395" w:rsidRDefault="009B3416" w:rsidP="007325FD">
            <w:pPr>
              <w:tabs>
                <w:tab w:val="left" w:pos="6660"/>
              </w:tabs>
              <w:spacing w:after="120" w:line="300" w:lineRule="exact"/>
              <w:jc w:val="both"/>
              <w:rPr>
                <w:rFonts w:ascii="Times New Roman" w:hAnsi="Times New Roman"/>
                <w:bCs/>
                <w:iCs/>
                <w:sz w:val="24"/>
                <w:szCs w:val="24"/>
              </w:rPr>
            </w:pPr>
            <w:r w:rsidRPr="00286395">
              <w:rPr>
                <w:rFonts w:ascii="Times New Roman" w:hAnsi="Times New Roman"/>
                <w:bCs/>
                <w:iCs/>
                <w:sz w:val="24"/>
                <w:szCs w:val="24"/>
              </w:rPr>
              <w:t>Věcné</w:t>
            </w:r>
            <w:r w:rsidR="00591FC9" w:rsidRPr="00286395">
              <w:rPr>
                <w:rFonts w:ascii="Times New Roman" w:hAnsi="Times New Roman"/>
                <w:bCs/>
                <w:iCs/>
                <w:sz w:val="24"/>
                <w:szCs w:val="24"/>
              </w:rPr>
              <w:t xml:space="preserve"> ekonomické riziko – dopad na</w:t>
            </w:r>
            <w:r w:rsidR="00F47C25">
              <w:rPr>
                <w:rFonts w:ascii="Times New Roman" w:hAnsi="Times New Roman"/>
                <w:bCs/>
                <w:iCs/>
                <w:sz w:val="24"/>
                <w:szCs w:val="24"/>
              </w:rPr>
              <w:t> </w:t>
            </w:r>
            <w:r w:rsidR="00591FC9" w:rsidRPr="00286395">
              <w:rPr>
                <w:rFonts w:ascii="Times New Roman" w:hAnsi="Times New Roman"/>
                <w:bCs/>
                <w:iCs/>
                <w:sz w:val="24"/>
                <w:szCs w:val="24"/>
              </w:rPr>
              <w:t>konkurenceschopnost ČR</w:t>
            </w:r>
            <w:r w:rsidR="007325FD">
              <w:rPr>
                <w:rFonts w:ascii="Times New Roman" w:hAnsi="Times New Roman"/>
                <w:bCs/>
                <w:iCs/>
                <w:sz w:val="24"/>
                <w:szCs w:val="24"/>
              </w:rPr>
              <w:t>,</w:t>
            </w:r>
            <w:r w:rsidRPr="00286395">
              <w:rPr>
                <w:rFonts w:ascii="Times New Roman" w:hAnsi="Times New Roman"/>
                <w:bCs/>
                <w:iCs/>
                <w:sz w:val="24"/>
                <w:szCs w:val="24"/>
              </w:rPr>
              <w:t xml:space="preserve"> dopad na</w:t>
            </w:r>
            <w:r w:rsidR="00F47C25">
              <w:rPr>
                <w:rFonts w:ascii="Times New Roman" w:hAnsi="Times New Roman"/>
                <w:bCs/>
                <w:iCs/>
                <w:sz w:val="24"/>
                <w:szCs w:val="24"/>
              </w:rPr>
              <w:t> </w:t>
            </w:r>
            <w:r w:rsidRPr="00286395">
              <w:rPr>
                <w:rFonts w:ascii="Times New Roman" w:hAnsi="Times New Roman"/>
                <w:bCs/>
                <w:iCs/>
                <w:sz w:val="24"/>
                <w:szCs w:val="24"/>
              </w:rPr>
              <w:t>konkurenceschopnost exportní pojišťovny a exportní banky spočívající v</w:t>
            </w:r>
            <w:r w:rsidR="00F47C25">
              <w:rPr>
                <w:rFonts w:ascii="Times New Roman" w:hAnsi="Times New Roman"/>
                <w:bCs/>
                <w:iCs/>
                <w:sz w:val="24"/>
                <w:szCs w:val="24"/>
              </w:rPr>
              <w:t> </w:t>
            </w:r>
            <w:r w:rsidRPr="00286395">
              <w:rPr>
                <w:rFonts w:ascii="Times New Roman" w:hAnsi="Times New Roman"/>
                <w:bCs/>
                <w:iCs/>
                <w:sz w:val="24"/>
                <w:szCs w:val="24"/>
              </w:rPr>
              <w:t>ne</w:t>
            </w:r>
            <w:r w:rsidRPr="00286395">
              <w:rPr>
                <w:rFonts w:ascii="Times New Roman" w:hAnsi="Times New Roman"/>
                <w:sz w:val="24"/>
                <w:szCs w:val="24"/>
              </w:rPr>
              <w:t>možnosti flexibilní reakce na aktuální potřeby trhu</w:t>
            </w:r>
          </w:p>
        </w:tc>
      </w:tr>
      <w:tr w:rsidR="008B631B" w:rsidRPr="00286395" w14:paraId="32CE8D22" w14:textId="77777777" w:rsidTr="008B631B">
        <w:tc>
          <w:tcPr>
            <w:tcW w:w="4384" w:type="dxa"/>
          </w:tcPr>
          <w:p w14:paraId="0A1A4546" w14:textId="77777777" w:rsidR="008B631B" w:rsidRPr="00286395" w:rsidRDefault="008B631B" w:rsidP="00182552">
            <w:pPr>
              <w:tabs>
                <w:tab w:val="left" w:pos="6660"/>
              </w:tabs>
              <w:spacing w:after="120" w:line="300" w:lineRule="exact"/>
              <w:jc w:val="both"/>
              <w:rPr>
                <w:rFonts w:ascii="Times New Roman" w:hAnsi="Times New Roman"/>
                <w:bCs/>
                <w:iCs/>
                <w:sz w:val="24"/>
                <w:szCs w:val="24"/>
              </w:rPr>
            </w:pPr>
            <w:r w:rsidRPr="00286395">
              <w:rPr>
                <w:rFonts w:ascii="Times New Roman" w:hAnsi="Times New Roman"/>
                <w:sz w:val="24"/>
                <w:szCs w:val="24"/>
              </w:rPr>
              <w:t xml:space="preserve">Vedení </w:t>
            </w:r>
            <w:r w:rsidR="00182552" w:rsidRPr="004D2804">
              <w:rPr>
                <w:rFonts w:ascii="Times New Roman" w:hAnsi="Times New Roman"/>
                <w:sz w:val="24"/>
                <w:szCs w:val="24"/>
              </w:rPr>
              <w:t>peněžní</w:t>
            </w:r>
            <w:r w:rsidRPr="00286395">
              <w:rPr>
                <w:rFonts w:ascii="Times New Roman" w:hAnsi="Times New Roman"/>
                <w:sz w:val="24"/>
                <w:szCs w:val="24"/>
              </w:rPr>
              <w:t xml:space="preserve">ch prostředků exportní pojišťovny a exportní banky poskytnutých ze státního rozpočtu na účtech </w:t>
            </w:r>
            <w:r w:rsidR="00A825CE" w:rsidRPr="00286395">
              <w:rPr>
                <w:rFonts w:ascii="Times New Roman" w:hAnsi="Times New Roman"/>
                <w:sz w:val="24"/>
                <w:szCs w:val="24"/>
              </w:rPr>
              <w:t>u jiných komerčních peněžních ústavů</w:t>
            </w:r>
          </w:p>
        </w:tc>
        <w:tc>
          <w:tcPr>
            <w:tcW w:w="4318" w:type="dxa"/>
          </w:tcPr>
          <w:p w14:paraId="2CE04547" w14:textId="77777777" w:rsidR="008B631B" w:rsidRPr="00286395" w:rsidRDefault="00470A0E" w:rsidP="006D1DD6">
            <w:pPr>
              <w:tabs>
                <w:tab w:val="left" w:pos="6660"/>
              </w:tabs>
              <w:spacing w:after="120" w:line="300" w:lineRule="exact"/>
              <w:jc w:val="both"/>
              <w:rPr>
                <w:rFonts w:ascii="Times New Roman" w:hAnsi="Times New Roman"/>
                <w:bCs/>
                <w:iCs/>
                <w:sz w:val="24"/>
                <w:szCs w:val="24"/>
              </w:rPr>
            </w:pPr>
            <w:r w:rsidRPr="00286395">
              <w:rPr>
                <w:rFonts w:ascii="Times New Roman" w:hAnsi="Times New Roman"/>
                <w:bCs/>
                <w:iCs/>
                <w:sz w:val="24"/>
                <w:szCs w:val="24"/>
              </w:rPr>
              <w:t xml:space="preserve">Věcné ekonomické riziko – ztráty prostředků ze státního rozpočtu </w:t>
            </w:r>
            <w:r w:rsidR="007D6516" w:rsidRPr="00286395">
              <w:rPr>
                <w:rFonts w:ascii="Times New Roman" w:hAnsi="Times New Roman"/>
                <w:bCs/>
                <w:iCs/>
                <w:sz w:val="24"/>
                <w:szCs w:val="24"/>
              </w:rPr>
              <w:t>z titulu nemožnosti nakládat s těmito prostředky v rámci řízení likvidity státní pokladny</w:t>
            </w:r>
          </w:p>
        </w:tc>
      </w:tr>
      <w:tr w:rsidR="008B631B" w:rsidRPr="00286395" w14:paraId="193450B6" w14:textId="77777777" w:rsidTr="008B631B">
        <w:tc>
          <w:tcPr>
            <w:tcW w:w="4384" w:type="dxa"/>
          </w:tcPr>
          <w:p w14:paraId="3909311C" w14:textId="2FBE4631" w:rsidR="008B631B" w:rsidRPr="00286395" w:rsidRDefault="009A0697" w:rsidP="006D1DD6">
            <w:pPr>
              <w:spacing w:after="120" w:line="300" w:lineRule="exact"/>
              <w:jc w:val="both"/>
              <w:rPr>
                <w:rFonts w:ascii="Times New Roman" w:hAnsi="Times New Roman"/>
                <w:bCs/>
                <w:iCs/>
                <w:sz w:val="24"/>
                <w:szCs w:val="24"/>
              </w:rPr>
            </w:pPr>
            <w:r w:rsidRPr="00286395">
              <w:rPr>
                <w:rFonts w:ascii="Times New Roman" w:hAnsi="Times New Roman"/>
                <w:sz w:val="24"/>
                <w:szCs w:val="24"/>
              </w:rPr>
              <w:t>Omezené možnosti</w:t>
            </w:r>
            <w:r w:rsidR="008B631B" w:rsidRPr="00286395">
              <w:rPr>
                <w:rFonts w:ascii="Times New Roman" w:hAnsi="Times New Roman"/>
                <w:sz w:val="24"/>
                <w:szCs w:val="24"/>
              </w:rPr>
              <w:t xml:space="preserve"> </w:t>
            </w:r>
            <w:r w:rsidR="00502229" w:rsidRPr="00502229">
              <w:rPr>
                <w:rFonts w:ascii="Times New Roman" w:hAnsi="Times New Roman"/>
                <w:bCs/>
                <w:sz w:val="24"/>
                <w:szCs w:val="24"/>
              </w:rPr>
              <w:t xml:space="preserve">zakládání právnických osob a </w:t>
            </w:r>
            <w:r w:rsidR="008B631B" w:rsidRPr="00286395">
              <w:rPr>
                <w:rFonts w:ascii="Times New Roman" w:hAnsi="Times New Roman"/>
                <w:sz w:val="24"/>
                <w:szCs w:val="24"/>
              </w:rPr>
              <w:t>nabývání podílů v právnických osobách exportní pojišťovnou a exportní bankou</w:t>
            </w:r>
          </w:p>
        </w:tc>
        <w:tc>
          <w:tcPr>
            <w:tcW w:w="4318" w:type="dxa"/>
          </w:tcPr>
          <w:p w14:paraId="30ADDE42" w14:textId="7E2D09A1" w:rsidR="00F64A64" w:rsidRPr="00286395" w:rsidRDefault="00F64A64" w:rsidP="00BA027E">
            <w:pPr>
              <w:tabs>
                <w:tab w:val="left" w:pos="6660"/>
              </w:tabs>
              <w:spacing w:after="120" w:line="300" w:lineRule="exact"/>
              <w:jc w:val="both"/>
              <w:rPr>
                <w:rFonts w:ascii="Times New Roman" w:hAnsi="Times New Roman"/>
                <w:bCs/>
                <w:iCs/>
                <w:sz w:val="24"/>
                <w:szCs w:val="24"/>
              </w:rPr>
            </w:pPr>
            <w:r w:rsidRPr="00286395">
              <w:rPr>
                <w:rFonts w:ascii="Times New Roman" w:hAnsi="Times New Roman"/>
                <w:bCs/>
                <w:iCs/>
                <w:sz w:val="24"/>
                <w:szCs w:val="24"/>
              </w:rPr>
              <w:t>Věcné e</w:t>
            </w:r>
            <w:r w:rsidR="00F75A2E" w:rsidRPr="00286395">
              <w:rPr>
                <w:rFonts w:ascii="Times New Roman" w:hAnsi="Times New Roman"/>
                <w:bCs/>
                <w:iCs/>
                <w:sz w:val="24"/>
                <w:szCs w:val="24"/>
              </w:rPr>
              <w:t xml:space="preserve">konomické riziko plynoucí z omezené možnosti </w:t>
            </w:r>
            <w:r w:rsidR="00F75A2E" w:rsidRPr="00286395">
              <w:rPr>
                <w:rFonts w:ascii="Times New Roman" w:hAnsi="Times New Roman"/>
                <w:sz w:val="24"/>
                <w:szCs w:val="24"/>
              </w:rPr>
              <w:t>exportní pojišťovny a</w:t>
            </w:r>
            <w:r w:rsidR="00F47C25">
              <w:rPr>
                <w:rFonts w:ascii="Times New Roman" w:hAnsi="Times New Roman"/>
                <w:sz w:val="24"/>
                <w:szCs w:val="24"/>
              </w:rPr>
              <w:t> </w:t>
            </w:r>
            <w:r w:rsidR="00F75A2E" w:rsidRPr="00286395">
              <w:rPr>
                <w:rFonts w:ascii="Times New Roman" w:hAnsi="Times New Roman"/>
                <w:sz w:val="24"/>
                <w:szCs w:val="24"/>
              </w:rPr>
              <w:t xml:space="preserve">exportní banky </w:t>
            </w:r>
            <w:r w:rsidR="000F38ED">
              <w:rPr>
                <w:rFonts w:ascii="Times New Roman" w:hAnsi="Times New Roman"/>
                <w:bCs/>
                <w:iCs/>
                <w:sz w:val="24"/>
                <w:szCs w:val="24"/>
              </w:rPr>
              <w:t>zakládat právnické osoby</w:t>
            </w:r>
            <w:r w:rsidR="000F38ED" w:rsidRPr="00286395">
              <w:rPr>
                <w:rFonts w:ascii="Times New Roman" w:hAnsi="Times New Roman"/>
                <w:sz w:val="24"/>
                <w:szCs w:val="24"/>
              </w:rPr>
              <w:t xml:space="preserve"> </w:t>
            </w:r>
            <w:r w:rsidR="000F38ED">
              <w:rPr>
                <w:rFonts w:ascii="Times New Roman" w:hAnsi="Times New Roman"/>
                <w:sz w:val="24"/>
                <w:szCs w:val="24"/>
              </w:rPr>
              <w:t xml:space="preserve">a </w:t>
            </w:r>
            <w:r w:rsidR="00F75A2E" w:rsidRPr="00286395">
              <w:rPr>
                <w:rFonts w:ascii="Times New Roman" w:hAnsi="Times New Roman"/>
                <w:sz w:val="24"/>
                <w:szCs w:val="24"/>
              </w:rPr>
              <w:t>nabývat podíly v právnických osobách</w:t>
            </w:r>
            <w:r w:rsidR="00F3533D" w:rsidRPr="00286395">
              <w:rPr>
                <w:rFonts w:ascii="Times New Roman" w:hAnsi="Times New Roman"/>
                <w:sz w:val="24"/>
                <w:szCs w:val="24"/>
              </w:rPr>
              <w:t xml:space="preserve">, ačkoli by to v konkrétních situacích napomohlo </w:t>
            </w:r>
            <w:r w:rsidR="00F75A2E" w:rsidRPr="00286395">
              <w:rPr>
                <w:rFonts w:ascii="Times New Roman" w:hAnsi="Times New Roman"/>
                <w:sz w:val="24"/>
                <w:szCs w:val="24"/>
              </w:rPr>
              <w:t>vymáhání pohledávek nebo předcházení škod</w:t>
            </w:r>
          </w:p>
        </w:tc>
      </w:tr>
      <w:tr w:rsidR="008B631B" w:rsidRPr="00286395" w14:paraId="0A6D92FB" w14:textId="77777777" w:rsidTr="008B631B">
        <w:tc>
          <w:tcPr>
            <w:tcW w:w="4384" w:type="dxa"/>
          </w:tcPr>
          <w:p w14:paraId="07091B94" w14:textId="77777777" w:rsidR="008B631B" w:rsidRPr="000420B9" w:rsidRDefault="008B631B" w:rsidP="00C00CDA">
            <w:pPr>
              <w:tabs>
                <w:tab w:val="left" w:pos="6660"/>
              </w:tabs>
              <w:spacing w:after="120" w:line="300" w:lineRule="exact"/>
              <w:jc w:val="both"/>
              <w:rPr>
                <w:rFonts w:ascii="Times New Roman" w:hAnsi="Times New Roman"/>
                <w:bCs/>
                <w:iCs/>
                <w:sz w:val="24"/>
                <w:szCs w:val="24"/>
              </w:rPr>
            </w:pPr>
            <w:r w:rsidRPr="000420B9">
              <w:rPr>
                <w:rFonts w:ascii="Times New Roman" w:hAnsi="Times New Roman"/>
                <w:sz w:val="24"/>
                <w:szCs w:val="24"/>
              </w:rPr>
              <w:t>N</w:t>
            </w:r>
            <w:r w:rsidR="00CC2482" w:rsidRPr="000420B9">
              <w:rPr>
                <w:rFonts w:ascii="Times New Roman" w:hAnsi="Times New Roman"/>
                <w:sz w:val="24"/>
                <w:szCs w:val="24"/>
              </w:rPr>
              <w:t>edostatečné n</w:t>
            </w:r>
            <w:r w:rsidRPr="000420B9">
              <w:rPr>
                <w:rFonts w:ascii="Times New Roman" w:hAnsi="Times New Roman"/>
                <w:sz w:val="24"/>
                <w:szCs w:val="24"/>
              </w:rPr>
              <w:t xml:space="preserve">astavení limitů pro schvalování </w:t>
            </w:r>
            <w:r w:rsidR="002B6C9A" w:rsidRPr="000420B9">
              <w:rPr>
                <w:rFonts w:ascii="Times New Roman" w:hAnsi="Times New Roman"/>
                <w:sz w:val="24"/>
                <w:szCs w:val="24"/>
              </w:rPr>
              <w:t>pojištění vý</w:t>
            </w:r>
            <w:r w:rsidR="002F151D" w:rsidRPr="000420B9">
              <w:rPr>
                <w:rFonts w:ascii="Times New Roman" w:hAnsi="Times New Roman"/>
                <w:sz w:val="24"/>
                <w:szCs w:val="24"/>
              </w:rPr>
              <w:t xml:space="preserve">vozních úvěrových rizik </w:t>
            </w:r>
            <w:r w:rsidR="002B6C9A" w:rsidRPr="000420B9">
              <w:rPr>
                <w:rFonts w:ascii="Times New Roman" w:hAnsi="Times New Roman"/>
                <w:sz w:val="24"/>
                <w:szCs w:val="24"/>
              </w:rPr>
              <w:t xml:space="preserve">vládou a žádné limity pro schvalování </w:t>
            </w:r>
            <w:r w:rsidR="00493FF7" w:rsidRPr="000420B9">
              <w:rPr>
                <w:rFonts w:ascii="Times New Roman" w:hAnsi="Times New Roman"/>
                <w:sz w:val="24"/>
                <w:szCs w:val="24"/>
              </w:rPr>
              <w:t xml:space="preserve">podpořených vývozních úvěrů </w:t>
            </w:r>
            <w:r w:rsidR="00B035E8" w:rsidRPr="000420B9">
              <w:rPr>
                <w:rFonts w:ascii="Times New Roman" w:hAnsi="Times New Roman"/>
                <w:sz w:val="24"/>
                <w:szCs w:val="24"/>
              </w:rPr>
              <w:t>vládou</w:t>
            </w:r>
            <w:r w:rsidR="000454BF" w:rsidRPr="000420B9">
              <w:rPr>
                <w:rFonts w:ascii="Times New Roman" w:hAnsi="Times New Roman"/>
                <w:sz w:val="24"/>
                <w:szCs w:val="24"/>
              </w:rPr>
              <w:t xml:space="preserve">. Největší část dotací, které byly na podporu exportu </w:t>
            </w:r>
            <w:r w:rsidR="00C00CDA" w:rsidRPr="000420B9">
              <w:rPr>
                <w:rFonts w:ascii="Times New Roman" w:hAnsi="Times New Roman"/>
                <w:sz w:val="24"/>
                <w:szCs w:val="24"/>
              </w:rPr>
              <w:t>ze státního rozpočtu</w:t>
            </w:r>
            <w:r w:rsidR="000454BF" w:rsidRPr="000420B9">
              <w:rPr>
                <w:rFonts w:ascii="Times New Roman" w:hAnsi="Times New Roman"/>
                <w:sz w:val="24"/>
                <w:szCs w:val="24"/>
              </w:rPr>
              <w:t xml:space="preserve"> vyplaceny</w:t>
            </w:r>
            <w:r w:rsidR="00C00CDA" w:rsidRPr="000420B9">
              <w:rPr>
                <w:rFonts w:ascii="Times New Roman" w:hAnsi="Times New Roman"/>
                <w:sz w:val="24"/>
                <w:szCs w:val="24"/>
              </w:rPr>
              <w:t>,</w:t>
            </w:r>
            <w:r w:rsidR="000454BF" w:rsidRPr="000420B9">
              <w:rPr>
                <w:rFonts w:ascii="Times New Roman" w:hAnsi="Times New Roman"/>
                <w:sz w:val="24"/>
                <w:szCs w:val="24"/>
              </w:rPr>
              <w:t xml:space="preserve"> se vztahovaly k</w:t>
            </w:r>
            <w:r w:rsidR="00C00CDA" w:rsidRPr="000420B9">
              <w:rPr>
                <w:rFonts w:ascii="Times New Roman" w:hAnsi="Times New Roman"/>
                <w:sz w:val="24"/>
                <w:szCs w:val="24"/>
              </w:rPr>
              <w:t> </w:t>
            </w:r>
            <w:r w:rsidR="000454BF" w:rsidRPr="000420B9">
              <w:rPr>
                <w:rFonts w:ascii="Times New Roman" w:hAnsi="Times New Roman"/>
                <w:sz w:val="24"/>
                <w:szCs w:val="24"/>
              </w:rPr>
              <w:t>největším</w:t>
            </w:r>
            <w:r w:rsidR="00C00CDA" w:rsidRPr="000420B9">
              <w:rPr>
                <w:rFonts w:ascii="Times New Roman" w:hAnsi="Times New Roman"/>
                <w:sz w:val="24"/>
                <w:szCs w:val="24"/>
              </w:rPr>
              <w:t xml:space="preserve"> sjednaným</w:t>
            </w:r>
            <w:r w:rsidR="000454BF" w:rsidRPr="000420B9">
              <w:rPr>
                <w:rFonts w:ascii="Times New Roman" w:hAnsi="Times New Roman"/>
                <w:sz w:val="24"/>
                <w:szCs w:val="24"/>
              </w:rPr>
              <w:t xml:space="preserve"> obchodním případům</w:t>
            </w:r>
            <w:r w:rsidR="00C00CDA" w:rsidRPr="000420B9">
              <w:rPr>
                <w:rFonts w:ascii="Times New Roman" w:hAnsi="Times New Roman"/>
                <w:sz w:val="24"/>
                <w:szCs w:val="24"/>
              </w:rPr>
              <w:t>, které se dostaly do defaultu</w:t>
            </w:r>
            <w:r w:rsidR="000454BF" w:rsidRPr="000420B9">
              <w:rPr>
                <w:rFonts w:ascii="Times New Roman" w:hAnsi="Times New Roman"/>
                <w:sz w:val="24"/>
                <w:szCs w:val="24"/>
              </w:rPr>
              <w:t>.</w:t>
            </w:r>
          </w:p>
        </w:tc>
        <w:tc>
          <w:tcPr>
            <w:tcW w:w="4318" w:type="dxa"/>
          </w:tcPr>
          <w:p w14:paraId="0373BEDB" w14:textId="2C96B2AF" w:rsidR="00B035E8" w:rsidRPr="000420B9" w:rsidRDefault="00CC2482" w:rsidP="003F4DFB">
            <w:pPr>
              <w:tabs>
                <w:tab w:val="left" w:pos="6660"/>
              </w:tabs>
              <w:spacing w:after="120" w:line="300" w:lineRule="exact"/>
              <w:jc w:val="both"/>
              <w:rPr>
                <w:rFonts w:ascii="Times New Roman" w:hAnsi="Times New Roman"/>
                <w:bCs/>
                <w:iCs/>
                <w:sz w:val="24"/>
                <w:szCs w:val="24"/>
              </w:rPr>
            </w:pPr>
            <w:r w:rsidRPr="000420B9">
              <w:rPr>
                <w:rFonts w:ascii="Times New Roman" w:hAnsi="Times New Roman"/>
                <w:bCs/>
                <w:iCs/>
                <w:sz w:val="24"/>
                <w:szCs w:val="24"/>
              </w:rPr>
              <w:t>Věcné ekonomické riziko plynoucí z</w:t>
            </w:r>
            <w:r w:rsidR="0011224F" w:rsidRPr="000420B9">
              <w:rPr>
                <w:rFonts w:ascii="Times New Roman" w:hAnsi="Times New Roman"/>
                <w:bCs/>
                <w:iCs/>
                <w:sz w:val="24"/>
                <w:szCs w:val="24"/>
              </w:rPr>
              <w:t xml:space="preserve"> dosavadního schvalování velkých expozic pouze na úrovni </w:t>
            </w:r>
            <w:r w:rsidR="0011224F" w:rsidRPr="000420B9">
              <w:rPr>
                <w:rFonts w:ascii="Times New Roman" w:hAnsi="Times New Roman"/>
                <w:sz w:val="24"/>
                <w:szCs w:val="24"/>
              </w:rPr>
              <w:t>exportní pojišťovny a exportní banky</w:t>
            </w:r>
            <w:r w:rsidR="0011224F" w:rsidRPr="000420B9">
              <w:rPr>
                <w:rFonts w:ascii="Times New Roman" w:hAnsi="Times New Roman"/>
                <w:bCs/>
                <w:iCs/>
                <w:sz w:val="24"/>
                <w:szCs w:val="24"/>
              </w:rPr>
              <w:t xml:space="preserve">, které se ukázalo jako </w:t>
            </w:r>
            <w:r w:rsidR="0011224F" w:rsidRPr="000420B9">
              <w:rPr>
                <w:rFonts w:ascii="Times New Roman" w:hAnsi="Times New Roman"/>
                <w:sz w:val="24"/>
                <w:szCs w:val="24"/>
              </w:rPr>
              <w:t>nedostačující a neúč</w:t>
            </w:r>
            <w:r w:rsidR="00F723CA" w:rsidRPr="000420B9">
              <w:rPr>
                <w:rFonts w:ascii="Times New Roman" w:hAnsi="Times New Roman"/>
                <w:sz w:val="24"/>
                <w:szCs w:val="24"/>
              </w:rPr>
              <w:t>inné</w:t>
            </w:r>
            <w:r w:rsidR="000454BF" w:rsidRPr="000420B9">
              <w:rPr>
                <w:rFonts w:ascii="Times New Roman" w:hAnsi="Times New Roman"/>
                <w:sz w:val="24"/>
                <w:szCs w:val="24"/>
              </w:rPr>
              <w:t xml:space="preserve"> a</w:t>
            </w:r>
            <w:r w:rsidR="003F4DFB">
              <w:rPr>
                <w:rFonts w:ascii="Times New Roman" w:hAnsi="Times New Roman"/>
                <w:sz w:val="24"/>
                <w:szCs w:val="24"/>
              </w:rPr>
              <w:t> </w:t>
            </w:r>
            <w:r w:rsidR="000454BF" w:rsidRPr="000420B9">
              <w:rPr>
                <w:rFonts w:ascii="Times New Roman" w:hAnsi="Times New Roman"/>
                <w:sz w:val="24"/>
                <w:szCs w:val="24"/>
              </w:rPr>
              <w:t xml:space="preserve">státní rozpočet byl tak vystaven riziku </w:t>
            </w:r>
            <w:r w:rsidR="00C00CDA" w:rsidRPr="000420B9">
              <w:rPr>
                <w:rFonts w:ascii="Times New Roman" w:hAnsi="Times New Roman"/>
                <w:sz w:val="24"/>
                <w:szCs w:val="24"/>
              </w:rPr>
              <w:t xml:space="preserve">výplaty dotací </w:t>
            </w:r>
            <w:r w:rsidR="007D2839" w:rsidRPr="000420B9">
              <w:rPr>
                <w:rFonts w:ascii="Times New Roman" w:hAnsi="Times New Roman"/>
                <w:sz w:val="24"/>
                <w:szCs w:val="24"/>
              </w:rPr>
              <w:t xml:space="preserve">neočekávaných a </w:t>
            </w:r>
            <w:r w:rsidR="00C00CDA" w:rsidRPr="000420B9">
              <w:rPr>
                <w:rFonts w:ascii="Times New Roman" w:hAnsi="Times New Roman"/>
                <w:sz w:val="24"/>
                <w:szCs w:val="24"/>
              </w:rPr>
              <w:t>neúměrně vysokých částek</w:t>
            </w:r>
            <w:r w:rsidR="000454BF" w:rsidRPr="000420B9">
              <w:rPr>
                <w:rFonts w:ascii="Times New Roman" w:hAnsi="Times New Roman"/>
                <w:sz w:val="24"/>
                <w:szCs w:val="24"/>
              </w:rPr>
              <w:t> peněžní</w:t>
            </w:r>
            <w:r w:rsidR="00C00CDA" w:rsidRPr="000420B9">
              <w:rPr>
                <w:rFonts w:ascii="Times New Roman" w:hAnsi="Times New Roman"/>
                <w:sz w:val="24"/>
                <w:szCs w:val="24"/>
              </w:rPr>
              <w:t>ch</w:t>
            </w:r>
            <w:r w:rsidR="000454BF" w:rsidRPr="000420B9">
              <w:rPr>
                <w:rFonts w:ascii="Times New Roman" w:hAnsi="Times New Roman"/>
                <w:sz w:val="24"/>
                <w:szCs w:val="24"/>
              </w:rPr>
              <w:t xml:space="preserve"> prostředk</w:t>
            </w:r>
            <w:r w:rsidR="00C00CDA" w:rsidRPr="000420B9">
              <w:rPr>
                <w:rFonts w:ascii="Times New Roman" w:hAnsi="Times New Roman"/>
                <w:sz w:val="24"/>
                <w:szCs w:val="24"/>
              </w:rPr>
              <w:t>ů</w:t>
            </w:r>
            <w:r w:rsidR="00F723CA" w:rsidRPr="000420B9">
              <w:rPr>
                <w:rFonts w:ascii="Times New Roman" w:hAnsi="Times New Roman"/>
                <w:sz w:val="24"/>
                <w:szCs w:val="24"/>
              </w:rPr>
              <w:t>. V</w:t>
            </w:r>
            <w:r w:rsidR="0011224F" w:rsidRPr="000420B9">
              <w:rPr>
                <w:rFonts w:ascii="Times New Roman" w:hAnsi="Times New Roman"/>
                <w:sz w:val="24"/>
                <w:szCs w:val="24"/>
              </w:rPr>
              <w:t> minulosti docházelo k</w:t>
            </w:r>
            <w:r w:rsidR="00F723CA" w:rsidRPr="000420B9">
              <w:rPr>
                <w:rFonts w:ascii="Times New Roman" w:hAnsi="Times New Roman"/>
                <w:sz w:val="24"/>
                <w:szCs w:val="24"/>
              </w:rPr>
              <w:t> </w:t>
            </w:r>
            <w:r w:rsidR="0011224F" w:rsidRPr="000420B9">
              <w:rPr>
                <w:rFonts w:ascii="Times New Roman" w:hAnsi="Times New Roman"/>
                <w:sz w:val="24"/>
                <w:szCs w:val="24"/>
              </w:rPr>
              <w:t>pojišťování</w:t>
            </w:r>
            <w:r w:rsidR="00F723CA" w:rsidRPr="000420B9">
              <w:rPr>
                <w:rFonts w:ascii="Times New Roman" w:hAnsi="Times New Roman"/>
                <w:sz w:val="24"/>
                <w:szCs w:val="24"/>
              </w:rPr>
              <w:t xml:space="preserve"> a</w:t>
            </w:r>
            <w:r w:rsidR="00F47C25" w:rsidRPr="000420B9">
              <w:rPr>
                <w:rFonts w:ascii="Times New Roman" w:hAnsi="Times New Roman"/>
                <w:sz w:val="24"/>
                <w:szCs w:val="24"/>
              </w:rPr>
              <w:t> </w:t>
            </w:r>
            <w:r w:rsidR="00F723CA" w:rsidRPr="000420B9">
              <w:rPr>
                <w:rFonts w:ascii="Times New Roman" w:hAnsi="Times New Roman"/>
                <w:sz w:val="24"/>
                <w:szCs w:val="24"/>
              </w:rPr>
              <w:t>financování rozsáhlých obchodních případů</w:t>
            </w:r>
            <w:r w:rsidR="0011224F" w:rsidRPr="000420B9">
              <w:rPr>
                <w:rFonts w:ascii="Times New Roman" w:hAnsi="Times New Roman"/>
                <w:sz w:val="24"/>
                <w:szCs w:val="24"/>
              </w:rPr>
              <w:t>, aniž by vláda měla dostatečnou kontrolu.</w:t>
            </w:r>
            <w:r w:rsidR="00F723CA" w:rsidRPr="000420B9">
              <w:rPr>
                <w:rFonts w:ascii="Times New Roman" w:hAnsi="Times New Roman"/>
                <w:sz w:val="24"/>
                <w:szCs w:val="24"/>
              </w:rPr>
              <w:t xml:space="preserve"> Dosavadní limity pojištění vývozních úvěrových rizik </w:t>
            </w:r>
            <w:r w:rsidR="00B035E8" w:rsidRPr="000420B9">
              <w:rPr>
                <w:rFonts w:ascii="Times New Roman" w:hAnsi="Times New Roman"/>
                <w:sz w:val="24"/>
                <w:szCs w:val="24"/>
              </w:rPr>
              <w:t>vázané na</w:t>
            </w:r>
            <w:r w:rsidR="00F47C25" w:rsidRPr="000420B9">
              <w:rPr>
                <w:rFonts w:ascii="Times New Roman" w:hAnsi="Times New Roman"/>
                <w:sz w:val="24"/>
                <w:szCs w:val="24"/>
              </w:rPr>
              <w:t> </w:t>
            </w:r>
            <w:r w:rsidR="00B035E8" w:rsidRPr="000420B9">
              <w:rPr>
                <w:rFonts w:ascii="Times New Roman" w:hAnsi="Times New Roman"/>
                <w:sz w:val="24"/>
                <w:szCs w:val="24"/>
              </w:rPr>
              <w:t xml:space="preserve">procenta pojistné kapacity se </w:t>
            </w:r>
            <w:r w:rsidR="000F6E46" w:rsidRPr="000420B9">
              <w:rPr>
                <w:rFonts w:ascii="Times New Roman" w:hAnsi="Times New Roman"/>
                <w:sz w:val="24"/>
                <w:szCs w:val="24"/>
              </w:rPr>
              <w:t>objemem zcela vymykají drtivé většině realizovaných obchodních případů.</w:t>
            </w:r>
          </w:p>
        </w:tc>
      </w:tr>
      <w:tr w:rsidR="008B631B" w:rsidRPr="00286395" w14:paraId="00F43046" w14:textId="77777777" w:rsidTr="008B631B">
        <w:tc>
          <w:tcPr>
            <w:tcW w:w="4384" w:type="dxa"/>
          </w:tcPr>
          <w:p w14:paraId="28AC5C3C" w14:textId="77777777" w:rsidR="008B631B" w:rsidRPr="00286395" w:rsidRDefault="009878FA" w:rsidP="00884FBB">
            <w:pPr>
              <w:tabs>
                <w:tab w:val="left" w:pos="6660"/>
              </w:tabs>
              <w:spacing w:after="120" w:line="300" w:lineRule="exact"/>
              <w:jc w:val="both"/>
              <w:rPr>
                <w:rFonts w:ascii="Times New Roman" w:hAnsi="Times New Roman"/>
                <w:bCs/>
                <w:iCs/>
                <w:sz w:val="24"/>
                <w:szCs w:val="24"/>
              </w:rPr>
            </w:pPr>
            <w:r w:rsidRPr="00286395">
              <w:rPr>
                <w:rFonts w:ascii="Times New Roman" w:hAnsi="Times New Roman"/>
                <w:sz w:val="24"/>
                <w:szCs w:val="24"/>
              </w:rPr>
              <w:t>Závazek státu poskytovat každoročně exportní bance finanční částku ve výši 250</w:t>
            </w:r>
            <w:r w:rsidR="00884FBB">
              <w:rPr>
                <w:rFonts w:ascii="Times New Roman" w:hAnsi="Times New Roman"/>
                <w:sz w:val="24"/>
                <w:szCs w:val="24"/>
              </w:rPr>
              <w:t> </w:t>
            </w:r>
            <w:r w:rsidRPr="00286395">
              <w:rPr>
                <w:rFonts w:ascii="Times New Roman" w:hAnsi="Times New Roman"/>
                <w:sz w:val="24"/>
                <w:szCs w:val="24"/>
              </w:rPr>
              <w:t>mil. Kč na dorovnávání úrokových rozdílů</w:t>
            </w:r>
          </w:p>
        </w:tc>
        <w:tc>
          <w:tcPr>
            <w:tcW w:w="4318" w:type="dxa"/>
          </w:tcPr>
          <w:p w14:paraId="775B3459" w14:textId="54BB9A88" w:rsidR="009878FA" w:rsidRPr="00286395" w:rsidRDefault="00EF1D8E" w:rsidP="00D46213">
            <w:pPr>
              <w:tabs>
                <w:tab w:val="left" w:pos="6660"/>
              </w:tabs>
              <w:spacing w:after="120" w:line="300" w:lineRule="exact"/>
              <w:jc w:val="both"/>
              <w:rPr>
                <w:rFonts w:ascii="Times New Roman" w:hAnsi="Times New Roman"/>
                <w:bCs/>
                <w:iCs/>
                <w:sz w:val="24"/>
                <w:szCs w:val="24"/>
              </w:rPr>
            </w:pPr>
            <w:r w:rsidRPr="00286395">
              <w:rPr>
                <w:rFonts w:ascii="Times New Roman" w:hAnsi="Times New Roman"/>
                <w:bCs/>
                <w:iCs/>
                <w:sz w:val="24"/>
                <w:szCs w:val="24"/>
              </w:rPr>
              <w:t xml:space="preserve">Žádné riziko. Vzhledem k tomu, že systém </w:t>
            </w:r>
            <w:r w:rsidRPr="00286395">
              <w:rPr>
                <w:rFonts w:ascii="Times New Roman" w:hAnsi="Times New Roman"/>
                <w:sz w:val="24"/>
                <w:szCs w:val="24"/>
              </w:rPr>
              <w:t>dorovnávání úrokových rozdílů</w:t>
            </w:r>
            <w:r w:rsidRPr="00286395">
              <w:rPr>
                <w:rFonts w:ascii="Times New Roman" w:hAnsi="Times New Roman"/>
                <w:bCs/>
                <w:iCs/>
                <w:sz w:val="24"/>
                <w:szCs w:val="24"/>
              </w:rPr>
              <w:t xml:space="preserve"> nebyl dosud uveden do praxe, </w:t>
            </w:r>
            <w:r w:rsidR="00F324D9" w:rsidRPr="00286395">
              <w:rPr>
                <w:rFonts w:ascii="Times New Roman" w:hAnsi="Times New Roman"/>
                <w:bCs/>
                <w:iCs/>
                <w:sz w:val="24"/>
                <w:szCs w:val="24"/>
              </w:rPr>
              <w:t>záloha exportní bance dosud nebyla M</w:t>
            </w:r>
            <w:r w:rsidR="00D46213">
              <w:rPr>
                <w:rFonts w:ascii="Times New Roman" w:hAnsi="Times New Roman"/>
                <w:bCs/>
                <w:iCs/>
                <w:sz w:val="24"/>
                <w:szCs w:val="24"/>
              </w:rPr>
              <w:t>F</w:t>
            </w:r>
            <w:r w:rsidR="00F324D9" w:rsidRPr="00286395">
              <w:rPr>
                <w:rFonts w:ascii="Times New Roman" w:hAnsi="Times New Roman"/>
                <w:bCs/>
                <w:iCs/>
                <w:sz w:val="24"/>
                <w:szCs w:val="24"/>
              </w:rPr>
              <w:t xml:space="preserve"> poskytnuta, ačkoli je částka v souladu se</w:t>
            </w:r>
            <w:r w:rsidR="00884FBB">
              <w:rPr>
                <w:rFonts w:ascii="Times New Roman" w:hAnsi="Times New Roman"/>
                <w:bCs/>
                <w:iCs/>
                <w:sz w:val="24"/>
                <w:szCs w:val="24"/>
              </w:rPr>
              <w:t> </w:t>
            </w:r>
            <w:r w:rsidR="00F324D9" w:rsidRPr="00286395">
              <w:rPr>
                <w:rFonts w:ascii="Times New Roman" w:hAnsi="Times New Roman"/>
                <w:bCs/>
                <w:iCs/>
                <w:sz w:val="24"/>
                <w:szCs w:val="24"/>
              </w:rPr>
              <w:t xml:space="preserve">zákonem </w:t>
            </w:r>
            <w:r w:rsidR="00CC3334" w:rsidRPr="0073392D">
              <w:rPr>
                <w:rFonts w:ascii="Times New Roman" w:hAnsi="Times New Roman"/>
                <w:sz w:val="24"/>
                <w:szCs w:val="24"/>
              </w:rPr>
              <w:t>č.</w:t>
            </w:r>
            <w:r w:rsidR="00D84C8F">
              <w:rPr>
                <w:rFonts w:ascii="Times New Roman" w:hAnsi="Times New Roman"/>
                <w:sz w:val="24"/>
                <w:szCs w:val="24"/>
              </w:rPr>
              <w:t> </w:t>
            </w:r>
            <w:r w:rsidR="00CC3334" w:rsidRPr="0073392D">
              <w:rPr>
                <w:rFonts w:ascii="Times New Roman" w:hAnsi="Times New Roman"/>
                <w:sz w:val="24"/>
                <w:szCs w:val="24"/>
              </w:rPr>
              <w:t>58/1995 Sb.</w:t>
            </w:r>
            <w:r w:rsidR="00CC3334">
              <w:rPr>
                <w:rFonts w:ascii="Times New Roman" w:hAnsi="Times New Roman"/>
                <w:sz w:val="24"/>
                <w:szCs w:val="24"/>
              </w:rPr>
              <w:t xml:space="preserve"> </w:t>
            </w:r>
            <w:r w:rsidR="00F324D9" w:rsidRPr="00286395">
              <w:rPr>
                <w:rFonts w:ascii="Times New Roman" w:hAnsi="Times New Roman"/>
                <w:bCs/>
                <w:iCs/>
                <w:sz w:val="24"/>
                <w:szCs w:val="24"/>
              </w:rPr>
              <w:t>každoročně vyčleněna ve státním rozpočtu.</w:t>
            </w:r>
          </w:p>
        </w:tc>
      </w:tr>
      <w:tr w:rsidR="008B631B" w:rsidRPr="00286395" w14:paraId="6C4E5BC7" w14:textId="77777777" w:rsidTr="008B631B">
        <w:tc>
          <w:tcPr>
            <w:tcW w:w="4384" w:type="dxa"/>
          </w:tcPr>
          <w:p w14:paraId="32EC9D4F" w14:textId="3654B415" w:rsidR="008B631B" w:rsidRPr="00286395" w:rsidRDefault="00887B98" w:rsidP="00D46213">
            <w:pPr>
              <w:tabs>
                <w:tab w:val="left" w:pos="6660"/>
              </w:tabs>
              <w:spacing w:after="120" w:line="300" w:lineRule="exact"/>
              <w:jc w:val="both"/>
              <w:rPr>
                <w:rFonts w:ascii="Times New Roman" w:hAnsi="Times New Roman"/>
                <w:bCs/>
                <w:iCs/>
                <w:sz w:val="24"/>
                <w:szCs w:val="24"/>
              </w:rPr>
            </w:pPr>
            <w:r w:rsidRPr="00286395">
              <w:rPr>
                <w:rFonts w:ascii="Times New Roman" w:hAnsi="Times New Roman"/>
                <w:sz w:val="24"/>
                <w:szCs w:val="24"/>
              </w:rPr>
              <w:t>Nedostatečně specifikované</w:t>
            </w:r>
            <w:r w:rsidR="008B631B" w:rsidRPr="00286395">
              <w:rPr>
                <w:rFonts w:ascii="Times New Roman" w:hAnsi="Times New Roman"/>
                <w:sz w:val="24"/>
                <w:szCs w:val="24"/>
              </w:rPr>
              <w:t xml:space="preserve"> kontrolní pravomoci M</w:t>
            </w:r>
            <w:r w:rsidR="00D46213">
              <w:rPr>
                <w:rFonts w:ascii="Times New Roman" w:hAnsi="Times New Roman"/>
                <w:sz w:val="24"/>
                <w:szCs w:val="24"/>
              </w:rPr>
              <w:t>F</w:t>
            </w:r>
            <w:r w:rsidR="008B631B" w:rsidRPr="00286395">
              <w:rPr>
                <w:rFonts w:ascii="Times New Roman" w:hAnsi="Times New Roman"/>
                <w:sz w:val="24"/>
                <w:szCs w:val="24"/>
              </w:rPr>
              <w:t xml:space="preserve"> vůči exportní pojišťovně</w:t>
            </w:r>
          </w:p>
        </w:tc>
        <w:tc>
          <w:tcPr>
            <w:tcW w:w="4318" w:type="dxa"/>
          </w:tcPr>
          <w:p w14:paraId="3A5BBC2A" w14:textId="77777777" w:rsidR="008B631B" w:rsidRPr="00286395" w:rsidRDefault="00887B98" w:rsidP="00B87AAF">
            <w:pPr>
              <w:tabs>
                <w:tab w:val="left" w:pos="6660"/>
              </w:tabs>
              <w:spacing w:after="120" w:line="300" w:lineRule="exact"/>
              <w:jc w:val="both"/>
              <w:rPr>
                <w:rFonts w:ascii="Times New Roman" w:hAnsi="Times New Roman"/>
                <w:bCs/>
                <w:iCs/>
                <w:sz w:val="24"/>
                <w:szCs w:val="24"/>
              </w:rPr>
            </w:pPr>
            <w:r w:rsidRPr="00286395">
              <w:rPr>
                <w:rFonts w:ascii="Times New Roman" w:hAnsi="Times New Roman"/>
                <w:bCs/>
                <w:iCs/>
                <w:sz w:val="24"/>
                <w:szCs w:val="24"/>
              </w:rPr>
              <w:t>Právní</w:t>
            </w:r>
            <w:r w:rsidR="001C0727" w:rsidRPr="00286395">
              <w:rPr>
                <w:rFonts w:ascii="Times New Roman" w:hAnsi="Times New Roman"/>
                <w:bCs/>
                <w:iCs/>
                <w:sz w:val="24"/>
                <w:szCs w:val="24"/>
              </w:rPr>
              <w:t xml:space="preserve"> riziko vyplývající z absence explicitního ustanovení </w:t>
            </w:r>
            <w:r w:rsidR="003A4FE0" w:rsidRPr="00286395">
              <w:rPr>
                <w:rFonts w:ascii="Times New Roman" w:hAnsi="Times New Roman"/>
                <w:bCs/>
                <w:iCs/>
                <w:sz w:val="24"/>
                <w:szCs w:val="24"/>
              </w:rPr>
              <w:t>o kontrole poskytovaných dotací. U poskytování dotací exportní pojišťovně je doposud kontrola vykonávána</w:t>
            </w:r>
            <w:r w:rsidR="009F6441">
              <w:rPr>
                <w:rFonts w:ascii="Times New Roman" w:hAnsi="Times New Roman"/>
                <w:bCs/>
                <w:iCs/>
                <w:sz w:val="24"/>
                <w:szCs w:val="24"/>
              </w:rPr>
              <w:t xml:space="preserve"> v rámci role poskytovatele dotace</w:t>
            </w:r>
            <w:r w:rsidR="003A4FE0" w:rsidRPr="00286395">
              <w:rPr>
                <w:rFonts w:ascii="Times New Roman" w:hAnsi="Times New Roman"/>
                <w:bCs/>
                <w:iCs/>
                <w:sz w:val="24"/>
                <w:szCs w:val="24"/>
              </w:rPr>
              <w:t xml:space="preserve"> jen</w:t>
            </w:r>
            <w:r w:rsidR="005F7371" w:rsidRPr="00286395">
              <w:rPr>
                <w:rFonts w:ascii="Times New Roman" w:hAnsi="Times New Roman"/>
                <w:bCs/>
                <w:iCs/>
                <w:sz w:val="24"/>
                <w:szCs w:val="24"/>
              </w:rPr>
              <w:t xml:space="preserve"> na</w:t>
            </w:r>
            <w:r w:rsidR="003A4FE0" w:rsidRPr="00286395">
              <w:rPr>
                <w:rFonts w:ascii="Times New Roman" w:hAnsi="Times New Roman"/>
                <w:bCs/>
                <w:iCs/>
                <w:sz w:val="24"/>
                <w:szCs w:val="24"/>
              </w:rPr>
              <w:t xml:space="preserve"> základě pravidel pro poskytování dotace a zákona o finanční kontrole</w:t>
            </w:r>
            <w:r w:rsidR="005F7371" w:rsidRPr="00286395">
              <w:rPr>
                <w:rFonts w:ascii="Times New Roman" w:hAnsi="Times New Roman"/>
                <w:bCs/>
                <w:iCs/>
                <w:sz w:val="24"/>
                <w:szCs w:val="24"/>
              </w:rPr>
              <w:t>.</w:t>
            </w:r>
          </w:p>
        </w:tc>
      </w:tr>
    </w:tbl>
    <w:p w14:paraId="1523D296" w14:textId="77777777" w:rsidR="00AE5108" w:rsidRDefault="00B53E45" w:rsidP="00556B61">
      <w:pPr>
        <w:spacing w:before="120" w:after="120"/>
        <w:ind w:left="357"/>
        <w:jc w:val="both"/>
        <w:rPr>
          <w:rFonts w:ascii="Times New Roman" w:hAnsi="Times New Roman"/>
          <w:sz w:val="24"/>
          <w:szCs w:val="24"/>
        </w:rPr>
      </w:pPr>
      <w:r>
        <w:rPr>
          <w:rFonts w:ascii="Times New Roman" w:hAnsi="Times New Roman"/>
          <w:sz w:val="24"/>
          <w:szCs w:val="24"/>
        </w:rPr>
        <w:t>J</w:t>
      </w:r>
      <w:r w:rsidR="00AE5108">
        <w:rPr>
          <w:rFonts w:ascii="Times New Roman" w:hAnsi="Times New Roman"/>
          <w:sz w:val="24"/>
          <w:szCs w:val="24"/>
        </w:rPr>
        <w:t xml:space="preserve">e nabíledni, že ani navrhované změny nejsou bez věcných a právních rizik. </w:t>
      </w:r>
      <w:r w:rsidR="007F65E6">
        <w:rPr>
          <w:rFonts w:ascii="Times New Roman" w:hAnsi="Times New Roman"/>
          <w:sz w:val="24"/>
          <w:szCs w:val="24"/>
        </w:rPr>
        <w:t>T</w:t>
      </w:r>
      <w:r w:rsidR="00AE5108">
        <w:rPr>
          <w:rFonts w:ascii="Times New Roman" w:hAnsi="Times New Roman"/>
          <w:sz w:val="24"/>
          <w:szCs w:val="24"/>
        </w:rPr>
        <w:t>abulka č.</w:t>
      </w:r>
      <w:r w:rsidR="00884FBB">
        <w:rPr>
          <w:rFonts w:ascii="Times New Roman" w:hAnsi="Times New Roman"/>
          <w:sz w:val="24"/>
          <w:szCs w:val="24"/>
        </w:rPr>
        <w:t> </w:t>
      </w:r>
      <w:r w:rsidR="00AE5108">
        <w:rPr>
          <w:rFonts w:ascii="Times New Roman" w:hAnsi="Times New Roman"/>
          <w:sz w:val="24"/>
          <w:szCs w:val="24"/>
        </w:rPr>
        <w:t>3</w:t>
      </w:r>
      <w:r w:rsidR="00884FBB">
        <w:rPr>
          <w:rFonts w:ascii="Times New Roman" w:hAnsi="Times New Roman"/>
          <w:sz w:val="24"/>
          <w:szCs w:val="24"/>
        </w:rPr>
        <w:t> </w:t>
      </w:r>
      <w:r w:rsidR="007F65E6">
        <w:rPr>
          <w:rFonts w:ascii="Times New Roman" w:hAnsi="Times New Roman"/>
          <w:sz w:val="24"/>
          <w:szCs w:val="24"/>
        </w:rPr>
        <w:t xml:space="preserve">popisuje </w:t>
      </w:r>
      <w:r w:rsidR="00AE5108">
        <w:rPr>
          <w:rFonts w:ascii="Times New Roman" w:hAnsi="Times New Roman"/>
          <w:sz w:val="24"/>
          <w:szCs w:val="24"/>
        </w:rPr>
        <w:t>oblast</w:t>
      </w:r>
      <w:r w:rsidR="007F65E6">
        <w:rPr>
          <w:rFonts w:ascii="Times New Roman" w:hAnsi="Times New Roman"/>
          <w:sz w:val="24"/>
          <w:szCs w:val="24"/>
        </w:rPr>
        <w:t>i a převažujíc</w:t>
      </w:r>
      <w:r w:rsidR="00AE5108">
        <w:rPr>
          <w:rFonts w:ascii="Times New Roman" w:hAnsi="Times New Roman"/>
          <w:sz w:val="24"/>
          <w:szCs w:val="24"/>
        </w:rPr>
        <w:t>í</w:t>
      </w:r>
      <w:r w:rsidR="007F65E6">
        <w:rPr>
          <w:rFonts w:ascii="Times New Roman" w:hAnsi="Times New Roman"/>
          <w:sz w:val="24"/>
          <w:szCs w:val="24"/>
        </w:rPr>
        <w:t xml:space="preserve"> typy</w:t>
      </w:r>
      <w:r w:rsidR="00AE5108">
        <w:rPr>
          <w:rFonts w:ascii="Times New Roman" w:hAnsi="Times New Roman"/>
          <w:sz w:val="24"/>
          <w:szCs w:val="24"/>
        </w:rPr>
        <w:t xml:space="preserve"> rizika</w:t>
      </w:r>
      <w:r w:rsidR="007F65E6">
        <w:rPr>
          <w:rFonts w:ascii="Times New Roman" w:hAnsi="Times New Roman"/>
          <w:sz w:val="24"/>
          <w:szCs w:val="24"/>
        </w:rPr>
        <w:t xml:space="preserve"> spojené s realizací</w:t>
      </w:r>
      <w:r w:rsidR="00AE5108">
        <w:rPr>
          <w:rFonts w:ascii="Times New Roman" w:hAnsi="Times New Roman"/>
          <w:sz w:val="24"/>
          <w:szCs w:val="24"/>
        </w:rPr>
        <w:t xml:space="preserve"> navržených změn.</w:t>
      </w:r>
    </w:p>
    <w:p w14:paraId="1A52908C" w14:textId="77777777" w:rsidR="007359C4" w:rsidRPr="00286395" w:rsidRDefault="007359C4" w:rsidP="00EB147E">
      <w:pPr>
        <w:spacing w:before="120" w:after="120"/>
        <w:ind w:firstLine="360"/>
        <w:rPr>
          <w:rFonts w:ascii="Times New Roman" w:hAnsi="Times New Roman"/>
          <w:i/>
          <w:sz w:val="24"/>
          <w:szCs w:val="24"/>
        </w:rPr>
      </w:pPr>
      <w:r w:rsidRPr="00286395">
        <w:rPr>
          <w:rFonts w:ascii="Times New Roman" w:hAnsi="Times New Roman"/>
          <w:i/>
          <w:sz w:val="24"/>
          <w:szCs w:val="24"/>
        </w:rPr>
        <w:t>Tabulka č.</w:t>
      </w:r>
      <w:r w:rsidR="00D84C8F">
        <w:rPr>
          <w:rFonts w:ascii="Times New Roman" w:hAnsi="Times New Roman"/>
          <w:i/>
          <w:sz w:val="24"/>
          <w:szCs w:val="24"/>
        </w:rPr>
        <w:t> </w:t>
      </w:r>
      <w:r w:rsidRPr="00286395">
        <w:rPr>
          <w:rFonts w:ascii="Times New Roman" w:hAnsi="Times New Roman"/>
          <w:i/>
          <w:sz w:val="24"/>
          <w:szCs w:val="24"/>
        </w:rPr>
        <w:t>3</w:t>
      </w:r>
    </w:p>
    <w:tbl>
      <w:tblPr>
        <w:tblStyle w:val="Mkatabulky"/>
        <w:tblW w:w="0" w:type="auto"/>
        <w:tblInd w:w="360" w:type="dxa"/>
        <w:tblLook w:val="04A0" w:firstRow="1" w:lastRow="0" w:firstColumn="1" w:lastColumn="0" w:noHBand="0" w:noVBand="1"/>
      </w:tblPr>
      <w:tblGrid>
        <w:gridCol w:w="4384"/>
        <w:gridCol w:w="4318"/>
      </w:tblGrid>
      <w:tr w:rsidR="007359C4" w:rsidRPr="00286395" w14:paraId="02B21608" w14:textId="77777777" w:rsidTr="00386D94">
        <w:tc>
          <w:tcPr>
            <w:tcW w:w="4384" w:type="dxa"/>
          </w:tcPr>
          <w:p w14:paraId="6C800C58" w14:textId="77777777" w:rsidR="007359C4" w:rsidRPr="00286395" w:rsidRDefault="007359C4" w:rsidP="00EB147E">
            <w:pPr>
              <w:tabs>
                <w:tab w:val="left" w:pos="6660"/>
              </w:tabs>
              <w:spacing w:before="120" w:after="120"/>
              <w:rPr>
                <w:rFonts w:ascii="Times New Roman" w:hAnsi="Times New Roman"/>
                <w:b/>
                <w:bCs/>
                <w:iCs/>
                <w:sz w:val="24"/>
                <w:szCs w:val="24"/>
              </w:rPr>
            </w:pPr>
            <w:r w:rsidRPr="00286395">
              <w:rPr>
                <w:rFonts w:ascii="Times New Roman" w:hAnsi="Times New Roman"/>
                <w:b/>
                <w:bCs/>
                <w:iCs/>
                <w:sz w:val="24"/>
                <w:szCs w:val="24"/>
              </w:rPr>
              <w:t xml:space="preserve">Oblast rizika </w:t>
            </w:r>
            <w:r w:rsidR="00985D2C" w:rsidRPr="00286395">
              <w:rPr>
                <w:rFonts w:ascii="Times New Roman" w:hAnsi="Times New Roman"/>
                <w:b/>
                <w:bCs/>
                <w:iCs/>
                <w:sz w:val="24"/>
                <w:szCs w:val="24"/>
              </w:rPr>
              <w:t>navrhovaných změn</w:t>
            </w:r>
          </w:p>
        </w:tc>
        <w:tc>
          <w:tcPr>
            <w:tcW w:w="4318" w:type="dxa"/>
          </w:tcPr>
          <w:p w14:paraId="076682BC" w14:textId="77777777" w:rsidR="007359C4" w:rsidRPr="00286395" w:rsidRDefault="007359C4" w:rsidP="00EB147E">
            <w:pPr>
              <w:tabs>
                <w:tab w:val="left" w:pos="6660"/>
              </w:tabs>
              <w:spacing w:before="120" w:after="120"/>
              <w:rPr>
                <w:rFonts w:ascii="Times New Roman" w:hAnsi="Times New Roman"/>
                <w:b/>
                <w:bCs/>
                <w:iCs/>
                <w:sz w:val="24"/>
                <w:szCs w:val="24"/>
              </w:rPr>
            </w:pPr>
            <w:r w:rsidRPr="00286395">
              <w:rPr>
                <w:rFonts w:ascii="Times New Roman" w:hAnsi="Times New Roman"/>
                <w:b/>
                <w:bCs/>
                <w:iCs/>
                <w:sz w:val="24"/>
                <w:szCs w:val="24"/>
              </w:rPr>
              <w:t>Převažující typ rizika</w:t>
            </w:r>
          </w:p>
        </w:tc>
      </w:tr>
      <w:tr w:rsidR="007359C4" w:rsidRPr="00286395" w14:paraId="7E70231A" w14:textId="77777777" w:rsidTr="00386D94">
        <w:tc>
          <w:tcPr>
            <w:tcW w:w="4384" w:type="dxa"/>
          </w:tcPr>
          <w:p w14:paraId="0503D912" w14:textId="77777777" w:rsidR="00EB4D92" w:rsidRPr="00286395" w:rsidRDefault="00EB4D92" w:rsidP="006D1DD6">
            <w:pPr>
              <w:spacing w:after="120" w:line="300" w:lineRule="exact"/>
              <w:jc w:val="both"/>
              <w:rPr>
                <w:rFonts w:ascii="Times New Roman" w:hAnsi="Times New Roman"/>
                <w:sz w:val="24"/>
                <w:szCs w:val="24"/>
              </w:rPr>
            </w:pPr>
            <w:r w:rsidRPr="00286395">
              <w:rPr>
                <w:rFonts w:ascii="Times New Roman" w:hAnsi="Times New Roman"/>
                <w:sz w:val="24"/>
                <w:szCs w:val="24"/>
              </w:rPr>
              <w:t xml:space="preserve">Přesun nástrojů pojištění vývozních úvěrových rizik a podpořeného financování do prováděcího právního předpisu </w:t>
            </w:r>
            <w:r w:rsidR="00CE1F00" w:rsidRPr="004F1259">
              <w:rPr>
                <w:rFonts w:ascii="Times New Roman" w:hAnsi="Times New Roman"/>
                <w:sz w:val="24"/>
                <w:szCs w:val="24"/>
              </w:rPr>
              <w:t>(vyhlášky)</w:t>
            </w:r>
          </w:p>
          <w:p w14:paraId="7FAB48CD" w14:textId="77777777" w:rsidR="00EB4D92" w:rsidRPr="00286395" w:rsidRDefault="00EB4D92" w:rsidP="006D1DD6">
            <w:pPr>
              <w:spacing w:after="120" w:line="300" w:lineRule="exact"/>
              <w:jc w:val="both"/>
              <w:rPr>
                <w:rFonts w:ascii="Times New Roman" w:hAnsi="Times New Roman"/>
                <w:bCs/>
                <w:iCs/>
                <w:sz w:val="24"/>
                <w:szCs w:val="24"/>
              </w:rPr>
            </w:pPr>
          </w:p>
        </w:tc>
        <w:tc>
          <w:tcPr>
            <w:tcW w:w="4318" w:type="dxa"/>
          </w:tcPr>
          <w:p w14:paraId="6914D952" w14:textId="77777777" w:rsidR="00BA027E" w:rsidRDefault="00C906F5" w:rsidP="00FA5ED5">
            <w:pPr>
              <w:tabs>
                <w:tab w:val="left" w:pos="6660"/>
              </w:tabs>
              <w:spacing w:after="120" w:line="300" w:lineRule="exact"/>
              <w:jc w:val="both"/>
              <w:rPr>
                <w:rFonts w:ascii="Times New Roman" w:hAnsi="Times New Roman"/>
                <w:bCs/>
                <w:iCs/>
                <w:sz w:val="24"/>
                <w:szCs w:val="24"/>
              </w:rPr>
            </w:pPr>
            <w:r w:rsidRPr="00286395">
              <w:rPr>
                <w:rFonts w:ascii="Times New Roman" w:hAnsi="Times New Roman"/>
                <w:bCs/>
                <w:iCs/>
                <w:sz w:val="24"/>
                <w:szCs w:val="24"/>
              </w:rPr>
              <w:t xml:space="preserve">Právní </w:t>
            </w:r>
            <w:r w:rsidR="007359C4" w:rsidRPr="00286395">
              <w:rPr>
                <w:rFonts w:ascii="Times New Roman" w:hAnsi="Times New Roman"/>
                <w:bCs/>
                <w:iCs/>
                <w:sz w:val="24"/>
                <w:szCs w:val="24"/>
              </w:rPr>
              <w:t>riziko –</w:t>
            </w:r>
            <w:r w:rsidR="003373C3" w:rsidRPr="00286395">
              <w:rPr>
                <w:rFonts w:ascii="Times New Roman" w:hAnsi="Times New Roman"/>
                <w:bCs/>
                <w:iCs/>
                <w:sz w:val="24"/>
                <w:szCs w:val="24"/>
              </w:rPr>
              <w:t xml:space="preserve"> </w:t>
            </w:r>
            <w:r w:rsidR="00327F71" w:rsidRPr="00286395">
              <w:rPr>
                <w:rFonts w:ascii="Times New Roman" w:hAnsi="Times New Roman"/>
                <w:bCs/>
                <w:iCs/>
                <w:sz w:val="24"/>
                <w:szCs w:val="24"/>
              </w:rPr>
              <w:t xml:space="preserve">rozvolnění </w:t>
            </w:r>
            <w:r w:rsidR="009C0B37">
              <w:rPr>
                <w:rFonts w:ascii="Times New Roman" w:hAnsi="Times New Roman"/>
                <w:bCs/>
                <w:iCs/>
                <w:sz w:val="24"/>
                <w:szCs w:val="24"/>
              </w:rPr>
              <w:t>nabídky nástrojů</w:t>
            </w:r>
            <w:r w:rsidR="00327F71" w:rsidRPr="00286395">
              <w:rPr>
                <w:rFonts w:ascii="Times New Roman" w:hAnsi="Times New Roman"/>
                <w:bCs/>
                <w:iCs/>
                <w:sz w:val="24"/>
                <w:szCs w:val="24"/>
              </w:rPr>
              <w:t xml:space="preserve"> nad rámec záměrů zákonného rámce. </w:t>
            </w:r>
          </w:p>
          <w:p w14:paraId="5FE20F41" w14:textId="77777777" w:rsidR="007359C4" w:rsidRPr="00286395" w:rsidRDefault="00327F71" w:rsidP="00FA5ED5">
            <w:pPr>
              <w:tabs>
                <w:tab w:val="left" w:pos="6660"/>
              </w:tabs>
              <w:spacing w:after="120" w:line="300" w:lineRule="exact"/>
              <w:jc w:val="both"/>
              <w:rPr>
                <w:rFonts w:ascii="Times New Roman" w:hAnsi="Times New Roman"/>
                <w:sz w:val="24"/>
                <w:szCs w:val="24"/>
              </w:rPr>
            </w:pPr>
            <w:r w:rsidRPr="00286395">
              <w:rPr>
                <w:rFonts w:ascii="Times New Roman" w:hAnsi="Times New Roman"/>
                <w:bCs/>
                <w:iCs/>
                <w:sz w:val="24"/>
                <w:szCs w:val="24"/>
              </w:rPr>
              <w:t xml:space="preserve">Riziko je eliminováno tím, že </w:t>
            </w:r>
            <w:r w:rsidR="003373C3" w:rsidRPr="00286395">
              <w:rPr>
                <w:rFonts w:ascii="Times New Roman" w:hAnsi="Times New Roman"/>
                <w:bCs/>
                <w:iCs/>
                <w:sz w:val="24"/>
                <w:szCs w:val="24"/>
              </w:rPr>
              <w:t>k</w:t>
            </w:r>
            <w:r w:rsidR="00E87E15" w:rsidRPr="00286395">
              <w:rPr>
                <w:rFonts w:ascii="Times New Roman" w:hAnsi="Times New Roman"/>
                <w:sz w:val="24"/>
                <w:szCs w:val="24"/>
              </w:rPr>
              <w:t xml:space="preserve">onkrétní </w:t>
            </w:r>
            <w:r w:rsidR="009C0B37">
              <w:rPr>
                <w:rFonts w:ascii="Times New Roman" w:hAnsi="Times New Roman"/>
                <w:sz w:val="24"/>
                <w:szCs w:val="24"/>
              </w:rPr>
              <w:t>nástroje</w:t>
            </w:r>
            <w:r w:rsidR="00E87E15" w:rsidRPr="00286395">
              <w:rPr>
                <w:rFonts w:ascii="Times New Roman" w:hAnsi="Times New Roman"/>
                <w:sz w:val="24"/>
                <w:szCs w:val="24"/>
              </w:rPr>
              <w:t xml:space="preserve">, </w:t>
            </w:r>
            <w:r w:rsidR="003373C3" w:rsidRPr="00286395">
              <w:rPr>
                <w:rFonts w:ascii="Times New Roman" w:hAnsi="Times New Roman"/>
                <w:sz w:val="24"/>
                <w:szCs w:val="24"/>
              </w:rPr>
              <w:t>nad rámec dosud uvedených</w:t>
            </w:r>
            <w:r w:rsidR="00E87E15" w:rsidRPr="00286395">
              <w:rPr>
                <w:rFonts w:ascii="Times New Roman" w:hAnsi="Times New Roman"/>
                <w:sz w:val="24"/>
                <w:szCs w:val="24"/>
              </w:rPr>
              <w:t>,</w:t>
            </w:r>
            <w:r w:rsidR="003373C3" w:rsidRPr="00286395">
              <w:rPr>
                <w:rFonts w:ascii="Times New Roman" w:hAnsi="Times New Roman"/>
                <w:sz w:val="24"/>
                <w:szCs w:val="24"/>
              </w:rPr>
              <w:t xml:space="preserve"> budou schvalovány v reakci na</w:t>
            </w:r>
            <w:r w:rsidR="00D1585C">
              <w:rPr>
                <w:rFonts w:ascii="Times New Roman" w:hAnsi="Times New Roman"/>
                <w:sz w:val="24"/>
                <w:szCs w:val="24"/>
              </w:rPr>
              <w:t> </w:t>
            </w:r>
            <w:r w:rsidR="003373C3" w:rsidRPr="00286395">
              <w:rPr>
                <w:rFonts w:ascii="Times New Roman" w:hAnsi="Times New Roman"/>
                <w:sz w:val="24"/>
                <w:szCs w:val="24"/>
              </w:rPr>
              <w:t>požadavky trhu postupem</w:t>
            </w:r>
            <w:r w:rsidR="00D03D9A">
              <w:rPr>
                <w:rFonts w:ascii="Times New Roman" w:hAnsi="Times New Roman"/>
                <w:sz w:val="24"/>
                <w:szCs w:val="24"/>
              </w:rPr>
              <w:t>, který bude upraven</w:t>
            </w:r>
            <w:r w:rsidR="00FA5ED5">
              <w:rPr>
                <w:rFonts w:ascii="Times New Roman" w:hAnsi="Times New Roman"/>
                <w:sz w:val="24"/>
                <w:szCs w:val="24"/>
              </w:rPr>
              <w:t xml:space="preserve"> v zákoně</w:t>
            </w:r>
            <w:r w:rsidR="003373C3" w:rsidRPr="00286395">
              <w:rPr>
                <w:rFonts w:ascii="Times New Roman" w:hAnsi="Times New Roman"/>
                <w:sz w:val="24"/>
                <w:szCs w:val="24"/>
              </w:rPr>
              <w:t>.</w:t>
            </w:r>
          </w:p>
        </w:tc>
      </w:tr>
      <w:tr w:rsidR="007359C4" w:rsidRPr="00286395" w14:paraId="213A0273" w14:textId="77777777" w:rsidTr="00386D94">
        <w:tc>
          <w:tcPr>
            <w:tcW w:w="4384" w:type="dxa"/>
          </w:tcPr>
          <w:p w14:paraId="2EFF8B44" w14:textId="4273792F" w:rsidR="0042213D" w:rsidRPr="00286395" w:rsidRDefault="0042213D" w:rsidP="00935E09">
            <w:pPr>
              <w:tabs>
                <w:tab w:val="left" w:pos="6660"/>
              </w:tabs>
              <w:spacing w:after="120" w:line="300" w:lineRule="exact"/>
              <w:jc w:val="both"/>
              <w:rPr>
                <w:rFonts w:ascii="Times New Roman" w:hAnsi="Times New Roman"/>
                <w:bCs/>
                <w:iCs/>
                <w:sz w:val="24"/>
                <w:szCs w:val="24"/>
              </w:rPr>
            </w:pPr>
            <w:r w:rsidRPr="00286395">
              <w:rPr>
                <w:rFonts w:ascii="Times New Roman" w:hAnsi="Times New Roman"/>
                <w:bCs/>
                <w:sz w:val="24"/>
                <w:szCs w:val="24"/>
              </w:rPr>
              <w:t xml:space="preserve">Povinnost exportní pojišťovny a exportní banky vést </w:t>
            </w:r>
            <w:r w:rsidR="00182552" w:rsidRPr="004D2804">
              <w:rPr>
                <w:rFonts w:ascii="Times New Roman" w:hAnsi="Times New Roman"/>
                <w:sz w:val="24"/>
                <w:szCs w:val="24"/>
              </w:rPr>
              <w:t>peněžní</w:t>
            </w:r>
            <w:r w:rsidRPr="00286395">
              <w:rPr>
                <w:rFonts w:ascii="Times New Roman" w:hAnsi="Times New Roman"/>
                <w:bCs/>
                <w:sz w:val="24"/>
                <w:szCs w:val="24"/>
              </w:rPr>
              <w:t xml:space="preserve"> prostředky na</w:t>
            </w:r>
            <w:r w:rsidR="00D1585C">
              <w:rPr>
                <w:rFonts w:ascii="Times New Roman" w:hAnsi="Times New Roman"/>
                <w:bCs/>
                <w:sz w:val="24"/>
                <w:szCs w:val="24"/>
              </w:rPr>
              <w:t> </w:t>
            </w:r>
            <w:r w:rsidRPr="00286395">
              <w:rPr>
                <w:rFonts w:ascii="Times New Roman" w:hAnsi="Times New Roman"/>
                <w:bCs/>
                <w:sz w:val="24"/>
                <w:szCs w:val="24"/>
              </w:rPr>
              <w:t>svých bankovních účtech podřízených státní pokladně vedených u Č</w:t>
            </w:r>
            <w:r w:rsidR="00935E09">
              <w:rPr>
                <w:rFonts w:ascii="Times New Roman" w:hAnsi="Times New Roman"/>
                <w:bCs/>
                <w:sz w:val="24"/>
                <w:szCs w:val="24"/>
              </w:rPr>
              <w:t>NB</w:t>
            </w:r>
          </w:p>
        </w:tc>
        <w:tc>
          <w:tcPr>
            <w:tcW w:w="4318" w:type="dxa"/>
          </w:tcPr>
          <w:p w14:paraId="1C8E7C0F" w14:textId="1962E598" w:rsidR="003373C3" w:rsidRPr="00286395" w:rsidRDefault="007359C4" w:rsidP="00022C33">
            <w:pPr>
              <w:tabs>
                <w:tab w:val="left" w:pos="6660"/>
              </w:tabs>
              <w:spacing w:after="120" w:line="300" w:lineRule="exact"/>
              <w:jc w:val="both"/>
              <w:rPr>
                <w:rFonts w:ascii="Times New Roman" w:hAnsi="Times New Roman"/>
                <w:bCs/>
                <w:iCs/>
                <w:sz w:val="24"/>
                <w:szCs w:val="24"/>
              </w:rPr>
            </w:pPr>
            <w:r w:rsidRPr="00286395">
              <w:rPr>
                <w:rFonts w:ascii="Times New Roman" w:hAnsi="Times New Roman"/>
                <w:bCs/>
                <w:iCs/>
                <w:sz w:val="24"/>
                <w:szCs w:val="24"/>
              </w:rPr>
              <w:t>Věcné e</w:t>
            </w:r>
            <w:r w:rsidR="0072746D" w:rsidRPr="00286395">
              <w:rPr>
                <w:rFonts w:ascii="Times New Roman" w:hAnsi="Times New Roman"/>
                <w:bCs/>
                <w:iCs/>
                <w:sz w:val="24"/>
                <w:szCs w:val="24"/>
              </w:rPr>
              <w:t>konomické riziko v</w:t>
            </w:r>
            <w:r w:rsidR="0072746D" w:rsidRPr="00286395">
              <w:rPr>
                <w:rFonts w:ascii="Times New Roman" w:hAnsi="Times New Roman"/>
                <w:sz w:val="24"/>
                <w:szCs w:val="24"/>
              </w:rPr>
              <w:t>ý</w:t>
            </w:r>
            <w:r w:rsidR="0072746D" w:rsidRPr="00286395">
              <w:rPr>
                <w:rFonts w:ascii="Times New Roman" w:hAnsi="Times New Roman"/>
                <w:bCs/>
                <w:iCs/>
                <w:sz w:val="24"/>
                <w:szCs w:val="24"/>
              </w:rPr>
              <w:t>padku příjmů plynoucích z nemožnosti e</w:t>
            </w:r>
            <w:r w:rsidR="0072746D" w:rsidRPr="00286395">
              <w:rPr>
                <w:rFonts w:ascii="Times New Roman" w:hAnsi="Times New Roman"/>
                <w:bCs/>
                <w:sz w:val="24"/>
                <w:szCs w:val="24"/>
              </w:rPr>
              <w:t xml:space="preserve">xportní pojišťovny a exportní banky </w:t>
            </w:r>
            <w:r w:rsidR="0072746D" w:rsidRPr="00286395">
              <w:rPr>
                <w:rFonts w:ascii="Times New Roman" w:hAnsi="Times New Roman"/>
                <w:bCs/>
                <w:iCs/>
                <w:sz w:val="24"/>
                <w:szCs w:val="24"/>
              </w:rPr>
              <w:t xml:space="preserve">ukládat nebo investovat </w:t>
            </w:r>
            <w:r w:rsidR="00182552" w:rsidRPr="004D2804">
              <w:rPr>
                <w:rFonts w:ascii="Times New Roman" w:hAnsi="Times New Roman"/>
                <w:sz w:val="24"/>
                <w:szCs w:val="24"/>
              </w:rPr>
              <w:t>peněžní</w:t>
            </w:r>
            <w:r w:rsidR="0072746D" w:rsidRPr="00286395">
              <w:rPr>
                <w:rFonts w:ascii="Times New Roman" w:hAnsi="Times New Roman"/>
                <w:bCs/>
                <w:iCs/>
                <w:sz w:val="24"/>
                <w:szCs w:val="24"/>
              </w:rPr>
              <w:t xml:space="preserve"> prostředky do</w:t>
            </w:r>
            <w:r w:rsidR="00D1585C">
              <w:rPr>
                <w:rFonts w:ascii="Times New Roman" w:hAnsi="Times New Roman"/>
                <w:bCs/>
                <w:iCs/>
                <w:sz w:val="24"/>
                <w:szCs w:val="24"/>
              </w:rPr>
              <w:t> </w:t>
            </w:r>
            <w:r w:rsidR="0072746D" w:rsidRPr="00286395">
              <w:rPr>
                <w:rFonts w:ascii="Times New Roman" w:hAnsi="Times New Roman"/>
                <w:bCs/>
                <w:iCs/>
                <w:sz w:val="24"/>
                <w:szCs w:val="24"/>
              </w:rPr>
              <w:t>investičních nástrojů na finančním trhu</w:t>
            </w:r>
            <w:r w:rsidR="000146D2" w:rsidRPr="00286395">
              <w:rPr>
                <w:rFonts w:ascii="Times New Roman" w:hAnsi="Times New Roman"/>
                <w:bCs/>
                <w:iCs/>
                <w:sz w:val="24"/>
                <w:szCs w:val="24"/>
              </w:rPr>
              <w:t xml:space="preserve">. Riziko je vyváženo </w:t>
            </w:r>
            <w:r w:rsidR="0094198D" w:rsidRPr="00286395">
              <w:rPr>
                <w:rFonts w:ascii="Times New Roman" w:hAnsi="Times New Roman"/>
                <w:bCs/>
                <w:iCs/>
                <w:sz w:val="24"/>
                <w:szCs w:val="24"/>
              </w:rPr>
              <w:t xml:space="preserve">pozitivním ekonomickým dopadem v rámci řízení likvidity státní pokladny, </w:t>
            </w:r>
            <w:r w:rsidR="00611C34" w:rsidRPr="00286395">
              <w:rPr>
                <w:rFonts w:ascii="Times New Roman" w:hAnsi="Times New Roman"/>
                <w:bCs/>
                <w:iCs/>
                <w:sz w:val="24"/>
                <w:szCs w:val="24"/>
              </w:rPr>
              <w:t>který převýší případné nároky exportní pojišťovny a</w:t>
            </w:r>
            <w:r w:rsidR="00D1585C">
              <w:rPr>
                <w:rFonts w:ascii="Times New Roman" w:hAnsi="Times New Roman"/>
                <w:bCs/>
                <w:iCs/>
                <w:sz w:val="24"/>
                <w:szCs w:val="24"/>
              </w:rPr>
              <w:t> </w:t>
            </w:r>
            <w:r w:rsidR="00611C34" w:rsidRPr="00286395">
              <w:rPr>
                <w:rFonts w:ascii="Times New Roman" w:hAnsi="Times New Roman"/>
                <w:bCs/>
                <w:iCs/>
                <w:sz w:val="24"/>
                <w:szCs w:val="24"/>
              </w:rPr>
              <w:t>exportní banky vůči státu v rámci dotačního vztahu z titulu výpadku příjmů</w:t>
            </w:r>
            <w:r w:rsidR="005A5387" w:rsidRPr="00286395">
              <w:rPr>
                <w:rFonts w:ascii="Times New Roman" w:hAnsi="Times New Roman"/>
                <w:bCs/>
                <w:iCs/>
                <w:sz w:val="24"/>
                <w:szCs w:val="24"/>
              </w:rPr>
              <w:t xml:space="preserve"> plynoucích z tržního zhodnocení </w:t>
            </w:r>
            <w:r w:rsidR="00182552" w:rsidRPr="004D2804">
              <w:rPr>
                <w:rFonts w:ascii="Times New Roman" w:hAnsi="Times New Roman"/>
                <w:sz w:val="24"/>
                <w:szCs w:val="24"/>
              </w:rPr>
              <w:t>peněžní</w:t>
            </w:r>
            <w:r w:rsidR="005A5387" w:rsidRPr="00286395">
              <w:rPr>
                <w:rFonts w:ascii="Times New Roman" w:hAnsi="Times New Roman"/>
                <w:bCs/>
                <w:iCs/>
                <w:sz w:val="24"/>
                <w:szCs w:val="24"/>
              </w:rPr>
              <w:t xml:space="preserve">ch prostředků </w:t>
            </w:r>
            <w:r w:rsidR="000E5FF6" w:rsidRPr="00286395">
              <w:rPr>
                <w:rFonts w:ascii="Times New Roman" w:hAnsi="Times New Roman"/>
                <w:bCs/>
                <w:iCs/>
                <w:sz w:val="24"/>
                <w:szCs w:val="24"/>
              </w:rPr>
              <w:t>podle stávající úpravy.</w:t>
            </w:r>
            <w:r w:rsidR="002D66BD">
              <w:rPr>
                <w:rFonts w:ascii="Times New Roman" w:hAnsi="Times New Roman"/>
                <w:bCs/>
                <w:iCs/>
                <w:sz w:val="24"/>
                <w:szCs w:val="24"/>
              </w:rPr>
              <w:t xml:space="preserve"> Exportní pojišťovně i exportní bance může státní pokladna výpadek příjmů částečně kompenzovat formou úročení dlouhodobě uložených prostředků.</w:t>
            </w:r>
            <w:r w:rsidR="00B748E1">
              <w:rPr>
                <w:rFonts w:ascii="Times New Roman" w:hAnsi="Times New Roman"/>
                <w:bCs/>
                <w:iCs/>
                <w:sz w:val="24"/>
                <w:szCs w:val="24"/>
              </w:rPr>
              <w:t xml:space="preserve"> </w:t>
            </w:r>
          </w:p>
        </w:tc>
      </w:tr>
      <w:tr w:rsidR="007359C4" w:rsidRPr="00286395" w14:paraId="59E65387" w14:textId="77777777" w:rsidTr="00386D94">
        <w:tc>
          <w:tcPr>
            <w:tcW w:w="4384" w:type="dxa"/>
          </w:tcPr>
          <w:p w14:paraId="497CB5B1" w14:textId="319795FA" w:rsidR="007359C4" w:rsidRPr="00286395" w:rsidRDefault="007359C4" w:rsidP="006D1DD6">
            <w:pPr>
              <w:spacing w:after="120" w:line="300" w:lineRule="exact"/>
              <w:jc w:val="both"/>
              <w:rPr>
                <w:rFonts w:ascii="Times New Roman" w:hAnsi="Times New Roman"/>
                <w:bCs/>
                <w:iCs/>
                <w:sz w:val="24"/>
                <w:szCs w:val="24"/>
              </w:rPr>
            </w:pPr>
            <w:r w:rsidRPr="00286395">
              <w:rPr>
                <w:rFonts w:ascii="Times New Roman" w:hAnsi="Times New Roman"/>
                <w:sz w:val="24"/>
                <w:szCs w:val="24"/>
              </w:rPr>
              <w:t xml:space="preserve">Rozšíření možností </w:t>
            </w:r>
            <w:r w:rsidR="00502229" w:rsidRPr="00502229">
              <w:rPr>
                <w:rFonts w:ascii="Times New Roman" w:hAnsi="Times New Roman"/>
                <w:bCs/>
                <w:sz w:val="24"/>
                <w:szCs w:val="24"/>
              </w:rPr>
              <w:t xml:space="preserve">zakládání právnických osob a </w:t>
            </w:r>
            <w:r w:rsidRPr="00502229">
              <w:rPr>
                <w:rFonts w:ascii="Times New Roman" w:hAnsi="Times New Roman"/>
                <w:sz w:val="24"/>
                <w:szCs w:val="24"/>
              </w:rPr>
              <w:t xml:space="preserve">nabývání </w:t>
            </w:r>
            <w:r w:rsidRPr="00286395">
              <w:rPr>
                <w:rFonts w:ascii="Times New Roman" w:hAnsi="Times New Roman"/>
                <w:sz w:val="24"/>
                <w:szCs w:val="24"/>
              </w:rPr>
              <w:t>podílů v právnických osobách exportní pojišťovnou a exportní bankou</w:t>
            </w:r>
          </w:p>
        </w:tc>
        <w:tc>
          <w:tcPr>
            <w:tcW w:w="4318" w:type="dxa"/>
          </w:tcPr>
          <w:p w14:paraId="50531ED1" w14:textId="77777777" w:rsidR="00F3533D" w:rsidRPr="00286395" w:rsidRDefault="00947194" w:rsidP="006D1DD6">
            <w:pPr>
              <w:tabs>
                <w:tab w:val="left" w:pos="6660"/>
              </w:tabs>
              <w:spacing w:after="120" w:line="300" w:lineRule="exact"/>
              <w:jc w:val="both"/>
              <w:rPr>
                <w:rFonts w:ascii="Times New Roman" w:hAnsi="Times New Roman"/>
                <w:bCs/>
                <w:iCs/>
                <w:sz w:val="24"/>
                <w:szCs w:val="24"/>
              </w:rPr>
            </w:pPr>
            <w:r w:rsidRPr="00286395">
              <w:rPr>
                <w:rFonts w:ascii="Times New Roman" w:hAnsi="Times New Roman"/>
                <w:bCs/>
                <w:iCs/>
                <w:sz w:val="24"/>
                <w:szCs w:val="24"/>
              </w:rPr>
              <w:t>Právní riziko plynoucí z</w:t>
            </w:r>
            <w:r w:rsidR="005E577E" w:rsidRPr="00286395">
              <w:rPr>
                <w:rFonts w:ascii="Times New Roman" w:hAnsi="Times New Roman"/>
                <w:bCs/>
                <w:iCs/>
                <w:sz w:val="24"/>
                <w:szCs w:val="24"/>
              </w:rPr>
              <w:t> š</w:t>
            </w:r>
            <w:r w:rsidR="00827D3A" w:rsidRPr="00286395">
              <w:rPr>
                <w:rFonts w:ascii="Times New Roman" w:hAnsi="Times New Roman"/>
                <w:bCs/>
                <w:iCs/>
                <w:sz w:val="24"/>
                <w:szCs w:val="24"/>
              </w:rPr>
              <w:t>ířeji</w:t>
            </w:r>
            <w:r w:rsidR="005E577E" w:rsidRPr="00286395">
              <w:rPr>
                <w:rFonts w:ascii="Times New Roman" w:hAnsi="Times New Roman"/>
                <w:bCs/>
                <w:iCs/>
                <w:sz w:val="24"/>
                <w:szCs w:val="24"/>
              </w:rPr>
              <w:t xml:space="preserve"> pojaté možnosti vstupu exportní pojišťovny nebo exportní banky do právnických osob</w:t>
            </w:r>
            <w:r w:rsidR="00112F81" w:rsidRPr="00286395">
              <w:rPr>
                <w:rFonts w:ascii="Times New Roman" w:hAnsi="Times New Roman"/>
                <w:bCs/>
                <w:iCs/>
                <w:sz w:val="24"/>
                <w:szCs w:val="24"/>
              </w:rPr>
              <w:t>,</w:t>
            </w:r>
            <w:r w:rsidR="005E577E" w:rsidRPr="00286395">
              <w:rPr>
                <w:rFonts w:ascii="Times New Roman" w:hAnsi="Times New Roman"/>
                <w:bCs/>
                <w:iCs/>
                <w:sz w:val="24"/>
                <w:szCs w:val="24"/>
              </w:rPr>
              <w:t xml:space="preserve"> nebo jejich zakládání</w:t>
            </w:r>
            <w:r w:rsidR="00112F81" w:rsidRPr="00286395">
              <w:rPr>
                <w:rFonts w:ascii="Times New Roman" w:hAnsi="Times New Roman"/>
                <w:bCs/>
                <w:iCs/>
                <w:sz w:val="24"/>
                <w:szCs w:val="24"/>
              </w:rPr>
              <w:t>,</w:t>
            </w:r>
            <w:r w:rsidR="005E577E" w:rsidRPr="00286395">
              <w:rPr>
                <w:rFonts w:ascii="Times New Roman" w:hAnsi="Times New Roman"/>
                <w:bCs/>
                <w:iCs/>
                <w:sz w:val="24"/>
                <w:szCs w:val="24"/>
              </w:rPr>
              <w:t xml:space="preserve"> vzhledem k tomu, že</w:t>
            </w:r>
            <w:r w:rsidR="00D1585C">
              <w:rPr>
                <w:rFonts w:ascii="Times New Roman" w:hAnsi="Times New Roman"/>
                <w:bCs/>
                <w:iCs/>
                <w:sz w:val="24"/>
                <w:szCs w:val="24"/>
              </w:rPr>
              <w:t> </w:t>
            </w:r>
            <w:r w:rsidR="005E577E" w:rsidRPr="00286395">
              <w:rPr>
                <w:rFonts w:ascii="Times New Roman" w:hAnsi="Times New Roman"/>
                <w:bCs/>
                <w:iCs/>
                <w:sz w:val="24"/>
                <w:szCs w:val="24"/>
              </w:rPr>
              <w:t>č</w:t>
            </w:r>
            <w:r w:rsidR="00F3533D" w:rsidRPr="00286395">
              <w:rPr>
                <w:rFonts w:ascii="Times New Roman" w:hAnsi="Times New Roman"/>
                <w:sz w:val="24"/>
                <w:szCs w:val="24"/>
              </w:rPr>
              <w:t>innost vedoucí k předcházení vzniku škod a zmírňování jejich ná</w:t>
            </w:r>
            <w:r w:rsidR="00F52D1D" w:rsidRPr="00286395">
              <w:rPr>
                <w:rFonts w:ascii="Times New Roman" w:hAnsi="Times New Roman"/>
                <w:sz w:val="24"/>
                <w:szCs w:val="24"/>
              </w:rPr>
              <w:t>sledků není blíže specifikována. P</w:t>
            </w:r>
            <w:r w:rsidR="00F3533D" w:rsidRPr="00286395">
              <w:rPr>
                <w:rFonts w:ascii="Times New Roman" w:hAnsi="Times New Roman"/>
                <w:sz w:val="24"/>
                <w:szCs w:val="24"/>
              </w:rPr>
              <w:t>oznatky z praxe ukazují, že se jedná o velmi rozsáhlou skupinu právních, ekonomických a</w:t>
            </w:r>
            <w:r w:rsidR="00D1585C">
              <w:rPr>
                <w:rFonts w:ascii="Times New Roman" w:hAnsi="Times New Roman"/>
                <w:sz w:val="24"/>
                <w:szCs w:val="24"/>
              </w:rPr>
              <w:t> </w:t>
            </w:r>
            <w:r w:rsidR="00F3533D" w:rsidRPr="00286395">
              <w:rPr>
                <w:rFonts w:ascii="Times New Roman" w:hAnsi="Times New Roman"/>
                <w:sz w:val="24"/>
                <w:szCs w:val="24"/>
              </w:rPr>
              <w:t>technických činností</w:t>
            </w:r>
            <w:r w:rsidR="00112F81" w:rsidRPr="00286395">
              <w:rPr>
                <w:rFonts w:ascii="Times New Roman" w:hAnsi="Times New Roman"/>
                <w:sz w:val="24"/>
                <w:szCs w:val="24"/>
              </w:rPr>
              <w:t>.</w:t>
            </w:r>
            <w:r w:rsidR="003135D7" w:rsidRPr="00286395">
              <w:rPr>
                <w:rFonts w:ascii="Times New Roman" w:hAnsi="Times New Roman"/>
                <w:sz w:val="24"/>
                <w:szCs w:val="24"/>
              </w:rPr>
              <w:t xml:space="preserve"> </w:t>
            </w:r>
          </w:p>
          <w:p w14:paraId="1FD217C3" w14:textId="48825B84" w:rsidR="00F3533D" w:rsidRPr="00286395" w:rsidRDefault="00112F81" w:rsidP="00D46213">
            <w:pPr>
              <w:tabs>
                <w:tab w:val="left" w:pos="6660"/>
              </w:tabs>
              <w:spacing w:after="120" w:line="300" w:lineRule="exact"/>
              <w:jc w:val="both"/>
              <w:rPr>
                <w:rFonts w:ascii="Times New Roman" w:hAnsi="Times New Roman"/>
                <w:bCs/>
                <w:iCs/>
                <w:sz w:val="24"/>
                <w:szCs w:val="24"/>
              </w:rPr>
            </w:pPr>
            <w:r w:rsidRPr="00286395">
              <w:rPr>
                <w:rFonts w:ascii="Times New Roman" w:hAnsi="Times New Roman"/>
                <w:sz w:val="24"/>
                <w:szCs w:val="24"/>
              </w:rPr>
              <w:t>Riziko je eliminováno</w:t>
            </w:r>
            <w:r w:rsidR="00F52D1D" w:rsidRPr="00286395">
              <w:rPr>
                <w:rFonts w:ascii="Times New Roman" w:hAnsi="Times New Roman"/>
                <w:sz w:val="24"/>
                <w:szCs w:val="24"/>
              </w:rPr>
              <w:t xml:space="preserve"> </w:t>
            </w:r>
            <w:r w:rsidR="00765C15" w:rsidRPr="00286395">
              <w:rPr>
                <w:rFonts w:ascii="Times New Roman" w:hAnsi="Times New Roman"/>
                <w:sz w:val="24"/>
                <w:szCs w:val="24"/>
              </w:rPr>
              <w:t>nezbytností předchozího souhlasu M</w:t>
            </w:r>
            <w:r w:rsidR="00D46213">
              <w:rPr>
                <w:rFonts w:ascii="Times New Roman" w:hAnsi="Times New Roman"/>
                <w:sz w:val="24"/>
                <w:szCs w:val="24"/>
              </w:rPr>
              <w:t>F</w:t>
            </w:r>
            <w:r w:rsidR="00765C15" w:rsidRPr="00286395">
              <w:rPr>
                <w:rFonts w:ascii="Times New Roman" w:hAnsi="Times New Roman"/>
                <w:sz w:val="24"/>
                <w:szCs w:val="24"/>
              </w:rPr>
              <w:t xml:space="preserve"> s nabytím podílu v právnické osobě nebo s jejím založením.</w:t>
            </w:r>
          </w:p>
        </w:tc>
      </w:tr>
      <w:tr w:rsidR="007359C4" w:rsidRPr="00286395" w14:paraId="0F0F400D" w14:textId="77777777" w:rsidTr="00386D94">
        <w:tc>
          <w:tcPr>
            <w:tcW w:w="4384" w:type="dxa"/>
          </w:tcPr>
          <w:p w14:paraId="741F4B04" w14:textId="77777777" w:rsidR="007359C4" w:rsidRPr="00286395" w:rsidRDefault="007359C4" w:rsidP="006D1DD6">
            <w:pPr>
              <w:tabs>
                <w:tab w:val="left" w:pos="6660"/>
              </w:tabs>
              <w:spacing w:after="120" w:line="300" w:lineRule="exact"/>
              <w:jc w:val="both"/>
              <w:rPr>
                <w:rFonts w:ascii="Times New Roman" w:hAnsi="Times New Roman"/>
                <w:bCs/>
                <w:iCs/>
                <w:sz w:val="24"/>
                <w:szCs w:val="24"/>
              </w:rPr>
            </w:pPr>
            <w:r w:rsidRPr="00286395">
              <w:rPr>
                <w:rFonts w:ascii="Times New Roman" w:hAnsi="Times New Roman"/>
                <w:sz w:val="24"/>
                <w:szCs w:val="24"/>
              </w:rPr>
              <w:t>Nastavení limitů pro schvalování obchodních případů od určitého objemu vládou</w:t>
            </w:r>
          </w:p>
        </w:tc>
        <w:tc>
          <w:tcPr>
            <w:tcW w:w="4318" w:type="dxa"/>
          </w:tcPr>
          <w:p w14:paraId="6F8DC4A6" w14:textId="7B8767C0" w:rsidR="007359C4" w:rsidRPr="00286395" w:rsidRDefault="00190D8E" w:rsidP="006D1DD6">
            <w:pPr>
              <w:tabs>
                <w:tab w:val="left" w:pos="6660"/>
              </w:tabs>
              <w:spacing w:after="120" w:line="300" w:lineRule="exact"/>
              <w:jc w:val="both"/>
              <w:rPr>
                <w:rFonts w:ascii="Times New Roman" w:hAnsi="Times New Roman"/>
                <w:bCs/>
                <w:iCs/>
                <w:sz w:val="24"/>
                <w:szCs w:val="24"/>
              </w:rPr>
            </w:pPr>
            <w:r w:rsidRPr="00286395">
              <w:rPr>
                <w:rFonts w:ascii="Times New Roman" w:hAnsi="Times New Roman"/>
                <w:bCs/>
                <w:iCs/>
                <w:sz w:val="24"/>
                <w:szCs w:val="24"/>
              </w:rPr>
              <w:t xml:space="preserve">Věcné ekonomické riziko optimálního nastavení výše limitů </w:t>
            </w:r>
            <w:r w:rsidRPr="00286395">
              <w:rPr>
                <w:rFonts w:ascii="Times New Roman" w:hAnsi="Times New Roman"/>
                <w:sz w:val="24"/>
                <w:szCs w:val="24"/>
              </w:rPr>
              <w:t>pro schvalování obchodních případů, kdy ani nastavené limity nemusí zabránit</w:t>
            </w:r>
            <w:r w:rsidR="00531DFC" w:rsidRPr="00286395">
              <w:rPr>
                <w:rFonts w:ascii="Times New Roman" w:hAnsi="Times New Roman"/>
                <w:sz w:val="24"/>
                <w:szCs w:val="24"/>
              </w:rPr>
              <w:t xml:space="preserve"> případnému selhání obchodního případu. </w:t>
            </w:r>
            <w:r w:rsidR="006F3593" w:rsidRPr="00286395">
              <w:rPr>
                <w:rFonts w:ascii="Times New Roman" w:hAnsi="Times New Roman"/>
                <w:sz w:val="24"/>
                <w:szCs w:val="24"/>
              </w:rPr>
              <w:t>Oproti dosavadnímu stavu se však jedná o výrazné snížení rizik</w:t>
            </w:r>
            <w:r w:rsidR="006F3593" w:rsidRPr="000420B9">
              <w:rPr>
                <w:rFonts w:ascii="Times New Roman" w:hAnsi="Times New Roman"/>
                <w:sz w:val="24"/>
                <w:szCs w:val="24"/>
              </w:rPr>
              <w:t>a</w:t>
            </w:r>
            <w:r w:rsidR="00E84D20" w:rsidRPr="000420B9">
              <w:rPr>
                <w:rFonts w:ascii="Times New Roman" w:hAnsi="Times New Roman"/>
                <w:sz w:val="24"/>
                <w:szCs w:val="24"/>
              </w:rPr>
              <w:t xml:space="preserve"> dopadajícího na státní rozpočet ve smyslu výplaty dotací neočekávaných a neúměrně vysokých částek peněžních prostředků, neboť bude novým procesem vzata v potaz aktuální politika České republiky v oblasti </w:t>
            </w:r>
            <w:r w:rsidR="00B87456" w:rsidRPr="000420B9">
              <w:rPr>
                <w:rFonts w:ascii="Times New Roman" w:hAnsi="Times New Roman"/>
                <w:sz w:val="24"/>
                <w:szCs w:val="24"/>
              </w:rPr>
              <w:t xml:space="preserve">státní </w:t>
            </w:r>
            <w:r w:rsidR="00E84D20" w:rsidRPr="000420B9">
              <w:rPr>
                <w:rFonts w:ascii="Times New Roman" w:hAnsi="Times New Roman"/>
                <w:sz w:val="24"/>
                <w:szCs w:val="24"/>
              </w:rPr>
              <w:t>podpory exportu a tím i její případné negativní dopady na státní rozpočet</w:t>
            </w:r>
            <w:r w:rsidR="006F3593" w:rsidRPr="000420B9">
              <w:rPr>
                <w:rFonts w:ascii="Times New Roman" w:hAnsi="Times New Roman"/>
                <w:sz w:val="24"/>
                <w:szCs w:val="24"/>
              </w:rPr>
              <w:t>.</w:t>
            </w:r>
          </w:p>
          <w:p w14:paraId="2CBDF93C" w14:textId="4BDCF1C2" w:rsidR="00190D8E" w:rsidRPr="00286395" w:rsidRDefault="00C15EC8" w:rsidP="0086236C">
            <w:pPr>
              <w:tabs>
                <w:tab w:val="left" w:pos="6660"/>
              </w:tabs>
              <w:spacing w:after="120" w:line="300" w:lineRule="exact"/>
              <w:jc w:val="both"/>
              <w:rPr>
                <w:rFonts w:ascii="Times New Roman" w:hAnsi="Times New Roman"/>
                <w:bCs/>
                <w:iCs/>
                <w:sz w:val="24"/>
                <w:szCs w:val="24"/>
              </w:rPr>
            </w:pPr>
            <w:r w:rsidRPr="00286395">
              <w:rPr>
                <w:rFonts w:ascii="Times New Roman" w:hAnsi="Times New Roman"/>
                <w:bCs/>
                <w:iCs/>
                <w:sz w:val="24"/>
                <w:szCs w:val="24"/>
              </w:rPr>
              <w:t xml:space="preserve">Věcné administrativní riziko může spočívat v přílišné </w:t>
            </w:r>
            <w:r w:rsidR="00E51A69" w:rsidRPr="00286395">
              <w:rPr>
                <w:rFonts w:ascii="Times New Roman" w:hAnsi="Times New Roman"/>
                <w:bCs/>
                <w:iCs/>
                <w:sz w:val="24"/>
                <w:szCs w:val="24"/>
              </w:rPr>
              <w:t xml:space="preserve">opatrnosti administrativy ve vztahu k schvalovacímu procesu obchodního případu, čímž může být zabráněno jeho realizaci. Riziko je eliminováno tím, že ustanovení zákona </w:t>
            </w:r>
            <w:r w:rsidR="00144E59" w:rsidRPr="0073392D">
              <w:rPr>
                <w:rFonts w:ascii="Times New Roman" w:hAnsi="Times New Roman"/>
                <w:sz w:val="24"/>
                <w:szCs w:val="24"/>
              </w:rPr>
              <w:t>č.</w:t>
            </w:r>
            <w:r w:rsidR="00900146">
              <w:rPr>
                <w:rFonts w:ascii="Times New Roman" w:hAnsi="Times New Roman"/>
                <w:sz w:val="24"/>
                <w:szCs w:val="24"/>
              </w:rPr>
              <w:t> </w:t>
            </w:r>
            <w:r w:rsidR="00144E59" w:rsidRPr="0073392D">
              <w:rPr>
                <w:rFonts w:ascii="Times New Roman" w:hAnsi="Times New Roman"/>
                <w:sz w:val="24"/>
                <w:szCs w:val="24"/>
              </w:rPr>
              <w:t>58/1995 Sb.</w:t>
            </w:r>
            <w:r w:rsidR="00144E59">
              <w:rPr>
                <w:rFonts w:ascii="Times New Roman" w:hAnsi="Times New Roman"/>
                <w:sz w:val="24"/>
                <w:szCs w:val="24"/>
              </w:rPr>
              <w:t xml:space="preserve"> </w:t>
            </w:r>
            <w:r w:rsidR="00E51A69" w:rsidRPr="00286395">
              <w:rPr>
                <w:rFonts w:ascii="Times New Roman" w:hAnsi="Times New Roman"/>
                <w:bCs/>
                <w:iCs/>
                <w:sz w:val="24"/>
                <w:szCs w:val="24"/>
              </w:rPr>
              <w:t>explicitně stanoví, že</w:t>
            </w:r>
            <w:r w:rsidR="00900146">
              <w:rPr>
                <w:rFonts w:ascii="Times New Roman" w:hAnsi="Times New Roman"/>
                <w:bCs/>
                <w:iCs/>
                <w:sz w:val="24"/>
                <w:szCs w:val="24"/>
              </w:rPr>
              <w:t> </w:t>
            </w:r>
            <w:r w:rsidR="00A7182F" w:rsidRPr="00286395">
              <w:rPr>
                <w:rFonts w:ascii="Times New Roman" w:hAnsi="Times New Roman"/>
                <w:bCs/>
                <w:iCs/>
                <w:sz w:val="24"/>
                <w:szCs w:val="24"/>
              </w:rPr>
              <w:t xml:space="preserve">souhlas vlády s realizací pojištění nebo financování přímo ani nepřímo nesnižuje odpovědnost obchodního vedení exportní pojišťovny za předmětné pojištění </w:t>
            </w:r>
            <w:r w:rsidR="006F6F98" w:rsidRPr="00286395">
              <w:rPr>
                <w:rFonts w:ascii="Times New Roman" w:hAnsi="Times New Roman"/>
                <w:bCs/>
                <w:iCs/>
                <w:sz w:val="24"/>
                <w:szCs w:val="24"/>
              </w:rPr>
              <w:t>nebo financování</w:t>
            </w:r>
            <w:r w:rsidR="00A7182F" w:rsidRPr="00286395">
              <w:rPr>
                <w:rFonts w:ascii="Times New Roman" w:hAnsi="Times New Roman"/>
                <w:bCs/>
                <w:iCs/>
                <w:sz w:val="24"/>
                <w:szCs w:val="24"/>
              </w:rPr>
              <w:t>.</w:t>
            </w:r>
            <w:r w:rsidR="00512690">
              <w:rPr>
                <w:rFonts w:ascii="Times New Roman" w:hAnsi="Times New Roman"/>
                <w:bCs/>
                <w:iCs/>
                <w:sz w:val="24"/>
                <w:szCs w:val="24"/>
              </w:rPr>
              <w:t xml:space="preserve"> Konkrétní limity pro schvalování vládou stanoví prováděcí právní předpis, což umožňuje vládě flexibilně reagovat na aktuální situaci exportního pojišťování a financování.</w:t>
            </w:r>
            <w:r w:rsidR="00B87456">
              <w:rPr>
                <w:rFonts w:ascii="Times New Roman" w:hAnsi="Times New Roman"/>
                <w:bCs/>
                <w:iCs/>
                <w:sz w:val="24"/>
                <w:szCs w:val="24"/>
              </w:rPr>
              <w:t xml:space="preserve"> </w:t>
            </w:r>
          </w:p>
        </w:tc>
      </w:tr>
      <w:tr w:rsidR="007359C4" w:rsidRPr="00286395" w14:paraId="67FA1EC7" w14:textId="77777777" w:rsidTr="00386D94">
        <w:tc>
          <w:tcPr>
            <w:tcW w:w="4384" w:type="dxa"/>
          </w:tcPr>
          <w:p w14:paraId="5718F09D" w14:textId="77777777" w:rsidR="007359C4" w:rsidRPr="00286395" w:rsidRDefault="007359C4" w:rsidP="006D1DD6">
            <w:pPr>
              <w:tabs>
                <w:tab w:val="left" w:pos="6660"/>
              </w:tabs>
              <w:spacing w:after="120" w:line="300" w:lineRule="exact"/>
              <w:jc w:val="both"/>
              <w:rPr>
                <w:rFonts w:ascii="Times New Roman" w:hAnsi="Times New Roman"/>
                <w:bCs/>
                <w:iCs/>
                <w:sz w:val="24"/>
                <w:szCs w:val="24"/>
              </w:rPr>
            </w:pPr>
            <w:r w:rsidRPr="00286395">
              <w:rPr>
                <w:rFonts w:ascii="Times New Roman" w:hAnsi="Times New Roman"/>
                <w:sz w:val="24"/>
                <w:szCs w:val="24"/>
              </w:rPr>
              <w:t>Zjednodušení rozpočtování a vyúčtování záloh na dorovnávání úrokových rozdílů</w:t>
            </w:r>
          </w:p>
        </w:tc>
        <w:tc>
          <w:tcPr>
            <w:tcW w:w="4318" w:type="dxa"/>
          </w:tcPr>
          <w:p w14:paraId="72D39238" w14:textId="77777777" w:rsidR="00BA027E" w:rsidRDefault="00DF7836" w:rsidP="00900146">
            <w:pPr>
              <w:tabs>
                <w:tab w:val="left" w:pos="6660"/>
              </w:tabs>
              <w:spacing w:after="120" w:line="300" w:lineRule="exact"/>
              <w:jc w:val="both"/>
              <w:rPr>
                <w:rFonts w:ascii="Times New Roman" w:hAnsi="Times New Roman"/>
                <w:sz w:val="24"/>
                <w:szCs w:val="24"/>
              </w:rPr>
            </w:pPr>
            <w:r w:rsidRPr="00286395">
              <w:rPr>
                <w:rFonts w:ascii="Times New Roman" w:hAnsi="Times New Roman"/>
                <w:bCs/>
                <w:iCs/>
                <w:sz w:val="24"/>
                <w:szCs w:val="24"/>
              </w:rPr>
              <w:t>Věcné ekonomické riziko plynoucí z</w:t>
            </w:r>
            <w:r w:rsidR="00386D94" w:rsidRPr="00286395">
              <w:rPr>
                <w:rFonts w:ascii="Times New Roman" w:hAnsi="Times New Roman"/>
                <w:bCs/>
                <w:iCs/>
                <w:sz w:val="24"/>
                <w:szCs w:val="24"/>
              </w:rPr>
              <w:t xml:space="preserve"> možné nedostatečné alokace prostředků </w:t>
            </w:r>
            <w:r w:rsidR="007B4069" w:rsidRPr="00286395">
              <w:rPr>
                <w:rFonts w:ascii="Times New Roman" w:hAnsi="Times New Roman"/>
                <w:bCs/>
                <w:iCs/>
                <w:sz w:val="24"/>
                <w:szCs w:val="24"/>
              </w:rPr>
              <w:t xml:space="preserve">na </w:t>
            </w:r>
            <w:r w:rsidR="00386D94" w:rsidRPr="00286395">
              <w:rPr>
                <w:rFonts w:ascii="Times New Roman" w:hAnsi="Times New Roman"/>
                <w:sz w:val="24"/>
                <w:szCs w:val="24"/>
              </w:rPr>
              <w:t>záloh</w:t>
            </w:r>
            <w:r w:rsidR="007B4069" w:rsidRPr="00286395">
              <w:rPr>
                <w:rFonts w:ascii="Times New Roman" w:hAnsi="Times New Roman"/>
                <w:sz w:val="24"/>
                <w:szCs w:val="24"/>
              </w:rPr>
              <w:t>y</w:t>
            </w:r>
            <w:r w:rsidR="00386D94" w:rsidRPr="00286395">
              <w:rPr>
                <w:rFonts w:ascii="Times New Roman" w:hAnsi="Times New Roman"/>
                <w:sz w:val="24"/>
                <w:szCs w:val="24"/>
              </w:rPr>
              <w:t xml:space="preserve"> na dorovnávání úrokových rozdílů</w:t>
            </w:r>
            <w:r w:rsidR="007B4069" w:rsidRPr="00286395">
              <w:rPr>
                <w:rFonts w:ascii="Times New Roman" w:hAnsi="Times New Roman"/>
                <w:sz w:val="24"/>
                <w:szCs w:val="24"/>
              </w:rPr>
              <w:t xml:space="preserve"> ve státním rozpočtu. </w:t>
            </w:r>
          </w:p>
          <w:p w14:paraId="399D70B8" w14:textId="02DB4368" w:rsidR="007359C4" w:rsidRPr="00286395" w:rsidRDefault="007B4069" w:rsidP="0086236C">
            <w:pPr>
              <w:tabs>
                <w:tab w:val="left" w:pos="6660"/>
              </w:tabs>
              <w:spacing w:after="120" w:line="300" w:lineRule="exact"/>
              <w:jc w:val="both"/>
              <w:rPr>
                <w:rFonts w:ascii="Times New Roman" w:hAnsi="Times New Roman"/>
                <w:bCs/>
                <w:iCs/>
                <w:sz w:val="24"/>
                <w:szCs w:val="24"/>
              </w:rPr>
            </w:pPr>
            <w:r w:rsidRPr="00286395">
              <w:rPr>
                <w:rFonts w:ascii="Times New Roman" w:hAnsi="Times New Roman"/>
                <w:sz w:val="24"/>
                <w:szCs w:val="24"/>
              </w:rPr>
              <w:t>Riziko lze eliminovat efektivním plánováním potřeby záloh v jednotlivých letech v závislosti na</w:t>
            </w:r>
            <w:r w:rsidR="00900146">
              <w:rPr>
                <w:rFonts w:ascii="Times New Roman" w:hAnsi="Times New Roman"/>
                <w:sz w:val="24"/>
                <w:szCs w:val="24"/>
              </w:rPr>
              <w:t> </w:t>
            </w:r>
            <w:r w:rsidR="0067013E" w:rsidRPr="00286395">
              <w:rPr>
                <w:rFonts w:ascii="Times New Roman" w:hAnsi="Times New Roman"/>
                <w:sz w:val="24"/>
                <w:szCs w:val="24"/>
              </w:rPr>
              <w:t>poptávce po</w:t>
            </w:r>
            <w:r w:rsidR="00FE3F89">
              <w:rPr>
                <w:rFonts w:ascii="Times New Roman" w:hAnsi="Times New Roman"/>
                <w:sz w:val="24"/>
                <w:szCs w:val="24"/>
              </w:rPr>
              <w:t> </w:t>
            </w:r>
            <w:r w:rsidR="0067013E" w:rsidRPr="00286395">
              <w:rPr>
                <w:rFonts w:ascii="Times New Roman" w:hAnsi="Times New Roman"/>
                <w:sz w:val="24"/>
                <w:szCs w:val="24"/>
              </w:rPr>
              <w:t>dorovnávání úrokových rozdílů. Přínosy vzniklé úsporou nákl</w:t>
            </w:r>
            <w:r w:rsidR="00CF0E77" w:rsidRPr="00286395">
              <w:rPr>
                <w:rFonts w:ascii="Times New Roman" w:hAnsi="Times New Roman"/>
                <w:sz w:val="24"/>
                <w:szCs w:val="24"/>
              </w:rPr>
              <w:t>adů na řízení státního rozpočtu výrazně převýší důsledky vzniklého potenciálního rizika.</w:t>
            </w:r>
            <w:r w:rsidR="00B748E1">
              <w:rPr>
                <w:rFonts w:ascii="Times New Roman" w:hAnsi="Times New Roman"/>
                <w:sz w:val="24"/>
                <w:szCs w:val="24"/>
              </w:rPr>
              <w:t xml:space="preserve"> </w:t>
            </w:r>
          </w:p>
        </w:tc>
      </w:tr>
      <w:tr w:rsidR="007359C4" w:rsidRPr="00286395" w14:paraId="790E48B2" w14:textId="77777777" w:rsidTr="00386D94">
        <w:tc>
          <w:tcPr>
            <w:tcW w:w="4384" w:type="dxa"/>
          </w:tcPr>
          <w:p w14:paraId="017BB3A1" w14:textId="1629859D" w:rsidR="007359C4" w:rsidRPr="00286395" w:rsidRDefault="00C37979" w:rsidP="00D46213">
            <w:pPr>
              <w:tabs>
                <w:tab w:val="left" w:pos="6660"/>
              </w:tabs>
              <w:spacing w:after="120" w:line="300" w:lineRule="exact"/>
              <w:jc w:val="both"/>
              <w:rPr>
                <w:rFonts w:ascii="Times New Roman" w:hAnsi="Times New Roman"/>
                <w:bCs/>
                <w:iCs/>
                <w:sz w:val="24"/>
                <w:szCs w:val="24"/>
              </w:rPr>
            </w:pPr>
            <w:r w:rsidRPr="00286395">
              <w:rPr>
                <w:rFonts w:ascii="Times New Roman" w:hAnsi="Times New Roman"/>
                <w:sz w:val="24"/>
                <w:szCs w:val="24"/>
              </w:rPr>
              <w:t>Doplnění kontrolní pravomoci M</w:t>
            </w:r>
            <w:r w:rsidR="00D46213">
              <w:rPr>
                <w:rFonts w:ascii="Times New Roman" w:hAnsi="Times New Roman"/>
                <w:sz w:val="24"/>
                <w:szCs w:val="24"/>
              </w:rPr>
              <w:t>F</w:t>
            </w:r>
            <w:r w:rsidRPr="00286395">
              <w:rPr>
                <w:rFonts w:ascii="Times New Roman" w:hAnsi="Times New Roman"/>
                <w:sz w:val="24"/>
                <w:szCs w:val="24"/>
              </w:rPr>
              <w:t xml:space="preserve"> vůči exportní pojišťovně v souvislosti s poskytováním dotací ze</w:t>
            </w:r>
            <w:r w:rsidR="009B67B0">
              <w:rPr>
                <w:rFonts w:ascii="Times New Roman" w:hAnsi="Times New Roman"/>
                <w:sz w:val="24"/>
                <w:szCs w:val="24"/>
              </w:rPr>
              <w:t> </w:t>
            </w:r>
            <w:r w:rsidRPr="00286395">
              <w:rPr>
                <w:rFonts w:ascii="Times New Roman" w:hAnsi="Times New Roman"/>
                <w:sz w:val="24"/>
                <w:szCs w:val="24"/>
              </w:rPr>
              <w:t>státního rozpočtu na její činnost</w:t>
            </w:r>
          </w:p>
        </w:tc>
        <w:tc>
          <w:tcPr>
            <w:tcW w:w="4318" w:type="dxa"/>
          </w:tcPr>
          <w:p w14:paraId="01A6DA38" w14:textId="77777777" w:rsidR="007359C4" w:rsidRPr="00286395" w:rsidRDefault="00541D0B" w:rsidP="009B67B0">
            <w:pPr>
              <w:tabs>
                <w:tab w:val="left" w:pos="6660"/>
              </w:tabs>
              <w:spacing w:after="120" w:line="300" w:lineRule="exact"/>
              <w:jc w:val="both"/>
              <w:rPr>
                <w:rFonts w:ascii="Times New Roman" w:hAnsi="Times New Roman"/>
                <w:bCs/>
                <w:iCs/>
                <w:sz w:val="24"/>
                <w:szCs w:val="24"/>
              </w:rPr>
            </w:pPr>
            <w:r w:rsidRPr="00286395">
              <w:rPr>
                <w:rFonts w:ascii="Times New Roman" w:hAnsi="Times New Roman"/>
                <w:bCs/>
                <w:iCs/>
                <w:sz w:val="24"/>
                <w:szCs w:val="24"/>
              </w:rPr>
              <w:t xml:space="preserve">Právní riziko plynoucí pouze </w:t>
            </w:r>
            <w:r w:rsidR="00E909B0">
              <w:rPr>
                <w:rFonts w:ascii="Times New Roman" w:hAnsi="Times New Roman"/>
                <w:bCs/>
                <w:iCs/>
                <w:sz w:val="24"/>
                <w:szCs w:val="24"/>
              </w:rPr>
              <w:t xml:space="preserve">z </w:t>
            </w:r>
            <w:r w:rsidRPr="00286395">
              <w:rPr>
                <w:rFonts w:ascii="Times New Roman" w:hAnsi="Times New Roman"/>
                <w:bCs/>
                <w:iCs/>
                <w:sz w:val="24"/>
                <w:szCs w:val="24"/>
              </w:rPr>
              <w:t>obecného vymezení pravidel kontroly.</w:t>
            </w:r>
          </w:p>
        </w:tc>
      </w:tr>
    </w:tbl>
    <w:p w14:paraId="3407BC67" w14:textId="77777777" w:rsidR="00B53E45" w:rsidRDefault="00B53E45" w:rsidP="00EB147E">
      <w:pPr>
        <w:spacing w:before="120" w:after="120"/>
        <w:ind w:left="360"/>
        <w:rPr>
          <w:rFonts w:ascii="Times New Roman" w:hAnsi="Times New Roman"/>
          <w:sz w:val="24"/>
          <w:szCs w:val="24"/>
        </w:rPr>
      </w:pPr>
    </w:p>
    <w:p w14:paraId="27D37D95" w14:textId="77777777" w:rsidR="00F051FD" w:rsidRPr="00286395" w:rsidRDefault="00F051FD" w:rsidP="00EB147E">
      <w:pPr>
        <w:spacing w:before="120" w:after="120"/>
        <w:ind w:left="360"/>
        <w:rPr>
          <w:rFonts w:ascii="Times New Roman" w:hAnsi="Times New Roman"/>
          <w:b/>
          <w:sz w:val="24"/>
          <w:szCs w:val="24"/>
        </w:rPr>
      </w:pPr>
      <w:r w:rsidRPr="00286395">
        <w:rPr>
          <w:rFonts w:ascii="Times New Roman" w:hAnsi="Times New Roman"/>
          <w:b/>
          <w:sz w:val="24"/>
          <w:szCs w:val="24"/>
        </w:rPr>
        <w:t>2. Návrh variant řešení</w:t>
      </w:r>
    </w:p>
    <w:p w14:paraId="77857F83" w14:textId="77777777" w:rsidR="008034DD" w:rsidRPr="00286395" w:rsidRDefault="00F051FD" w:rsidP="00556B61">
      <w:pPr>
        <w:spacing w:before="120" w:after="120"/>
        <w:ind w:left="357"/>
        <w:jc w:val="both"/>
        <w:rPr>
          <w:rFonts w:ascii="Times New Roman" w:hAnsi="Times New Roman"/>
          <w:sz w:val="24"/>
          <w:szCs w:val="24"/>
        </w:rPr>
      </w:pPr>
      <w:r w:rsidRPr="00286395">
        <w:rPr>
          <w:rFonts w:ascii="Times New Roman" w:hAnsi="Times New Roman"/>
          <w:sz w:val="24"/>
          <w:szCs w:val="24"/>
        </w:rPr>
        <w:t>Analýzou skutkového stavu popsaného v rámci kapitoly 1.5, stanovením cílů vedoucích ke</w:t>
      </w:r>
      <w:r w:rsidR="009B67B0">
        <w:rPr>
          <w:rFonts w:ascii="Times New Roman" w:hAnsi="Times New Roman"/>
          <w:sz w:val="24"/>
          <w:szCs w:val="24"/>
        </w:rPr>
        <w:t> </w:t>
      </w:r>
      <w:r w:rsidRPr="00286395">
        <w:rPr>
          <w:rFonts w:ascii="Times New Roman" w:hAnsi="Times New Roman"/>
          <w:sz w:val="24"/>
          <w:szCs w:val="24"/>
        </w:rPr>
        <w:t>snížení, nebo odstranění identifikovaných rizik a zejména na základě konzultací se</w:t>
      </w:r>
      <w:r w:rsidR="009B67B0">
        <w:rPr>
          <w:rFonts w:ascii="Times New Roman" w:hAnsi="Times New Roman"/>
          <w:sz w:val="24"/>
          <w:szCs w:val="24"/>
        </w:rPr>
        <w:t> </w:t>
      </w:r>
      <w:r w:rsidRPr="00286395">
        <w:rPr>
          <w:rFonts w:ascii="Times New Roman" w:hAnsi="Times New Roman"/>
          <w:sz w:val="24"/>
          <w:szCs w:val="24"/>
        </w:rPr>
        <w:t>zástupci dotčených subjektů podnikatelské veřejnosti a státní správy jsou navrženy var</w:t>
      </w:r>
      <w:r w:rsidR="00CC02CB" w:rsidRPr="00286395">
        <w:rPr>
          <w:rFonts w:ascii="Times New Roman" w:hAnsi="Times New Roman"/>
          <w:sz w:val="24"/>
          <w:szCs w:val="24"/>
        </w:rPr>
        <w:t>ianty věcného a právního řešení v</w:t>
      </w:r>
      <w:r w:rsidR="00097075">
        <w:rPr>
          <w:rFonts w:ascii="Times New Roman" w:hAnsi="Times New Roman"/>
          <w:sz w:val="24"/>
          <w:szCs w:val="24"/>
        </w:rPr>
        <w:t xml:space="preserve"> jednotlivých </w:t>
      </w:r>
      <w:r w:rsidR="00CC02CB" w:rsidRPr="00286395">
        <w:rPr>
          <w:rFonts w:ascii="Times New Roman" w:hAnsi="Times New Roman"/>
          <w:sz w:val="24"/>
          <w:szCs w:val="24"/>
        </w:rPr>
        <w:t>oblastech</w:t>
      </w:r>
      <w:r w:rsidR="00097075">
        <w:rPr>
          <w:rFonts w:ascii="Times New Roman" w:hAnsi="Times New Roman"/>
          <w:sz w:val="24"/>
          <w:szCs w:val="24"/>
        </w:rPr>
        <w:t xml:space="preserve"> právní úpravy</w:t>
      </w:r>
      <w:r w:rsidR="00A87F64" w:rsidRPr="00286395">
        <w:rPr>
          <w:rFonts w:ascii="Times New Roman" w:hAnsi="Times New Roman"/>
          <w:sz w:val="24"/>
          <w:szCs w:val="24"/>
        </w:rPr>
        <w:t xml:space="preserve">. </w:t>
      </w:r>
      <w:r w:rsidR="008034DD" w:rsidRPr="00286395">
        <w:rPr>
          <w:rFonts w:ascii="Times New Roman" w:hAnsi="Times New Roman"/>
          <w:sz w:val="24"/>
          <w:szCs w:val="24"/>
        </w:rPr>
        <w:t>Způsob řešení nastíněných problémů byl podroben analýze a následujícímu hodnocení, přičemž byly zvažovány tyto varianty řešení:</w:t>
      </w:r>
    </w:p>
    <w:p w14:paraId="5779C23E" w14:textId="62D7CCA4" w:rsidR="00F051FD" w:rsidRPr="00286395" w:rsidRDefault="008034DD" w:rsidP="00EB147E">
      <w:pPr>
        <w:spacing w:before="120" w:after="120"/>
        <w:ind w:left="360"/>
        <w:rPr>
          <w:rFonts w:ascii="Times New Roman" w:hAnsi="Times New Roman"/>
          <w:bCs/>
          <w:sz w:val="24"/>
          <w:szCs w:val="24"/>
          <w:u w:val="single"/>
        </w:rPr>
      </w:pPr>
      <w:r w:rsidRPr="00286395">
        <w:rPr>
          <w:rFonts w:ascii="Times New Roman" w:hAnsi="Times New Roman"/>
          <w:bCs/>
          <w:sz w:val="24"/>
          <w:szCs w:val="24"/>
          <w:u w:val="single"/>
        </w:rPr>
        <w:t xml:space="preserve">A. </w:t>
      </w:r>
      <w:r w:rsidR="00C66F25" w:rsidRPr="00286395">
        <w:rPr>
          <w:rFonts w:ascii="Times New Roman" w:hAnsi="Times New Roman"/>
          <w:bCs/>
          <w:sz w:val="24"/>
          <w:szCs w:val="24"/>
          <w:u w:val="single"/>
        </w:rPr>
        <w:t>Flexibilnější nabídka exportní pojišťovny a exportní banky</w:t>
      </w:r>
    </w:p>
    <w:p w14:paraId="751DB5E3" w14:textId="77777777" w:rsidR="00504F08" w:rsidRPr="00504F08" w:rsidRDefault="00504F08" w:rsidP="00504F08">
      <w:pPr>
        <w:spacing w:before="120" w:after="120"/>
        <w:ind w:left="357"/>
        <w:jc w:val="both"/>
        <w:rPr>
          <w:rFonts w:ascii="Times New Roman" w:hAnsi="Times New Roman"/>
          <w:sz w:val="24"/>
          <w:szCs w:val="24"/>
        </w:rPr>
      </w:pPr>
      <w:r w:rsidRPr="00504F08">
        <w:rPr>
          <w:rFonts w:ascii="Times New Roman" w:hAnsi="Times New Roman"/>
          <w:sz w:val="24"/>
          <w:szCs w:val="24"/>
        </w:rPr>
        <w:t>Českým vývozcům nabízí</w:t>
      </w:r>
      <w:r w:rsidRPr="000420B9">
        <w:rPr>
          <w:rFonts w:ascii="Times New Roman" w:hAnsi="Times New Roman"/>
          <w:sz w:val="24"/>
          <w:szCs w:val="24"/>
        </w:rPr>
        <w:t xml:space="preserve"> </w:t>
      </w:r>
      <w:r w:rsidR="00EE41E2" w:rsidRPr="000420B9">
        <w:rPr>
          <w:rFonts w:ascii="Times New Roman" w:hAnsi="Times New Roman"/>
          <w:sz w:val="24"/>
          <w:szCs w:val="24"/>
        </w:rPr>
        <w:t>exportní pojišťovna</w:t>
      </w:r>
      <w:r w:rsidRPr="000420B9">
        <w:rPr>
          <w:rFonts w:ascii="Times New Roman" w:hAnsi="Times New Roman"/>
          <w:sz w:val="24"/>
          <w:szCs w:val="24"/>
        </w:rPr>
        <w:t xml:space="preserve"> </w:t>
      </w:r>
      <w:r w:rsidRPr="00504F08">
        <w:rPr>
          <w:rFonts w:ascii="Times New Roman" w:hAnsi="Times New Roman"/>
          <w:sz w:val="24"/>
          <w:szCs w:val="24"/>
        </w:rPr>
        <w:t xml:space="preserve">podporu prostřednictvím 11 pojistných </w:t>
      </w:r>
      <w:r w:rsidR="0032587D">
        <w:rPr>
          <w:rFonts w:ascii="Times New Roman" w:hAnsi="Times New Roman"/>
          <w:sz w:val="24"/>
          <w:szCs w:val="24"/>
        </w:rPr>
        <w:t>nástroj</w:t>
      </w:r>
      <w:r w:rsidRPr="00504F08">
        <w:rPr>
          <w:rFonts w:ascii="Times New Roman" w:hAnsi="Times New Roman"/>
          <w:sz w:val="24"/>
          <w:szCs w:val="24"/>
        </w:rPr>
        <w:t xml:space="preserve">ů, navržených tak, aby pokryly co nejširší spektrum rizik v průběhu různých fází vývozního případu či zahraniční investice. Aby dostál smyslu své existence, tedy součásti státní podpory českých exportérů, je jedním z kritérií poskytnutí podpory i minimální podíl českého zboží či služeb v rámci realizovaného projektu. </w:t>
      </w:r>
    </w:p>
    <w:p w14:paraId="0FD7BEDA" w14:textId="77777777" w:rsidR="00504F08" w:rsidRDefault="00504F08" w:rsidP="00504F08">
      <w:pPr>
        <w:spacing w:before="120" w:after="120"/>
        <w:ind w:left="357"/>
        <w:jc w:val="both"/>
        <w:rPr>
          <w:rFonts w:ascii="Times New Roman" w:hAnsi="Times New Roman"/>
          <w:sz w:val="24"/>
          <w:szCs w:val="24"/>
        </w:rPr>
      </w:pPr>
      <w:r w:rsidRPr="00504F08">
        <w:rPr>
          <w:rFonts w:ascii="Times New Roman" w:hAnsi="Times New Roman"/>
          <w:sz w:val="24"/>
          <w:szCs w:val="24"/>
        </w:rPr>
        <w:t xml:space="preserve">Ucelené portfolio pojistných produktů umožňuje vývozcům realizovat i obchodní případy, které by byly bez pojištění </w:t>
      </w:r>
      <w:r w:rsidR="00EE41E2" w:rsidRPr="000420B9">
        <w:rPr>
          <w:rFonts w:ascii="Times New Roman" w:hAnsi="Times New Roman"/>
          <w:sz w:val="24"/>
          <w:szCs w:val="24"/>
        </w:rPr>
        <w:t>exportní pojišťovnou</w:t>
      </w:r>
      <w:r w:rsidRPr="00504F08">
        <w:rPr>
          <w:rFonts w:ascii="Times New Roman" w:hAnsi="Times New Roman"/>
          <w:sz w:val="24"/>
          <w:szCs w:val="24"/>
        </w:rPr>
        <w:t xml:space="preserve"> obtížně uskutečnitelné. Návaznost jednotlivých pojistných produktů zároveň umožňuje vývozcům i financujícím bankám pokrýt v rámci jednoho vývozního případu veškerá rizika spojená s jeho financováním. </w:t>
      </w:r>
    </w:p>
    <w:p w14:paraId="62C16E8F" w14:textId="77777777" w:rsidR="0032587D" w:rsidRPr="00504F08" w:rsidRDefault="0032587D" w:rsidP="00504F08">
      <w:pPr>
        <w:spacing w:before="120" w:after="120"/>
        <w:ind w:left="357"/>
        <w:jc w:val="both"/>
        <w:rPr>
          <w:rFonts w:ascii="Times New Roman" w:hAnsi="Times New Roman"/>
          <w:sz w:val="24"/>
          <w:szCs w:val="24"/>
        </w:rPr>
      </w:pPr>
      <w:r>
        <w:rPr>
          <w:rFonts w:ascii="Times New Roman" w:hAnsi="Times New Roman"/>
          <w:sz w:val="24"/>
          <w:szCs w:val="24"/>
        </w:rPr>
        <w:t>Exportní pojišťovna v současné době nabízí tyto produkty:</w:t>
      </w:r>
    </w:p>
    <w:p w14:paraId="31BB5B16" w14:textId="77777777" w:rsidR="0032587D" w:rsidRPr="0032587D" w:rsidRDefault="0032587D" w:rsidP="0032587D">
      <w:pPr>
        <w:pStyle w:val="Odstavecseseznamem"/>
        <w:numPr>
          <w:ilvl w:val="0"/>
          <w:numId w:val="44"/>
        </w:numPr>
        <w:spacing w:before="120" w:after="120"/>
        <w:jc w:val="both"/>
        <w:rPr>
          <w:rFonts w:ascii="Times New Roman" w:hAnsi="Times New Roman"/>
          <w:sz w:val="24"/>
          <w:szCs w:val="24"/>
        </w:rPr>
      </w:pPr>
      <w:r w:rsidRPr="0032587D">
        <w:rPr>
          <w:rFonts w:ascii="Times New Roman" w:hAnsi="Times New Roman"/>
          <w:sz w:val="24"/>
          <w:szCs w:val="24"/>
        </w:rPr>
        <w:t>Pojištění krátkodobého vývozního dodavatelského úvěru (B)</w:t>
      </w:r>
    </w:p>
    <w:p w14:paraId="7BA22D7C" w14:textId="77777777" w:rsidR="0032587D" w:rsidRPr="0032587D" w:rsidRDefault="0032587D" w:rsidP="0032587D">
      <w:pPr>
        <w:pStyle w:val="Odstavecseseznamem"/>
        <w:numPr>
          <w:ilvl w:val="0"/>
          <w:numId w:val="44"/>
        </w:numPr>
        <w:spacing w:before="120" w:after="120"/>
        <w:jc w:val="both"/>
        <w:rPr>
          <w:rFonts w:ascii="Times New Roman" w:hAnsi="Times New Roman"/>
          <w:sz w:val="24"/>
          <w:szCs w:val="24"/>
        </w:rPr>
      </w:pPr>
      <w:r w:rsidRPr="0032587D">
        <w:rPr>
          <w:rFonts w:ascii="Times New Roman" w:hAnsi="Times New Roman"/>
          <w:sz w:val="24"/>
          <w:szCs w:val="24"/>
        </w:rPr>
        <w:t>Pojištění střednědobého a dlouhodobého vývozního dodavatelského úvěru (C)</w:t>
      </w:r>
    </w:p>
    <w:p w14:paraId="17B7EDBA" w14:textId="77777777" w:rsidR="0032587D" w:rsidRPr="0032587D" w:rsidRDefault="0032587D" w:rsidP="0032587D">
      <w:pPr>
        <w:pStyle w:val="Odstavecseseznamem"/>
        <w:numPr>
          <w:ilvl w:val="0"/>
          <w:numId w:val="44"/>
        </w:numPr>
        <w:spacing w:before="120" w:after="120"/>
        <w:jc w:val="both"/>
        <w:rPr>
          <w:rFonts w:ascii="Times New Roman" w:hAnsi="Times New Roman"/>
          <w:sz w:val="24"/>
          <w:szCs w:val="24"/>
        </w:rPr>
      </w:pPr>
      <w:r w:rsidRPr="0032587D">
        <w:rPr>
          <w:rFonts w:ascii="Times New Roman" w:hAnsi="Times New Roman"/>
          <w:sz w:val="24"/>
          <w:szCs w:val="24"/>
        </w:rPr>
        <w:t>Pojištění bankou financovaného krátkodobého vývozního dodavatelského úvěru (</w:t>
      </w:r>
      <w:proofErr w:type="spellStart"/>
      <w:r w:rsidRPr="0032587D">
        <w:rPr>
          <w:rFonts w:ascii="Times New Roman" w:hAnsi="Times New Roman"/>
          <w:sz w:val="24"/>
          <w:szCs w:val="24"/>
        </w:rPr>
        <w:t>Bf</w:t>
      </w:r>
      <w:proofErr w:type="spellEnd"/>
      <w:r w:rsidRPr="0032587D">
        <w:rPr>
          <w:rFonts w:ascii="Times New Roman" w:hAnsi="Times New Roman"/>
          <w:sz w:val="24"/>
          <w:szCs w:val="24"/>
        </w:rPr>
        <w:t>)</w:t>
      </w:r>
    </w:p>
    <w:p w14:paraId="0627BFD5" w14:textId="77777777" w:rsidR="0032587D" w:rsidRPr="0032587D" w:rsidRDefault="0032587D" w:rsidP="0032587D">
      <w:pPr>
        <w:pStyle w:val="Odstavecseseznamem"/>
        <w:numPr>
          <w:ilvl w:val="0"/>
          <w:numId w:val="44"/>
        </w:numPr>
        <w:spacing w:before="120" w:after="120"/>
        <w:jc w:val="both"/>
        <w:rPr>
          <w:rFonts w:ascii="Times New Roman" w:hAnsi="Times New Roman"/>
          <w:sz w:val="24"/>
          <w:szCs w:val="24"/>
        </w:rPr>
      </w:pPr>
      <w:r w:rsidRPr="0032587D">
        <w:rPr>
          <w:rFonts w:ascii="Times New Roman" w:hAnsi="Times New Roman"/>
          <w:sz w:val="24"/>
          <w:szCs w:val="24"/>
        </w:rPr>
        <w:t>Pojištění bankou financovaného střednědobého a dlouhodobého vývozního dodavatelského úvěru (</w:t>
      </w:r>
      <w:proofErr w:type="spellStart"/>
      <w:r w:rsidRPr="0032587D">
        <w:rPr>
          <w:rFonts w:ascii="Times New Roman" w:hAnsi="Times New Roman"/>
          <w:sz w:val="24"/>
          <w:szCs w:val="24"/>
        </w:rPr>
        <w:t>Cf</w:t>
      </w:r>
      <w:proofErr w:type="spellEnd"/>
      <w:r w:rsidRPr="0032587D">
        <w:rPr>
          <w:rFonts w:ascii="Times New Roman" w:hAnsi="Times New Roman"/>
          <w:sz w:val="24"/>
          <w:szCs w:val="24"/>
        </w:rPr>
        <w:t>)</w:t>
      </w:r>
    </w:p>
    <w:p w14:paraId="3DF6F7E4" w14:textId="77777777" w:rsidR="0032587D" w:rsidRPr="0032587D" w:rsidRDefault="0032587D" w:rsidP="0032587D">
      <w:pPr>
        <w:pStyle w:val="Odstavecseseznamem"/>
        <w:numPr>
          <w:ilvl w:val="0"/>
          <w:numId w:val="44"/>
        </w:numPr>
        <w:spacing w:before="120" w:after="120"/>
        <w:jc w:val="both"/>
        <w:rPr>
          <w:rFonts w:ascii="Times New Roman" w:hAnsi="Times New Roman"/>
          <w:sz w:val="24"/>
          <w:szCs w:val="24"/>
        </w:rPr>
      </w:pPr>
      <w:r w:rsidRPr="0032587D">
        <w:rPr>
          <w:rFonts w:ascii="Times New Roman" w:hAnsi="Times New Roman"/>
          <w:sz w:val="24"/>
          <w:szCs w:val="24"/>
        </w:rPr>
        <w:t>Pojištění vývozního odběratelského úvěru (D)</w:t>
      </w:r>
    </w:p>
    <w:p w14:paraId="4690B16E" w14:textId="77777777" w:rsidR="0032587D" w:rsidRPr="0032587D" w:rsidRDefault="0032587D" w:rsidP="0032587D">
      <w:pPr>
        <w:pStyle w:val="Odstavecseseznamem"/>
        <w:numPr>
          <w:ilvl w:val="0"/>
          <w:numId w:val="44"/>
        </w:numPr>
        <w:spacing w:before="120" w:after="120"/>
        <w:jc w:val="both"/>
        <w:rPr>
          <w:rFonts w:ascii="Times New Roman" w:hAnsi="Times New Roman"/>
          <w:sz w:val="24"/>
          <w:szCs w:val="24"/>
        </w:rPr>
      </w:pPr>
      <w:r w:rsidRPr="0032587D">
        <w:rPr>
          <w:rFonts w:ascii="Times New Roman" w:hAnsi="Times New Roman"/>
          <w:sz w:val="24"/>
          <w:szCs w:val="24"/>
        </w:rPr>
        <w:t xml:space="preserve">Pojištění potvrzeného akreditivu (E) </w:t>
      </w:r>
    </w:p>
    <w:p w14:paraId="37F3AD5E" w14:textId="77777777" w:rsidR="0032587D" w:rsidRPr="0032587D" w:rsidRDefault="0032587D" w:rsidP="0032587D">
      <w:pPr>
        <w:pStyle w:val="Odstavecseseznamem"/>
        <w:numPr>
          <w:ilvl w:val="0"/>
          <w:numId w:val="44"/>
        </w:numPr>
        <w:spacing w:before="120" w:after="120"/>
        <w:jc w:val="both"/>
        <w:rPr>
          <w:rFonts w:ascii="Times New Roman" w:hAnsi="Times New Roman"/>
          <w:sz w:val="24"/>
          <w:szCs w:val="24"/>
        </w:rPr>
      </w:pPr>
      <w:r w:rsidRPr="0032587D">
        <w:rPr>
          <w:rFonts w:ascii="Times New Roman" w:hAnsi="Times New Roman"/>
          <w:sz w:val="24"/>
          <w:szCs w:val="24"/>
        </w:rPr>
        <w:t xml:space="preserve">Pojištění úvěru na </w:t>
      </w:r>
      <w:proofErr w:type="spellStart"/>
      <w:r w:rsidRPr="0032587D">
        <w:rPr>
          <w:rFonts w:ascii="Times New Roman" w:hAnsi="Times New Roman"/>
          <w:sz w:val="24"/>
          <w:szCs w:val="24"/>
        </w:rPr>
        <w:t>předexportní</w:t>
      </w:r>
      <w:proofErr w:type="spellEnd"/>
      <w:r w:rsidRPr="0032587D">
        <w:rPr>
          <w:rFonts w:ascii="Times New Roman" w:hAnsi="Times New Roman"/>
          <w:sz w:val="24"/>
          <w:szCs w:val="24"/>
        </w:rPr>
        <w:t xml:space="preserve"> financování (F)</w:t>
      </w:r>
    </w:p>
    <w:p w14:paraId="1A4EB1EA" w14:textId="77777777" w:rsidR="0032587D" w:rsidRPr="0032587D" w:rsidRDefault="0032587D" w:rsidP="0032587D">
      <w:pPr>
        <w:pStyle w:val="Odstavecseseznamem"/>
        <w:numPr>
          <w:ilvl w:val="0"/>
          <w:numId w:val="44"/>
        </w:numPr>
        <w:spacing w:before="120" w:after="120"/>
        <w:jc w:val="both"/>
        <w:rPr>
          <w:rFonts w:ascii="Times New Roman" w:hAnsi="Times New Roman"/>
          <w:sz w:val="24"/>
          <w:szCs w:val="24"/>
        </w:rPr>
      </w:pPr>
      <w:r w:rsidRPr="0032587D">
        <w:rPr>
          <w:rFonts w:ascii="Times New Roman" w:hAnsi="Times New Roman"/>
          <w:sz w:val="24"/>
          <w:szCs w:val="24"/>
        </w:rPr>
        <w:t>Pojištění úvěru na investici v zahraničí (</w:t>
      </w:r>
      <w:proofErr w:type="spellStart"/>
      <w:r w:rsidRPr="0032587D">
        <w:rPr>
          <w:rFonts w:ascii="Times New Roman" w:hAnsi="Times New Roman"/>
          <w:sz w:val="24"/>
          <w:szCs w:val="24"/>
        </w:rPr>
        <w:t>If</w:t>
      </w:r>
      <w:proofErr w:type="spellEnd"/>
      <w:r w:rsidRPr="0032587D">
        <w:rPr>
          <w:rFonts w:ascii="Times New Roman" w:hAnsi="Times New Roman"/>
          <w:sz w:val="24"/>
          <w:szCs w:val="24"/>
        </w:rPr>
        <w:t>)</w:t>
      </w:r>
    </w:p>
    <w:p w14:paraId="580C0B6A" w14:textId="77777777" w:rsidR="0032587D" w:rsidRPr="0032587D" w:rsidRDefault="0032587D" w:rsidP="0032587D">
      <w:pPr>
        <w:pStyle w:val="Odstavecseseznamem"/>
        <w:numPr>
          <w:ilvl w:val="0"/>
          <w:numId w:val="44"/>
        </w:numPr>
        <w:spacing w:before="120" w:after="120"/>
        <w:jc w:val="both"/>
        <w:rPr>
          <w:rFonts w:ascii="Times New Roman" w:hAnsi="Times New Roman"/>
          <w:sz w:val="24"/>
          <w:szCs w:val="24"/>
        </w:rPr>
      </w:pPr>
      <w:r w:rsidRPr="0032587D">
        <w:rPr>
          <w:rFonts w:ascii="Times New Roman" w:hAnsi="Times New Roman"/>
          <w:sz w:val="24"/>
          <w:szCs w:val="24"/>
        </w:rPr>
        <w:t>Pojištění investic v zahraničí (I)</w:t>
      </w:r>
    </w:p>
    <w:p w14:paraId="611EBE31" w14:textId="77777777" w:rsidR="0032587D" w:rsidRPr="0032587D" w:rsidRDefault="0032587D" w:rsidP="0032587D">
      <w:pPr>
        <w:pStyle w:val="Odstavecseseznamem"/>
        <w:numPr>
          <w:ilvl w:val="0"/>
          <w:numId w:val="44"/>
        </w:numPr>
        <w:spacing w:before="120" w:after="120"/>
        <w:jc w:val="both"/>
        <w:rPr>
          <w:rFonts w:ascii="Times New Roman" w:hAnsi="Times New Roman"/>
          <w:sz w:val="24"/>
          <w:szCs w:val="24"/>
        </w:rPr>
      </w:pPr>
      <w:r w:rsidRPr="0032587D">
        <w:rPr>
          <w:rFonts w:ascii="Times New Roman" w:hAnsi="Times New Roman"/>
          <w:sz w:val="24"/>
          <w:szCs w:val="24"/>
        </w:rPr>
        <w:t>Pojištění proti riziku nemožnosti plnění smlouvy o vývozu (V)</w:t>
      </w:r>
    </w:p>
    <w:p w14:paraId="73735216" w14:textId="77777777" w:rsidR="0032587D" w:rsidRDefault="0032587D" w:rsidP="0032587D">
      <w:pPr>
        <w:pStyle w:val="Odstavecseseznamem"/>
        <w:numPr>
          <w:ilvl w:val="0"/>
          <w:numId w:val="44"/>
        </w:numPr>
        <w:spacing w:before="120" w:after="120"/>
        <w:jc w:val="both"/>
        <w:rPr>
          <w:rFonts w:ascii="Times New Roman" w:hAnsi="Times New Roman"/>
          <w:sz w:val="24"/>
          <w:szCs w:val="24"/>
        </w:rPr>
      </w:pPr>
      <w:r w:rsidRPr="0032587D">
        <w:rPr>
          <w:rFonts w:ascii="Times New Roman" w:hAnsi="Times New Roman"/>
          <w:sz w:val="24"/>
          <w:szCs w:val="24"/>
        </w:rPr>
        <w:t>Pojištění bankovní záruky vystavené v souvislosti se získáním nebo plněním smlouvy o vývozu (Z)</w:t>
      </w:r>
    </w:p>
    <w:p w14:paraId="2A211299" w14:textId="7CAA5483" w:rsidR="001B07F1" w:rsidRPr="001B07F1" w:rsidRDefault="001B07F1" w:rsidP="001B07F1">
      <w:pPr>
        <w:spacing w:before="120" w:after="120"/>
        <w:ind w:left="357"/>
        <w:jc w:val="both"/>
        <w:rPr>
          <w:rFonts w:ascii="Times New Roman" w:hAnsi="Times New Roman"/>
          <w:sz w:val="24"/>
          <w:szCs w:val="24"/>
        </w:rPr>
      </w:pPr>
      <w:r w:rsidRPr="001B07F1">
        <w:rPr>
          <w:rFonts w:ascii="Times New Roman" w:hAnsi="Times New Roman"/>
          <w:sz w:val="24"/>
          <w:szCs w:val="24"/>
        </w:rPr>
        <w:t>V praxi se stále častěji setkáváme s kombinací pojištění výrobního rizika (pojištění V) a</w:t>
      </w:r>
      <w:r>
        <w:rPr>
          <w:rFonts w:ascii="Times New Roman" w:hAnsi="Times New Roman"/>
          <w:sz w:val="24"/>
          <w:szCs w:val="24"/>
        </w:rPr>
        <w:t> </w:t>
      </w:r>
      <w:r w:rsidRPr="001B07F1">
        <w:rPr>
          <w:rFonts w:ascii="Times New Roman" w:hAnsi="Times New Roman"/>
          <w:sz w:val="24"/>
          <w:szCs w:val="24"/>
        </w:rPr>
        <w:t>pojištění rizika nezaplacení pohledávky za dodávky realizované českým vývozcem do</w:t>
      </w:r>
      <w:r w:rsidR="003F4DFB">
        <w:rPr>
          <w:rFonts w:ascii="Times New Roman" w:hAnsi="Times New Roman"/>
          <w:sz w:val="24"/>
          <w:szCs w:val="24"/>
        </w:rPr>
        <w:t> </w:t>
      </w:r>
      <w:r w:rsidRPr="001B07F1">
        <w:rPr>
          <w:rFonts w:ascii="Times New Roman" w:hAnsi="Times New Roman"/>
          <w:sz w:val="24"/>
          <w:szCs w:val="24"/>
        </w:rPr>
        <w:t>zahraničí (pojištění dodavatelského úvěru – krátkodobého B/dlouhodobého C, pojištění vývozního odběratelského úvěru D). Dalšími často využívanými produkty jsou pojištění bankovních záruk (pojištění Z) – záruka za nabídku, akontační záruka nebo záruka za</w:t>
      </w:r>
      <w:r w:rsidR="003F4DFB">
        <w:rPr>
          <w:rFonts w:ascii="Times New Roman" w:hAnsi="Times New Roman"/>
          <w:sz w:val="24"/>
          <w:szCs w:val="24"/>
        </w:rPr>
        <w:t> </w:t>
      </w:r>
      <w:r w:rsidRPr="001B07F1">
        <w:rPr>
          <w:rFonts w:ascii="Times New Roman" w:hAnsi="Times New Roman"/>
          <w:sz w:val="24"/>
          <w:szCs w:val="24"/>
        </w:rPr>
        <w:t xml:space="preserve">řádné provedení či zádržné v kombinaci s pojištěním vývozního odběratelského úvěru (pojištění D), kterým je úvěr poskytovaný zahraničnímu odběrateli na financování dodávky zboží či služeb českého vývozce. </w:t>
      </w:r>
    </w:p>
    <w:p w14:paraId="51D3541E" w14:textId="77777777" w:rsidR="001B07F1" w:rsidRPr="001B07F1" w:rsidRDefault="001B07F1" w:rsidP="001B07F1">
      <w:pPr>
        <w:spacing w:before="120" w:after="120"/>
        <w:ind w:left="357"/>
        <w:jc w:val="both"/>
        <w:rPr>
          <w:rFonts w:ascii="Times New Roman" w:hAnsi="Times New Roman"/>
          <w:sz w:val="24"/>
          <w:szCs w:val="24"/>
        </w:rPr>
      </w:pPr>
      <w:r w:rsidRPr="001B07F1">
        <w:rPr>
          <w:rFonts w:ascii="Times New Roman" w:hAnsi="Times New Roman"/>
          <w:sz w:val="24"/>
          <w:szCs w:val="24"/>
        </w:rPr>
        <w:t xml:space="preserve">K bankovním produktům, které mohou vývozci využít při realizaci vývozů, se řadí úvěry na </w:t>
      </w:r>
      <w:proofErr w:type="spellStart"/>
      <w:r w:rsidRPr="001B07F1">
        <w:rPr>
          <w:rFonts w:ascii="Times New Roman" w:hAnsi="Times New Roman"/>
          <w:sz w:val="24"/>
          <w:szCs w:val="24"/>
        </w:rPr>
        <w:t>předexportní</w:t>
      </w:r>
      <w:proofErr w:type="spellEnd"/>
      <w:r w:rsidRPr="001B07F1">
        <w:rPr>
          <w:rFonts w:ascii="Times New Roman" w:hAnsi="Times New Roman"/>
          <w:sz w:val="24"/>
          <w:szCs w:val="24"/>
        </w:rPr>
        <w:t xml:space="preserve"> financování (pojištění F), bankou odkoupené vývozní pohledávky (pojištění dodavatelského úvěru – krátkodobého </w:t>
      </w:r>
      <w:proofErr w:type="spellStart"/>
      <w:r w:rsidRPr="001B07F1">
        <w:rPr>
          <w:rFonts w:ascii="Times New Roman" w:hAnsi="Times New Roman"/>
          <w:sz w:val="24"/>
          <w:szCs w:val="24"/>
        </w:rPr>
        <w:t>Bf</w:t>
      </w:r>
      <w:proofErr w:type="spellEnd"/>
      <w:r w:rsidRPr="001B07F1">
        <w:rPr>
          <w:rFonts w:ascii="Times New Roman" w:hAnsi="Times New Roman"/>
          <w:sz w:val="24"/>
          <w:szCs w:val="24"/>
        </w:rPr>
        <w:t xml:space="preserve">/dlouhodobého </w:t>
      </w:r>
      <w:proofErr w:type="spellStart"/>
      <w:r w:rsidRPr="001B07F1">
        <w:rPr>
          <w:rFonts w:ascii="Times New Roman" w:hAnsi="Times New Roman"/>
          <w:sz w:val="24"/>
          <w:szCs w:val="24"/>
        </w:rPr>
        <w:t>Cf</w:t>
      </w:r>
      <w:proofErr w:type="spellEnd"/>
      <w:r w:rsidRPr="001B07F1">
        <w:rPr>
          <w:rFonts w:ascii="Times New Roman" w:hAnsi="Times New Roman"/>
          <w:sz w:val="24"/>
          <w:szCs w:val="24"/>
        </w:rPr>
        <w:t xml:space="preserve">), případně pojištění potvrzeného akreditivu vystaveného zahraniční bankou E. </w:t>
      </w:r>
    </w:p>
    <w:p w14:paraId="334EE940" w14:textId="18A6715C" w:rsidR="001B07F1" w:rsidRPr="001B07F1" w:rsidRDefault="001B07F1" w:rsidP="001B07F1">
      <w:pPr>
        <w:spacing w:before="120" w:after="120"/>
        <w:ind w:left="357"/>
        <w:jc w:val="both"/>
        <w:rPr>
          <w:rFonts w:ascii="Times New Roman" w:hAnsi="Times New Roman"/>
          <w:sz w:val="24"/>
          <w:szCs w:val="24"/>
        </w:rPr>
      </w:pPr>
      <w:r w:rsidRPr="001B07F1">
        <w:rPr>
          <w:rFonts w:ascii="Times New Roman" w:hAnsi="Times New Roman"/>
          <w:sz w:val="24"/>
          <w:szCs w:val="24"/>
        </w:rPr>
        <w:t>Pojištění pamatuje také na české investory, kteří mohou využít možnosti pojištění investic proti politickým rizikům v zahraničí, zejména riziku vyvlastnění, politickým násilným činům nebo nemožnosti konverze výnosů z investice z hostitelské země (pojištění I), popř.</w:t>
      </w:r>
      <w:r w:rsidR="003F4DFB">
        <w:rPr>
          <w:rFonts w:ascii="Times New Roman" w:hAnsi="Times New Roman"/>
          <w:sz w:val="24"/>
          <w:szCs w:val="24"/>
        </w:rPr>
        <w:t> </w:t>
      </w:r>
      <w:r w:rsidRPr="001B07F1">
        <w:rPr>
          <w:rFonts w:ascii="Times New Roman" w:hAnsi="Times New Roman"/>
          <w:sz w:val="24"/>
          <w:szCs w:val="24"/>
        </w:rPr>
        <w:t xml:space="preserve">prostřednictvím banky financovat pořízení investice v zahraničí (pojištění </w:t>
      </w:r>
      <w:proofErr w:type="spellStart"/>
      <w:r w:rsidRPr="001B07F1">
        <w:rPr>
          <w:rFonts w:ascii="Times New Roman" w:hAnsi="Times New Roman"/>
          <w:sz w:val="24"/>
          <w:szCs w:val="24"/>
        </w:rPr>
        <w:t>If</w:t>
      </w:r>
      <w:proofErr w:type="spellEnd"/>
      <w:r w:rsidRPr="001B07F1">
        <w:rPr>
          <w:rFonts w:ascii="Times New Roman" w:hAnsi="Times New Roman"/>
          <w:sz w:val="24"/>
          <w:szCs w:val="24"/>
        </w:rPr>
        <w:t xml:space="preserve">). </w:t>
      </w:r>
    </w:p>
    <w:p w14:paraId="75571ABB" w14:textId="6EBF1DCD" w:rsidR="00504F08" w:rsidRDefault="001B07F1" w:rsidP="001B07F1">
      <w:pPr>
        <w:spacing w:before="120" w:after="120"/>
        <w:ind w:left="357"/>
        <w:jc w:val="both"/>
        <w:rPr>
          <w:rFonts w:ascii="Times New Roman" w:hAnsi="Times New Roman"/>
          <w:sz w:val="24"/>
          <w:szCs w:val="24"/>
        </w:rPr>
      </w:pPr>
      <w:r w:rsidRPr="001B07F1">
        <w:rPr>
          <w:rFonts w:ascii="Times New Roman" w:hAnsi="Times New Roman"/>
          <w:sz w:val="24"/>
          <w:szCs w:val="24"/>
        </w:rPr>
        <w:t>Novinkami roku 2018 jsou mj. rozšíření zjednodušených procedur pro MSP o pojištění dlouhodobých dodavatelských úvěrů, včetně možnosti jejich odkoupení financující bankou. Nově byla též u pojištění dodavatelských úvěrů formulována problematika při</w:t>
      </w:r>
      <w:r w:rsidR="003F4DFB">
        <w:rPr>
          <w:rFonts w:ascii="Times New Roman" w:hAnsi="Times New Roman"/>
          <w:sz w:val="24"/>
          <w:szCs w:val="24"/>
        </w:rPr>
        <w:t> </w:t>
      </w:r>
      <w:r w:rsidRPr="001B07F1">
        <w:rPr>
          <w:rFonts w:ascii="Times New Roman" w:hAnsi="Times New Roman"/>
          <w:sz w:val="24"/>
          <w:szCs w:val="24"/>
        </w:rPr>
        <w:t>práci s</w:t>
      </w:r>
      <w:r>
        <w:rPr>
          <w:rFonts w:ascii="Times New Roman" w:hAnsi="Times New Roman"/>
          <w:sz w:val="24"/>
          <w:szCs w:val="24"/>
        </w:rPr>
        <w:t> </w:t>
      </w:r>
      <w:r w:rsidRPr="001B07F1">
        <w:rPr>
          <w:rFonts w:ascii="Times New Roman" w:hAnsi="Times New Roman"/>
          <w:sz w:val="24"/>
          <w:szCs w:val="24"/>
        </w:rPr>
        <w:t>akreditivy.</w:t>
      </w:r>
    </w:p>
    <w:p w14:paraId="0A1CC945" w14:textId="21C1639D" w:rsidR="009D5D45" w:rsidRDefault="009D5D45" w:rsidP="009D5D45">
      <w:pPr>
        <w:spacing w:before="120" w:after="120"/>
        <w:ind w:left="357"/>
        <w:jc w:val="both"/>
        <w:rPr>
          <w:rFonts w:ascii="Times New Roman" w:hAnsi="Times New Roman"/>
          <w:sz w:val="24"/>
          <w:szCs w:val="24"/>
        </w:rPr>
      </w:pPr>
      <w:r>
        <w:rPr>
          <w:rFonts w:ascii="Times New Roman" w:hAnsi="Times New Roman"/>
          <w:sz w:val="24"/>
          <w:szCs w:val="24"/>
        </w:rPr>
        <w:t xml:space="preserve">Českým dodavatelům pro vývoz, vývozcům, investorům v zahraničí i jejich bankám nabízí exportní banka širokou paletu úvěrových, záručních a </w:t>
      </w:r>
      <w:proofErr w:type="spellStart"/>
      <w:r>
        <w:rPr>
          <w:rFonts w:ascii="Times New Roman" w:hAnsi="Times New Roman"/>
          <w:sz w:val="24"/>
          <w:szCs w:val="24"/>
        </w:rPr>
        <w:t>trade</w:t>
      </w:r>
      <w:proofErr w:type="spellEnd"/>
      <w:r>
        <w:rPr>
          <w:rFonts w:ascii="Times New Roman" w:hAnsi="Times New Roman"/>
          <w:sz w:val="24"/>
          <w:szCs w:val="24"/>
        </w:rPr>
        <w:t xml:space="preserve"> finance produktů. Nabídka exportní banky pokrývá všechny fáze exportního cyklu, od záruk za nabídku ve</w:t>
      </w:r>
      <w:r w:rsidR="00820ABE">
        <w:rPr>
          <w:rFonts w:ascii="Times New Roman" w:hAnsi="Times New Roman"/>
          <w:sz w:val="24"/>
          <w:szCs w:val="24"/>
        </w:rPr>
        <w:t> </w:t>
      </w:r>
      <w:r>
        <w:rPr>
          <w:rFonts w:ascii="Times New Roman" w:hAnsi="Times New Roman"/>
          <w:sz w:val="24"/>
          <w:szCs w:val="24"/>
        </w:rPr>
        <w:t xml:space="preserve">výběrovém řízení a </w:t>
      </w:r>
      <w:proofErr w:type="spellStart"/>
      <w:r>
        <w:rPr>
          <w:rFonts w:ascii="Times New Roman" w:hAnsi="Times New Roman"/>
          <w:sz w:val="24"/>
          <w:szCs w:val="24"/>
        </w:rPr>
        <w:t>předexportní</w:t>
      </w:r>
      <w:proofErr w:type="spellEnd"/>
      <w:r>
        <w:rPr>
          <w:rFonts w:ascii="Times New Roman" w:hAnsi="Times New Roman"/>
          <w:sz w:val="24"/>
          <w:szCs w:val="24"/>
        </w:rPr>
        <w:t xml:space="preserve"> financování, přes krátkodobé a dlouhodobé odběratelské a dodavatelské úvěry, až po financování investic v zahraničí, odkup pohledávek nebo dokumentární platby. Jmenovitě se jedná o následující produktové kategorie:</w:t>
      </w:r>
    </w:p>
    <w:p w14:paraId="0850FE46" w14:textId="77777777" w:rsidR="009D5D45" w:rsidRDefault="009D5D45" w:rsidP="009D5D45">
      <w:pPr>
        <w:spacing w:before="120" w:after="120"/>
        <w:ind w:left="357"/>
        <w:jc w:val="both"/>
        <w:rPr>
          <w:rFonts w:ascii="Times New Roman" w:hAnsi="Times New Roman"/>
          <w:sz w:val="24"/>
          <w:szCs w:val="24"/>
        </w:rPr>
      </w:pPr>
      <w:r>
        <w:rPr>
          <w:rFonts w:ascii="Times New Roman" w:hAnsi="Times New Roman"/>
          <w:sz w:val="24"/>
          <w:szCs w:val="24"/>
        </w:rPr>
        <w:t>Úvěrové produkty (krátkodobé a dlouhodobé, přímé a refinanční)</w:t>
      </w:r>
    </w:p>
    <w:p w14:paraId="36CE4B7E" w14:textId="5A537D4C" w:rsidR="009D5D45" w:rsidRDefault="009D5D45" w:rsidP="009D5D45">
      <w:pPr>
        <w:pStyle w:val="Odstavecseseznamem"/>
        <w:numPr>
          <w:ilvl w:val="0"/>
          <w:numId w:val="44"/>
        </w:numPr>
        <w:spacing w:before="120" w:after="120"/>
        <w:jc w:val="both"/>
        <w:rPr>
          <w:rFonts w:ascii="Times New Roman" w:hAnsi="Times New Roman"/>
          <w:sz w:val="24"/>
          <w:szCs w:val="24"/>
        </w:rPr>
      </w:pPr>
      <w:r w:rsidRPr="009D5D45">
        <w:rPr>
          <w:rFonts w:ascii="Times New Roman" w:hAnsi="Times New Roman"/>
          <w:sz w:val="24"/>
          <w:szCs w:val="24"/>
        </w:rPr>
        <w:t>Úvěr na financování výroby pro vývoz, který umožňuje financovat náklady spojené s realizací dodávek pro zahraničního dovozce</w:t>
      </w:r>
      <w:r>
        <w:rPr>
          <w:rFonts w:ascii="Times New Roman" w:hAnsi="Times New Roman"/>
          <w:sz w:val="24"/>
          <w:szCs w:val="24"/>
        </w:rPr>
        <w:t xml:space="preserve"> v souladu se Smlouvou o vývozu</w:t>
      </w:r>
    </w:p>
    <w:p w14:paraId="2332E8EE" w14:textId="1DA92B4E" w:rsidR="009D5D45" w:rsidRPr="009D5D45" w:rsidRDefault="009D5D45" w:rsidP="009D5D45">
      <w:pPr>
        <w:pStyle w:val="Odstavecseseznamem"/>
        <w:numPr>
          <w:ilvl w:val="0"/>
          <w:numId w:val="44"/>
        </w:numPr>
        <w:spacing w:before="120" w:after="120"/>
        <w:jc w:val="both"/>
        <w:rPr>
          <w:rFonts w:ascii="Times New Roman" w:hAnsi="Times New Roman"/>
          <w:sz w:val="24"/>
          <w:szCs w:val="24"/>
        </w:rPr>
      </w:pPr>
      <w:r w:rsidRPr="009D5D45">
        <w:rPr>
          <w:rFonts w:ascii="Times New Roman" w:hAnsi="Times New Roman"/>
          <w:sz w:val="24"/>
          <w:szCs w:val="24"/>
        </w:rPr>
        <w:t>Vývozní dodavatelský úvěr, který umožňuje profinancovat pohledávky vůči zahraničnímu dovozci</w:t>
      </w:r>
      <w:r>
        <w:rPr>
          <w:rFonts w:ascii="Times New Roman" w:hAnsi="Times New Roman"/>
          <w:sz w:val="24"/>
          <w:szCs w:val="24"/>
        </w:rPr>
        <w:t xml:space="preserve"> v souladu se Smlouvou o vývozu</w:t>
      </w:r>
    </w:p>
    <w:p w14:paraId="731EC93A" w14:textId="529D039A" w:rsidR="009D5D45" w:rsidRDefault="009D5D45" w:rsidP="009D5D45">
      <w:pPr>
        <w:pStyle w:val="Odstavecseseznamem"/>
        <w:numPr>
          <w:ilvl w:val="0"/>
          <w:numId w:val="44"/>
        </w:numPr>
        <w:spacing w:before="120" w:after="120"/>
        <w:jc w:val="both"/>
        <w:rPr>
          <w:rFonts w:ascii="Times New Roman" w:hAnsi="Times New Roman"/>
          <w:sz w:val="24"/>
          <w:szCs w:val="24"/>
        </w:rPr>
      </w:pPr>
      <w:r w:rsidRPr="009D5D45">
        <w:rPr>
          <w:rFonts w:ascii="Times New Roman" w:hAnsi="Times New Roman"/>
          <w:sz w:val="24"/>
          <w:szCs w:val="24"/>
        </w:rPr>
        <w:t>Vývozní odběratelský úvěr, který umožňuje realizaci dodávek pro zahraniční dovozce v souladu se Smlouvou o vývozu. Příjem</w:t>
      </w:r>
      <w:r>
        <w:rPr>
          <w:rFonts w:ascii="Times New Roman" w:hAnsi="Times New Roman"/>
          <w:sz w:val="24"/>
          <w:szCs w:val="24"/>
        </w:rPr>
        <w:t>cem úvěru je zahraniční dovozce</w:t>
      </w:r>
    </w:p>
    <w:p w14:paraId="7F1A9CF1" w14:textId="5215427E" w:rsidR="009D5D45" w:rsidRPr="009D5D45" w:rsidRDefault="009D5D45" w:rsidP="009D5D45">
      <w:pPr>
        <w:pStyle w:val="Odstavecseseznamem"/>
        <w:numPr>
          <w:ilvl w:val="0"/>
          <w:numId w:val="44"/>
        </w:numPr>
        <w:spacing w:before="120" w:after="120"/>
        <w:jc w:val="both"/>
        <w:rPr>
          <w:rFonts w:ascii="Times New Roman" w:hAnsi="Times New Roman"/>
          <w:sz w:val="24"/>
          <w:szCs w:val="24"/>
        </w:rPr>
      </w:pPr>
      <w:r w:rsidRPr="009D5D45">
        <w:rPr>
          <w:rFonts w:ascii="Times New Roman" w:hAnsi="Times New Roman"/>
          <w:sz w:val="24"/>
          <w:szCs w:val="24"/>
        </w:rPr>
        <w:t>Úvěr na investice v zahraničí, který umožňuje získat úvěrové zdroje pro realizaci investice českého investora nebo jím o</w:t>
      </w:r>
      <w:r>
        <w:rPr>
          <w:rFonts w:ascii="Times New Roman" w:hAnsi="Times New Roman"/>
          <w:sz w:val="24"/>
          <w:szCs w:val="24"/>
        </w:rPr>
        <w:t>vládané společnosti v zahraničí</w:t>
      </w:r>
    </w:p>
    <w:p w14:paraId="1DA468BD" w14:textId="77EF1A36" w:rsidR="009D5D45" w:rsidRPr="009D5D45" w:rsidRDefault="009D5D45" w:rsidP="00C21954">
      <w:pPr>
        <w:pStyle w:val="Odstavecseseznamem"/>
        <w:numPr>
          <w:ilvl w:val="0"/>
          <w:numId w:val="44"/>
        </w:numPr>
        <w:spacing w:before="120" w:after="120"/>
        <w:jc w:val="both"/>
        <w:rPr>
          <w:rFonts w:ascii="Times New Roman" w:hAnsi="Times New Roman"/>
          <w:sz w:val="24"/>
          <w:szCs w:val="24"/>
        </w:rPr>
      </w:pPr>
      <w:r w:rsidRPr="009D5D45">
        <w:rPr>
          <w:rFonts w:ascii="Times New Roman" w:hAnsi="Times New Roman"/>
          <w:sz w:val="24"/>
          <w:szCs w:val="24"/>
        </w:rPr>
        <w:t>Úvěr na odkup pohledávek vývozce, který umožňuje nebankovní společnosti získat finanční prostředky na odkup pohledávek českého vývozce souvisejících s vývozem v souladu se Smlouvou o vývozu</w:t>
      </w:r>
    </w:p>
    <w:p w14:paraId="4752E032" w14:textId="77777777" w:rsidR="009D5D45" w:rsidRDefault="009D5D45" w:rsidP="00820ABE">
      <w:pPr>
        <w:spacing w:before="120" w:after="120"/>
        <w:ind w:left="357"/>
        <w:jc w:val="both"/>
        <w:rPr>
          <w:rFonts w:ascii="Times New Roman" w:hAnsi="Times New Roman"/>
          <w:sz w:val="24"/>
          <w:szCs w:val="24"/>
        </w:rPr>
      </w:pPr>
      <w:r>
        <w:rPr>
          <w:rFonts w:ascii="Times New Roman" w:hAnsi="Times New Roman"/>
          <w:sz w:val="24"/>
          <w:szCs w:val="24"/>
        </w:rPr>
        <w:t xml:space="preserve">Produkty </w:t>
      </w:r>
      <w:proofErr w:type="spellStart"/>
      <w:r>
        <w:rPr>
          <w:rFonts w:ascii="Times New Roman" w:hAnsi="Times New Roman"/>
          <w:sz w:val="24"/>
          <w:szCs w:val="24"/>
        </w:rPr>
        <w:t>trade</w:t>
      </w:r>
      <w:proofErr w:type="spellEnd"/>
      <w:r>
        <w:rPr>
          <w:rFonts w:ascii="Times New Roman" w:hAnsi="Times New Roman"/>
          <w:sz w:val="24"/>
          <w:szCs w:val="24"/>
        </w:rPr>
        <w:t xml:space="preserve"> finance</w:t>
      </w:r>
    </w:p>
    <w:p w14:paraId="436EED01" w14:textId="77777777" w:rsidR="009D5D45" w:rsidRDefault="009D5D45" w:rsidP="009D5D45">
      <w:pPr>
        <w:pStyle w:val="Odstavecseseznamem"/>
        <w:numPr>
          <w:ilvl w:val="0"/>
          <w:numId w:val="44"/>
        </w:numPr>
        <w:spacing w:before="120" w:after="120"/>
        <w:jc w:val="both"/>
        <w:rPr>
          <w:rFonts w:ascii="Times New Roman" w:hAnsi="Times New Roman"/>
          <w:sz w:val="24"/>
          <w:szCs w:val="24"/>
        </w:rPr>
      </w:pPr>
      <w:r w:rsidRPr="009D5D45">
        <w:rPr>
          <w:rFonts w:ascii="Times New Roman" w:hAnsi="Times New Roman"/>
          <w:sz w:val="24"/>
          <w:szCs w:val="24"/>
        </w:rPr>
        <w:t>Bankovní záruky – Záruka za nabídku (</w:t>
      </w:r>
      <w:proofErr w:type="spellStart"/>
      <w:r w:rsidRPr="009D5D45">
        <w:rPr>
          <w:rFonts w:ascii="Times New Roman" w:hAnsi="Times New Roman"/>
          <w:sz w:val="24"/>
          <w:szCs w:val="24"/>
        </w:rPr>
        <w:t>Bid</w:t>
      </w:r>
      <w:proofErr w:type="spellEnd"/>
      <w:r w:rsidRPr="009D5D45">
        <w:rPr>
          <w:rFonts w:ascii="Times New Roman" w:hAnsi="Times New Roman"/>
          <w:sz w:val="24"/>
          <w:szCs w:val="24"/>
        </w:rPr>
        <w:t xml:space="preserve"> Bond), Záruka za dobré provedení (Performance Bond), Záruka za vrácení akontace (</w:t>
      </w:r>
      <w:proofErr w:type="spellStart"/>
      <w:r w:rsidRPr="009D5D45">
        <w:rPr>
          <w:rFonts w:ascii="Times New Roman" w:hAnsi="Times New Roman"/>
          <w:sz w:val="24"/>
          <w:szCs w:val="24"/>
        </w:rPr>
        <w:t>Advance</w:t>
      </w:r>
      <w:proofErr w:type="spellEnd"/>
      <w:r w:rsidRPr="009D5D45">
        <w:rPr>
          <w:rFonts w:ascii="Times New Roman" w:hAnsi="Times New Roman"/>
          <w:sz w:val="24"/>
          <w:szCs w:val="24"/>
        </w:rPr>
        <w:t xml:space="preserve"> </w:t>
      </w:r>
      <w:proofErr w:type="spellStart"/>
      <w:r w:rsidRPr="009D5D45">
        <w:rPr>
          <w:rFonts w:ascii="Times New Roman" w:hAnsi="Times New Roman"/>
          <w:sz w:val="24"/>
          <w:szCs w:val="24"/>
        </w:rPr>
        <w:t>Payment</w:t>
      </w:r>
      <w:proofErr w:type="spellEnd"/>
      <w:r w:rsidRPr="009D5D45">
        <w:rPr>
          <w:rFonts w:ascii="Times New Roman" w:hAnsi="Times New Roman"/>
          <w:sz w:val="24"/>
          <w:szCs w:val="24"/>
        </w:rPr>
        <w:t xml:space="preserve"> </w:t>
      </w:r>
      <w:proofErr w:type="spellStart"/>
      <w:r w:rsidRPr="009D5D45">
        <w:rPr>
          <w:rFonts w:ascii="Times New Roman" w:hAnsi="Times New Roman"/>
          <w:sz w:val="24"/>
          <w:szCs w:val="24"/>
        </w:rPr>
        <w:t>Guarantee</w:t>
      </w:r>
      <w:proofErr w:type="spellEnd"/>
      <w:r w:rsidRPr="009D5D45">
        <w:rPr>
          <w:rFonts w:ascii="Times New Roman" w:hAnsi="Times New Roman"/>
          <w:sz w:val="24"/>
          <w:szCs w:val="24"/>
        </w:rPr>
        <w:t>), Záruka za uvolnění zádržného (</w:t>
      </w:r>
      <w:proofErr w:type="spellStart"/>
      <w:r w:rsidRPr="009D5D45">
        <w:rPr>
          <w:rFonts w:ascii="Times New Roman" w:hAnsi="Times New Roman"/>
          <w:sz w:val="24"/>
          <w:szCs w:val="24"/>
        </w:rPr>
        <w:t>Retention</w:t>
      </w:r>
      <w:proofErr w:type="spellEnd"/>
      <w:r w:rsidRPr="009D5D45">
        <w:rPr>
          <w:rFonts w:ascii="Times New Roman" w:hAnsi="Times New Roman"/>
          <w:sz w:val="24"/>
          <w:szCs w:val="24"/>
        </w:rPr>
        <w:t xml:space="preserve"> Money </w:t>
      </w:r>
      <w:proofErr w:type="spellStart"/>
      <w:r w:rsidRPr="009D5D45">
        <w:rPr>
          <w:rFonts w:ascii="Times New Roman" w:hAnsi="Times New Roman"/>
          <w:sz w:val="24"/>
          <w:szCs w:val="24"/>
        </w:rPr>
        <w:t>Guarantee</w:t>
      </w:r>
      <w:proofErr w:type="spellEnd"/>
      <w:r w:rsidRPr="009D5D45">
        <w:rPr>
          <w:rFonts w:ascii="Times New Roman" w:hAnsi="Times New Roman"/>
          <w:sz w:val="24"/>
          <w:szCs w:val="24"/>
        </w:rPr>
        <w:t xml:space="preserve"> / </w:t>
      </w:r>
      <w:proofErr w:type="spellStart"/>
      <w:r w:rsidRPr="009D5D45">
        <w:rPr>
          <w:rFonts w:ascii="Times New Roman" w:hAnsi="Times New Roman"/>
          <w:sz w:val="24"/>
          <w:szCs w:val="24"/>
        </w:rPr>
        <w:t>Retention</w:t>
      </w:r>
      <w:proofErr w:type="spellEnd"/>
      <w:r w:rsidRPr="009D5D45">
        <w:rPr>
          <w:rFonts w:ascii="Times New Roman" w:hAnsi="Times New Roman"/>
          <w:sz w:val="24"/>
          <w:szCs w:val="24"/>
        </w:rPr>
        <w:t xml:space="preserve"> Bond), Záruka za záruční dobu (</w:t>
      </w:r>
      <w:proofErr w:type="spellStart"/>
      <w:r w:rsidRPr="009D5D45">
        <w:rPr>
          <w:rFonts w:ascii="Times New Roman" w:hAnsi="Times New Roman"/>
          <w:sz w:val="24"/>
          <w:szCs w:val="24"/>
        </w:rPr>
        <w:t>Warranty</w:t>
      </w:r>
      <w:proofErr w:type="spellEnd"/>
      <w:r w:rsidRPr="009D5D45">
        <w:rPr>
          <w:rFonts w:ascii="Times New Roman" w:hAnsi="Times New Roman"/>
          <w:sz w:val="24"/>
          <w:szCs w:val="24"/>
        </w:rPr>
        <w:t xml:space="preserve"> Bond), Platební záruka (</w:t>
      </w:r>
      <w:proofErr w:type="spellStart"/>
      <w:r w:rsidRPr="009D5D45">
        <w:rPr>
          <w:rFonts w:ascii="Times New Roman" w:hAnsi="Times New Roman"/>
          <w:sz w:val="24"/>
          <w:szCs w:val="24"/>
        </w:rPr>
        <w:t>Payment</w:t>
      </w:r>
      <w:proofErr w:type="spellEnd"/>
      <w:r w:rsidRPr="009D5D45">
        <w:rPr>
          <w:rFonts w:ascii="Times New Roman" w:hAnsi="Times New Roman"/>
          <w:sz w:val="24"/>
          <w:szCs w:val="24"/>
        </w:rPr>
        <w:t xml:space="preserve"> </w:t>
      </w:r>
      <w:proofErr w:type="spellStart"/>
      <w:r w:rsidRPr="009D5D45">
        <w:rPr>
          <w:rFonts w:ascii="Times New Roman" w:hAnsi="Times New Roman"/>
          <w:sz w:val="24"/>
          <w:szCs w:val="24"/>
        </w:rPr>
        <w:t>Guarantee</w:t>
      </w:r>
      <w:proofErr w:type="spellEnd"/>
      <w:r w:rsidRPr="009D5D45">
        <w:rPr>
          <w:rFonts w:ascii="Times New Roman" w:hAnsi="Times New Roman"/>
          <w:sz w:val="24"/>
          <w:szCs w:val="24"/>
        </w:rPr>
        <w:t>)</w:t>
      </w:r>
    </w:p>
    <w:p w14:paraId="11871B27" w14:textId="26645AB2" w:rsidR="009D5D45" w:rsidRPr="009D5D45" w:rsidRDefault="009D5D45" w:rsidP="009D5D45">
      <w:pPr>
        <w:pStyle w:val="Odstavecseseznamem"/>
        <w:numPr>
          <w:ilvl w:val="0"/>
          <w:numId w:val="44"/>
        </w:numPr>
        <w:spacing w:before="120" w:after="120"/>
        <w:jc w:val="both"/>
        <w:rPr>
          <w:rFonts w:ascii="Times New Roman" w:hAnsi="Times New Roman"/>
          <w:sz w:val="24"/>
          <w:szCs w:val="24"/>
        </w:rPr>
      </w:pPr>
      <w:r w:rsidRPr="009D5D45">
        <w:rPr>
          <w:rFonts w:ascii="Times New Roman" w:hAnsi="Times New Roman"/>
          <w:sz w:val="24"/>
          <w:szCs w:val="24"/>
        </w:rPr>
        <w:t>Odkup pohledávek z akreditivu a odkup v budoucnu splatných pohled</w:t>
      </w:r>
      <w:r>
        <w:rPr>
          <w:rFonts w:ascii="Times New Roman" w:hAnsi="Times New Roman"/>
          <w:sz w:val="24"/>
          <w:szCs w:val="24"/>
        </w:rPr>
        <w:t>ávek s pojištěním a zajištěním</w:t>
      </w:r>
    </w:p>
    <w:p w14:paraId="07296E34" w14:textId="350A3C27" w:rsidR="009D5D45" w:rsidRPr="009D5D45" w:rsidRDefault="009D5D45" w:rsidP="009D5D45">
      <w:pPr>
        <w:pStyle w:val="Odstavecseseznamem"/>
        <w:numPr>
          <w:ilvl w:val="0"/>
          <w:numId w:val="44"/>
        </w:numPr>
        <w:spacing w:before="120" w:after="120"/>
        <w:jc w:val="both"/>
        <w:rPr>
          <w:rFonts w:ascii="Times New Roman" w:hAnsi="Times New Roman"/>
          <w:sz w:val="24"/>
          <w:szCs w:val="24"/>
        </w:rPr>
      </w:pPr>
      <w:r w:rsidRPr="009D5D45">
        <w:rPr>
          <w:rFonts w:ascii="Times New Roman" w:hAnsi="Times New Roman"/>
          <w:sz w:val="24"/>
          <w:szCs w:val="24"/>
        </w:rPr>
        <w:t xml:space="preserve">Dokumentární platby – dokumentární akreditiv </w:t>
      </w:r>
      <w:r>
        <w:rPr>
          <w:rFonts w:ascii="Times New Roman" w:hAnsi="Times New Roman"/>
          <w:sz w:val="24"/>
          <w:szCs w:val="24"/>
        </w:rPr>
        <w:t>a dokumentární inkaso</w:t>
      </w:r>
    </w:p>
    <w:p w14:paraId="451D7EE3" w14:textId="108048B4" w:rsidR="009D5D45" w:rsidRDefault="009D5D45" w:rsidP="009D5D45">
      <w:pPr>
        <w:spacing w:before="120" w:after="120"/>
        <w:ind w:left="357"/>
        <w:jc w:val="both"/>
        <w:rPr>
          <w:rFonts w:ascii="Times New Roman" w:hAnsi="Times New Roman"/>
          <w:sz w:val="24"/>
          <w:szCs w:val="24"/>
        </w:rPr>
      </w:pPr>
      <w:r>
        <w:rPr>
          <w:rFonts w:ascii="Times New Roman" w:hAnsi="Times New Roman"/>
          <w:sz w:val="24"/>
          <w:szCs w:val="24"/>
        </w:rPr>
        <w:t xml:space="preserve">V rámci spolupráce s komerčním bankovním sektorem má exportní banka zavedeny také produkty </w:t>
      </w:r>
      <w:proofErr w:type="spellStart"/>
      <w:r>
        <w:rPr>
          <w:rFonts w:ascii="Times New Roman" w:hAnsi="Times New Roman"/>
          <w:sz w:val="24"/>
          <w:szCs w:val="24"/>
        </w:rPr>
        <w:t>syndikace</w:t>
      </w:r>
      <w:proofErr w:type="spellEnd"/>
      <w:r>
        <w:rPr>
          <w:rFonts w:ascii="Times New Roman" w:hAnsi="Times New Roman"/>
          <w:sz w:val="24"/>
          <w:szCs w:val="24"/>
        </w:rPr>
        <w:t xml:space="preserve"> a je tak schopna vstupovat do syndikovaných úvěrů a podílet se na</w:t>
      </w:r>
      <w:r w:rsidR="00820ABE">
        <w:rPr>
          <w:rFonts w:ascii="Times New Roman" w:hAnsi="Times New Roman"/>
          <w:sz w:val="24"/>
          <w:szCs w:val="24"/>
        </w:rPr>
        <w:t> </w:t>
      </w:r>
      <w:r>
        <w:rPr>
          <w:rFonts w:ascii="Times New Roman" w:hAnsi="Times New Roman"/>
          <w:sz w:val="24"/>
          <w:szCs w:val="24"/>
        </w:rPr>
        <w:t xml:space="preserve">klubovém financování exportních transakcí. Škálu bankovních produktů doplňují </w:t>
      </w:r>
      <w:proofErr w:type="spellStart"/>
      <w:r>
        <w:rPr>
          <w:rFonts w:ascii="Times New Roman" w:hAnsi="Times New Roman"/>
          <w:sz w:val="24"/>
          <w:szCs w:val="24"/>
        </w:rPr>
        <w:t>treasury</w:t>
      </w:r>
      <w:proofErr w:type="spellEnd"/>
      <w:r>
        <w:rPr>
          <w:rFonts w:ascii="Times New Roman" w:hAnsi="Times New Roman"/>
          <w:sz w:val="24"/>
          <w:szCs w:val="24"/>
        </w:rPr>
        <w:t xml:space="preserve"> produkty a další zákaznické produkty v souladu s ustanoveními zákona o</w:t>
      </w:r>
      <w:r w:rsidR="00820ABE">
        <w:rPr>
          <w:rFonts w:ascii="Times New Roman" w:hAnsi="Times New Roman"/>
          <w:sz w:val="24"/>
          <w:szCs w:val="24"/>
        </w:rPr>
        <w:t> </w:t>
      </w:r>
      <w:r>
        <w:rPr>
          <w:rFonts w:ascii="Times New Roman" w:hAnsi="Times New Roman"/>
          <w:sz w:val="24"/>
          <w:szCs w:val="24"/>
        </w:rPr>
        <w:t xml:space="preserve">bankách. </w:t>
      </w:r>
    </w:p>
    <w:p w14:paraId="29A97A03" w14:textId="77777777" w:rsidR="00277280" w:rsidRPr="00286395" w:rsidRDefault="00791FFD" w:rsidP="00E2111D">
      <w:pPr>
        <w:spacing w:before="120" w:after="120"/>
        <w:ind w:left="360"/>
        <w:jc w:val="both"/>
        <w:rPr>
          <w:rFonts w:ascii="Times New Roman" w:hAnsi="Times New Roman"/>
          <w:i/>
          <w:sz w:val="24"/>
          <w:szCs w:val="24"/>
        </w:rPr>
      </w:pPr>
      <w:r w:rsidRPr="00286395">
        <w:rPr>
          <w:rFonts w:ascii="Times New Roman" w:hAnsi="Times New Roman"/>
          <w:sz w:val="24"/>
          <w:szCs w:val="24"/>
        </w:rPr>
        <w:t xml:space="preserve">a) </w:t>
      </w:r>
      <w:r w:rsidRPr="00286395">
        <w:rPr>
          <w:rFonts w:ascii="Times New Roman" w:hAnsi="Times New Roman"/>
          <w:i/>
          <w:sz w:val="24"/>
          <w:szCs w:val="24"/>
        </w:rPr>
        <w:t>Nulová varianta</w:t>
      </w:r>
    </w:p>
    <w:p w14:paraId="65BA8527" w14:textId="77777777" w:rsidR="00277280" w:rsidRPr="00286395" w:rsidRDefault="00791FFD" w:rsidP="00E2111D">
      <w:pPr>
        <w:spacing w:before="120" w:after="120"/>
        <w:ind w:left="360"/>
        <w:jc w:val="both"/>
        <w:rPr>
          <w:rFonts w:ascii="Times New Roman" w:hAnsi="Times New Roman"/>
          <w:sz w:val="24"/>
          <w:szCs w:val="24"/>
        </w:rPr>
      </w:pPr>
      <w:r w:rsidRPr="00286395">
        <w:rPr>
          <w:rFonts w:ascii="Times New Roman" w:hAnsi="Times New Roman"/>
          <w:sz w:val="24"/>
          <w:szCs w:val="24"/>
        </w:rPr>
        <w:t xml:space="preserve">b) </w:t>
      </w:r>
      <w:r w:rsidRPr="00286395">
        <w:rPr>
          <w:rFonts w:ascii="Times New Roman" w:hAnsi="Times New Roman"/>
          <w:i/>
          <w:sz w:val="24"/>
          <w:szCs w:val="24"/>
        </w:rPr>
        <w:t>Varianta 1</w:t>
      </w:r>
      <w:r w:rsidRPr="00286395">
        <w:rPr>
          <w:rFonts w:ascii="Times New Roman" w:hAnsi="Times New Roman"/>
          <w:sz w:val="24"/>
          <w:szCs w:val="24"/>
        </w:rPr>
        <w:t xml:space="preserve"> –</w:t>
      </w:r>
      <w:r w:rsidR="00E628F8" w:rsidRPr="00286395">
        <w:rPr>
          <w:rFonts w:ascii="Times New Roman" w:hAnsi="Times New Roman"/>
          <w:sz w:val="24"/>
          <w:szCs w:val="24"/>
        </w:rPr>
        <w:t xml:space="preserve"> </w:t>
      </w:r>
      <w:r w:rsidRPr="00286395">
        <w:rPr>
          <w:rFonts w:ascii="Times New Roman" w:hAnsi="Times New Roman"/>
          <w:sz w:val="24"/>
          <w:szCs w:val="24"/>
        </w:rPr>
        <w:t xml:space="preserve">legislativní řešení </w:t>
      </w:r>
      <w:r w:rsidR="003438B2" w:rsidRPr="00286395">
        <w:rPr>
          <w:rFonts w:ascii="Times New Roman" w:hAnsi="Times New Roman"/>
          <w:sz w:val="24"/>
          <w:szCs w:val="24"/>
        </w:rPr>
        <w:t xml:space="preserve">v podobě úpravy (rozšíření) taxativního výčtu nástrojů </w:t>
      </w:r>
      <w:r w:rsidR="00277280" w:rsidRPr="00286395">
        <w:rPr>
          <w:rFonts w:ascii="Times New Roman" w:hAnsi="Times New Roman"/>
          <w:sz w:val="24"/>
          <w:szCs w:val="24"/>
        </w:rPr>
        <w:t>pojištění vývozních úvěrových rizik a podpořeného financování</w:t>
      </w:r>
    </w:p>
    <w:p w14:paraId="3F930E9F" w14:textId="77777777" w:rsidR="00E628F8" w:rsidRPr="00286395" w:rsidRDefault="00791FFD" w:rsidP="00E2111D">
      <w:pPr>
        <w:spacing w:before="120" w:after="120"/>
        <w:ind w:left="360"/>
        <w:jc w:val="both"/>
        <w:rPr>
          <w:rFonts w:ascii="Times New Roman" w:hAnsi="Times New Roman"/>
          <w:sz w:val="24"/>
          <w:szCs w:val="24"/>
        </w:rPr>
      </w:pPr>
      <w:r w:rsidRPr="00286395">
        <w:rPr>
          <w:rFonts w:ascii="Times New Roman" w:hAnsi="Times New Roman"/>
          <w:sz w:val="24"/>
          <w:szCs w:val="24"/>
        </w:rPr>
        <w:t xml:space="preserve">c) </w:t>
      </w:r>
      <w:r w:rsidRPr="00286395">
        <w:rPr>
          <w:rFonts w:ascii="Times New Roman" w:hAnsi="Times New Roman"/>
          <w:i/>
          <w:sz w:val="24"/>
          <w:szCs w:val="24"/>
        </w:rPr>
        <w:t>Varianta 2</w:t>
      </w:r>
      <w:r w:rsidRPr="00286395">
        <w:rPr>
          <w:rFonts w:ascii="Times New Roman" w:hAnsi="Times New Roman"/>
          <w:sz w:val="24"/>
          <w:szCs w:val="24"/>
        </w:rPr>
        <w:t xml:space="preserve"> – </w:t>
      </w:r>
      <w:r w:rsidR="00E628F8" w:rsidRPr="00286395">
        <w:rPr>
          <w:rFonts w:ascii="Times New Roman" w:hAnsi="Times New Roman"/>
          <w:sz w:val="24"/>
          <w:szCs w:val="24"/>
        </w:rPr>
        <w:t xml:space="preserve">legislativní řešení v podobě </w:t>
      </w:r>
      <w:r w:rsidR="00AB5D73" w:rsidRPr="00286395">
        <w:rPr>
          <w:rFonts w:ascii="Times New Roman" w:hAnsi="Times New Roman"/>
          <w:sz w:val="24"/>
          <w:szCs w:val="24"/>
        </w:rPr>
        <w:t>demonstrativního výčtu nástrojů pojištění vývozních úvěrových rizik a podpořeného financování</w:t>
      </w:r>
    </w:p>
    <w:p w14:paraId="07A4C15B" w14:textId="77777777" w:rsidR="00373CEB" w:rsidRPr="00286395" w:rsidRDefault="00AB5D73" w:rsidP="00E2111D">
      <w:pPr>
        <w:spacing w:before="120" w:after="120"/>
        <w:ind w:left="360"/>
        <w:jc w:val="both"/>
        <w:rPr>
          <w:rFonts w:ascii="Times New Roman" w:hAnsi="Times New Roman"/>
          <w:sz w:val="24"/>
          <w:szCs w:val="24"/>
        </w:rPr>
      </w:pPr>
      <w:r w:rsidRPr="00286395">
        <w:rPr>
          <w:rFonts w:ascii="Times New Roman" w:hAnsi="Times New Roman"/>
          <w:sz w:val="24"/>
          <w:szCs w:val="24"/>
        </w:rPr>
        <w:t xml:space="preserve">d) </w:t>
      </w:r>
      <w:r w:rsidRPr="00286395">
        <w:rPr>
          <w:rFonts w:ascii="Times New Roman" w:hAnsi="Times New Roman"/>
          <w:i/>
          <w:sz w:val="24"/>
          <w:szCs w:val="24"/>
        </w:rPr>
        <w:t>Varianta 3 –</w:t>
      </w:r>
      <w:r w:rsidRPr="00286395">
        <w:rPr>
          <w:rFonts w:ascii="Times New Roman" w:hAnsi="Times New Roman"/>
          <w:sz w:val="24"/>
          <w:szCs w:val="24"/>
        </w:rPr>
        <w:t xml:space="preserve"> legislativní řešení v </w:t>
      </w:r>
      <w:r w:rsidR="00CF1D2D">
        <w:rPr>
          <w:rFonts w:ascii="Times New Roman" w:hAnsi="Times New Roman"/>
          <w:sz w:val="24"/>
          <w:szCs w:val="24"/>
        </w:rPr>
        <w:t>podobě obecného vymezení</w:t>
      </w:r>
      <w:r w:rsidR="00373CEB" w:rsidRPr="00286395">
        <w:rPr>
          <w:rFonts w:ascii="Times New Roman" w:hAnsi="Times New Roman"/>
          <w:sz w:val="24"/>
          <w:szCs w:val="24"/>
        </w:rPr>
        <w:t xml:space="preserve"> nástrojů pojištění vývozních úvěrových rizik a podpořeného financování s odkazem na prováděcí právní předpis</w:t>
      </w:r>
    </w:p>
    <w:p w14:paraId="569A807F" w14:textId="77777777" w:rsidR="00791FFD" w:rsidRPr="00286395" w:rsidRDefault="00791FFD" w:rsidP="00EB147E">
      <w:pPr>
        <w:spacing w:before="120" w:after="120"/>
        <w:ind w:left="360"/>
        <w:rPr>
          <w:rFonts w:ascii="Times New Roman" w:hAnsi="Times New Roman"/>
          <w:sz w:val="24"/>
          <w:szCs w:val="24"/>
        </w:rPr>
      </w:pPr>
      <w:r w:rsidRPr="00286395">
        <w:rPr>
          <w:rFonts w:ascii="Times New Roman" w:hAnsi="Times New Roman"/>
          <w:sz w:val="24"/>
          <w:szCs w:val="24"/>
        </w:rPr>
        <w:t xml:space="preserve">a) </w:t>
      </w:r>
      <w:r w:rsidRPr="00286395">
        <w:rPr>
          <w:rFonts w:ascii="Times New Roman" w:hAnsi="Times New Roman"/>
          <w:i/>
          <w:sz w:val="24"/>
          <w:szCs w:val="24"/>
        </w:rPr>
        <w:t>Nulová varianta</w:t>
      </w:r>
    </w:p>
    <w:p w14:paraId="00406A12" w14:textId="72260D26" w:rsidR="00004F03" w:rsidRPr="00286395" w:rsidRDefault="005343A9" w:rsidP="00EB147E">
      <w:pPr>
        <w:spacing w:before="120" w:after="120"/>
        <w:ind w:left="360"/>
        <w:jc w:val="both"/>
        <w:rPr>
          <w:rFonts w:ascii="Times New Roman" w:hAnsi="Times New Roman"/>
          <w:bCs/>
          <w:iCs/>
          <w:sz w:val="24"/>
          <w:szCs w:val="24"/>
        </w:rPr>
      </w:pPr>
      <w:r w:rsidRPr="00286395">
        <w:rPr>
          <w:rFonts w:ascii="Times New Roman" w:hAnsi="Times New Roman"/>
          <w:sz w:val="24"/>
          <w:szCs w:val="24"/>
        </w:rPr>
        <w:t xml:space="preserve">V současném znění zákona </w:t>
      </w:r>
      <w:r w:rsidR="00144E59" w:rsidRPr="0073392D">
        <w:rPr>
          <w:rFonts w:ascii="Times New Roman" w:hAnsi="Times New Roman"/>
          <w:sz w:val="24"/>
          <w:szCs w:val="24"/>
        </w:rPr>
        <w:t>č.</w:t>
      </w:r>
      <w:r w:rsidR="00D84C8F">
        <w:rPr>
          <w:rFonts w:ascii="Times New Roman" w:hAnsi="Times New Roman"/>
          <w:sz w:val="24"/>
          <w:szCs w:val="24"/>
        </w:rPr>
        <w:t> </w:t>
      </w:r>
      <w:r w:rsidR="00144E59" w:rsidRPr="0073392D">
        <w:rPr>
          <w:rFonts w:ascii="Times New Roman" w:hAnsi="Times New Roman"/>
          <w:sz w:val="24"/>
          <w:szCs w:val="24"/>
        </w:rPr>
        <w:t>58/1995 Sb.</w:t>
      </w:r>
      <w:r w:rsidR="00144E59">
        <w:rPr>
          <w:rFonts w:ascii="Times New Roman" w:hAnsi="Times New Roman"/>
          <w:sz w:val="24"/>
          <w:szCs w:val="24"/>
        </w:rPr>
        <w:t xml:space="preserve"> </w:t>
      </w:r>
      <w:r w:rsidRPr="00286395">
        <w:rPr>
          <w:rFonts w:ascii="Times New Roman" w:hAnsi="Times New Roman"/>
          <w:sz w:val="24"/>
          <w:szCs w:val="24"/>
        </w:rPr>
        <w:t>uvedený taxativní výčet činností vykonávaných exportní pojišťovnou a exportní bankou nereflektuje posun v globálních ekonomických vztazích, k němuž došlo v průběhu uplynulých let</w:t>
      </w:r>
      <w:r w:rsidR="00E10DDF" w:rsidRPr="00286395">
        <w:rPr>
          <w:rFonts w:ascii="Times New Roman" w:hAnsi="Times New Roman"/>
          <w:sz w:val="24"/>
          <w:szCs w:val="24"/>
        </w:rPr>
        <w:t xml:space="preserve">, a proto hrozí zastarávání současné </w:t>
      </w:r>
      <w:r w:rsidR="009C0B37">
        <w:rPr>
          <w:rFonts w:ascii="Times New Roman" w:hAnsi="Times New Roman"/>
          <w:sz w:val="24"/>
          <w:szCs w:val="24"/>
        </w:rPr>
        <w:t>nabídky</w:t>
      </w:r>
      <w:r w:rsidR="00E10DDF" w:rsidRPr="00286395">
        <w:rPr>
          <w:rFonts w:ascii="Times New Roman" w:hAnsi="Times New Roman"/>
          <w:sz w:val="24"/>
          <w:szCs w:val="24"/>
        </w:rPr>
        <w:t xml:space="preserve"> </w:t>
      </w:r>
      <w:r w:rsidR="00E10DDF" w:rsidRPr="00286395">
        <w:rPr>
          <w:rFonts w:ascii="Times New Roman" w:hAnsi="Times New Roman"/>
          <w:bCs/>
          <w:iCs/>
          <w:sz w:val="24"/>
          <w:szCs w:val="24"/>
        </w:rPr>
        <w:t xml:space="preserve">exportní pojišťovny a exportní banky, které tak nemohou poskytovat </w:t>
      </w:r>
      <w:r w:rsidR="009C0B37">
        <w:rPr>
          <w:rFonts w:ascii="Times New Roman" w:hAnsi="Times New Roman"/>
          <w:bCs/>
          <w:iCs/>
          <w:sz w:val="24"/>
          <w:szCs w:val="24"/>
        </w:rPr>
        <w:t>nástroje</w:t>
      </w:r>
      <w:r w:rsidR="00E10DDF" w:rsidRPr="00286395">
        <w:rPr>
          <w:rFonts w:ascii="Times New Roman" w:hAnsi="Times New Roman"/>
          <w:bCs/>
          <w:iCs/>
          <w:sz w:val="24"/>
          <w:szCs w:val="24"/>
        </w:rPr>
        <w:t xml:space="preserve">, jež jsou nedílnou součástí nabídky zahraničních </w:t>
      </w:r>
      <w:proofErr w:type="spellStart"/>
      <w:r w:rsidR="00E10DDF" w:rsidRPr="00286395">
        <w:rPr>
          <w:rFonts w:ascii="Times New Roman" w:hAnsi="Times New Roman"/>
          <w:bCs/>
          <w:iCs/>
          <w:sz w:val="24"/>
          <w:szCs w:val="24"/>
        </w:rPr>
        <w:t>ECAs</w:t>
      </w:r>
      <w:proofErr w:type="spellEnd"/>
      <w:r w:rsidR="00E10DDF" w:rsidRPr="00286395">
        <w:rPr>
          <w:rFonts w:ascii="Times New Roman" w:hAnsi="Times New Roman"/>
          <w:bCs/>
          <w:iCs/>
          <w:sz w:val="24"/>
          <w:szCs w:val="24"/>
        </w:rPr>
        <w:t xml:space="preserve">. </w:t>
      </w:r>
      <w:r w:rsidR="00854EF0" w:rsidRPr="00286395">
        <w:rPr>
          <w:rFonts w:ascii="Times New Roman" w:hAnsi="Times New Roman"/>
          <w:bCs/>
          <w:iCs/>
          <w:sz w:val="24"/>
          <w:szCs w:val="24"/>
        </w:rPr>
        <w:t>Nemožnost flexibilní úpravy</w:t>
      </w:r>
      <w:r w:rsidR="009C0B37">
        <w:rPr>
          <w:rFonts w:ascii="Times New Roman" w:hAnsi="Times New Roman"/>
          <w:bCs/>
          <w:iCs/>
          <w:sz w:val="24"/>
          <w:szCs w:val="24"/>
        </w:rPr>
        <w:t xml:space="preserve"> nástroj</w:t>
      </w:r>
      <w:r w:rsidR="00854EF0" w:rsidRPr="00286395">
        <w:rPr>
          <w:rFonts w:ascii="Times New Roman" w:hAnsi="Times New Roman"/>
          <w:bCs/>
          <w:iCs/>
          <w:sz w:val="24"/>
          <w:szCs w:val="24"/>
        </w:rPr>
        <w:t>ů v reakci na vývoj zejména zahraničních trhů</w:t>
      </w:r>
      <w:r w:rsidR="001812DB" w:rsidRPr="00286395">
        <w:rPr>
          <w:rFonts w:ascii="Times New Roman" w:hAnsi="Times New Roman"/>
          <w:bCs/>
          <w:iCs/>
          <w:sz w:val="24"/>
          <w:szCs w:val="24"/>
        </w:rPr>
        <w:t xml:space="preserve"> by mohla zapříčinit </w:t>
      </w:r>
      <w:r w:rsidR="00563E70" w:rsidRPr="00286395">
        <w:rPr>
          <w:rFonts w:ascii="Times New Roman" w:hAnsi="Times New Roman"/>
          <w:bCs/>
          <w:iCs/>
          <w:sz w:val="24"/>
          <w:szCs w:val="24"/>
        </w:rPr>
        <w:t>nedostatečnou podporu českých exportérů ze strany státu</w:t>
      </w:r>
      <w:r w:rsidR="00E10DDF" w:rsidRPr="00286395">
        <w:rPr>
          <w:rFonts w:ascii="Times New Roman" w:hAnsi="Times New Roman"/>
          <w:bCs/>
          <w:iCs/>
          <w:sz w:val="24"/>
          <w:szCs w:val="24"/>
        </w:rPr>
        <w:t xml:space="preserve"> </w:t>
      </w:r>
      <w:r w:rsidR="00ED6A9A" w:rsidRPr="00286395">
        <w:rPr>
          <w:rFonts w:ascii="Times New Roman" w:hAnsi="Times New Roman"/>
          <w:bCs/>
          <w:iCs/>
          <w:sz w:val="24"/>
          <w:szCs w:val="24"/>
        </w:rPr>
        <w:t xml:space="preserve">a tím by vedla k poklesu konkurenceschopnosti České republiky, tvorby pracovních míst, obratu nejen </w:t>
      </w:r>
      <w:r w:rsidR="006B4652">
        <w:rPr>
          <w:rFonts w:ascii="Times New Roman" w:hAnsi="Times New Roman"/>
          <w:bCs/>
          <w:iCs/>
          <w:sz w:val="24"/>
          <w:szCs w:val="24"/>
        </w:rPr>
        <w:t>MSP</w:t>
      </w:r>
      <w:r w:rsidR="007C5B05" w:rsidRPr="00286395">
        <w:rPr>
          <w:rFonts w:ascii="Times New Roman" w:hAnsi="Times New Roman"/>
          <w:bCs/>
          <w:iCs/>
          <w:sz w:val="24"/>
          <w:szCs w:val="24"/>
        </w:rPr>
        <w:t xml:space="preserve"> a inovačního potenciálu tuzemské ekonomiky.</w:t>
      </w:r>
    </w:p>
    <w:p w14:paraId="4231F786" w14:textId="77777777" w:rsidR="005B0161" w:rsidRPr="00286395" w:rsidRDefault="005B0161" w:rsidP="009B67B0">
      <w:pPr>
        <w:spacing w:before="120" w:after="120"/>
        <w:ind w:left="360"/>
        <w:jc w:val="both"/>
        <w:rPr>
          <w:rFonts w:ascii="Times New Roman" w:hAnsi="Times New Roman"/>
          <w:sz w:val="24"/>
          <w:szCs w:val="24"/>
        </w:rPr>
      </w:pPr>
      <w:r w:rsidRPr="00286395">
        <w:rPr>
          <w:rFonts w:ascii="Times New Roman" w:hAnsi="Times New Roman"/>
          <w:sz w:val="24"/>
          <w:szCs w:val="24"/>
        </w:rPr>
        <w:t xml:space="preserve">b) </w:t>
      </w:r>
      <w:r w:rsidRPr="00286395">
        <w:rPr>
          <w:rFonts w:ascii="Times New Roman" w:hAnsi="Times New Roman"/>
          <w:i/>
          <w:sz w:val="24"/>
          <w:szCs w:val="24"/>
        </w:rPr>
        <w:t>Varianta 1</w:t>
      </w:r>
      <w:r w:rsidRPr="00286395">
        <w:rPr>
          <w:rFonts w:ascii="Times New Roman" w:hAnsi="Times New Roman"/>
          <w:sz w:val="24"/>
          <w:szCs w:val="24"/>
        </w:rPr>
        <w:t xml:space="preserve"> – legislativní řešení v podobě úpravy (rozšíření) taxativního výčtu nástrojů pojištění vývozních úvěrových rizik a podpořeného financování</w:t>
      </w:r>
    </w:p>
    <w:p w14:paraId="11F1B85C" w14:textId="77777777" w:rsidR="00F2487D" w:rsidRPr="00286395" w:rsidRDefault="005B0161" w:rsidP="00EB147E">
      <w:pPr>
        <w:spacing w:before="120" w:after="120"/>
        <w:ind w:left="360"/>
        <w:jc w:val="both"/>
        <w:rPr>
          <w:rFonts w:ascii="Times New Roman" w:hAnsi="Times New Roman"/>
          <w:sz w:val="24"/>
          <w:szCs w:val="24"/>
        </w:rPr>
      </w:pPr>
      <w:r w:rsidRPr="00286395">
        <w:rPr>
          <w:rFonts w:ascii="Times New Roman" w:hAnsi="Times New Roman"/>
          <w:sz w:val="24"/>
          <w:szCs w:val="24"/>
        </w:rPr>
        <w:t xml:space="preserve">V návaznosti na posouzení a vyhodnocení nulové varianty vyvstala otázka vhodnosti úpravy stávajícího </w:t>
      </w:r>
      <w:r w:rsidR="00A06B2D" w:rsidRPr="00286395">
        <w:rPr>
          <w:rFonts w:ascii="Times New Roman" w:hAnsi="Times New Roman"/>
          <w:sz w:val="24"/>
          <w:szCs w:val="24"/>
        </w:rPr>
        <w:t>taxativního výčtu nástrojů pojištění vývozních úvěrových rizik a</w:t>
      </w:r>
      <w:r w:rsidR="00BA4725">
        <w:rPr>
          <w:rFonts w:ascii="Times New Roman" w:hAnsi="Times New Roman"/>
          <w:sz w:val="24"/>
          <w:szCs w:val="24"/>
        </w:rPr>
        <w:t> </w:t>
      </w:r>
      <w:r w:rsidR="00A06B2D" w:rsidRPr="00286395">
        <w:rPr>
          <w:rFonts w:ascii="Times New Roman" w:hAnsi="Times New Roman"/>
          <w:sz w:val="24"/>
          <w:szCs w:val="24"/>
        </w:rPr>
        <w:t>podpořeného financování tak, aby reagoval na posun v globálních ekonomických vztazích, k němuž aktuálně dochází. Jedná se zejména o</w:t>
      </w:r>
      <w:r w:rsidR="00F2487D" w:rsidRPr="00286395">
        <w:rPr>
          <w:rFonts w:ascii="Times New Roman" w:hAnsi="Times New Roman"/>
          <w:sz w:val="24"/>
          <w:szCs w:val="24"/>
        </w:rPr>
        <w:t xml:space="preserve"> skutečnost, že účelem činnosti exportní pojišťovny a exportní banky by neměla být jen podpora vývozu, ale i investic v zahraničí. </w:t>
      </w:r>
      <w:r w:rsidR="00F47826" w:rsidRPr="00286395">
        <w:rPr>
          <w:rFonts w:ascii="Times New Roman" w:hAnsi="Times New Roman"/>
          <w:sz w:val="24"/>
          <w:szCs w:val="24"/>
        </w:rPr>
        <w:t xml:space="preserve">Zároveň se zahraniční </w:t>
      </w:r>
      <w:proofErr w:type="spellStart"/>
      <w:r w:rsidR="00F47826" w:rsidRPr="00286395">
        <w:rPr>
          <w:rFonts w:ascii="Times New Roman" w:hAnsi="Times New Roman"/>
          <w:sz w:val="24"/>
          <w:szCs w:val="24"/>
        </w:rPr>
        <w:t>ECAs</w:t>
      </w:r>
      <w:proofErr w:type="spellEnd"/>
      <w:r w:rsidR="00F47826" w:rsidRPr="00286395">
        <w:rPr>
          <w:rFonts w:ascii="Times New Roman" w:hAnsi="Times New Roman"/>
          <w:sz w:val="24"/>
          <w:szCs w:val="24"/>
        </w:rPr>
        <w:t xml:space="preserve"> nezřídka zaměřují na zvyšování komplexně pojímaného inovačního potenciálu ekonomiky a svá portfolia </w:t>
      </w:r>
      <w:r w:rsidR="0034071B">
        <w:rPr>
          <w:rFonts w:ascii="Times New Roman" w:hAnsi="Times New Roman"/>
          <w:sz w:val="24"/>
          <w:szCs w:val="24"/>
        </w:rPr>
        <w:t xml:space="preserve">nabídky </w:t>
      </w:r>
      <w:r w:rsidR="00F47826" w:rsidRPr="00286395">
        <w:rPr>
          <w:rFonts w:ascii="Times New Roman" w:hAnsi="Times New Roman"/>
          <w:sz w:val="24"/>
          <w:szCs w:val="24"/>
        </w:rPr>
        <w:t xml:space="preserve">přizpůsobují </w:t>
      </w:r>
      <w:r w:rsidR="0076210F" w:rsidRPr="00286395">
        <w:rPr>
          <w:rFonts w:ascii="Times New Roman" w:hAnsi="Times New Roman"/>
          <w:sz w:val="24"/>
          <w:szCs w:val="24"/>
        </w:rPr>
        <w:t xml:space="preserve">dynamicky se měnícím potřebám svých ekonomik a svých klientů z řad bank a výrobních a obchodních podniků, kteří vyžadují komplexní a synergické efektivní zásahy </w:t>
      </w:r>
      <w:r w:rsidR="00407A7C" w:rsidRPr="00286395">
        <w:rPr>
          <w:rFonts w:ascii="Times New Roman" w:hAnsi="Times New Roman"/>
          <w:sz w:val="24"/>
          <w:szCs w:val="24"/>
        </w:rPr>
        <w:t xml:space="preserve">prostřednictvím svých </w:t>
      </w:r>
      <w:proofErr w:type="spellStart"/>
      <w:r w:rsidR="00407A7C" w:rsidRPr="00286395">
        <w:rPr>
          <w:rFonts w:ascii="Times New Roman" w:hAnsi="Times New Roman"/>
          <w:sz w:val="24"/>
          <w:szCs w:val="24"/>
        </w:rPr>
        <w:t>ECAs</w:t>
      </w:r>
      <w:proofErr w:type="spellEnd"/>
      <w:r w:rsidR="00407A7C" w:rsidRPr="00286395">
        <w:rPr>
          <w:rFonts w:ascii="Times New Roman" w:hAnsi="Times New Roman"/>
          <w:sz w:val="24"/>
          <w:szCs w:val="24"/>
        </w:rPr>
        <w:t xml:space="preserve">. </w:t>
      </w:r>
    </w:p>
    <w:p w14:paraId="013A59C6" w14:textId="10B78CFF" w:rsidR="004D2F74" w:rsidRPr="00286395" w:rsidRDefault="008D2DD2" w:rsidP="00EB147E">
      <w:pPr>
        <w:spacing w:before="120" w:after="120"/>
        <w:ind w:left="360"/>
        <w:jc w:val="both"/>
        <w:rPr>
          <w:rFonts w:ascii="Times New Roman" w:hAnsi="Times New Roman"/>
          <w:sz w:val="24"/>
          <w:szCs w:val="24"/>
        </w:rPr>
      </w:pPr>
      <w:r w:rsidRPr="00286395">
        <w:rPr>
          <w:rFonts w:ascii="Times New Roman" w:hAnsi="Times New Roman"/>
          <w:sz w:val="24"/>
          <w:szCs w:val="24"/>
        </w:rPr>
        <w:t>Jako nezbytná se tedy jeví v každém případě p</w:t>
      </w:r>
      <w:r w:rsidR="004D2F74" w:rsidRPr="00286395">
        <w:rPr>
          <w:rFonts w:ascii="Times New Roman" w:hAnsi="Times New Roman"/>
          <w:sz w:val="24"/>
          <w:szCs w:val="24"/>
        </w:rPr>
        <w:t xml:space="preserve">recizace a doplnění </w:t>
      </w:r>
      <w:r w:rsidR="0034071B">
        <w:rPr>
          <w:rFonts w:ascii="Times New Roman" w:hAnsi="Times New Roman"/>
          <w:sz w:val="24"/>
          <w:szCs w:val="24"/>
        </w:rPr>
        <w:t xml:space="preserve">nabídky </w:t>
      </w:r>
      <w:r w:rsidR="00F246C1" w:rsidRPr="00286395">
        <w:rPr>
          <w:rFonts w:ascii="Times New Roman" w:hAnsi="Times New Roman"/>
          <w:sz w:val="24"/>
          <w:szCs w:val="24"/>
        </w:rPr>
        <w:t xml:space="preserve">pojištění vývozních úvěrových rizik a </w:t>
      </w:r>
      <w:r w:rsidR="004D2F74" w:rsidRPr="00286395">
        <w:rPr>
          <w:rFonts w:ascii="Times New Roman" w:hAnsi="Times New Roman"/>
          <w:sz w:val="24"/>
          <w:szCs w:val="24"/>
        </w:rPr>
        <w:t>podpořené</w:t>
      </w:r>
      <w:r w:rsidR="00BA027E">
        <w:rPr>
          <w:rFonts w:ascii="Times New Roman" w:hAnsi="Times New Roman"/>
          <w:sz w:val="24"/>
          <w:szCs w:val="24"/>
        </w:rPr>
        <w:t>ho</w:t>
      </w:r>
      <w:r w:rsidR="004D2F74" w:rsidRPr="00286395">
        <w:rPr>
          <w:rFonts w:ascii="Times New Roman" w:hAnsi="Times New Roman"/>
          <w:sz w:val="24"/>
          <w:szCs w:val="24"/>
        </w:rPr>
        <w:t xml:space="preserve"> financování poskytovan</w:t>
      </w:r>
      <w:r w:rsidR="00BA027E">
        <w:rPr>
          <w:rFonts w:ascii="Times New Roman" w:hAnsi="Times New Roman"/>
          <w:sz w:val="24"/>
          <w:szCs w:val="24"/>
        </w:rPr>
        <w:t>ých</w:t>
      </w:r>
      <w:r w:rsidR="004D2F74" w:rsidRPr="00286395">
        <w:rPr>
          <w:rFonts w:ascii="Times New Roman" w:hAnsi="Times New Roman"/>
          <w:sz w:val="24"/>
          <w:szCs w:val="24"/>
        </w:rPr>
        <w:t xml:space="preserve"> </w:t>
      </w:r>
      <w:r w:rsidR="00F246C1" w:rsidRPr="00286395">
        <w:rPr>
          <w:rFonts w:ascii="Times New Roman" w:hAnsi="Times New Roman"/>
          <w:sz w:val="24"/>
          <w:szCs w:val="24"/>
        </w:rPr>
        <w:t>exportní pojišťovnou a</w:t>
      </w:r>
      <w:r w:rsidR="009B67B0">
        <w:rPr>
          <w:rFonts w:ascii="Times New Roman" w:hAnsi="Times New Roman"/>
          <w:sz w:val="24"/>
          <w:szCs w:val="24"/>
        </w:rPr>
        <w:t> </w:t>
      </w:r>
      <w:r w:rsidR="00F246C1" w:rsidRPr="00286395">
        <w:rPr>
          <w:rFonts w:ascii="Times New Roman" w:hAnsi="Times New Roman"/>
          <w:sz w:val="24"/>
          <w:szCs w:val="24"/>
        </w:rPr>
        <w:t xml:space="preserve">exportní bankou </w:t>
      </w:r>
      <w:r w:rsidR="004D2F74" w:rsidRPr="00286395">
        <w:rPr>
          <w:rFonts w:ascii="Times New Roman" w:hAnsi="Times New Roman"/>
          <w:sz w:val="24"/>
          <w:szCs w:val="24"/>
        </w:rPr>
        <w:t xml:space="preserve">tak, aby bylo dosaženo aplikace </w:t>
      </w:r>
      <w:r w:rsidR="00696A77" w:rsidRPr="00286395">
        <w:rPr>
          <w:rFonts w:ascii="Times New Roman" w:hAnsi="Times New Roman"/>
          <w:sz w:val="24"/>
          <w:szCs w:val="24"/>
        </w:rPr>
        <w:t>cílů</w:t>
      </w:r>
      <w:r w:rsidR="004D2F74" w:rsidRPr="00286395">
        <w:rPr>
          <w:rFonts w:ascii="Times New Roman" w:hAnsi="Times New Roman"/>
          <w:sz w:val="24"/>
          <w:szCs w:val="24"/>
        </w:rPr>
        <w:t xml:space="preserve"> Exportní strategie ČR, tedy kontinuálním zlepšováním nabídky českým exportérům na úroveň, jakou získávají národní exportéři v rámci nabídky vyspělých </w:t>
      </w:r>
      <w:proofErr w:type="spellStart"/>
      <w:r w:rsidR="004D2F74" w:rsidRPr="00286395">
        <w:rPr>
          <w:rFonts w:ascii="Times New Roman" w:hAnsi="Times New Roman"/>
          <w:sz w:val="24"/>
          <w:szCs w:val="24"/>
        </w:rPr>
        <w:t>E</w:t>
      </w:r>
      <w:r w:rsidR="00D45F41">
        <w:rPr>
          <w:rFonts w:ascii="Times New Roman" w:hAnsi="Times New Roman"/>
          <w:sz w:val="24"/>
          <w:szCs w:val="24"/>
        </w:rPr>
        <w:t>CAs</w:t>
      </w:r>
      <w:proofErr w:type="spellEnd"/>
      <w:r w:rsidR="004D2F74" w:rsidRPr="00286395">
        <w:rPr>
          <w:rFonts w:ascii="Times New Roman" w:hAnsi="Times New Roman"/>
          <w:sz w:val="24"/>
          <w:szCs w:val="24"/>
        </w:rPr>
        <w:t>, zvyšov</w:t>
      </w:r>
      <w:r w:rsidR="00BA027E">
        <w:rPr>
          <w:rFonts w:ascii="Times New Roman" w:hAnsi="Times New Roman"/>
          <w:sz w:val="24"/>
          <w:szCs w:val="24"/>
        </w:rPr>
        <w:t>ání</w:t>
      </w:r>
      <w:r w:rsidR="004D2F74" w:rsidRPr="00286395">
        <w:rPr>
          <w:rFonts w:ascii="Times New Roman" w:hAnsi="Times New Roman"/>
          <w:sz w:val="24"/>
          <w:szCs w:val="24"/>
        </w:rPr>
        <w:t xml:space="preserve"> schopnost</w:t>
      </w:r>
      <w:r w:rsidR="00BA027E">
        <w:rPr>
          <w:rFonts w:ascii="Times New Roman" w:hAnsi="Times New Roman"/>
          <w:sz w:val="24"/>
          <w:szCs w:val="24"/>
        </w:rPr>
        <w:t>i</w:t>
      </w:r>
      <w:r w:rsidR="004D2F74" w:rsidRPr="00286395">
        <w:rPr>
          <w:rFonts w:ascii="Times New Roman" w:hAnsi="Times New Roman"/>
          <w:sz w:val="24"/>
          <w:szCs w:val="24"/>
        </w:rPr>
        <w:t xml:space="preserve"> pružně reagovat na</w:t>
      </w:r>
      <w:r w:rsidR="009B67B0">
        <w:rPr>
          <w:rFonts w:ascii="Times New Roman" w:hAnsi="Times New Roman"/>
          <w:sz w:val="24"/>
          <w:szCs w:val="24"/>
        </w:rPr>
        <w:t> </w:t>
      </w:r>
      <w:r w:rsidR="004D2F74" w:rsidRPr="00286395">
        <w:rPr>
          <w:rFonts w:ascii="Times New Roman" w:hAnsi="Times New Roman"/>
          <w:sz w:val="24"/>
          <w:szCs w:val="24"/>
        </w:rPr>
        <w:t>vyvíjející se potřeby českých exportérů a jejich českých dodavatelů v oblasti exportního</w:t>
      </w:r>
      <w:r w:rsidRPr="00286395">
        <w:rPr>
          <w:rFonts w:ascii="Times New Roman" w:hAnsi="Times New Roman"/>
          <w:sz w:val="24"/>
          <w:szCs w:val="24"/>
        </w:rPr>
        <w:t xml:space="preserve"> pojišťování a</w:t>
      </w:r>
      <w:r w:rsidR="004D2F74" w:rsidRPr="00286395">
        <w:rPr>
          <w:rFonts w:ascii="Times New Roman" w:hAnsi="Times New Roman"/>
          <w:sz w:val="24"/>
          <w:szCs w:val="24"/>
        </w:rPr>
        <w:t xml:space="preserve"> financování a posilov</w:t>
      </w:r>
      <w:r w:rsidR="00BA027E">
        <w:rPr>
          <w:rFonts w:ascii="Times New Roman" w:hAnsi="Times New Roman"/>
          <w:sz w:val="24"/>
          <w:szCs w:val="24"/>
        </w:rPr>
        <w:t>ání</w:t>
      </w:r>
      <w:r w:rsidR="004D2F74" w:rsidRPr="00286395">
        <w:rPr>
          <w:rFonts w:ascii="Times New Roman" w:hAnsi="Times New Roman"/>
          <w:sz w:val="24"/>
          <w:szCs w:val="24"/>
        </w:rPr>
        <w:t xml:space="preserve"> tak jejich konkurenceschopnost</w:t>
      </w:r>
      <w:r w:rsidR="00BA027E">
        <w:rPr>
          <w:rFonts w:ascii="Times New Roman" w:hAnsi="Times New Roman"/>
          <w:sz w:val="24"/>
          <w:szCs w:val="24"/>
        </w:rPr>
        <w:t>i</w:t>
      </w:r>
      <w:r w:rsidR="004D2F74" w:rsidRPr="00286395">
        <w:rPr>
          <w:rFonts w:ascii="Times New Roman" w:hAnsi="Times New Roman"/>
          <w:sz w:val="24"/>
          <w:szCs w:val="24"/>
        </w:rPr>
        <w:t xml:space="preserve"> v mezinárodní soutěži.</w:t>
      </w:r>
      <w:r w:rsidR="00033149" w:rsidRPr="00286395">
        <w:rPr>
          <w:rFonts w:ascii="Times New Roman" w:hAnsi="Times New Roman"/>
          <w:sz w:val="24"/>
          <w:szCs w:val="24"/>
        </w:rPr>
        <w:t xml:space="preserve"> Především při financování investic a</w:t>
      </w:r>
      <w:r w:rsidR="007F673A">
        <w:rPr>
          <w:rFonts w:ascii="Times New Roman" w:hAnsi="Times New Roman"/>
          <w:sz w:val="24"/>
          <w:szCs w:val="24"/>
        </w:rPr>
        <w:t> </w:t>
      </w:r>
      <w:r w:rsidR="00033149" w:rsidRPr="00286395">
        <w:rPr>
          <w:rFonts w:ascii="Times New Roman" w:hAnsi="Times New Roman"/>
          <w:sz w:val="24"/>
          <w:szCs w:val="24"/>
        </w:rPr>
        <w:t>financování velkých projektů se využívají různé formy financování včetně dluhopisů, finančního leasingu a speciálně zřizovaných fondů a subjektů.</w:t>
      </w:r>
    </w:p>
    <w:p w14:paraId="3692A4D2" w14:textId="77777777" w:rsidR="004D2F74" w:rsidRPr="00286395" w:rsidRDefault="008D2DD2" w:rsidP="00EB147E">
      <w:pPr>
        <w:spacing w:before="120" w:after="120"/>
        <w:ind w:left="360"/>
        <w:jc w:val="both"/>
        <w:rPr>
          <w:rFonts w:ascii="Times New Roman" w:hAnsi="Times New Roman"/>
          <w:sz w:val="24"/>
          <w:szCs w:val="24"/>
        </w:rPr>
      </w:pPr>
      <w:r w:rsidRPr="00286395">
        <w:rPr>
          <w:rFonts w:ascii="Times New Roman" w:hAnsi="Times New Roman"/>
          <w:sz w:val="24"/>
          <w:szCs w:val="24"/>
        </w:rPr>
        <w:t>Po důkladné analýze</w:t>
      </w:r>
      <w:r w:rsidR="00BA4725">
        <w:rPr>
          <w:rFonts w:ascii="Times New Roman" w:hAnsi="Times New Roman"/>
          <w:sz w:val="24"/>
          <w:szCs w:val="24"/>
        </w:rPr>
        <w:t>,</w:t>
      </w:r>
      <w:r w:rsidRPr="00286395">
        <w:rPr>
          <w:rFonts w:ascii="Times New Roman" w:hAnsi="Times New Roman"/>
          <w:sz w:val="24"/>
          <w:szCs w:val="24"/>
        </w:rPr>
        <w:t xml:space="preserve"> rozboru a konzultacích s exportní pojišťovnou a exportní bankou, stejně jako se zástupci exportérů, se ukázalo, že by se mohlo jednat například o </w:t>
      </w:r>
      <w:r w:rsidR="004D2F74" w:rsidRPr="00286395">
        <w:rPr>
          <w:rFonts w:ascii="Times New Roman" w:hAnsi="Times New Roman"/>
          <w:sz w:val="24"/>
          <w:szCs w:val="24"/>
        </w:rPr>
        <w:t>rozšíření podpory vývozu o refinanční a přímé financování investic do zvýšení vývozní kapacity (včetně souvisejících finančních služeb) za účelem zvyšování konkurenceschopnosti vývozců a jejich dodavatelů na zahraničních trzích</w:t>
      </w:r>
      <w:r w:rsidR="00B214C6" w:rsidRPr="00286395">
        <w:rPr>
          <w:rFonts w:ascii="Times New Roman" w:hAnsi="Times New Roman"/>
          <w:sz w:val="24"/>
          <w:szCs w:val="24"/>
        </w:rPr>
        <w:t xml:space="preserve">, </w:t>
      </w:r>
      <w:r w:rsidR="004D2F74" w:rsidRPr="00286395">
        <w:rPr>
          <w:rFonts w:ascii="Times New Roman" w:hAnsi="Times New Roman"/>
          <w:sz w:val="24"/>
          <w:szCs w:val="24"/>
        </w:rPr>
        <w:t>refinanční úvěr</w:t>
      </w:r>
      <w:r w:rsidR="00B214C6" w:rsidRPr="00286395">
        <w:rPr>
          <w:rFonts w:ascii="Times New Roman" w:hAnsi="Times New Roman"/>
          <w:sz w:val="24"/>
          <w:szCs w:val="24"/>
        </w:rPr>
        <w:t>y bankám</w:t>
      </w:r>
      <w:r w:rsidR="004D2F74" w:rsidRPr="00286395">
        <w:rPr>
          <w:rFonts w:ascii="Times New Roman" w:hAnsi="Times New Roman"/>
          <w:sz w:val="24"/>
          <w:szCs w:val="24"/>
        </w:rPr>
        <w:t xml:space="preserve"> na odkup pohledávek,</w:t>
      </w:r>
      <w:r w:rsidR="00B214C6" w:rsidRPr="00286395">
        <w:rPr>
          <w:rFonts w:ascii="Times New Roman" w:hAnsi="Times New Roman"/>
          <w:sz w:val="24"/>
          <w:szCs w:val="24"/>
        </w:rPr>
        <w:t xml:space="preserve"> </w:t>
      </w:r>
      <w:r w:rsidR="00B96E41" w:rsidRPr="00286395">
        <w:rPr>
          <w:rFonts w:ascii="Times New Roman" w:hAnsi="Times New Roman"/>
          <w:sz w:val="24"/>
          <w:szCs w:val="24"/>
        </w:rPr>
        <w:t>poskytování přímého úvěru na financování dodavatelského úvěru, poskytování širšího spektra finančních služeb (odkupy pohledávek, investiční služby, financování prospekce zahraničního trhu) apod.</w:t>
      </w:r>
      <w:r w:rsidR="00467118" w:rsidRPr="00286395">
        <w:rPr>
          <w:rFonts w:ascii="Times New Roman" w:hAnsi="Times New Roman"/>
          <w:sz w:val="24"/>
          <w:szCs w:val="24"/>
        </w:rPr>
        <w:t xml:space="preserve"> </w:t>
      </w:r>
    </w:p>
    <w:p w14:paraId="32C9E65B" w14:textId="77777777" w:rsidR="004B4C10" w:rsidRPr="00286395" w:rsidRDefault="004B4C10" w:rsidP="00EB147E">
      <w:pPr>
        <w:spacing w:before="120" w:after="120"/>
        <w:ind w:left="360"/>
        <w:jc w:val="both"/>
        <w:rPr>
          <w:rFonts w:ascii="Times New Roman" w:hAnsi="Times New Roman"/>
          <w:sz w:val="24"/>
          <w:szCs w:val="24"/>
        </w:rPr>
      </w:pPr>
      <w:r w:rsidRPr="00286395">
        <w:rPr>
          <w:rFonts w:ascii="Times New Roman" w:hAnsi="Times New Roman"/>
          <w:sz w:val="24"/>
          <w:szCs w:val="24"/>
        </w:rPr>
        <w:t>Nicméně i případná důkladná novelizace zahrnující aplikaci taxativního výčtu nástrojů pojištění vývozních úvěrových rizik a podpořeného financování</w:t>
      </w:r>
      <w:r w:rsidR="00C52361" w:rsidRPr="00286395">
        <w:rPr>
          <w:rFonts w:ascii="Times New Roman" w:hAnsi="Times New Roman"/>
          <w:sz w:val="24"/>
          <w:szCs w:val="24"/>
        </w:rPr>
        <w:t xml:space="preserve"> může vést k zastarání, kdy by v řádu jednotek let bylo nutno opět přistoupit k další novelizaci textu zákona. </w:t>
      </w:r>
    </w:p>
    <w:p w14:paraId="0696FCBD" w14:textId="77777777" w:rsidR="005B0161" w:rsidRPr="00286395" w:rsidRDefault="005B0161" w:rsidP="00EB147E">
      <w:pPr>
        <w:spacing w:before="120" w:after="120"/>
        <w:ind w:left="360"/>
        <w:jc w:val="both"/>
        <w:rPr>
          <w:rFonts w:ascii="Times New Roman" w:hAnsi="Times New Roman"/>
          <w:sz w:val="24"/>
          <w:szCs w:val="24"/>
        </w:rPr>
      </w:pPr>
      <w:r w:rsidRPr="00286395">
        <w:rPr>
          <w:rFonts w:ascii="Times New Roman" w:hAnsi="Times New Roman"/>
          <w:sz w:val="24"/>
          <w:szCs w:val="24"/>
        </w:rPr>
        <w:t xml:space="preserve">c) </w:t>
      </w:r>
      <w:r w:rsidRPr="00286395">
        <w:rPr>
          <w:rFonts w:ascii="Times New Roman" w:hAnsi="Times New Roman"/>
          <w:i/>
          <w:sz w:val="24"/>
          <w:szCs w:val="24"/>
        </w:rPr>
        <w:t>Varianta 2</w:t>
      </w:r>
      <w:r w:rsidRPr="00286395">
        <w:rPr>
          <w:rFonts w:ascii="Times New Roman" w:hAnsi="Times New Roman"/>
          <w:sz w:val="24"/>
          <w:szCs w:val="24"/>
        </w:rPr>
        <w:t xml:space="preserve"> – legislativní řešení v podobě demonstrativního výčtu nástrojů pojištění vývozních úvěrových rizik a podpořeného financování</w:t>
      </w:r>
    </w:p>
    <w:p w14:paraId="696AA3AB" w14:textId="77777777" w:rsidR="005B0161" w:rsidRPr="00286395" w:rsidRDefault="00C92689" w:rsidP="00EB147E">
      <w:pPr>
        <w:spacing w:before="120" w:after="120"/>
        <w:ind w:left="360"/>
        <w:jc w:val="both"/>
        <w:rPr>
          <w:rFonts w:ascii="Times New Roman" w:hAnsi="Times New Roman"/>
          <w:sz w:val="24"/>
          <w:szCs w:val="24"/>
        </w:rPr>
      </w:pPr>
      <w:r w:rsidRPr="00286395">
        <w:rPr>
          <w:rFonts w:ascii="Times New Roman" w:hAnsi="Times New Roman"/>
          <w:sz w:val="24"/>
          <w:szCs w:val="24"/>
        </w:rPr>
        <w:t xml:space="preserve">Ve světle výše uvedeného bylo dále zvažováno přistoupit k nahrazení stávajícího taxativního výčtu </w:t>
      </w:r>
      <w:r w:rsidR="004A2CA4" w:rsidRPr="00286395">
        <w:rPr>
          <w:rFonts w:ascii="Times New Roman" w:hAnsi="Times New Roman"/>
          <w:sz w:val="24"/>
          <w:szCs w:val="24"/>
        </w:rPr>
        <w:t>nástrojů pojištění vývozních úvěrových rizik a podpořeného financování výčtem demonstrativním</w:t>
      </w:r>
      <w:r w:rsidR="00245163" w:rsidRPr="00286395">
        <w:rPr>
          <w:rFonts w:ascii="Times New Roman" w:hAnsi="Times New Roman"/>
          <w:sz w:val="24"/>
          <w:szCs w:val="24"/>
        </w:rPr>
        <w:t xml:space="preserve">. Částečné zobecnění demonstrativním výčtem by exportní pojišťovně a exportní bance poskytlo možnost pružně reagovat na specifika vývozních aktivit českých podnikatelů s ohledem na způsob financování a na teritoria, kam uvedené aktivity směrují. Demonstrativní výčet pojišťovaných </w:t>
      </w:r>
      <w:r w:rsidR="009B4D23" w:rsidRPr="00286395">
        <w:rPr>
          <w:rFonts w:ascii="Times New Roman" w:hAnsi="Times New Roman"/>
          <w:sz w:val="24"/>
          <w:szCs w:val="24"/>
        </w:rPr>
        <w:t xml:space="preserve">vývozních úvěrových </w:t>
      </w:r>
      <w:r w:rsidR="00245163" w:rsidRPr="00286395">
        <w:rPr>
          <w:rFonts w:ascii="Times New Roman" w:hAnsi="Times New Roman"/>
          <w:sz w:val="24"/>
          <w:szCs w:val="24"/>
        </w:rPr>
        <w:t xml:space="preserve">rizik </w:t>
      </w:r>
      <w:r w:rsidR="00F23FD7" w:rsidRPr="00286395">
        <w:rPr>
          <w:rFonts w:ascii="Times New Roman" w:hAnsi="Times New Roman"/>
          <w:sz w:val="24"/>
          <w:szCs w:val="24"/>
        </w:rPr>
        <w:t>a</w:t>
      </w:r>
      <w:r w:rsidR="009B67B0">
        <w:rPr>
          <w:rFonts w:ascii="Times New Roman" w:hAnsi="Times New Roman"/>
          <w:sz w:val="24"/>
          <w:szCs w:val="24"/>
        </w:rPr>
        <w:t> </w:t>
      </w:r>
      <w:r w:rsidR="00F23FD7" w:rsidRPr="00286395">
        <w:rPr>
          <w:rFonts w:ascii="Times New Roman" w:hAnsi="Times New Roman"/>
          <w:sz w:val="24"/>
          <w:szCs w:val="24"/>
        </w:rPr>
        <w:t xml:space="preserve">podpořeného financování by </w:t>
      </w:r>
      <w:r w:rsidR="00245163" w:rsidRPr="00286395">
        <w:rPr>
          <w:rFonts w:ascii="Times New Roman" w:hAnsi="Times New Roman"/>
          <w:sz w:val="24"/>
          <w:szCs w:val="24"/>
        </w:rPr>
        <w:t>zároveň umožn</w:t>
      </w:r>
      <w:r w:rsidR="00F23FD7" w:rsidRPr="00286395">
        <w:rPr>
          <w:rFonts w:ascii="Times New Roman" w:hAnsi="Times New Roman"/>
          <w:sz w:val="24"/>
          <w:szCs w:val="24"/>
        </w:rPr>
        <w:t>il</w:t>
      </w:r>
      <w:r w:rsidR="00245163" w:rsidRPr="00286395">
        <w:rPr>
          <w:rFonts w:ascii="Times New Roman" w:hAnsi="Times New Roman"/>
          <w:sz w:val="24"/>
          <w:szCs w:val="24"/>
        </w:rPr>
        <w:t xml:space="preserve"> flexibilně reagovat na moderní trendy podpory exportu např. s použitím nástrojů finančních trhů, čímž b</w:t>
      </w:r>
      <w:r w:rsidR="00467118" w:rsidRPr="00286395">
        <w:rPr>
          <w:rFonts w:ascii="Times New Roman" w:hAnsi="Times New Roman"/>
          <w:sz w:val="24"/>
          <w:szCs w:val="24"/>
        </w:rPr>
        <w:t>y byla</w:t>
      </w:r>
      <w:r w:rsidR="00245163" w:rsidRPr="00286395">
        <w:rPr>
          <w:rFonts w:ascii="Times New Roman" w:hAnsi="Times New Roman"/>
          <w:sz w:val="24"/>
          <w:szCs w:val="24"/>
        </w:rPr>
        <w:t xml:space="preserve"> zajištěna dostatečná konkurenceschopnost podpory exportu poskytované </w:t>
      </w:r>
      <w:r w:rsidR="009B4D23" w:rsidRPr="00286395">
        <w:rPr>
          <w:rFonts w:ascii="Times New Roman" w:hAnsi="Times New Roman"/>
          <w:sz w:val="24"/>
          <w:szCs w:val="24"/>
        </w:rPr>
        <w:t>státem</w:t>
      </w:r>
      <w:r w:rsidR="00245163" w:rsidRPr="00286395">
        <w:rPr>
          <w:rFonts w:ascii="Times New Roman" w:hAnsi="Times New Roman"/>
          <w:sz w:val="24"/>
          <w:szCs w:val="24"/>
        </w:rPr>
        <w:t xml:space="preserve">. </w:t>
      </w:r>
    </w:p>
    <w:p w14:paraId="3B15BC20" w14:textId="4EC43801" w:rsidR="005B0161" w:rsidRPr="00286395" w:rsidRDefault="005B0161" w:rsidP="00EB147E">
      <w:pPr>
        <w:spacing w:before="120" w:after="120"/>
        <w:ind w:left="360"/>
        <w:jc w:val="both"/>
        <w:rPr>
          <w:rFonts w:ascii="Times New Roman" w:hAnsi="Times New Roman"/>
          <w:sz w:val="24"/>
          <w:szCs w:val="24"/>
        </w:rPr>
      </w:pPr>
      <w:r w:rsidRPr="00286395">
        <w:rPr>
          <w:rFonts w:ascii="Times New Roman" w:hAnsi="Times New Roman"/>
          <w:sz w:val="24"/>
          <w:szCs w:val="24"/>
        </w:rPr>
        <w:t xml:space="preserve">d) </w:t>
      </w:r>
      <w:r w:rsidRPr="00286395">
        <w:rPr>
          <w:rFonts w:ascii="Times New Roman" w:hAnsi="Times New Roman"/>
          <w:i/>
          <w:sz w:val="24"/>
          <w:szCs w:val="24"/>
        </w:rPr>
        <w:t>Varianta 3 –</w:t>
      </w:r>
      <w:r w:rsidRPr="00286395">
        <w:rPr>
          <w:rFonts w:ascii="Times New Roman" w:hAnsi="Times New Roman"/>
          <w:sz w:val="24"/>
          <w:szCs w:val="24"/>
        </w:rPr>
        <w:t xml:space="preserve"> legislativní řešení v podobě </w:t>
      </w:r>
      <w:r w:rsidR="00693808">
        <w:rPr>
          <w:rFonts w:ascii="Times New Roman" w:hAnsi="Times New Roman"/>
          <w:sz w:val="24"/>
          <w:szCs w:val="24"/>
        </w:rPr>
        <w:t>obecného vymezení</w:t>
      </w:r>
      <w:r w:rsidRPr="00286395">
        <w:rPr>
          <w:rFonts w:ascii="Times New Roman" w:hAnsi="Times New Roman"/>
          <w:sz w:val="24"/>
          <w:szCs w:val="24"/>
        </w:rPr>
        <w:t xml:space="preserve"> nástrojů pojištění vývozních úvěrových rizik a podpořeného financování s odkazem na prováděcí právní předpis</w:t>
      </w:r>
    </w:p>
    <w:p w14:paraId="4BDEEBC5" w14:textId="3CACA61D" w:rsidR="00C10DD0" w:rsidRPr="00286395" w:rsidRDefault="000E6687" w:rsidP="00EB147E">
      <w:pPr>
        <w:spacing w:before="120" w:after="120"/>
        <w:ind w:left="360"/>
        <w:jc w:val="both"/>
        <w:rPr>
          <w:rFonts w:ascii="Times New Roman" w:hAnsi="Times New Roman"/>
          <w:sz w:val="24"/>
          <w:szCs w:val="24"/>
        </w:rPr>
      </w:pPr>
      <w:r w:rsidRPr="00286395">
        <w:rPr>
          <w:rFonts w:ascii="Times New Roman" w:hAnsi="Times New Roman"/>
          <w:sz w:val="24"/>
          <w:szCs w:val="24"/>
        </w:rPr>
        <w:t xml:space="preserve">Za účelem </w:t>
      </w:r>
      <w:r w:rsidR="002C5E14" w:rsidRPr="00286395">
        <w:rPr>
          <w:rFonts w:ascii="Times New Roman" w:hAnsi="Times New Roman"/>
          <w:sz w:val="24"/>
          <w:szCs w:val="24"/>
        </w:rPr>
        <w:t>zpřesnění účelu činností vykonávaných exportní pojišťovnou a exportní bankou</w:t>
      </w:r>
      <w:r w:rsidRPr="00286395">
        <w:rPr>
          <w:rFonts w:ascii="Times New Roman" w:hAnsi="Times New Roman"/>
          <w:sz w:val="24"/>
          <w:szCs w:val="24"/>
        </w:rPr>
        <w:t>, umožnění</w:t>
      </w:r>
      <w:r w:rsidR="002C5E14" w:rsidRPr="00286395">
        <w:rPr>
          <w:rFonts w:ascii="Times New Roman" w:hAnsi="Times New Roman"/>
          <w:sz w:val="24"/>
          <w:szCs w:val="24"/>
        </w:rPr>
        <w:t xml:space="preserve"> </w:t>
      </w:r>
      <w:r w:rsidR="00B95DFE" w:rsidRPr="00286395">
        <w:rPr>
          <w:rFonts w:ascii="Times New Roman" w:hAnsi="Times New Roman"/>
          <w:sz w:val="24"/>
          <w:szCs w:val="24"/>
        </w:rPr>
        <w:t>exportní pojišťovně a exportní bance flexibilně a efektivně reagovat na posun v globálních ekonomických vztazích</w:t>
      </w:r>
      <w:r w:rsidRPr="00286395">
        <w:rPr>
          <w:rFonts w:ascii="Times New Roman" w:hAnsi="Times New Roman"/>
          <w:sz w:val="24"/>
          <w:szCs w:val="24"/>
        </w:rPr>
        <w:t xml:space="preserve"> a zabezpečení</w:t>
      </w:r>
      <w:r w:rsidR="004C4766" w:rsidRPr="00286395">
        <w:rPr>
          <w:rFonts w:ascii="Times New Roman" w:hAnsi="Times New Roman"/>
          <w:sz w:val="24"/>
          <w:szCs w:val="24"/>
        </w:rPr>
        <w:t xml:space="preserve"> efektivní kontrol</w:t>
      </w:r>
      <w:r w:rsidRPr="00286395">
        <w:rPr>
          <w:rFonts w:ascii="Times New Roman" w:hAnsi="Times New Roman"/>
          <w:sz w:val="24"/>
          <w:szCs w:val="24"/>
        </w:rPr>
        <w:t>y</w:t>
      </w:r>
      <w:r w:rsidR="00DC698C" w:rsidRPr="00286395">
        <w:rPr>
          <w:rFonts w:ascii="Times New Roman" w:hAnsi="Times New Roman"/>
          <w:sz w:val="24"/>
          <w:szCs w:val="24"/>
        </w:rPr>
        <w:t xml:space="preserve"> exportní pojišťovny a exportní banky jako nástrojů státní politiky podpory vývozu</w:t>
      </w:r>
      <w:r w:rsidR="00C10DD0" w:rsidRPr="00286395">
        <w:rPr>
          <w:rFonts w:ascii="Times New Roman" w:hAnsi="Times New Roman"/>
          <w:sz w:val="24"/>
          <w:szCs w:val="24"/>
        </w:rPr>
        <w:t xml:space="preserve"> bylo navrženo stručné vymezení rozsahu nástrojů exportní pojišťovny a exportní banky v</w:t>
      </w:r>
      <w:r w:rsidR="005450F3">
        <w:rPr>
          <w:rFonts w:ascii="Times New Roman" w:hAnsi="Times New Roman"/>
          <w:sz w:val="24"/>
          <w:szCs w:val="24"/>
        </w:rPr>
        <w:t> </w:t>
      </w:r>
      <w:r w:rsidR="00C10DD0" w:rsidRPr="00286395">
        <w:rPr>
          <w:rFonts w:ascii="Times New Roman" w:hAnsi="Times New Roman"/>
          <w:sz w:val="24"/>
          <w:szCs w:val="24"/>
        </w:rPr>
        <w:t>zákoně</w:t>
      </w:r>
      <w:r w:rsidR="005450F3">
        <w:rPr>
          <w:rFonts w:ascii="Times New Roman" w:hAnsi="Times New Roman"/>
          <w:sz w:val="24"/>
          <w:szCs w:val="24"/>
        </w:rPr>
        <w:t xml:space="preserve"> </w:t>
      </w:r>
      <w:r w:rsidR="005450F3" w:rsidRPr="0073392D">
        <w:rPr>
          <w:rFonts w:ascii="Times New Roman" w:hAnsi="Times New Roman"/>
          <w:sz w:val="24"/>
          <w:szCs w:val="24"/>
        </w:rPr>
        <w:t>č.</w:t>
      </w:r>
      <w:r w:rsidR="00D84C8F">
        <w:rPr>
          <w:rFonts w:ascii="Times New Roman" w:hAnsi="Times New Roman"/>
          <w:sz w:val="24"/>
          <w:szCs w:val="24"/>
        </w:rPr>
        <w:t> </w:t>
      </w:r>
      <w:r w:rsidR="005450F3" w:rsidRPr="0073392D">
        <w:rPr>
          <w:rFonts w:ascii="Times New Roman" w:hAnsi="Times New Roman"/>
          <w:sz w:val="24"/>
          <w:szCs w:val="24"/>
        </w:rPr>
        <w:t>58/1995 Sb.</w:t>
      </w:r>
      <w:r w:rsidR="00C10DD0" w:rsidRPr="00286395">
        <w:rPr>
          <w:rFonts w:ascii="Times New Roman" w:hAnsi="Times New Roman"/>
          <w:sz w:val="24"/>
          <w:szCs w:val="24"/>
        </w:rPr>
        <w:t xml:space="preserve"> s tím, že rozsah a nástroje pojištění vývozních úvěrových rizik a</w:t>
      </w:r>
      <w:r w:rsidR="007F673A">
        <w:rPr>
          <w:rFonts w:ascii="Times New Roman" w:hAnsi="Times New Roman"/>
          <w:sz w:val="24"/>
          <w:szCs w:val="24"/>
        </w:rPr>
        <w:t> </w:t>
      </w:r>
      <w:r w:rsidR="00C10DD0" w:rsidRPr="00286395">
        <w:rPr>
          <w:rFonts w:ascii="Times New Roman" w:hAnsi="Times New Roman"/>
          <w:sz w:val="24"/>
          <w:szCs w:val="24"/>
        </w:rPr>
        <w:t xml:space="preserve">podpořeného financování stanoví prováděcí právní předpis. </w:t>
      </w:r>
      <w:r w:rsidR="007E23C6">
        <w:rPr>
          <w:rFonts w:ascii="Times New Roman" w:hAnsi="Times New Roman"/>
          <w:sz w:val="24"/>
          <w:szCs w:val="24"/>
        </w:rPr>
        <w:t>Rámcové postupy při</w:t>
      </w:r>
      <w:r w:rsidR="007F673A">
        <w:rPr>
          <w:rFonts w:ascii="Times New Roman" w:hAnsi="Times New Roman"/>
          <w:sz w:val="24"/>
          <w:szCs w:val="24"/>
        </w:rPr>
        <w:t> </w:t>
      </w:r>
      <w:r w:rsidR="007E23C6">
        <w:rPr>
          <w:rFonts w:ascii="Times New Roman" w:hAnsi="Times New Roman"/>
          <w:sz w:val="24"/>
          <w:szCs w:val="24"/>
        </w:rPr>
        <w:t>schvalování nových nástrojů jsou přitom uvedeny v zákoně.</w:t>
      </w:r>
    </w:p>
    <w:p w14:paraId="4207BDBB" w14:textId="592F8EDF" w:rsidR="00FE0BE7" w:rsidRDefault="00C10DD0" w:rsidP="00EB147E">
      <w:pPr>
        <w:spacing w:before="120" w:after="120"/>
        <w:ind w:left="360"/>
        <w:jc w:val="both"/>
        <w:rPr>
          <w:rFonts w:ascii="Times New Roman" w:hAnsi="Times New Roman"/>
          <w:sz w:val="24"/>
          <w:szCs w:val="24"/>
        </w:rPr>
      </w:pPr>
      <w:r w:rsidRPr="00286395">
        <w:rPr>
          <w:rFonts w:ascii="Times New Roman" w:hAnsi="Times New Roman"/>
          <w:sz w:val="24"/>
          <w:szCs w:val="24"/>
        </w:rPr>
        <w:t xml:space="preserve">Konkrétní </w:t>
      </w:r>
      <w:r w:rsidR="00390A0D">
        <w:rPr>
          <w:rFonts w:ascii="Times New Roman" w:hAnsi="Times New Roman"/>
          <w:sz w:val="24"/>
          <w:szCs w:val="24"/>
        </w:rPr>
        <w:t>nástroje</w:t>
      </w:r>
      <w:r w:rsidRPr="00286395">
        <w:rPr>
          <w:rFonts w:ascii="Times New Roman" w:hAnsi="Times New Roman"/>
          <w:sz w:val="24"/>
          <w:szCs w:val="24"/>
        </w:rPr>
        <w:t xml:space="preserve"> by byly odsouhlasovány v reakci na stanovené směry státní podpory vývozu a požadavky trhu. </w:t>
      </w:r>
      <w:r w:rsidR="001E3F58" w:rsidRPr="00286395">
        <w:rPr>
          <w:rFonts w:ascii="Times New Roman" w:hAnsi="Times New Roman"/>
          <w:sz w:val="24"/>
          <w:szCs w:val="24"/>
        </w:rPr>
        <w:t>Toto ř</w:t>
      </w:r>
      <w:r w:rsidR="004C4766" w:rsidRPr="00286395">
        <w:rPr>
          <w:rFonts w:ascii="Times New Roman" w:hAnsi="Times New Roman"/>
          <w:sz w:val="24"/>
          <w:szCs w:val="24"/>
        </w:rPr>
        <w:t>ešení</w:t>
      </w:r>
      <w:r w:rsidR="001E3F58" w:rsidRPr="00286395">
        <w:rPr>
          <w:rFonts w:ascii="Times New Roman" w:hAnsi="Times New Roman"/>
          <w:sz w:val="24"/>
          <w:szCs w:val="24"/>
        </w:rPr>
        <w:t xml:space="preserve"> by mělo umožnit </w:t>
      </w:r>
      <w:r w:rsidR="004C4766" w:rsidRPr="00286395">
        <w:rPr>
          <w:rFonts w:ascii="Times New Roman" w:hAnsi="Times New Roman"/>
          <w:sz w:val="24"/>
          <w:szCs w:val="24"/>
        </w:rPr>
        <w:t xml:space="preserve">flexibilitu </w:t>
      </w:r>
      <w:r w:rsidR="00390A0D">
        <w:rPr>
          <w:rFonts w:ascii="Times New Roman" w:hAnsi="Times New Roman"/>
          <w:sz w:val="24"/>
          <w:szCs w:val="24"/>
        </w:rPr>
        <w:t>nabídky</w:t>
      </w:r>
      <w:r w:rsidR="004C4766" w:rsidRPr="00286395">
        <w:rPr>
          <w:rFonts w:ascii="Times New Roman" w:hAnsi="Times New Roman"/>
          <w:sz w:val="24"/>
          <w:szCs w:val="24"/>
        </w:rPr>
        <w:t xml:space="preserve"> exportní pojišťovny a exportní banky na potřeby trhu i stra</w:t>
      </w:r>
      <w:r w:rsidR="009403B0" w:rsidRPr="00286395">
        <w:rPr>
          <w:rFonts w:ascii="Times New Roman" w:hAnsi="Times New Roman"/>
          <w:sz w:val="24"/>
          <w:szCs w:val="24"/>
        </w:rPr>
        <w:t>tegické zájmy exportní politiky</w:t>
      </w:r>
      <w:r w:rsidR="00A768DE">
        <w:rPr>
          <w:rFonts w:ascii="Times New Roman" w:hAnsi="Times New Roman"/>
          <w:sz w:val="24"/>
          <w:szCs w:val="24"/>
        </w:rPr>
        <w:t>. Rovněž umožní</w:t>
      </w:r>
      <w:r w:rsidR="009403B0" w:rsidRPr="00286395">
        <w:rPr>
          <w:rFonts w:ascii="Times New Roman" w:hAnsi="Times New Roman"/>
          <w:sz w:val="24"/>
          <w:szCs w:val="24"/>
        </w:rPr>
        <w:t xml:space="preserve"> efektivní a akceschopný dohled státu jako vlastníka obou institucí</w:t>
      </w:r>
      <w:r w:rsidR="00ED1C4C">
        <w:rPr>
          <w:rFonts w:ascii="Times New Roman" w:hAnsi="Times New Roman"/>
          <w:sz w:val="24"/>
          <w:szCs w:val="24"/>
        </w:rPr>
        <w:t xml:space="preserve">, jelikož </w:t>
      </w:r>
      <w:r w:rsidR="00ED1C4C" w:rsidRPr="00946832">
        <w:rPr>
          <w:rFonts w:ascii="Times New Roman" w:hAnsi="Times New Roman"/>
          <w:sz w:val="24"/>
          <w:szCs w:val="24"/>
        </w:rPr>
        <w:t xml:space="preserve">nově zaváděné nástroje pojištění vývozních úvěrových rizik a podpořeného financování </w:t>
      </w:r>
      <w:r w:rsidR="00A768DE" w:rsidRPr="00946832">
        <w:rPr>
          <w:rFonts w:ascii="Times New Roman" w:hAnsi="Times New Roman"/>
          <w:sz w:val="24"/>
          <w:szCs w:val="24"/>
        </w:rPr>
        <w:t xml:space="preserve">budou </w:t>
      </w:r>
      <w:r w:rsidR="00ED1C4C" w:rsidRPr="00946832">
        <w:rPr>
          <w:rFonts w:ascii="Times New Roman" w:hAnsi="Times New Roman"/>
          <w:sz w:val="24"/>
          <w:szCs w:val="24"/>
        </w:rPr>
        <w:t>před jejich zavedením do praxe schvalovány M</w:t>
      </w:r>
      <w:r w:rsidR="006B4652">
        <w:rPr>
          <w:rFonts w:ascii="Times New Roman" w:hAnsi="Times New Roman"/>
          <w:sz w:val="24"/>
          <w:szCs w:val="24"/>
        </w:rPr>
        <w:t>F</w:t>
      </w:r>
      <w:r w:rsidR="00ED1C4C" w:rsidRPr="00946832">
        <w:rPr>
          <w:rFonts w:ascii="Times New Roman" w:hAnsi="Times New Roman"/>
          <w:sz w:val="24"/>
          <w:szCs w:val="24"/>
        </w:rPr>
        <w:t xml:space="preserve"> s ohledem na případné dopady na státní rozpočet ČR</w:t>
      </w:r>
      <w:r w:rsidR="006B4652">
        <w:rPr>
          <w:rFonts w:ascii="Times New Roman" w:hAnsi="Times New Roman"/>
          <w:sz w:val="24"/>
          <w:szCs w:val="24"/>
        </w:rPr>
        <w:t xml:space="preserve">. </w:t>
      </w:r>
      <w:r w:rsidR="00416AD3" w:rsidRPr="00946832">
        <w:rPr>
          <w:rFonts w:ascii="Times New Roman" w:hAnsi="Times New Roman"/>
          <w:sz w:val="24"/>
          <w:szCs w:val="24"/>
        </w:rPr>
        <w:t>M</w:t>
      </w:r>
      <w:r w:rsidR="006B4652">
        <w:rPr>
          <w:rFonts w:ascii="Times New Roman" w:hAnsi="Times New Roman"/>
          <w:sz w:val="24"/>
          <w:szCs w:val="24"/>
        </w:rPr>
        <w:t>F</w:t>
      </w:r>
      <w:r w:rsidR="00416AD3" w:rsidRPr="00946832">
        <w:rPr>
          <w:rFonts w:ascii="Times New Roman" w:hAnsi="Times New Roman"/>
          <w:sz w:val="24"/>
          <w:szCs w:val="24"/>
        </w:rPr>
        <w:t xml:space="preserve"> si před vydáním rozhodnutí vyžádá stanovisko M</w:t>
      </w:r>
      <w:r w:rsidR="006B4652">
        <w:rPr>
          <w:rFonts w:ascii="Times New Roman" w:hAnsi="Times New Roman"/>
          <w:sz w:val="24"/>
          <w:szCs w:val="24"/>
        </w:rPr>
        <w:t>PO</w:t>
      </w:r>
      <w:r w:rsidR="00416AD3" w:rsidRPr="00946832">
        <w:rPr>
          <w:rFonts w:ascii="Times New Roman" w:hAnsi="Times New Roman"/>
          <w:sz w:val="24"/>
          <w:szCs w:val="24"/>
        </w:rPr>
        <w:t xml:space="preserve"> s ohledem na potřebu konzistentnosti, komplementarity a synergie jednotlivých nástrojů podpory exportu, jimiž se rozumí nástroje definované zejména aktualizovanou Exportní strategií.</w:t>
      </w:r>
    </w:p>
    <w:p w14:paraId="1C9A1B84" w14:textId="0BD29CAD" w:rsidR="009214DF" w:rsidRPr="00286395" w:rsidRDefault="009214DF" w:rsidP="003E30DB">
      <w:pPr>
        <w:spacing w:before="120" w:after="120"/>
        <w:ind w:left="360"/>
        <w:jc w:val="both"/>
        <w:rPr>
          <w:rFonts w:ascii="Times New Roman" w:hAnsi="Times New Roman"/>
          <w:bCs/>
          <w:sz w:val="24"/>
          <w:szCs w:val="24"/>
          <w:u w:val="single"/>
        </w:rPr>
      </w:pPr>
      <w:r w:rsidRPr="00286395">
        <w:rPr>
          <w:rFonts w:ascii="Times New Roman" w:hAnsi="Times New Roman"/>
          <w:bCs/>
          <w:sz w:val="24"/>
          <w:szCs w:val="24"/>
          <w:u w:val="single"/>
        </w:rPr>
        <w:t>B. V</w:t>
      </w:r>
      <w:r w:rsidRPr="006C3B1C">
        <w:rPr>
          <w:rFonts w:ascii="Times New Roman" w:hAnsi="Times New Roman"/>
          <w:bCs/>
          <w:sz w:val="24"/>
          <w:szCs w:val="24"/>
          <w:u w:val="single"/>
        </w:rPr>
        <w:t xml:space="preserve">edení </w:t>
      </w:r>
      <w:r w:rsidR="006C3B1C" w:rsidRPr="006C3B1C">
        <w:rPr>
          <w:rFonts w:ascii="Times New Roman" w:hAnsi="Times New Roman"/>
          <w:sz w:val="24"/>
          <w:szCs w:val="24"/>
          <w:u w:val="single"/>
        </w:rPr>
        <w:t>peněžní</w:t>
      </w:r>
      <w:r w:rsidRPr="006C3B1C">
        <w:rPr>
          <w:rFonts w:ascii="Times New Roman" w:hAnsi="Times New Roman"/>
          <w:bCs/>
          <w:sz w:val="24"/>
          <w:szCs w:val="24"/>
          <w:u w:val="single"/>
        </w:rPr>
        <w:t>c</w:t>
      </w:r>
      <w:r w:rsidRPr="00286395">
        <w:rPr>
          <w:rFonts w:ascii="Times New Roman" w:hAnsi="Times New Roman"/>
          <w:bCs/>
          <w:sz w:val="24"/>
          <w:szCs w:val="24"/>
          <w:u w:val="single"/>
        </w:rPr>
        <w:t>h prostředků exportní pojišťovny a exportní banky poskytnutých ze</w:t>
      </w:r>
      <w:r w:rsidR="003E30DB">
        <w:rPr>
          <w:rFonts w:ascii="Times New Roman" w:hAnsi="Times New Roman"/>
          <w:bCs/>
          <w:sz w:val="24"/>
          <w:szCs w:val="24"/>
          <w:u w:val="single"/>
        </w:rPr>
        <w:t> </w:t>
      </w:r>
      <w:r w:rsidRPr="00286395">
        <w:rPr>
          <w:rFonts w:ascii="Times New Roman" w:hAnsi="Times New Roman"/>
          <w:bCs/>
          <w:sz w:val="24"/>
          <w:szCs w:val="24"/>
          <w:u w:val="single"/>
        </w:rPr>
        <w:t>státního rozpočtu na účtech vedených u centrální banky</w:t>
      </w:r>
    </w:p>
    <w:p w14:paraId="5F1E61CE" w14:textId="77777777" w:rsidR="00E2111D" w:rsidRDefault="00791FFD" w:rsidP="00EB147E">
      <w:pPr>
        <w:spacing w:before="120" w:after="120"/>
        <w:ind w:left="360"/>
        <w:rPr>
          <w:rFonts w:ascii="Times New Roman" w:hAnsi="Times New Roman"/>
          <w:i/>
          <w:sz w:val="24"/>
          <w:szCs w:val="24"/>
        </w:rPr>
      </w:pPr>
      <w:r w:rsidRPr="00286395">
        <w:rPr>
          <w:rFonts w:ascii="Times New Roman" w:hAnsi="Times New Roman"/>
          <w:sz w:val="24"/>
          <w:szCs w:val="24"/>
        </w:rPr>
        <w:t xml:space="preserve">a) </w:t>
      </w:r>
      <w:r w:rsidRPr="00286395">
        <w:rPr>
          <w:rFonts w:ascii="Times New Roman" w:hAnsi="Times New Roman"/>
          <w:i/>
          <w:sz w:val="24"/>
          <w:szCs w:val="24"/>
        </w:rPr>
        <w:t>Nulová varianta</w:t>
      </w:r>
    </w:p>
    <w:p w14:paraId="2B9B0749" w14:textId="77777777" w:rsidR="00140453" w:rsidRPr="00286395" w:rsidRDefault="00791FFD" w:rsidP="003E30DB">
      <w:pPr>
        <w:spacing w:before="120" w:after="120"/>
        <w:ind w:left="360"/>
        <w:jc w:val="both"/>
        <w:rPr>
          <w:rFonts w:ascii="Times New Roman" w:hAnsi="Times New Roman"/>
          <w:sz w:val="24"/>
          <w:szCs w:val="24"/>
        </w:rPr>
      </w:pPr>
      <w:r w:rsidRPr="00286395">
        <w:rPr>
          <w:rFonts w:ascii="Times New Roman" w:hAnsi="Times New Roman"/>
          <w:sz w:val="24"/>
          <w:szCs w:val="24"/>
        </w:rPr>
        <w:t xml:space="preserve">b) </w:t>
      </w:r>
      <w:r w:rsidRPr="00286395">
        <w:rPr>
          <w:rFonts w:ascii="Times New Roman" w:hAnsi="Times New Roman"/>
          <w:i/>
          <w:sz w:val="24"/>
          <w:szCs w:val="24"/>
        </w:rPr>
        <w:t>Varianta 1</w:t>
      </w:r>
      <w:r w:rsidRPr="00286395">
        <w:rPr>
          <w:rFonts w:ascii="Times New Roman" w:hAnsi="Times New Roman"/>
          <w:sz w:val="24"/>
          <w:szCs w:val="24"/>
        </w:rPr>
        <w:t xml:space="preserve"> –</w:t>
      </w:r>
      <w:r w:rsidR="00140453" w:rsidRPr="00286395">
        <w:rPr>
          <w:rFonts w:ascii="Times New Roman" w:hAnsi="Times New Roman"/>
          <w:sz w:val="24"/>
          <w:szCs w:val="24"/>
        </w:rPr>
        <w:t xml:space="preserve"> </w:t>
      </w:r>
      <w:r w:rsidRPr="00286395">
        <w:rPr>
          <w:rFonts w:ascii="Times New Roman" w:hAnsi="Times New Roman"/>
          <w:sz w:val="24"/>
          <w:szCs w:val="24"/>
        </w:rPr>
        <w:t xml:space="preserve">legislativní řešení </w:t>
      </w:r>
      <w:r w:rsidR="00140453" w:rsidRPr="00286395">
        <w:rPr>
          <w:rFonts w:ascii="Times New Roman" w:hAnsi="Times New Roman"/>
          <w:sz w:val="24"/>
          <w:szCs w:val="24"/>
        </w:rPr>
        <w:t>–</w:t>
      </w:r>
      <w:r w:rsidRPr="00286395">
        <w:rPr>
          <w:rFonts w:ascii="Times New Roman" w:hAnsi="Times New Roman"/>
          <w:sz w:val="24"/>
          <w:szCs w:val="24"/>
        </w:rPr>
        <w:t xml:space="preserve"> </w:t>
      </w:r>
      <w:r w:rsidR="00140453" w:rsidRPr="00286395">
        <w:rPr>
          <w:rFonts w:ascii="Times New Roman" w:hAnsi="Times New Roman"/>
          <w:sz w:val="24"/>
          <w:szCs w:val="24"/>
        </w:rPr>
        <w:t>podřízení exportní pojišťovny a exportní banky režimu státní pokladny</w:t>
      </w:r>
    </w:p>
    <w:p w14:paraId="75734120" w14:textId="77777777" w:rsidR="00791FFD" w:rsidRPr="00286395" w:rsidRDefault="00791FFD" w:rsidP="00EB147E">
      <w:pPr>
        <w:spacing w:before="120" w:after="120"/>
        <w:ind w:left="360"/>
        <w:rPr>
          <w:rFonts w:ascii="Times New Roman" w:hAnsi="Times New Roman"/>
          <w:sz w:val="24"/>
          <w:szCs w:val="24"/>
        </w:rPr>
      </w:pPr>
      <w:r w:rsidRPr="00286395">
        <w:rPr>
          <w:rFonts w:ascii="Times New Roman" w:hAnsi="Times New Roman"/>
          <w:sz w:val="24"/>
          <w:szCs w:val="24"/>
        </w:rPr>
        <w:t xml:space="preserve">a) </w:t>
      </w:r>
      <w:r w:rsidRPr="00286395">
        <w:rPr>
          <w:rFonts w:ascii="Times New Roman" w:hAnsi="Times New Roman"/>
          <w:i/>
          <w:sz w:val="24"/>
          <w:szCs w:val="24"/>
        </w:rPr>
        <w:t>Nulová varianta</w:t>
      </w:r>
    </w:p>
    <w:p w14:paraId="61965F03" w14:textId="77777777" w:rsidR="00791FFD" w:rsidRPr="00286395" w:rsidRDefault="00791FFD" w:rsidP="00556B61">
      <w:pPr>
        <w:spacing w:before="120" w:after="120"/>
        <w:ind w:left="357"/>
        <w:jc w:val="both"/>
        <w:rPr>
          <w:rFonts w:ascii="Times New Roman" w:hAnsi="Times New Roman"/>
          <w:bCs/>
          <w:iCs/>
          <w:sz w:val="24"/>
          <w:szCs w:val="24"/>
        </w:rPr>
      </w:pPr>
      <w:r w:rsidRPr="00286395">
        <w:rPr>
          <w:rFonts w:ascii="Times New Roman" w:hAnsi="Times New Roman"/>
          <w:sz w:val="24"/>
          <w:szCs w:val="24"/>
        </w:rPr>
        <w:t xml:space="preserve">Nulová varianta, tedy zachování současného stavu, </w:t>
      </w:r>
      <w:r w:rsidR="00B81839" w:rsidRPr="00286395">
        <w:rPr>
          <w:rFonts w:ascii="Times New Roman" w:hAnsi="Times New Roman"/>
          <w:sz w:val="24"/>
          <w:szCs w:val="24"/>
        </w:rPr>
        <w:t>představuje situaci, kdy</w:t>
      </w:r>
      <w:r w:rsidR="00A50517" w:rsidRPr="00286395">
        <w:rPr>
          <w:rFonts w:ascii="Times New Roman" w:hAnsi="Times New Roman"/>
          <w:sz w:val="24"/>
          <w:szCs w:val="24"/>
        </w:rPr>
        <w:t xml:space="preserve"> exportní pojišťovna a exportní banka nepodléhají</w:t>
      </w:r>
      <w:r w:rsidR="00B81839" w:rsidRPr="00286395">
        <w:rPr>
          <w:rFonts w:ascii="Times New Roman" w:hAnsi="Times New Roman"/>
          <w:sz w:val="24"/>
          <w:szCs w:val="24"/>
        </w:rPr>
        <w:t xml:space="preserve"> </w:t>
      </w:r>
      <w:r w:rsidR="00A50517" w:rsidRPr="00286395">
        <w:rPr>
          <w:rFonts w:ascii="Times New Roman" w:hAnsi="Times New Roman"/>
          <w:sz w:val="24"/>
          <w:szCs w:val="24"/>
        </w:rPr>
        <w:t>režimu subjektů státní pokladny, které si nesmí prostředky převést z účtů státní pokladny</w:t>
      </w:r>
      <w:r w:rsidR="00E50635" w:rsidRPr="00286395">
        <w:rPr>
          <w:rFonts w:ascii="Times New Roman" w:hAnsi="Times New Roman"/>
          <w:sz w:val="24"/>
          <w:szCs w:val="24"/>
        </w:rPr>
        <w:t xml:space="preserve">. Za této situace </w:t>
      </w:r>
      <w:r w:rsidR="001D693A" w:rsidRPr="00286395">
        <w:rPr>
          <w:rFonts w:ascii="Times New Roman" w:hAnsi="Times New Roman"/>
          <w:sz w:val="24"/>
          <w:szCs w:val="24"/>
        </w:rPr>
        <w:t xml:space="preserve">exportní pojišťovna a exportní banka </w:t>
      </w:r>
      <w:r w:rsidR="001D693A" w:rsidRPr="00286395">
        <w:rPr>
          <w:rFonts w:ascii="Times New Roman" w:hAnsi="Times New Roman"/>
          <w:bCs/>
          <w:iCs/>
          <w:sz w:val="24"/>
          <w:szCs w:val="24"/>
        </w:rPr>
        <w:t xml:space="preserve">ukládají nebo investují </w:t>
      </w:r>
      <w:r w:rsidR="006C3B1C" w:rsidRPr="004D2804">
        <w:rPr>
          <w:rFonts w:ascii="Times New Roman" w:hAnsi="Times New Roman"/>
          <w:sz w:val="24"/>
          <w:szCs w:val="24"/>
        </w:rPr>
        <w:t>peněžní</w:t>
      </w:r>
      <w:r w:rsidR="001D693A" w:rsidRPr="00286395">
        <w:rPr>
          <w:rFonts w:ascii="Times New Roman" w:hAnsi="Times New Roman"/>
          <w:bCs/>
          <w:iCs/>
          <w:sz w:val="24"/>
          <w:szCs w:val="24"/>
        </w:rPr>
        <w:t xml:space="preserve"> prostředky poskytované ze státního rozpočtu na</w:t>
      </w:r>
      <w:r w:rsidR="003E30DB">
        <w:rPr>
          <w:rFonts w:ascii="Times New Roman" w:hAnsi="Times New Roman"/>
          <w:bCs/>
          <w:iCs/>
          <w:sz w:val="24"/>
          <w:szCs w:val="24"/>
        </w:rPr>
        <w:t> </w:t>
      </w:r>
      <w:r w:rsidR="001D693A" w:rsidRPr="00286395">
        <w:rPr>
          <w:rFonts w:ascii="Times New Roman" w:hAnsi="Times New Roman"/>
          <w:bCs/>
          <w:iCs/>
          <w:sz w:val="24"/>
          <w:szCs w:val="24"/>
        </w:rPr>
        <w:t>finančním trhu</w:t>
      </w:r>
      <w:r w:rsidR="00E50635" w:rsidRPr="00286395">
        <w:rPr>
          <w:rFonts w:ascii="Times New Roman" w:hAnsi="Times New Roman"/>
          <w:bCs/>
          <w:iCs/>
          <w:sz w:val="24"/>
          <w:szCs w:val="24"/>
        </w:rPr>
        <w:t xml:space="preserve"> samostatně. Získávají tím dodatečný příjem plynoucí z komerčního zhodnocení uložených či investovaných prostředků. </w:t>
      </w:r>
    </w:p>
    <w:p w14:paraId="60C7CFA1" w14:textId="575A12B8" w:rsidR="00021D87" w:rsidRPr="00286395" w:rsidRDefault="006C3B1C" w:rsidP="00EB147E">
      <w:pPr>
        <w:spacing w:before="120" w:after="120"/>
        <w:ind w:left="360"/>
        <w:jc w:val="both"/>
        <w:rPr>
          <w:rFonts w:ascii="Times New Roman" w:hAnsi="Times New Roman"/>
          <w:bCs/>
          <w:iCs/>
          <w:sz w:val="24"/>
          <w:szCs w:val="24"/>
        </w:rPr>
      </w:pPr>
      <w:r>
        <w:rPr>
          <w:rFonts w:ascii="Times New Roman" w:hAnsi="Times New Roman"/>
          <w:sz w:val="24"/>
          <w:szCs w:val="24"/>
        </w:rPr>
        <w:t>P</w:t>
      </w:r>
      <w:r w:rsidRPr="004D2804">
        <w:rPr>
          <w:rFonts w:ascii="Times New Roman" w:hAnsi="Times New Roman"/>
          <w:sz w:val="24"/>
          <w:szCs w:val="24"/>
        </w:rPr>
        <w:t>eněžní</w:t>
      </w:r>
      <w:r w:rsidR="00021D87" w:rsidRPr="00286395">
        <w:rPr>
          <w:rFonts w:ascii="Times New Roman" w:hAnsi="Times New Roman"/>
          <w:bCs/>
          <w:iCs/>
          <w:sz w:val="24"/>
          <w:szCs w:val="24"/>
        </w:rPr>
        <w:t>mi prostředky, které jsou exportní pojišťovně nebo exportní bance poskytovány ze</w:t>
      </w:r>
      <w:r w:rsidR="003E30DB">
        <w:rPr>
          <w:rFonts w:ascii="Times New Roman" w:hAnsi="Times New Roman"/>
          <w:bCs/>
          <w:iCs/>
          <w:sz w:val="24"/>
          <w:szCs w:val="24"/>
        </w:rPr>
        <w:t> </w:t>
      </w:r>
      <w:r w:rsidR="00021D87" w:rsidRPr="00286395">
        <w:rPr>
          <w:rFonts w:ascii="Times New Roman" w:hAnsi="Times New Roman"/>
          <w:bCs/>
          <w:iCs/>
          <w:sz w:val="24"/>
          <w:szCs w:val="24"/>
        </w:rPr>
        <w:t xml:space="preserve">státního rozpočtu, jsou zejména dotace na úhradu ztrát, dotace na posílení fondů, </w:t>
      </w:r>
      <w:r w:rsidRPr="004D2804">
        <w:rPr>
          <w:rFonts w:ascii="Times New Roman" w:hAnsi="Times New Roman"/>
          <w:sz w:val="24"/>
          <w:szCs w:val="24"/>
        </w:rPr>
        <w:t>peněžní</w:t>
      </w:r>
      <w:r w:rsidR="00021D87" w:rsidRPr="00286395">
        <w:rPr>
          <w:rFonts w:ascii="Times New Roman" w:hAnsi="Times New Roman"/>
          <w:bCs/>
          <w:iCs/>
          <w:sz w:val="24"/>
          <w:szCs w:val="24"/>
        </w:rPr>
        <w:t xml:space="preserve"> prostředky na navýšení primárního kapitálu, </w:t>
      </w:r>
      <w:r w:rsidRPr="004D2804">
        <w:rPr>
          <w:rFonts w:ascii="Times New Roman" w:hAnsi="Times New Roman"/>
          <w:sz w:val="24"/>
          <w:szCs w:val="24"/>
        </w:rPr>
        <w:t>peněžní</w:t>
      </w:r>
      <w:r w:rsidR="00021D87" w:rsidRPr="00286395">
        <w:rPr>
          <w:rFonts w:ascii="Times New Roman" w:hAnsi="Times New Roman"/>
          <w:bCs/>
          <w:iCs/>
          <w:sz w:val="24"/>
          <w:szCs w:val="24"/>
        </w:rPr>
        <w:t xml:space="preserve"> prostředky na navýšení základního kapitálu nebo </w:t>
      </w:r>
      <w:r w:rsidRPr="004D2804">
        <w:rPr>
          <w:rFonts w:ascii="Times New Roman" w:hAnsi="Times New Roman"/>
          <w:sz w:val="24"/>
          <w:szCs w:val="24"/>
        </w:rPr>
        <w:t>peněžní</w:t>
      </w:r>
      <w:r w:rsidR="00021D87" w:rsidRPr="00286395">
        <w:rPr>
          <w:rFonts w:ascii="Times New Roman" w:hAnsi="Times New Roman"/>
          <w:bCs/>
          <w:iCs/>
          <w:sz w:val="24"/>
          <w:szCs w:val="24"/>
        </w:rPr>
        <w:t xml:space="preserve"> prostředky na refinancování úvěrů a emitovaných dluhových cenných papírů. Z pohledu státního rozpočtu se jedná o značný výdaj. </w:t>
      </w:r>
      <w:r w:rsidR="00B7370A" w:rsidRPr="00286395">
        <w:rPr>
          <w:rFonts w:ascii="Times New Roman" w:hAnsi="Times New Roman"/>
          <w:bCs/>
          <w:iCs/>
          <w:sz w:val="24"/>
          <w:szCs w:val="24"/>
        </w:rPr>
        <w:t xml:space="preserve">Cílem dotační politiky </w:t>
      </w:r>
      <w:r w:rsidR="00BC123F" w:rsidRPr="00286395">
        <w:rPr>
          <w:rFonts w:ascii="Times New Roman" w:hAnsi="Times New Roman"/>
          <w:bCs/>
          <w:iCs/>
          <w:sz w:val="24"/>
          <w:szCs w:val="24"/>
        </w:rPr>
        <w:t>je efektivní využití poskytnutých prostředků k přímé podpoře exportu ve</w:t>
      </w:r>
      <w:r w:rsidR="00C76597">
        <w:rPr>
          <w:rFonts w:ascii="Times New Roman" w:hAnsi="Times New Roman"/>
          <w:bCs/>
          <w:iCs/>
          <w:sz w:val="24"/>
          <w:szCs w:val="24"/>
        </w:rPr>
        <w:t> </w:t>
      </w:r>
      <w:r w:rsidR="00BC123F" w:rsidRPr="00286395">
        <w:rPr>
          <w:rFonts w:ascii="Times New Roman" w:hAnsi="Times New Roman"/>
          <w:bCs/>
          <w:iCs/>
          <w:sz w:val="24"/>
          <w:szCs w:val="24"/>
        </w:rPr>
        <w:t xml:space="preserve">smyslu činnosti exportní pojišťovny a exportní banky. </w:t>
      </w:r>
      <w:r w:rsidR="0042758B">
        <w:rPr>
          <w:rFonts w:ascii="Times New Roman" w:hAnsi="Times New Roman"/>
          <w:bCs/>
          <w:iCs/>
          <w:sz w:val="24"/>
          <w:szCs w:val="24"/>
        </w:rPr>
        <w:t xml:space="preserve">Zároveň na účtech podřízených státní pokladně povede exportní pojišťovna i veškeré další zdroje. Exportní banka pak zdroje s výjimkou zdrojů stávajícího základního kapitálu. </w:t>
      </w:r>
    </w:p>
    <w:p w14:paraId="6C752FA6" w14:textId="77777777" w:rsidR="00CE6881" w:rsidRPr="00286395" w:rsidRDefault="006D1747" w:rsidP="00EB147E">
      <w:pPr>
        <w:spacing w:before="120" w:after="120"/>
        <w:ind w:left="360"/>
        <w:jc w:val="both"/>
        <w:rPr>
          <w:rFonts w:ascii="Times New Roman" w:hAnsi="Times New Roman"/>
          <w:sz w:val="24"/>
          <w:szCs w:val="24"/>
        </w:rPr>
      </w:pPr>
      <w:r w:rsidRPr="00286395">
        <w:rPr>
          <w:rFonts w:ascii="Times New Roman" w:hAnsi="Times New Roman"/>
          <w:sz w:val="24"/>
          <w:szCs w:val="24"/>
        </w:rPr>
        <w:t xml:space="preserve">Tento stav považuje akcionář za nevhodný z pohledu řízení státního rozpočtu, kdy </w:t>
      </w:r>
      <w:r w:rsidR="008749F9" w:rsidRPr="00286395">
        <w:rPr>
          <w:rFonts w:ascii="Times New Roman" w:hAnsi="Times New Roman"/>
          <w:sz w:val="24"/>
          <w:szCs w:val="24"/>
        </w:rPr>
        <w:t xml:space="preserve">státu vznikají dodatečné výdaje na obstarání prostředků, které jsou doposud využívány k dotování exportní pojišťovny a exportní banky. </w:t>
      </w:r>
    </w:p>
    <w:p w14:paraId="66B1DD2D" w14:textId="77777777" w:rsidR="004451DB" w:rsidRPr="00286395" w:rsidRDefault="004451DB" w:rsidP="00EA1E53">
      <w:pPr>
        <w:spacing w:before="120" w:after="120"/>
        <w:ind w:left="360"/>
        <w:jc w:val="both"/>
        <w:rPr>
          <w:rFonts w:ascii="Times New Roman" w:hAnsi="Times New Roman"/>
          <w:sz w:val="24"/>
          <w:szCs w:val="24"/>
        </w:rPr>
      </w:pPr>
      <w:r w:rsidRPr="00286395">
        <w:rPr>
          <w:rFonts w:ascii="Times New Roman" w:hAnsi="Times New Roman"/>
          <w:sz w:val="24"/>
          <w:szCs w:val="24"/>
        </w:rPr>
        <w:t xml:space="preserve">b) </w:t>
      </w:r>
      <w:r w:rsidRPr="00286395">
        <w:rPr>
          <w:rFonts w:ascii="Times New Roman" w:hAnsi="Times New Roman"/>
          <w:i/>
          <w:sz w:val="24"/>
          <w:szCs w:val="24"/>
        </w:rPr>
        <w:t>Varianta 1</w:t>
      </w:r>
      <w:r w:rsidR="00D001C8" w:rsidRPr="00286395">
        <w:rPr>
          <w:rFonts w:ascii="Times New Roman" w:hAnsi="Times New Roman"/>
          <w:sz w:val="24"/>
          <w:szCs w:val="24"/>
        </w:rPr>
        <w:t xml:space="preserve"> – legislativní řešení – podřízení exportní pojišťovny a exportní banky režimu státní pokladny</w:t>
      </w:r>
    </w:p>
    <w:p w14:paraId="507EFA83" w14:textId="77819CC2" w:rsidR="00A320BF" w:rsidRPr="00286395" w:rsidRDefault="008268B6" w:rsidP="00EB147E">
      <w:pPr>
        <w:spacing w:before="120" w:after="120"/>
        <w:ind w:left="360"/>
        <w:jc w:val="both"/>
        <w:rPr>
          <w:rFonts w:ascii="Times New Roman" w:hAnsi="Times New Roman"/>
          <w:sz w:val="24"/>
          <w:szCs w:val="24"/>
        </w:rPr>
      </w:pPr>
      <w:r w:rsidRPr="00286395">
        <w:rPr>
          <w:rFonts w:ascii="Times New Roman" w:hAnsi="Times New Roman"/>
          <w:sz w:val="24"/>
          <w:szCs w:val="24"/>
        </w:rPr>
        <w:t xml:space="preserve">Navrhuje se zapojení exportní pojišťovny a exportní banky do centrálního systému řízení likvidity souhrnných účtů státní pokladny. </w:t>
      </w:r>
      <w:r w:rsidR="00D43691" w:rsidRPr="00286395">
        <w:rPr>
          <w:rFonts w:ascii="Times New Roman" w:hAnsi="Times New Roman"/>
          <w:sz w:val="24"/>
          <w:szCs w:val="24"/>
        </w:rPr>
        <w:t xml:space="preserve">To znamená, že </w:t>
      </w:r>
      <w:r w:rsidR="00635320" w:rsidRPr="00286395">
        <w:rPr>
          <w:rFonts w:ascii="Times New Roman" w:hAnsi="Times New Roman"/>
          <w:sz w:val="24"/>
          <w:szCs w:val="24"/>
        </w:rPr>
        <w:t>prostředky</w:t>
      </w:r>
      <w:r w:rsidR="00D43691" w:rsidRPr="00286395">
        <w:rPr>
          <w:rFonts w:ascii="Times New Roman" w:hAnsi="Times New Roman"/>
          <w:sz w:val="24"/>
          <w:szCs w:val="24"/>
        </w:rPr>
        <w:t xml:space="preserve"> exportní pojišťovn</w:t>
      </w:r>
      <w:r w:rsidR="0042758B">
        <w:rPr>
          <w:rFonts w:ascii="Times New Roman" w:hAnsi="Times New Roman"/>
          <w:sz w:val="24"/>
          <w:szCs w:val="24"/>
        </w:rPr>
        <w:t>y</w:t>
      </w:r>
      <w:r w:rsidR="00D43691" w:rsidRPr="00286395">
        <w:rPr>
          <w:rFonts w:ascii="Times New Roman" w:hAnsi="Times New Roman"/>
          <w:sz w:val="24"/>
          <w:szCs w:val="24"/>
        </w:rPr>
        <w:t xml:space="preserve"> a exportní bank</w:t>
      </w:r>
      <w:r w:rsidR="0042758B">
        <w:rPr>
          <w:rFonts w:ascii="Times New Roman" w:hAnsi="Times New Roman"/>
          <w:sz w:val="24"/>
          <w:szCs w:val="24"/>
        </w:rPr>
        <w:t>y, s výjimkou stanovenou v přechodných ustanovení zákona,</w:t>
      </w:r>
      <w:r w:rsidR="00D43691" w:rsidRPr="00286395">
        <w:rPr>
          <w:rFonts w:ascii="Times New Roman" w:hAnsi="Times New Roman"/>
          <w:sz w:val="24"/>
          <w:szCs w:val="24"/>
        </w:rPr>
        <w:t xml:space="preserve"> nesmí </w:t>
      </w:r>
      <w:r w:rsidR="00A320BF" w:rsidRPr="00286395">
        <w:rPr>
          <w:rFonts w:ascii="Times New Roman" w:hAnsi="Times New Roman"/>
          <w:sz w:val="24"/>
          <w:szCs w:val="24"/>
        </w:rPr>
        <w:t xml:space="preserve">tyto instituce vést </w:t>
      </w:r>
      <w:r w:rsidR="0042758B">
        <w:rPr>
          <w:rFonts w:ascii="Times New Roman" w:hAnsi="Times New Roman"/>
          <w:sz w:val="24"/>
          <w:szCs w:val="24"/>
        </w:rPr>
        <w:t>mimo</w:t>
      </w:r>
      <w:r w:rsidR="0042758B" w:rsidRPr="00286395">
        <w:rPr>
          <w:rFonts w:ascii="Times New Roman" w:hAnsi="Times New Roman"/>
          <w:sz w:val="24"/>
          <w:szCs w:val="24"/>
        </w:rPr>
        <w:t> </w:t>
      </w:r>
      <w:r w:rsidR="00A320BF" w:rsidRPr="00286395">
        <w:rPr>
          <w:rFonts w:ascii="Times New Roman" w:hAnsi="Times New Roman"/>
          <w:sz w:val="24"/>
          <w:szCs w:val="24"/>
        </w:rPr>
        <w:t>účt</w:t>
      </w:r>
      <w:r w:rsidR="0042758B">
        <w:rPr>
          <w:rFonts w:ascii="Times New Roman" w:hAnsi="Times New Roman"/>
          <w:sz w:val="24"/>
          <w:szCs w:val="24"/>
        </w:rPr>
        <w:t>y</w:t>
      </w:r>
      <w:r w:rsidR="00A320BF" w:rsidRPr="00286395">
        <w:rPr>
          <w:rFonts w:ascii="Times New Roman" w:hAnsi="Times New Roman"/>
          <w:sz w:val="24"/>
          <w:szCs w:val="24"/>
        </w:rPr>
        <w:t xml:space="preserve"> státní pokladny</w:t>
      </w:r>
      <w:r w:rsidR="004B4BCE" w:rsidRPr="00286395">
        <w:rPr>
          <w:rFonts w:ascii="Times New Roman" w:hAnsi="Times New Roman"/>
          <w:sz w:val="24"/>
          <w:szCs w:val="24"/>
        </w:rPr>
        <w:t>.</w:t>
      </w:r>
    </w:p>
    <w:p w14:paraId="325D5466" w14:textId="4055FF6C" w:rsidR="00F33D34" w:rsidRPr="00286395" w:rsidRDefault="005E5BCB" w:rsidP="00EB147E">
      <w:pPr>
        <w:spacing w:before="120" w:after="120"/>
        <w:ind w:left="360"/>
        <w:jc w:val="both"/>
        <w:rPr>
          <w:rFonts w:ascii="Times New Roman" w:hAnsi="Times New Roman"/>
          <w:sz w:val="24"/>
          <w:szCs w:val="24"/>
        </w:rPr>
      </w:pPr>
      <w:r w:rsidRPr="00286395">
        <w:rPr>
          <w:rFonts w:ascii="Times New Roman" w:hAnsi="Times New Roman"/>
          <w:sz w:val="24"/>
          <w:szCs w:val="24"/>
        </w:rPr>
        <w:t xml:space="preserve">V rámci centrálního systému řízení likvidity souhrnných účtů státní pokladny funguje </w:t>
      </w:r>
      <w:r w:rsidR="00635320" w:rsidRPr="00286395">
        <w:rPr>
          <w:rFonts w:ascii="Times New Roman" w:hAnsi="Times New Roman"/>
          <w:sz w:val="24"/>
          <w:szCs w:val="24"/>
        </w:rPr>
        <w:t xml:space="preserve">režim, kdy </w:t>
      </w:r>
      <w:r w:rsidRPr="00286395">
        <w:rPr>
          <w:rFonts w:ascii="Times New Roman" w:hAnsi="Times New Roman"/>
          <w:sz w:val="24"/>
          <w:szCs w:val="24"/>
        </w:rPr>
        <w:t>příslušné účty nejsou úročeny, zatímco M</w:t>
      </w:r>
      <w:r w:rsidR="003F4B90">
        <w:rPr>
          <w:rFonts w:ascii="Times New Roman" w:hAnsi="Times New Roman"/>
          <w:sz w:val="24"/>
          <w:szCs w:val="24"/>
        </w:rPr>
        <w:t>F</w:t>
      </w:r>
      <w:r w:rsidRPr="00286395">
        <w:rPr>
          <w:rFonts w:ascii="Times New Roman" w:hAnsi="Times New Roman"/>
          <w:sz w:val="24"/>
          <w:szCs w:val="24"/>
        </w:rPr>
        <w:t xml:space="preserve"> </w:t>
      </w:r>
      <w:r w:rsidR="00635320" w:rsidRPr="00286395">
        <w:rPr>
          <w:rFonts w:ascii="Times New Roman" w:hAnsi="Times New Roman"/>
          <w:sz w:val="24"/>
          <w:szCs w:val="24"/>
        </w:rPr>
        <w:t>hradí bankovní poplatky.</w:t>
      </w:r>
      <w:r w:rsidR="00F33D34" w:rsidRPr="00286395">
        <w:rPr>
          <w:rFonts w:ascii="Times New Roman" w:hAnsi="Times New Roman"/>
          <w:sz w:val="24"/>
          <w:szCs w:val="24"/>
        </w:rPr>
        <w:t xml:space="preserve"> Exportní pojišťovna a exportní banka se stane povinným subjektem státní pokladny a povede na</w:t>
      </w:r>
      <w:r w:rsidR="00820ABE">
        <w:rPr>
          <w:rFonts w:ascii="Times New Roman" w:hAnsi="Times New Roman"/>
          <w:sz w:val="24"/>
          <w:szCs w:val="24"/>
        </w:rPr>
        <w:t> </w:t>
      </w:r>
      <w:r w:rsidR="00F33D34" w:rsidRPr="00286395">
        <w:rPr>
          <w:rFonts w:ascii="Times New Roman" w:hAnsi="Times New Roman"/>
          <w:sz w:val="24"/>
          <w:szCs w:val="24"/>
        </w:rPr>
        <w:t>účtech u ČNB veškeré své prostředky, zároveň bude využívat veškeré služby ČNB, včetně platebního styku.</w:t>
      </w:r>
      <w:r w:rsidR="00CB5E54" w:rsidRPr="00286395">
        <w:rPr>
          <w:rFonts w:ascii="Times New Roman" w:hAnsi="Times New Roman"/>
          <w:sz w:val="24"/>
          <w:szCs w:val="24"/>
        </w:rPr>
        <w:t xml:space="preserve"> </w:t>
      </w:r>
    </w:p>
    <w:p w14:paraId="417B9A9B" w14:textId="77777777" w:rsidR="00635320" w:rsidRPr="00286395" w:rsidRDefault="00635320" w:rsidP="00EB147E">
      <w:pPr>
        <w:spacing w:before="120" w:after="120"/>
        <w:ind w:left="360"/>
        <w:jc w:val="both"/>
        <w:rPr>
          <w:rFonts w:ascii="Times New Roman" w:hAnsi="Times New Roman"/>
          <w:sz w:val="24"/>
          <w:szCs w:val="24"/>
        </w:rPr>
      </w:pPr>
      <w:r w:rsidRPr="00286395">
        <w:rPr>
          <w:rFonts w:ascii="Times New Roman" w:hAnsi="Times New Roman"/>
          <w:sz w:val="24"/>
          <w:szCs w:val="24"/>
        </w:rPr>
        <w:t>Peněžní prostředky účtů, které jsou podřízeny souhrnným účtům státní pokladny vedených v jednotlivých měnách a které od roku 2013 postupně nahradily rezervu peněžních prostředků vzniklou emisní činností, jsou využívány jako krátkodobý zdroj peněžních prostředků pro krytí potřeby financování vlády a díky tomuto zefektivnění řízení výpůjčních operací státu dochází v konečném důsledku ke snižování úrokových výdajů na obsluhu státního dluhu souvisejících s emisní činno</w:t>
      </w:r>
      <w:r w:rsidR="008317BA" w:rsidRPr="00286395">
        <w:rPr>
          <w:rFonts w:ascii="Times New Roman" w:hAnsi="Times New Roman"/>
          <w:sz w:val="24"/>
          <w:szCs w:val="24"/>
        </w:rPr>
        <w:t>stí, což s sebou pro stát přináší nezanedbatelné ekonomické výhody.</w:t>
      </w:r>
    </w:p>
    <w:p w14:paraId="3DE70613" w14:textId="77777777" w:rsidR="00635320" w:rsidRPr="00286395" w:rsidRDefault="00635320" w:rsidP="00EB147E">
      <w:pPr>
        <w:spacing w:before="120" w:after="120"/>
        <w:ind w:left="360"/>
        <w:jc w:val="both"/>
        <w:rPr>
          <w:rFonts w:ascii="Times New Roman" w:hAnsi="Times New Roman"/>
          <w:sz w:val="24"/>
          <w:szCs w:val="24"/>
        </w:rPr>
      </w:pPr>
      <w:r w:rsidRPr="00286395">
        <w:rPr>
          <w:rFonts w:ascii="Times New Roman" w:hAnsi="Times New Roman"/>
          <w:sz w:val="24"/>
          <w:szCs w:val="24"/>
        </w:rPr>
        <w:t xml:space="preserve">Dodatečné peněžní prostředky na účtech podřízených souhrnným účtům státní pokladny jsou v rámci řízení likvidity státní pokladny investovány na peněžním trhu ve formě krátkodobých depozitních a </w:t>
      </w:r>
      <w:proofErr w:type="spellStart"/>
      <w:r w:rsidRPr="00286395">
        <w:rPr>
          <w:rFonts w:ascii="Times New Roman" w:hAnsi="Times New Roman"/>
          <w:sz w:val="24"/>
          <w:szCs w:val="24"/>
        </w:rPr>
        <w:t>repo</w:t>
      </w:r>
      <w:proofErr w:type="spellEnd"/>
      <w:r w:rsidRPr="00286395">
        <w:rPr>
          <w:rFonts w:ascii="Times New Roman" w:hAnsi="Times New Roman"/>
          <w:sz w:val="24"/>
          <w:szCs w:val="24"/>
        </w:rPr>
        <w:t xml:space="preserve"> operací, což pro stát představuje další ekonomickou výhodu.</w:t>
      </w:r>
    </w:p>
    <w:p w14:paraId="62E0D19B" w14:textId="66A708D3" w:rsidR="009214DF" w:rsidRPr="007860F9" w:rsidRDefault="007860F9" w:rsidP="007860F9">
      <w:pPr>
        <w:spacing w:before="120" w:after="120"/>
        <w:ind w:left="360"/>
        <w:jc w:val="both"/>
        <w:rPr>
          <w:rFonts w:ascii="Times New Roman" w:hAnsi="Times New Roman"/>
          <w:sz w:val="24"/>
          <w:szCs w:val="24"/>
        </w:rPr>
      </w:pPr>
      <w:r w:rsidRPr="007860F9">
        <w:rPr>
          <w:rFonts w:ascii="Times New Roman" w:hAnsi="Times New Roman"/>
          <w:sz w:val="24"/>
          <w:szCs w:val="24"/>
        </w:rPr>
        <w:t>S ohledem na potřeby praxe exportní pojišťovny a exportní banky se předpokládá, že vznikne jejich potřeba vést bankovní účty i mimo účty podřízené státní pokladně u Č</w:t>
      </w:r>
      <w:r w:rsidR="003F4B90">
        <w:rPr>
          <w:rFonts w:ascii="Times New Roman" w:hAnsi="Times New Roman"/>
          <w:sz w:val="24"/>
          <w:szCs w:val="24"/>
        </w:rPr>
        <w:t>NB</w:t>
      </w:r>
      <w:r w:rsidRPr="007860F9">
        <w:rPr>
          <w:rFonts w:ascii="Times New Roman" w:hAnsi="Times New Roman"/>
          <w:sz w:val="24"/>
          <w:szCs w:val="24"/>
        </w:rPr>
        <w:t>. Otevření těchto účtů podléhá povolení M</w:t>
      </w:r>
      <w:r w:rsidR="003F4B90">
        <w:rPr>
          <w:rFonts w:ascii="Times New Roman" w:hAnsi="Times New Roman"/>
          <w:sz w:val="24"/>
          <w:szCs w:val="24"/>
        </w:rPr>
        <w:t>F</w:t>
      </w:r>
      <w:r w:rsidR="00806274">
        <w:rPr>
          <w:rFonts w:ascii="Times New Roman" w:hAnsi="Times New Roman"/>
          <w:sz w:val="24"/>
          <w:szCs w:val="24"/>
        </w:rPr>
        <w:t>; e</w:t>
      </w:r>
      <w:r w:rsidRPr="007860F9">
        <w:rPr>
          <w:rFonts w:ascii="Times New Roman" w:hAnsi="Times New Roman"/>
          <w:sz w:val="24"/>
          <w:szCs w:val="24"/>
        </w:rPr>
        <w:t xml:space="preserve">xportní banka </w:t>
      </w:r>
      <w:r w:rsidR="00806274">
        <w:rPr>
          <w:rFonts w:ascii="Times New Roman" w:hAnsi="Times New Roman"/>
          <w:sz w:val="24"/>
          <w:szCs w:val="24"/>
        </w:rPr>
        <w:t xml:space="preserve">však </w:t>
      </w:r>
      <w:r w:rsidRPr="007860F9">
        <w:rPr>
          <w:rFonts w:ascii="Times New Roman" w:hAnsi="Times New Roman"/>
          <w:sz w:val="24"/>
          <w:szCs w:val="24"/>
        </w:rPr>
        <w:t>nemusí v případě naléhavosti a zajištění bezproblémové realizace mezibankovního platebního styku žádat M</w:t>
      </w:r>
      <w:r w:rsidR="003F4B90">
        <w:rPr>
          <w:rFonts w:ascii="Times New Roman" w:hAnsi="Times New Roman"/>
          <w:sz w:val="24"/>
          <w:szCs w:val="24"/>
        </w:rPr>
        <w:t>F</w:t>
      </w:r>
      <w:r w:rsidRPr="007860F9">
        <w:rPr>
          <w:rFonts w:ascii="Times New Roman" w:hAnsi="Times New Roman"/>
          <w:sz w:val="24"/>
          <w:szCs w:val="24"/>
        </w:rPr>
        <w:t xml:space="preserve"> o povolení k použití bankovních účtů vedených mimo státní pokladnu (tj. nostro účtů exportní banky vedených u jiných bank než ČNB).</w:t>
      </w:r>
      <w:r w:rsidR="001641FA">
        <w:rPr>
          <w:rFonts w:ascii="Times New Roman" w:hAnsi="Times New Roman"/>
          <w:sz w:val="24"/>
          <w:szCs w:val="24"/>
        </w:rPr>
        <w:t xml:space="preserve"> </w:t>
      </w:r>
      <w:r w:rsidR="001641FA" w:rsidRPr="00946832">
        <w:rPr>
          <w:rFonts w:ascii="Times New Roman" w:hAnsi="Times New Roman"/>
          <w:sz w:val="24"/>
          <w:szCs w:val="24"/>
        </w:rPr>
        <w:t xml:space="preserve">Změna legislativního řešení </w:t>
      </w:r>
      <w:r w:rsidR="00EB47B8" w:rsidRPr="00946832">
        <w:rPr>
          <w:rFonts w:ascii="Times New Roman" w:hAnsi="Times New Roman"/>
          <w:sz w:val="24"/>
          <w:szCs w:val="24"/>
        </w:rPr>
        <w:t xml:space="preserve">přispěje </w:t>
      </w:r>
      <w:r w:rsidR="001641FA" w:rsidRPr="00946832">
        <w:rPr>
          <w:rFonts w:ascii="Times New Roman" w:hAnsi="Times New Roman"/>
          <w:bCs/>
          <w:iCs/>
          <w:sz w:val="24"/>
          <w:szCs w:val="24"/>
        </w:rPr>
        <w:t xml:space="preserve">v dlouhodobém měřítku </w:t>
      </w:r>
      <w:r w:rsidR="00EB47B8" w:rsidRPr="00946832">
        <w:rPr>
          <w:rFonts w:ascii="Times New Roman" w:hAnsi="Times New Roman"/>
          <w:bCs/>
          <w:iCs/>
          <w:sz w:val="24"/>
          <w:szCs w:val="24"/>
        </w:rPr>
        <w:t xml:space="preserve">ke </w:t>
      </w:r>
      <w:r w:rsidR="001641FA" w:rsidRPr="00946832">
        <w:rPr>
          <w:rFonts w:ascii="Times New Roman" w:hAnsi="Times New Roman"/>
          <w:bCs/>
          <w:iCs/>
          <w:sz w:val="24"/>
          <w:szCs w:val="24"/>
        </w:rPr>
        <w:t>schopnost</w:t>
      </w:r>
      <w:r w:rsidR="00EB47B8" w:rsidRPr="00946832">
        <w:rPr>
          <w:rFonts w:ascii="Times New Roman" w:hAnsi="Times New Roman"/>
          <w:bCs/>
          <w:iCs/>
          <w:sz w:val="24"/>
          <w:szCs w:val="24"/>
        </w:rPr>
        <w:t xml:space="preserve">i </w:t>
      </w:r>
      <w:r w:rsidR="001641FA" w:rsidRPr="00946832">
        <w:rPr>
          <w:rFonts w:ascii="Times New Roman" w:hAnsi="Times New Roman"/>
          <w:bCs/>
          <w:iCs/>
          <w:sz w:val="24"/>
          <w:szCs w:val="24"/>
        </w:rPr>
        <w:t>státní pokladny díky peněžním prostředkům exportní banky a exportní pojišťovny efektivněji řídit likviditu peněžních prostředků v její správě</w:t>
      </w:r>
      <w:r w:rsidR="000035A9" w:rsidRPr="00946832">
        <w:rPr>
          <w:rFonts w:ascii="Times New Roman" w:hAnsi="Times New Roman"/>
          <w:bCs/>
          <w:iCs/>
          <w:sz w:val="24"/>
          <w:szCs w:val="24"/>
        </w:rPr>
        <w:t>,</w:t>
      </w:r>
      <w:r w:rsidR="001641FA" w:rsidRPr="00946832">
        <w:rPr>
          <w:rFonts w:ascii="Times New Roman" w:hAnsi="Times New Roman"/>
          <w:bCs/>
          <w:iCs/>
          <w:sz w:val="24"/>
          <w:szCs w:val="24"/>
        </w:rPr>
        <w:t xml:space="preserve"> </w:t>
      </w:r>
      <w:r w:rsidR="00EB47B8" w:rsidRPr="00946832">
        <w:rPr>
          <w:rFonts w:ascii="Times New Roman" w:hAnsi="Times New Roman"/>
          <w:bCs/>
          <w:iCs/>
          <w:sz w:val="24"/>
          <w:szCs w:val="24"/>
        </w:rPr>
        <w:t>umožnit</w:t>
      </w:r>
      <w:r w:rsidR="001641FA" w:rsidRPr="00946832">
        <w:rPr>
          <w:rFonts w:ascii="Times New Roman" w:hAnsi="Times New Roman"/>
          <w:bCs/>
          <w:iCs/>
          <w:sz w:val="24"/>
          <w:szCs w:val="24"/>
        </w:rPr>
        <w:t xml:space="preserve"> úspor</w:t>
      </w:r>
      <w:r w:rsidR="00EB47B8" w:rsidRPr="00946832">
        <w:rPr>
          <w:rFonts w:ascii="Times New Roman" w:hAnsi="Times New Roman"/>
          <w:bCs/>
          <w:iCs/>
          <w:sz w:val="24"/>
          <w:szCs w:val="24"/>
        </w:rPr>
        <w:t>y</w:t>
      </w:r>
      <w:r w:rsidR="001641FA" w:rsidRPr="00946832">
        <w:rPr>
          <w:rFonts w:ascii="Times New Roman" w:hAnsi="Times New Roman"/>
          <w:bCs/>
          <w:iCs/>
          <w:sz w:val="24"/>
          <w:szCs w:val="24"/>
        </w:rPr>
        <w:t xml:space="preserve"> náklad</w:t>
      </w:r>
      <w:r w:rsidR="00EB47B8" w:rsidRPr="00946832">
        <w:rPr>
          <w:rFonts w:ascii="Times New Roman" w:hAnsi="Times New Roman"/>
          <w:bCs/>
          <w:iCs/>
          <w:sz w:val="24"/>
          <w:szCs w:val="24"/>
        </w:rPr>
        <w:t>ů</w:t>
      </w:r>
      <w:r w:rsidR="001641FA" w:rsidRPr="00946832">
        <w:rPr>
          <w:rFonts w:ascii="Times New Roman" w:hAnsi="Times New Roman"/>
          <w:bCs/>
          <w:iCs/>
          <w:sz w:val="24"/>
          <w:szCs w:val="24"/>
        </w:rPr>
        <w:t xml:space="preserve"> </w:t>
      </w:r>
      <w:r w:rsidR="00B93B7F" w:rsidRPr="00946832">
        <w:rPr>
          <w:rFonts w:ascii="Times New Roman" w:hAnsi="Times New Roman"/>
          <w:bCs/>
          <w:iCs/>
          <w:sz w:val="24"/>
          <w:szCs w:val="24"/>
        </w:rPr>
        <w:t xml:space="preserve">vynakládané </w:t>
      </w:r>
      <w:r w:rsidR="001641FA" w:rsidRPr="00946832">
        <w:rPr>
          <w:rFonts w:ascii="Times New Roman" w:hAnsi="Times New Roman"/>
          <w:bCs/>
          <w:iCs/>
          <w:sz w:val="24"/>
          <w:szCs w:val="24"/>
        </w:rPr>
        <w:t>na řízení státního dluhu</w:t>
      </w:r>
      <w:r w:rsidR="000035A9" w:rsidRPr="00946832">
        <w:rPr>
          <w:rFonts w:ascii="Times New Roman" w:hAnsi="Times New Roman"/>
          <w:bCs/>
          <w:iCs/>
          <w:sz w:val="24"/>
          <w:szCs w:val="24"/>
        </w:rPr>
        <w:t xml:space="preserve"> a rovněž poskytovat peněžní prostředky ve</w:t>
      </w:r>
      <w:r w:rsidR="00C76597">
        <w:rPr>
          <w:rFonts w:ascii="Times New Roman" w:hAnsi="Times New Roman"/>
          <w:bCs/>
          <w:iCs/>
          <w:sz w:val="24"/>
          <w:szCs w:val="24"/>
        </w:rPr>
        <w:t> </w:t>
      </w:r>
      <w:r w:rsidR="000035A9" w:rsidRPr="00946832">
        <w:rPr>
          <w:rFonts w:ascii="Times New Roman" w:hAnsi="Times New Roman"/>
          <w:bCs/>
          <w:iCs/>
          <w:sz w:val="24"/>
          <w:szCs w:val="24"/>
        </w:rPr>
        <w:t xml:space="preserve">formě </w:t>
      </w:r>
      <w:r w:rsidR="00D43A70" w:rsidRPr="00946832">
        <w:rPr>
          <w:rFonts w:ascii="Times New Roman" w:hAnsi="Times New Roman"/>
          <w:bCs/>
          <w:iCs/>
          <w:sz w:val="24"/>
          <w:szCs w:val="24"/>
        </w:rPr>
        <w:t>zdrojového financování exportní bance, a to výhodněji, než je sama exportní banka schopna obstarat na veřejných finančních trzích</w:t>
      </w:r>
      <w:r w:rsidR="001641FA" w:rsidRPr="00946832">
        <w:rPr>
          <w:rFonts w:ascii="Times New Roman" w:hAnsi="Times New Roman"/>
          <w:bCs/>
          <w:iCs/>
          <w:sz w:val="24"/>
          <w:szCs w:val="24"/>
        </w:rPr>
        <w:t>.</w:t>
      </w:r>
    </w:p>
    <w:p w14:paraId="65D604D1" w14:textId="1F6158EF" w:rsidR="009214DF" w:rsidRPr="00286395" w:rsidRDefault="004F1259" w:rsidP="00A646EF">
      <w:pPr>
        <w:spacing w:before="120" w:after="120"/>
        <w:ind w:left="360"/>
        <w:jc w:val="both"/>
        <w:rPr>
          <w:rFonts w:ascii="Times New Roman" w:hAnsi="Times New Roman"/>
          <w:bCs/>
          <w:sz w:val="24"/>
          <w:szCs w:val="24"/>
          <w:u w:val="single"/>
        </w:rPr>
      </w:pPr>
      <w:r>
        <w:rPr>
          <w:rFonts w:ascii="Times New Roman" w:hAnsi="Times New Roman"/>
          <w:bCs/>
          <w:sz w:val="24"/>
          <w:szCs w:val="24"/>
          <w:u w:val="single"/>
        </w:rPr>
        <w:t>C</w:t>
      </w:r>
      <w:r w:rsidR="009214DF" w:rsidRPr="00286395">
        <w:rPr>
          <w:rFonts w:ascii="Times New Roman" w:hAnsi="Times New Roman"/>
          <w:bCs/>
          <w:sz w:val="24"/>
          <w:szCs w:val="24"/>
          <w:u w:val="single"/>
        </w:rPr>
        <w:t xml:space="preserve">. </w:t>
      </w:r>
      <w:r w:rsidR="00B80C17" w:rsidRPr="00286395">
        <w:rPr>
          <w:rFonts w:ascii="Times New Roman" w:hAnsi="Times New Roman"/>
          <w:bCs/>
          <w:sz w:val="24"/>
          <w:szCs w:val="24"/>
          <w:u w:val="single"/>
        </w:rPr>
        <w:t xml:space="preserve">Rozšíření možností </w:t>
      </w:r>
      <w:r w:rsidR="00502229">
        <w:rPr>
          <w:rFonts w:ascii="Times New Roman" w:hAnsi="Times New Roman"/>
          <w:bCs/>
          <w:sz w:val="24"/>
          <w:szCs w:val="24"/>
          <w:u w:val="single"/>
        </w:rPr>
        <w:t xml:space="preserve">zakládání právnických osob a </w:t>
      </w:r>
      <w:r w:rsidR="00B80C17" w:rsidRPr="00286395">
        <w:rPr>
          <w:rFonts w:ascii="Times New Roman" w:hAnsi="Times New Roman"/>
          <w:bCs/>
          <w:sz w:val="24"/>
          <w:szCs w:val="24"/>
          <w:u w:val="single"/>
        </w:rPr>
        <w:t>nabývání podílů v právnických osobách exportní pojišťovnou a</w:t>
      </w:r>
      <w:r w:rsidR="00A646EF">
        <w:rPr>
          <w:rFonts w:ascii="Times New Roman" w:hAnsi="Times New Roman"/>
          <w:bCs/>
          <w:sz w:val="24"/>
          <w:szCs w:val="24"/>
          <w:u w:val="single"/>
        </w:rPr>
        <w:t> </w:t>
      </w:r>
      <w:r w:rsidR="00B80C17" w:rsidRPr="00286395">
        <w:rPr>
          <w:rFonts w:ascii="Times New Roman" w:hAnsi="Times New Roman"/>
          <w:bCs/>
          <w:sz w:val="24"/>
          <w:szCs w:val="24"/>
          <w:u w:val="single"/>
        </w:rPr>
        <w:t>exportní bankou</w:t>
      </w:r>
    </w:p>
    <w:p w14:paraId="5E83BA23" w14:textId="77777777" w:rsidR="005C376B" w:rsidRDefault="00791FFD" w:rsidP="00EB147E">
      <w:pPr>
        <w:spacing w:before="120" w:after="120"/>
        <w:ind w:left="360"/>
        <w:rPr>
          <w:rFonts w:ascii="Times New Roman" w:hAnsi="Times New Roman"/>
          <w:i/>
          <w:sz w:val="24"/>
          <w:szCs w:val="24"/>
        </w:rPr>
      </w:pPr>
      <w:r w:rsidRPr="00286395">
        <w:rPr>
          <w:rFonts w:ascii="Times New Roman" w:hAnsi="Times New Roman"/>
          <w:sz w:val="24"/>
          <w:szCs w:val="24"/>
        </w:rPr>
        <w:t xml:space="preserve">a) </w:t>
      </w:r>
      <w:r w:rsidRPr="00286395">
        <w:rPr>
          <w:rFonts w:ascii="Times New Roman" w:hAnsi="Times New Roman"/>
          <w:i/>
          <w:sz w:val="24"/>
          <w:szCs w:val="24"/>
        </w:rPr>
        <w:t>Nulová varianta</w:t>
      </w:r>
    </w:p>
    <w:p w14:paraId="7E88C659" w14:textId="567468D1" w:rsidR="00791FFD" w:rsidRPr="00286395" w:rsidRDefault="00791FFD" w:rsidP="00A646EF">
      <w:pPr>
        <w:spacing w:before="120" w:after="120"/>
        <w:ind w:left="360"/>
        <w:jc w:val="both"/>
        <w:rPr>
          <w:rFonts w:ascii="Times New Roman" w:hAnsi="Times New Roman"/>
          <w:sz w:val="24"/>
          <w:szCs w:val="24"/>
        </w:rPr>
      </w:pPr>
      <w:r w:rsidRPr="00286395">
        <w:rPr>
          <w:rFonts w:ascii="Times New Roman" w:hAnsi="Times New Roman"/>
          <w:sz w:val="24"/>
          <w:szCs w:val="24"/>
        </w:rPr>
        <w:t xml:space="preserve">b) </w:t>
      </w:r>
      <w:r w:rsidRPr="00286395">
        <w:rPr>
          <w:rFonts w:ascii="Times New Roman" w:hAnsi="Times New Roman"/>
          <w:i/>
          <w:sz w:val="24"/>
          <w:szCs w:val="24"/>
        </w:rPr>
        <w:t>Varianta 1</w:t>
      </w:r>
      <w:r w:rsidRPr="00286395">
        <w:rPr>
          <w:rFonts w:ascii="Times New Roman" w:hAnsi="Times New Roman"/>
          <w:sz w:val="24"/>
          <w:szCs w:val="24"/>
        </w:rPr>
        <w:t xml:space="preserve"> –</w:t>
      </w:r>
      <w:r w:rsidR="00BE483D" w:rsidRPr="00286395">
        <w:rPr>
          <w:rFonts w:ascii="Times New Roman" w:hAnsi="Times New Roman"/>
          <w:sz w:val="24"/>
          <w:szCs w:val="24"/>
        </w:rPr>
        <w:t xml:space="preserve"> </w:t>
      </w:r>
      <w:r w:rsidRPr="00286395">
        <w:rPr>
          <w:rFonts w:ascii="Times New Roman" w:hAnsi="Times New Roman"/>
          <w:sz w:val="24"/>
          <w:szCs w:val="24"/>
        </w:rPr>
        <w:t xml:space="preserve">legislativní řešení </w:t>
      </w:r>
      <w:r w:rsidR="00BE483D" w:rsidRPr="00286395">
        <w:rPr>
          <w:rFonts w:ascii="Times New Roman" w:hAnsi="Times New Roman"/>
          <w:sz w:val="24"/>
          <w:szCs w:val="24"/>
        </w:rPr>
        <w:t>–</w:t>
      </w:r>
      <w:r w:rsidRPr="00286395">
        <w:rPr>
          <w:rFonts w:ascii="Times New Roman" w:hAnsi="Times New Roman"/>
          <w:sz w:val="24"/>
          <w:szCs w:val="24"/>
        </w:rPr>
        <w:t xml:space="preserve"> </w:t>
      </w:r>
      <w:r w:rsidR="00BE483D" w:rsidRPr="00286395">
        <w:rPr>
          <w:rFonts w:ascii="Times New Roman" w:hAnsi="Times New Roman"/>
          <w:sz w:val="24"/>
          <w:szCs w:val="24"/>
        </w:rPr>
        <w:t xml:space="preserve">rozšíření možnosti </w:t>
      </w:r>
      <w:r w:rsidR="00502229" w:rsidRPr="00502229">
        <w:rPr>
          <w:rFonts w:ascii="Times New Roman" w:hAnsi="Times New Roman"/>
          <w:bCs/>
          <w:sz w:val="24"/>
          <w:szCs w:val="24"/>
        </w:rPr>
        <w:t>zakládání právnických osob a</w:t>
      </w:r>
      <w:r w:rsidR="00C76597">
        <w:rPr>
          <w:rFonts w:ascii="Times New Roman" w:hAnsi="Times New Roman"/>
          <w:bCs/>
          <w:sz w:val="24"/>
          <w:szCs w:val="24"/>
        </w:rPr>
        <w:t> </w:t>
      </w:r>
      <w:r w:rsidR="00BE483D" w:rsidRPr="00286395">
        <w:rPr>
          <w:rFonts w:ascii="Times New Roman" w:hAnsi="Times New Roman"/>
          <w:sz w:val="24"/>
          <w:szCs w:val="24"/>
        </w:rPr>
        <w:t xml:space="preserve">nabývání </w:t>
      </w:r>
      <w:r w:rsidR="00BE483D" w:rsidRPr="00286395">
        <w:rPr>
          <w:rFonts w:ascii="Times New Roman" w:hAnsi="Times New Roman"/>
          <w:bCs/>
          <w:sz w:val="24"/>
          <w:szCs w:val="24"/>
        </w:rPr>
        <w:t>podílů v právnických osobách</w:t>
      </w:r>
    </w:p>
    <w:p w14:paraId="602E4B47" w14:textId="77777777" w:rsidR="00791FFD" w:rsidRPr="00286395" w:rsidRDefault="00791FFD" w:rsidP="00EB147E">
      <w:pPr>
        <w:spacing w:before="120" w:after="120"/>
        <w:ind w:left="360"/>
        <w:rPr>
          <w:rFonts w:ascii="Times New Roman" w:hAnsi="Times New Roman"/>
          <w:sz w:val="24"/>
          <w:szCs w:val="24"/>
        </w:rPr>
      </w:pPr>
      <w:r w:rsidRPr="00286395">
        <w:rPr>
          <w:rFonts w:ascii="Times New Roman" w:hAnsi="Times New Roman"/>
          <w:sz w:val="24"/>
          <w:szCs w:val="24"/>
        </w:rPr>
        <w:t xml:space="preserve">a) </w:t>
      </w:r>
      <w:r w:rsidRPr="00286395">
        <w:rPr>
          <w:rFonts w:ascii="Times New Roman" w:hAnsi="Times New Roman"/>
          <w:i/>
          <w:sz w:val="24"/>
          <w:szCs w:val="24"/>
        </w:rPr>
        <w:t>Nulová varianta</w:t>
      </w:r>
    </w:p>
    <w:p w14:paraId="6B0AC1E0" w14:textId="5E093711" w:rsidR="001B5108" w:rsidRPr="00286395" w:rsidRDefault="00791FFD" w:rsidP="00A646EF">
      <w:pPr>
        <w:spacing w:before="120" w:after="120"/>
        <w:ind w:left="357"/>
        <w:jc w:val="both"/>
        <w:rPr>
          <w:rFonts w:ascii="Times New Roman" w:hAnsi="Times New Roman"/>
          <w:sz w:val="24"/>
          <w:szCs w:val="24"/>
        </w:rPr>
      </w:pPr>
      <w:r w:rsidRPr="00286395">
        <w:rPr>
          <w:rFonts w:ascii="Times New Roman" w:hAnsi="Times New Roman"/>
          <w:sz w:val="24"/>
          <w:szCs w:val="24"/>
        </w:rPr>
        <w:t xml:space="preserve">Nulová varianta, tedy zachování současného stavu, </w:t>
      </w:r>
      <w:r w:rsidR="00BF1026" w:rsidRPr="00286395">
        <w:rPr>
          <w:rFonts w:ascii="Times New Roman" w:hAnsi="Times New Roman"/>
          <w:sz w:val="24"/>
          <w:szCs w:val="24"/>
        </w:rPr>
        <w:t>znamená možnost exportní pojišťovn</w:t>
      </w:r>
      <w:r w:rsidR="0067089F" w:rsidRPr="00286395">
        <w:rPr>
          <w:rFonts w:ascii="Times New Roman" w:hAnsi="Times New Roman"/>
          <w:sz w:val="24"/>
          <w:szCs w:val="24"/>
        </w:rPr>
        <w:t>y</w:t>
      </w:r>
      <w:r w:rsidR="000F38ED">
        <w:rPr>
          <w:rFonts w:ascii="Times New Roman" w:hAnsi="Times New Roman"/>
          <w:sz w:val="24"/>
          <w:szCs w:val="24"/>
        </w:rPr>
        <w:t xml:space="preserve"> </w:t>
      </w:r>
      <w:r w:rsidR="000F38ED">
        <w:rPr>
          <w:rFonts w:ascii="Times New Roman" w:hAnsi="Times New Roman"/>
          <w:bCs/>
          <w:iCs/>
          <w:sz w:val="24"/>
          <w:szCs w:val="24"/>
        </w:rPr>
        <w:t>zakládat právnick</w:t>
      </w:r>
      <w:r w:rsidR="00276C82">
        <w:rPr>
          <w:rFonts w:ascii="Times New Roman" w:hAnsi="Times New Roman"/>
          <w:bCs/>
          <w:iCs/>
          <w:sz w:val="24"/>
          <w:szCs w:val="24"/>
        </w:rPr>
        <w:t>ou</w:t>
      </w:r>
      <w:r w:rsidR="000F38ED">
        <w:rPr>
          <w:rFonts w:ascii="Times New Roman" w:hAnsi="Times New Roman"/>
          <w:bCs/>
          <w:iCs/>
          <w:sz w:val="24"/>
          <w:szCs w:val="24"/>
        </w:rPr>
        <w:t xml:space="preserve"> osob</w:t>
      </w:r>
      <w:r w:rsidR="00276C82">
        <w:rPr>
          <w:rFonts w:ascii="Times New Roman" w:hAnsi="Times New Roman"/>
          <w:bCs/>
          <w:iCs/>
          <w:sz w:val="24"/>
          <w:szCs w:val="24"/>
        </w:rPr>
        <w:t>u a</w:t>
      </w:r>
      <w:r w:rsidR="0067089F" w:rsidRPr="00286395">
        <w:rPr>
          <w:rFonts w:ascii="Times New Roman" w:hAnsi="Times New Roman"/>
          <w:sz w:val="24"/>
          <w:szCs w:val="24"/>
        </w:rPr>
        <w:t xml:space="preserve"> nabývat podíl </w:t>
      </w:r>
      <w:r w:rsidR="00BF1026" w:rsidRPr="00286395">
        <w:rPr>
          <w:rFonts w:ascii="Times New Roman" w:hAnsi="Times New Roman"/>
          <w:sz w:val="24"/>
          <w:szCs w:val="24"/>
        </w:rPr>
        <w:t>v právnické osobě, která je dlužníkem, po</w:t>
      </w:r>
      <w:r w:rsidR="00C76597">
        <w:rPr>
          <w:rFonts w:ascii="Times New Roman" w:hAnsi="Times New Roman"/>
          <w:sz w:val="24"/>
          <w:szCs w:val="24"/>
        </w:rPr>
        <w:t> </w:t>
      </w:r>
      <w:r w:rsidR="00BF1026" w:rsidRPr="00286395">
        <w:rPr>
          <w:rFonts w:ascii="Times New Roman" w:hAnsi="Times New Roman"/>
          <w:sz w:val="24"/>
          <w:szCs w:val="24"/>
        </w:rPr>
        <w:t>dobu nezbytně nutnou k zajištění vymahatelnosti pohledávek vůči dlužníkovi</w:t>
      </w:r>
      <w:r w:rsidR="00BF3EDE" w:rsidRPr="00286395">
        <w:rPr>
          <w:rFonts w:ascii="Times New Roman" w:hAnsi="Times New Roman"/>
          <w:sz w:val="24"/>
          <w:szCs w:val="24"/>
        </w:rPr>
        <w:t>, resp.</w:t>
      </w:r>
      <w:r w:rsidR="00C76597">
        <w:rPr>
          <w:rFonts w:ascii="Times New Roman" w:hAnsi="Times New Roman"/>
          <w:sz w:val="24"/>
          <w:szCs w:val="24"/>
        </w:rPr>
        <w:t> </w:t>
      </w:r>
      <w:r w:rsidR="00BF3EDE" w:rsidRPr="00286395">
        <w:rPr>
          <w:rFonts w:ascii="Times New Roman" w:hAnsi="Times New Roman"/>
          <w:sz w:val="24"/>
          <w:szCs w:val="24"/>
        </w:rPr>
        <w:t xml:space="preserve">možnost exportní banky </w:t>
      </w:r>
      <w:r w:rsidR="00276C82">
        <w:rPr>
          <w:rFonts w:ascii="Times New Roman" w:hAnsi="Times New Roman"/>
          <w:bCs/>
          <w:iCs/>
          <w:sz w:val="24"/>
          <w:szCs w:val="24"/>
        </w:rPr>
        <w:t>zakládat právnickou osobu a</w:t>
      </w:r>
      <w:r w:rsidR="00276C82" w:rsidRPr="00286395">
        <w:rPr>
          <w:rFonts w:ascii="Times New Roman" w:hAnsi="Times New Roman"/>
          <w:sz w:val="24"/>
          <w:szCs w:val="24"/>
        </w:rPr>
        <w:t xml:space="preserve"> </w:t>
      </w:r>
      <w:r w:rsidR="00BF3EDE" w:rsidRPr="00286395">
        <w:rPr>
          <w:rFonts w:ascii="Times New Roman" w:hAnsi="Times New Roman"/>
          <w:sz w:val="24"/>
          <w:szCs w:val="24"/>
        </w:rPr>
        <w:t xml:space="preserve">nabývat podíl v právnické osobě, kterou </w:t>
      </w:r>
      <w:r w:rsidR="0067089F" w:rsidRPr="00286395">
        <w:rPr>
          <w:rFonts w:ascii="Times New Roman" w:hAnsi="Times New Roman"/>
          <w:sz w:val="24"/>
          <w:szCs w:val="24"/>
        </w:rPr>
        <w:t>exportní banka získá a drží nejvýše do jednoho roku od jejich nabytí v</w:t>
      </w:r>
      <w:r w:rsidR="00C76597">
        <w:rPr>
          <w:rFonts w:ascii="Times New Roman" w:hAnsi="Times New Roman"/>
          <w:sz w:val="24"/>
          <w:szCs w:val="24"/>
        </w:rPr>
        <w:t> </w:t>
      </w:r>
      <w:r w:rsidR="0067089F" w:rsidRPr="00286395">
        <w:rPr>
          <w:rFonts w:ascii="Times New Roman" w:hAnsi="Times New Roman"/>
          <w:sz w:val="24"/>
          <w:szCs w:val="24"/>
        </w:rPr>
        <w:t>souvislosti s uplatněním zajištění</w:t>
      </w:r>
      <w:r w:rsidR="00EF066B" w:rsidRPr="00286395">
        <w:rPr>
          <w:rFonts w:ascii="Times New Roman" w:hAnsi="Times New Roman"/>
          <w:sz w:val="24"/>
          <w:szCs w:val="24"/>
        </w:rPr>
        <w:t xml:space="preserve">, které </w:t>
      </w:r>
      <w:r w:rsidR="00EF5250">
        <w:rPr>
          <w:rFonts w:ascii="Times New Roman" w:hAnsi="Times New Roman"/>
          <w:sz w:val="24"/>
          <w:szCs w:val="24"/>
        </w:rPr>
        <w:t>j</w:t>
      </w:r>
      <w:r w:rsidR="00282638" w:rsidRPr="00286395">
        <w:rPr>
          <w:rFonts w:ascii="Times New Roman" w:hAnsi="Times New Roman"/>
          <w:sz w:val="24"/>
          <w:szCs w:val="24"/>
        </w:rPr>
        <w:t>e exportní banka povinna sjednat za</w:t>
      </w:r>
      <w:r w:rsidR="00A646EF">
        <w:rPr>
          <w:rFonts w:ascii="Times New Roman" w:hAnsi="Times New Roman"/>
          <w:sz w:val="24"/>
          <w:szCs w:val="24"/>
        </w:rPr>
        <w:t> </w:t>
      </w:r>
      <w:r w:rsidR="00282638" w:rsidRPr="00286395">
        <w:rPr>
          <w:rFonts w:ascii="Times New Roman" w:hAnsi="Times New Roman"/>
          <w:sz w:val="24"/>
          <w:szCs w:val="24"/>
        </w:rPr>
        <w:t xml:space="preserve">účelem </w:t>
      </w:r>
      <w:r w:rsidR="00EF066B" w:rsidRPr="00286395">
        <w:rPr>
          <w:rFonts w:ascii="Times New Roman" w:hAnsi="Times New Roman"/>
          <w:sz w:val="24"/>
          <w:szCs w:val="24"/>
        </w:rPr>
        <w:t>zajištění splácení poskytnutého podpořeného financování</w:t>
      </w:r>
      <w:r w:rsidR="00BF3EDE" w:rsidRPr="00286395">
        <w:rPr>
          <w:rFonts w:ascii="Times New Roman" w:hAnsi="Times New Roman"/>
          <w:sz w:val="24"/>
          <w:szCs w:val="24"/>
        </w:rPr>
        <w:t>.</w:t>
      </w:r>
    </w:p>
    <w:p w14:paraId="16BC9B79" w14:textId="77777777" w:rsidR="0067089F" w:rsidRPr="00286395" w:rsidRDefault="00BF3EDE" w:rsidP="00EB147E">
      <w:pPr>
        <w:spacing w:before="120" w:after="120"/>
        <w:ind w:left="360"/>
        <w:jc w:val="both"/>
        <w:rPr>
          <w:rFonts w:ascii="Times New Roman" w:hAnsi="Times New Roman"/>
          <w:sz w:val="24"/>
          <w:szCs w:val="24"/>
        </w:rPr>
      </w:pPr>
      <w:r w:rsidRPr="00286395">
        <w:rPr>
          <w:rFonts w:ascii="Times New Roman" w:hAnsi="Times New Roman"/>
          <w:sz w:val="24"/>
          <w:szCs w:val="24"/>
        </w:rPr>
        <w:t>Aplikační poznatky z praxe ukázaly, jak jsou tyto možnosti limitující</w:t>
      </w:r>
      <w:r w:rsidR="00F95E21" w:rsidRPr="00286395">
        <w:rPr>
          <w:rFonts w:ascii="Times New Roman" w:hAnsi="Times New Roman"/>
          <w:sz w:val="24"/>
          <w:szCs w:val="24"/>
        </w:rPr>
        <w:t xml:space="preserve">, a to jednak věcným právním vymezením příslušných právnických osob, jednak omezením lhůty, po kterou může exportní pojišťovna nebo exportní banka podíl držet. </w:t>
      </w:r>
    </w:p>
    <w:p w14:paraId="5CA5366A" w14:textId="64DD0568" w:rsidR="001B5108" w:rsidRPr="00286395" w:rsidRDefault="002B07E0" w:rsidP="00EB147E">
      <w:pPr>
        <w:spacing w:before="120" w:after="120"/>
        <w:ind w:left="360"/>
        <w:jc w:val="both"/>
        <w:rPr>
          <w:rFonts w:ascii="Times New Roman" w:hAnsi="Times New Roman"/>
          <w:sz w:val="24"/>
          <w:szCs w:val="24"/>
        </w:rPr>
      </w:pPr>
      <w:r w:rsidRPr="00286395">
        <w:rPr>
          <w:rFonts w:ascii="Times New Roman" w:hAnsi="Times New Roman"/>
          <w:sz w:val="24"/>
          <w:szCs w:val="24"/>
        </w:rPr>
        <w:t xml:space="preserve">Zkušenosti z  konkrétních obchodních případů exportní pojišťovny a exportní banky ukázaly, že případné širší možnosti </w:t>
      </w:r>
      <w:r w:rsidR="00502229" w:rsidRPr="00502229">
        <w:rPr>
          <w:rFonts w:ascii="Times New Roman" w:hAnsi="Times New Roman"/>
          <w:bCs/>
          <w:sz w:val="24"/>
          <w:szCs w:val="24"/>
        </w:rPr>
        <w:t xml:space="preserve">zakládání právnických osob a </w:t>
      </w:r>
      <w:r w:rsidRPr="00286395">
        <w:rPr>
          <w:rFonts w:ascii="Times New Roman" w:hAnsi="Times New Roman"/>
          <w:sz w:val="24"/>
          <w:szCs w:val="24"/>
        </w:rPr>
        <w:t xml:space="preserve">nabývání podílů </w:t>
      </w:r>
      <w:r w:rsidR="00502229">
        <w:rPr>
          <w:rFonts w:ascii="Times New Roman" w:hAnsi="Times New Roman"/>
          <w:sz w:val="24"/>
          <w:szCs w:val="24"/>
        </w:rPr>
        <w:t xml:space="preserve">v nich </w:t>
      </w:r>
      <w:r w:rsidR="00087D0A" w:rsidRPr="00286395">
        <w:rPr>
          <w:rFonts w:ascii="Times New Roman" w:hAnsi="Times New Roman"/>
          <w:sz w:val="24"/>
          <w:szCs w:val="24"/>
        </w:rPr>
        <w:t>by mohly vést k efektivnějšímu vymáhání dlužných pohledávek nebo k zábraně a</w:t>
      </w:r>
      <w:r w:rsidR="00C76597">
        <w:rPr>
          <w:rFonts w:ascii="Times New Roman" w:hAnsi="Times New Roman"/>
          <w:sz w:val="24"/>
          <w:szCs w:val="24"/>
        </w:rPr>
        <w:t> </w:t>
      </w:r>
      <w:r w:rsidR="00087D0A" w:rsidRPr="00286395">
        <w:rPr>
          <w:rFonts w:ascii="Times New Roman" w:hAnsi="Times New Roman"/>
          <w:sz w:val="24"/>
          <w:szCs w:val="24"/>
        </w:rPr>
        <w:t xml:space="preserve">zmírnění hrozících škod. </w:t>
      </w:r>
      <w:r w:rsidRPr="00286395">
        <w:rPr>
          <w:rFonts w:ascii="Times New Roman" w:hAnsi="Times New Roman"/>
          <w:sz w:val="24"/>
          <w:szCs w:val="24"/>
        </w:rPr>
        <w:t xml:space="preserve"> </w:t>
      </w:r>
    </w:p>
    <w:p w14:paraId="492568F5" w14:textId="4A62D4F0" w:rsidR="002B07E0" w:rsidRPr="00286395" w:rsidRDefault="002B07E0" w:rsidP="005C376B">
      <w:pPr>
        <w:spacing w:before="120" w:after="120"/>
        <w:ind w:left="360"/>
        <w:jc w:val="both"/>
        <w:rPr>
          <w:rFonts w:ascii="Times New Roman" w:hAnsi="Times New Roman"/>
          <w:sz w:val="24"/>
          <w:szCs w:val="24"/>
        </w:rPr>
      </w:pPr>
      <w:r w:rsidRPr="00286395">
        <w:rPr>
          <w:rFonts w:ascii="Times New Roman" w:hAnsi="Times New Roman"/>
          <w:sz w:val="24"/>
          <w:szCs w:val="24"/>
        </w:rPr>
        <w:t xml:space="preserve">b) </w:t>
      </w:r>
      <w:r w:rsidRPr="00286395">
        <w:rPr>
          <w:rFonts w:ascii="Times New Roman" w:hAnsi="Times New Roman"/>
          <w:i/>
          <w:sz w:val="24"/>
          <w:szCs w:val="24"/>
        </w:rPr>
        <w:t>Varianta 1</w:t>
      </w:r>
      <w:r w:rsidRPr="00286395">
        <w:rPr>
          <w:rFonts w:ascii="Times New Roman" w:hAnsi="Times New Roman"/>
          <w:sz w:val="24"/>
          <w:szCs w:val="24"/>
        </w:rPr>
        <w:t xml:space="preserve"> – legislativní řešení – rozšíření možnosti </w:t>
      </w:r>
      <w:r w:rsidR="00502229" w:rsidRPr="00502229">
        <w:rPr>
          <w:rFonts w:ascii="Times New Roman" w:hAnsi="Times New Roman"/>
          <w:bCs/>
          <w:sz w:val="24"/>
          <w:szCs w:val="24"/>
        </w:rPr>
        <w:t>zakládání právnických osob a</w:t>
      </w:r>
      <w:r w:rsidR="00C76597">
        <w:rPr>
          <w:rFonts w:ascii="Times New Roman" w:hAnsi="Times New Roman"/>
          <w:bCs/>
          <w:sz w:val="24"/>
          <w:szCs w:val="24"/>
        </w:rPr>
        <w:t> </w:t>
      </w:r>
      <w:r w:rsidRPr="00286395">
        <w:rPr>
          <w:rFonts w:ascii="Times New Roman" w:hAnsi="Times New Roman"/>
          <w:sz w:val="24"/>
          <w:szCs w:val="24"/>
        </w:rPr>
        <w:t xml:space="preserve">nabývání </w:t>
      </w:r>
      <w:r w:rsidRPr="00286395">
        <w:rPr>
          <w:rFonts w:ascii="Times New Roman" w:hAnsi="Times New Roman"/>
          <w:bCs/>
          <w:sz w:val="24"/>
          <w:szCs w:val="24"/>
        </w:rPr>
        <w:t>podílů v právnických osobách</w:t>
      </w:r>
    </w:p>
    <w:p w14:paraId="3B3860C9" w14:textId="48CC4950" w:rsidR="002E5888" w:rsidRPr="00286395" w:rsidRDefault="002E5888" w:rsidP="00EB147E">
      <w:pPr>
        <w:spacing w:before="120" w:after="120"/>
        <w:ind w:left="360"/>
        <w:jc w:val="both"/>
        <w:rPr>
          <w:rFonts w:ascii="Times New Roman" w:hAnsi="Times New Roman"/>
          <w:bCs/>
          <w:iCs/>
          <w:sz w:val="24"/>
          <w:szCs w:val="24"/>
        </w:rPr>
      </w:pPr>
      <w:r w:rsidRPr="00286395">
        <w:rPr>
          <w:rFonts w:ascii="Times New Roman" w:hAnsi="Times New Roman"/>
          <w:bCs/>
          <w:iCs/>
          <w:sz w:val="24"/>
          <w:szCs w:val="24"/>
        </w:rPr>
        <w:t>Jako varianta st</w:t>
      </w:r>
      <w:r w:rsidR="00042F00">
        <w:rPr>
          <w:rFonts w:ascii="Times New Roman" w:hAnsi="Times New Roman"/>
          <w:bCs/>
          <w:iCs/>
          <w:sz w:val="24"/>
          <w:szCs w:val="24"/>
        </w:rPr>
        <w:t>ávající právní úpravy se ukázalo vhodné</w:t>
      </w:r>
      <w:r w:rsidRPr="00286395">
        <w:rPr>
          <w:rFonts w:ascii="Times New Roman" w:hAnsi="Times New Roman"/>
          <w:bCs/>
          <w:iCs/>
          <w:sz w:val="24"/>
          <w:szCs w:val="24"/>
        </w:rPr>
        <w:t xml:space="preserve"> přiměřeně rozšířit </w:t>
      </w:r>
      <w:r w:rsidR="00073270" w:rsidRPr="00286395">
        <w:rPr>
          <w:rFonts w:ascii="Times New Roman" w:hAnsi="Times New Roman"/>
          <w:bCs/>
          <w:iCs/>
          <w:sz w:val="24"/>
          <w:szCs w:val="24"/>
        </w:rPr>
        <w:t xml:space="preserve">možnost </w:t>
      </w:r>
      <w:r w:rsidR="00D970B3" w:rsidRPr="00D970B3">
        <w:rPr>
          <w:rFonts w:ascii="Times New Roman" w:hAnsi="Times New Roman"/>
          <w:bCs/>
          <w:sz w:val="24"/>
          <w:szCs w:val="24"/>
        </w:rPr>
        <w:t xml:space="preserve">zakládání právnických osob a </w:t>
      </w:r>
      <w:r w:rsidR="00073270" w:rsidRPr="00286395">
        <w:rPr>
          <w:rFonts w:ascii="Times New Roman" w:hAnsi="Times New Roman"/>
          <w:bCs/>
          <w:iCs/>
          <w:sz w:val="24"/>
          <w:szCs w:val="24"/>
        </w:rPr>
        <w:t>nabývání podílů</w:t>
      </w:r>
      <w:r w:rsidR="00D970B3">
        <w:rPr>
          <w:rFonts w:ascii="Times New Roman" w:hAnsi="Times New Roman"/>
          <w:bCs/>
          <w:iCs/>
          <w:sz w:val="24"/>
          <w:szCs w:val="24"/>
        </w:rPr>
        <w:t xml:space="preserve"> v nich </w:t>
      </w:r>
      <w:r w:rsidR="00073270" w:rsidRPr="00286395">
        <w:rPr>
          <w:rFonts w:ascii="Times New Roman" w:hAnsi="Times New Roman"/>
          <w:bCs/>
          <w:iCs/>
          <w:sz w:val="24"/>
          <w:szCs w:val="24"/>
        </w:rPr>
        <w:t>exportní pojišťovnou nebo exportní bankou</w:t>
      </w:r>
      <w:r w:rsidR="009C6449">
        <w:rPr>
          <w:rFonts w:ascii="Times New Roman" w:hAnsi="Times New Roman"/>
          <w:bCs/>
          <w:iCs/>
          <w:sz w:val="24"/>
          <w:szCs w:val="24"/>
        </w:rPr>
        <w:t xml:space="preserve"> v dále vymezených </w:t>
      </w:r>
      <w:r w:rsidR="001E0748">
        <w:rPr>
          <w:rFonts w:ascii="Times New Roman" w:hAnsi="Times New Roman"/>
          <w:bCs/>
          <w:iCs/>
          <w:sz w:val="24"/>
          <w:szCs w:val="24"/>
        </w:rPr>
        <w:t xml:space="preserve">tuzemských i zahraničních </w:t>
      </w:r>
      <w:r w:rsidR="009C6449">
        <w:rPr>
          <w:rFonts w:ascii="Times New Roman" w:hAnsi="Times New Roman"/>
          <w:bCs/>
          <w:iCs/>
          <w:sz w:val="24"/>
          <w:szCs w:val="24"/>
        </w:rPr>
        <w:t>právnických osobách</w:t>
      </w:r>
      <w:r w:rsidR="00073270" w:rsidRPr="00286395">
        <w:rPr>
          <w:rFonts w:ascii="Times New Roman" w:hAnsi="Times New Roman"/>
          <w:bCs/>
          <w:iCs/>
          <w:sz w:val="24"/>
          <w:szCs w:val="24"/>
        </w:rPr>
        <w:t>.</w:t>
      </w:r>
    </w:p>
    <w:p w14:paraId="7CE5DA6E" w14:textId="6E523D4C" w:rsidR="00841B9A" w:rsidRPr="00286395" w:rsidRDefault="00841B9A" w:rsidP="00EB147E">
      <w:pPr>
        <w:spacing w:before="120" w:after="120"/>
        <w:ind w:left="360"/>
        <w:jc w:val="both"/>
        <w:rPr>
          <w:rFonts w:ascii="Times New Roman" w:hAnsi="Times New Roman"/>
          <w:bCs/>
          <w:iCs/>
          <w:sz w:val="24"/>
          <w:szCs w:val="24"/>
        </w:rPr>
      </w:pPr>
      <w:r w:rsidRPr="00286395">
        <w:rPr>
          <w:rFonts w:ascii="Times New Roman" w:hAnsi="Times New Roman"/>
          <w:bCs/>
          <w:iCs/>
          <w:sz w:val="24"/>
          <w:szCs w:val="24"/>
        </w:rPr>
        <w:t xml:space="preserve">Navrhovanou změnou dochází k rozšíření možnosti </w:t>
      </w:r>
      <w:r w:rsidR="00276C82">
        <w:rPr>
          <w:rFonts w:ascii="Times New Roman" w:hAnsi="Times New Roman"/>
          <w:bCs/>
          <w:iCs/>
          <w:sz w:val="24"/>
          <w:szCs w:val="24"/>
        </w:rPr>
        <w:t>zakládat právnické osoby</w:t>
      </w:r>
      <w:r w:rsidR="00276C82" w:rsidRPr="00286395">
        <w:rPr>
          <w:rFonts w:ascii="Times New Roman" w:hAnsi="Times New Roman"/>
          <w:bCs/>
          <w:iCs/>
          <w:sz w:val="24"/>
          <w:szCs w:val="24"/>
        </w:rPr>
        <w:t xml:space="preserve"> </w:t>
      </w:r>
      <w:r w:rsidR="00276C82">
        <w:rPr>
          <w:rFonts w:ascii="Times New Roman" w:hAnsi="Times New Roman"/>
          <w:bCs/>
          <w:iCs/>
          <w:sz w:val="24"/>
          <w:szCs w:val="24"/>
        </w:rPr>
        <w:t xml:space="preserve">a </w:t>
      </w:r>
      <w:r w:rsidRPr="00286395">
        <w:rPr>
          <w:rFonts w:ascii="Times New Roman" w:hAnsi="Times New Roman"/>
          <w:bCs/>
          <w:iCs/>
          <w:sz w:val="24"/>
          <w:szCs w:val="24"/>
        </w:rPr>
        <w:t>nabývat podíly v právnických osobách v souladu s praxí vymáhání pohledávek nebo předcházení škod. Činnost vedoucí k</w:t>
      </w:r>
      <w:r w:rsidR="00A646EF">
        <w:rPr>
          <w:rFonts w:ascii="Times New Roman" w:hAnsi="Times New Roman"/>
          <w:bCs/>
          <w:iCs/>
          <w:sz w:val="24"/>
          <w:szCs w:val="24"/>
        </w:rPr>
        <w:t> </w:t>
      </w:r>
      <w:r w:rsidRPr="00286395">
        <w:rPr>
          <w:rFonts w:ascii="Times New Roman" w:hAnsi="Times New Roman"/>
          <w:bCs/>
          <w:iCs/>
          <w:sz w:val="24"/>
          <w:szCs w:val="24"/>
        </w:rPr>
        <w:t>předcházení vzniku škod a zmírňování jejich následků není blíže specifikována, neboť poznatky z praxe ukazují, že se jedná o velmi rozsáhlou skupinu právních, ekonomických a technických činností a bližší definice by mohla být omezující.</w:t>
      </w:r>
    </w:p>
    <w:p w14:paraId="18F99EE1" w14:textId="433A32BE" w:rsidR="00F67328" w:rsidRPr="00286395" w:rsidRDefault="000734F2" w:rsidP="00EB147E">
      <w:pPr>
        <w:spacing w:before="120" w:after="120"/>
        <w:ind w:left="360"/>
        <w:jc w:val="both"/>
        <w:rPr>
          <w:rFonts w:ascii="Times New Roman" w:hAnsi="Times New Roman"/>
          <w:bCs/>
          <w:iCs/>
          <w:sz w:val="24"/>
          <w:szCs w:val="24"/>
        </w:rPr>
      </w:pPr>
      <w:r w:rsidRPr="00286395">
        <w:rPr>
          <w:rFonts w:ascii="Times New Roman" w:hAnsi="Times New Roman"/>
          <w:bCs/>
          <w:iCs/>
          <w:sz w:val="24"/>
          <w:szCs w:val="24"/>
        </w:rPr>
        <w:t>Navrhuje se tak, aby exportní pojišťovna</w:t>
      </w:r>
      <w:r w:rsidR="00BB1FE3" w:rsidRPr="00286395">
        <w:rPr>
          <w:rFonts w:ascii="Times New Roman" w:hAnsi="Times New Roman"/>
          <w:bCs/>
          <w:iCs/>
          <w:sz w:val="24"/>
          <w:szCs w:val="24"/>
        </w:rPr>
        <w:t xml:space="preserve"> mohla </w:t>
      </w:r>
      <w:r w:rsidR="00276C82">
        <w:rPr>
          <w:rFonts w:ascii="Times New Roman" w:hAnsi="Times New Roman"/>
          <w:bCs/>
          <w:iCs/>
          <w:sz w:val="24"/>
          <w:szCs w:val="24"/>
        </w:rPr>
        <w:t xml:space="preserve">zakládat právnickou osobu a </w:t>
      </w:r>
      <w:r w:rsidR="00BB1FE3" w:rsidRPr="00286395">
        <w:rPr>
          <w:rFonts w:ascii="Times New Roman" w:hAnsi="Times New Roman"/>
          <w:bCs/>
          <w:iCs/>
          <w:sz w:val="24"/>
          <w:szCs w:val="24"/>
        </w:rPr>
        <w:t>nabývat podíl</w:t>
      </w:r>
      <w:r w:rsidRPr="00286395">
        <w:rPr>
          <w:rFonts w:ascii="Times New Roman" w:hAnsi="Times New Roman"/>
          <w:bCs/>
          <w:iCs/>
          <w:sz w:val="24"/>
          <w:szCs w:val="24"/>
        </w:rPr>
        <w:t xml:space="preserve"> v právnické osobě nebo</w:t>
      </w:r>
      <w:r w:rsidR="00C26FB4">
        <w:rPr>
          <w:rFonts w:ascii="Times New Roman" w:hAnsi="Times New Roman"/>
          <w:bCs/>
          <w:iCs/>
          <w:sz w:val="24"/>
          <w:szCs w:val="24"/>
        </w:rPr>
        <w:t> </w:t>
      </w:r>
      <w:r w:rsidRPr="00286395">
        <w:rPr>
          <w:rFonts w:ascii="Times New Roman" w:hAnsi="Times New Roman"/>
          <w:bCs/>
          <w:iCs/>
          <w:sz w:val="24"/>
          <w:szCs w:val="24"/>
        </w:rPr>
        <w:t>zakládat právnickou osobu za účelem vymáhání pohledávek nebo předcházení škod z pojištění vývozních úvěrových rizik nebo zmírňování jejich následků</w:t>
      </w:r>
      <w:r w:rsidR="00B17A28" w:rsidRPr="00286395">
        <w:rPr>
          <w:rFonts w:ascii="Times New Roman" w:hAnsi="Times New Roman"/>
          <w:bCs/>
          <w:iCs/>
          <w:sz w:val="24"/>
          <w:szCs w:val="24"/>
        </w:rPr>
        <w:t xml:space="preserve">. </w:t>
      </w:r>
      <w:r w:rsidR="005E1F58" w:rsidRPr="00286395">
        <w:rPr>
          <w:rFonts w:ascii="Times New Roman" w:hAnsi="Times New Roman"/>
          <w:bCs/>
          <w:iCs/>
          <w:sz w:val="24"/>
          <w:szCs w:val="24"/>
        </w:rPr>
        <w:t xml:space="preserve">Nově institut nabývání podílů v jiných právnických osobách exportní pojišťovnou tedy není omezen pouze na dlužníka. </w:t>
      </w:r>
      <w:r w:rsidR="00B17A28" w:rsidRPr="00286395">
        <w:rPr>
          <w:rFonts w:ascii="Times New Roman" w:hAnsi="Times New Roman"/>
          <w:bCs/>
          <w:iCs/>
          <w:sz w:val="24"/>
          <w:szCs w:val="24"/>
        </w:rPr>
        <w:t>E</w:t>
      </w:r>
      <w:r w:rsidR="00BB1FE3" w:rsidRPr="00286395">
        <w:rPr>
          <w:rFonts w:ascii="Times New Roman" w:hAnsi="Times New Roman"/>
          <w:bCs/>
          <w:iCs/>
          <w:sz w:val="24"/>
          <w:szCs w:val="24"/>
        </w:rPr>
        <w:t xml:space="preserve">xportní banka </w:t>
      </w:r>
      <w:r w:rsidR="005E1F58" w:rsidRPr="00286395">
        <w:rPr>
          <w:rFonts w:ascii="Times New Roman" w:hAnsi="Times New Roman"/>
          <w:bCs/>
          <w:iCs/>
          <w:sz w:val="24"/>
          <w:szCs w:val="24"/>
        </w:rPr>
        <w:t xml:space="preserve">by mohla </w:t>
      </w:r>
      <w:r w:rsidR="00384ABA">
        <w:rPr>
          <w:rFonts w:ascii="Times New Roman" w:hAnsi="Times New Roman"/>
          <w:bCs/>
          <w:iCs/>
          <w:sz w:val="24"/>
          <w:szCs w:val="24"/>
        </w:rPr>
        <w:t>zakládat právnickou osobu a</w:t>
      </w:r>
      <w:r w:rsidR="00384ABA" w:rsidRPr="00286395">
        <w:rPr>
          <w:rFonts w:ascii="Times New Roman" w:hAnsi="Times New Roman"/>
          <w:bCs/>
          <w:iCs/>
          <w:sz w:val="24"/>
          <w:szCs w:val="24"/>
        </w:rPr>
        <w:t xml:space="preserve"> </w:t>
      </w:r>
      <w:r w:rsidR="00BB1FE3" w:rsidRPr="00286395">
        <w:rPr>
          <w:rFonts w:ascii="Times New Roman" w:hAnsi="Times New Roman"/>
          <w:bCs/>
          <w:iCs/>
          <w:sz w:val="24"/>
          <w:szCs w:val="24"/>
        </w:rPr>
        <w:t>nabývat podíl v právnické osobě nebo zakládat právnickou osobu za</w:t>
      </w:r>
      <w:r w:rsidR="00C76597">
        <w:rPr>
          <w:rFonts w:ascii="Times New Roman" w:hAnsi="Times New Roman"/>
          <w:bCs/>
          <w:iCs/>
          <w:sz w:val="24"/>
          <w:szCs w:val="24"/>
        </w:rPr>
        <w:t> </w:t>
      </w:r>
      <w:r w:rsidR="00BB1FE3" w:rsidRPr="00286395">
        <w:rPr>
          <w:rFonts w:ascii="Times New Roman" w:hAnsi="Times New Roman"/>
          <w:bCs/>
          <w:iCs/>
          <w:sz w:val="24"/>
          <w:szCs w:val="24"/>
        </w:rPr>
        <w:t>účelem zajištění vymahatelnosti pohledávek z podpořeného financování nebo vykonání činnosti směřující k předcházení vzniku škod nebo zmírňování jejich následků</w:t>
      </w:r>
      <w:r w:rsidR="00AC1A6F" w:rsidRPr="00286395">
        <w:rPr>
          <w:rFonts w:ascii="Times New Roman" w:hAnsi="Times New Roman"/>
          <w:bCs/>
          <w:iCs/>
          <w:sz w:val="24"/>
          <w:szCs w:val="24"/>
        </w:rPr>
        <w:t>.</w:t>
      </w:r>
      <w:r w:rsidR="00F67328" w:rsidRPr="00286395">
        <w:rPr>
          <w:rFonts w:ascii="Times New Roman" w:hAnsi="Times New Roman"/>
          <w:bCs/>
          <w:iCs/>
          <w:sz w:val="24"/>
          <w:szCs w:val="24"/>
        </w:rPr>
        <w:t xml:space="preserve"> </w:t>
      </w:r>
      <w:r w:rsidR="006D5D53" w:rsidRPr="00286395">
        <w:rPr>
          <w:rFonts w:ascii="Times New Roman" w:hAnsi="Times New Roman"/>
          <w:bCs/>
          <w:iCs/>
          <w:sz w:val="24"/>
          <w:szCs w:val="24"/>
        </w:rPr>
        <w:t xml:space="preserve">Co se týče exportní banky, není nabývání a držení podílu časově omezeno jedním rokem jako doposud. </w:t>
      </w:r>
    </w:p>
    <w:p w14:paraId="3B50ED63" w14:textId="1650B66D" w:rsidR="00791FFD" w:rsidRDefault="00841B9A" w:rsidP="00EB147E">
      <w:pPr>
        <w:spacing w:before="120" w:after="120"/>
        <w:ind w:left="360"/>
        <w:jc w:val="both"/>
        <w:rPr>
          <w:rFonts w:ascii="Times New Roman" w:hAnsi="Times New Roman"/>
          <w:bCs/>
          <w:iCs/>
          <w:sz w:val="24"/>
          <w:szCs w:val="24"/>
        </w:rPr>
      </w:pPr>
      <w:r w:rsidRPr="00286395">
        <w:rPr>
          <w:rFonts w:ascii="Times New Roman" w:hAnsi="Times New Roman"/>
          <w:bCs/>
          <w:iCs/>
          <w:sz w:val="24"/>
          <w:szCs w:val="24"/>
        </w:rPr>
        <w:t>Nově se předpokládá, že k založení právnické osoby nebo nabytí podílu v ní bu</w:t>
      </w:r>
      <w:r w:rsidR="00D36A2A" w:rsidRPr="00286395">
        <w:rPr>
          <w:rFonts w:ascii="Times New Roman" w:hAnsi="Times New Roman"/>
          <w:bCs/>
          <w:iCs/>
          <w:sz w:val="24"/>
          <w:szCs w:val="24"/>
        </w:rPr>
        <w:t>de třeba předchozího souhlasu M</w:t>
      </w:r>
      <w:r w:rsidR="003F4B90">
        <w:rPr>
          <w:rFonts w:ascii="Times New Roman" w:hAnsi="Times New Roman"/>
          <w:bCs/>
          <w:iCs/>
          <w:sz w:val="24"/>
          <w:szCs w:val="24"/>
        </w:rPr>
        <w:t>F</w:t>
      </w:r>
      <w:r w:rsidRPr="00286395">
        <w:rPr>
          <w:rFonts w:ascii="Times New Roman" w:hAnsi="Times New Roman"/>
          <w:bCs/>
          <w:iCs/>
          <w:sz w:val="24"/>
          <w:szCs w:val="24"/>
        </w:rPr>
        <w:t xml:space="preserve">. </w:t>
      </w:r>
      <w:r w:rsidR="001A78D9" w:rsidRPr="00946832">
        <w:rPr>
          <w:rFonts w:ascii="Times New Roman" w:hAnsi="Times New Roman"/>
          <w:sz w:val="24"/>
          <w:szCs w:val="24"/>
        </w:rPr>
        <w:t xml:space="preserve">Změna legislativního řešení umožní exportní bance a exportní pojišťovně </w:t>
      </w:r>
      <w:r w:rsidR="001641FA" w:rsidRPr="00946832">
        <w:rPr>
          <w:rFonts w:ascii="Times New Roman" w:hAnsi="Times New Roman"/>
          <w:sz w:val="24"/>
          <w:szCs w:val="24"/>
        </w:rPr>
        <w:t>v součinnosti s M</w:t>
      </w:r>
      <w:r w:rsidR="003F4B90">
        <w:rPr>
          <w:rFonts w:ascii="Times New Roman" w:hAnsi="Times New Roman"/>
          <w:sz w:val="24"/>
          <w:szCs w:val="24"/>
        </w:rPr>
        <w:t>F</w:t>
      </w:r>
      <w:r w:rsidR="001641FA" w:rsidRPr="00946832">
        <w:rPr>
          <w:rFonts w:ascii="Times New Roman" w:hAnsi="Times New Roman"/>
          <w:sz w:val="24"/>
          <w:szCs w:val="24"/>
        </w:rPr>
        <w:t xml:space="preserve"> operativně reagovat na příležitosti k vymožení pohledávek a tak účelně předcházet hrozícím škodám, které by se ve svém důsledku mohly projevit negativním dopadem na státní rozpočet ve formě vyšších nároků na dotaci.</w:t>
      </w:r>
      <w:r w:rsidR="001A78D9" w:rsidRPr="00946832">
        <w:rPr>
          <w:rFonts w:ascii="Times New Roman" w:hAnsi="Times New Roman"/>
          <w:bCs/>
          <w:iCs/>
          <w:sz w:val="24"/>
          <w:szCs w:val="24"/>
        </w:rPr>
        <w:t xml:space="preserve"> </w:t>
      </w:r>
    </w:p>
    <w:p w14:paraId="2AAFCC07" w14:textId="601BBEC9" w:rsidR="009214DF" w:rsidRPr="00286395" w:rsidRDefault="004F1259" w:rsidP="00C26FB4">
      <w:pPr>
        <w:spacing w:before="120" w:after="120"/>
        <w:ind w:left="360"/>
        <w:jc w:val="both"/>
        <w:rPr>
          <w:rFonts w:ascii="Times New Roman" w:hAnsi="Times New Roman"/>
          <w:bCs/>
          <w:sz w:val="24"/>
          <w:szCs w:val="24"/>
          <w:u w:val="single"/>
        </w:rPr>
      </w:pPr>
      <w:r>
        <w:rPr>
          <w:rFonts w:ascii="Times New Roman" w:hAnsi="Times New Roman"/>
          <w:bCs/>
          <w:sz w:val="24"/>
          <w:szCs w:val="24"/>
          <w:u w:val="single"/>
        </w:rPr>
        <w:t>D</w:t>
      </w:r>
      <w:r w:rsidR="009214DF" w:rsidRPr="00286395">
        <w:rPr>
          <w:rFonts w:ascii="Times New Roman" w:hAnsi="Times New Roman"/>
          <w:bCs/>
          <w:sz w:val="24"/>
          <w:szCs w:val="24"/>
          <w:u w:val="single"/>
        </w:rPr>
        <w:t xml:space="preserve">. </w:t>
      </w:r>
      <w:r w:rsidR="00B80C17" w:rsidRPr="00286395">
        <w:rPr>
          <w:rFonts w:ascii="Times New Roman" w:hAnsi="Times New Roman"/>
          <w:bCs/>
          <w:sz w:val="24"/>
          <w:szCs w:val="24"/>
          <w:u w:val="single"/>
        </w:rPr>
        <w:t>Nastavení limitů pro schvalování obchodních případů od určitého objemu vládou</w:t>
      </w:r>
    </w:p>
    <w:p w14:paraId="3532F2F3" w14:textId="77777777" w:rsidR="00031308" w:rsidRPr="00286395" w:rsidRDefault="00791FFD" w:rsidP="005C376B">
      <w:pPr>
        <w:pStyle w:val="Odstavecseseznamem"/>
        <w:numPr>
          <w:ilvl w:val="0"/>
          <w:numId w:val="33"/>
        </w:numPr>
        <w:spacing w:before="120" w:after="120"/>
        <w:ind w:left="714" w:hanging="357"/>
        <w:contextualSpacing w:val="0"/>
        <w:rPr>
          <w:rFonts w:ascii="Times New Roman" w:hAnsi="Times New Roman"/>
          <w:i/>
          <w:sz w:val="24"/>
          <w:szCs w:val="24"/>
        </w:rPr>
      </w:pPr>
      <w:r w:rsidRPr="00286395">
        <w:rPr>
          <w:rFonts w:ascii="Times New Roman" w:hAnsi="Times New Roman"/>
          <w:i/>
          <w:sz w:val="24"/>
          <w:szCs w:val="24"/>
        </w:rPr>
        <w:t>Nulová varianta</w:t>
      </w:r>
    </w:p>
    <w:p w14:paraId="7E9F15E9" w14:textId="77777777" w:rsidR="00031308" w:rsidRPr="00286395" w:rsidRDefault="00791FFD" w:rsidP="00B91A33">
      <w:pPr>
        <w:pStyle w:val="Odstavecseseznamem"/>
        <w:numPr>
          <w:ilvl w:val="0"/>
          <w:numId w:val="33"/>
        </w:numPr>
        <w:spacing w:before="120" w:after="120"/>
        <w:ind w:left="714" w:hanging="357"/>
        <w:contextualSpacing w:val="0"/>
        <w:jc w:val="both"/>
        <w:rPr>
          <w:rFonts w:ascii="Times New Roman" w:hAnsi="Times New Roman"/>
          <w:sz w:val="24"/>
          <w:szCs w:val="24"/>
        </w:rPr>
      </w:pPr>
      <w:r w:rsidRPr="00286395">
        <w:rPr>
          <w:rFonts w:ascii="Times New Roman" w:hAnsi="Times New Roman"/>
          <w:i/>
          <w:sz w:val="24"/>
          <w:szCs w:val="24"/>
        </w:rPr>
        <w:t>Varianta 1 –</w:t>
      </w:r>
      <w:r w:rsidR="00031308" w:rsidRPr="00286395">
        <w:rPr>
          <w:rFonts w:ascii="Times New Roman" w:hAnsi="Times New Roman"/>
          <w:i/>
          <w:sz w:val="24"/>
          <w:szCs w:val="24"/>
        </w:rPr>
        <w:t xml:space="preserve"> </w:t>
      </w:r>
      <w:r w:rsidRPr="00286395">
        <w:rPr>
          <w:rFonts w:ascii="Times New Roman" w:hAnsi="Times New Roman"/>
          <w:sz w:val="24"/>
          <w:szCs w:val="24"/>
        </w:rPr>
        <w:t xml:space="preserve">legislativní řešení - </w:t>
      </w:r>
      <w:r w:rsidR="00031308" w:rsidRPr="00286395">
        <w:rPr>
          <w:rFonts w:ascii="Times New Roman" w:hAnsi="Times New Roman"/>
          <w:sz w:val="24"/>
          <w:szCs w:val="24"/>
        </w:rPr>
        <w:t xml:space="preserve">novela existujícího právního předpisu – úprava </w:t>
      </w:r>
      <w:r w:rsidR="00B417BB" w:rsidRPr="00286395">
        <w:rPr>
          <w:rFonts w:ascii="Times New Roman" w:hAnsi="Times New Roman"/>
          <w:sz w:val="24"/>
          <w:szCs w:val="24"/>
        </w:rPr>
        <w:t>procenta výše pojistné kapacity při pojištění vývozního úvěrového rizika</w:t>
      </w:r>
    </w:p>
    <w:p w14:paraId="38189058" w14:textId="77777777" w:rsidR="00791FFD" w:rsidRPr="00286395" w:rsidRDefault="00791FFD" w:rsidP="00B91A33">
      <w:pPr>
        <w:pStyle w:val="Odstavecseseznamem"/>
        <w:numPr>
          <w:ilvl w:val="0"/>
          <w:numId w:val="33"/>
        </w:numPr>
        <w:spacing w:before="120" w:after="120"/>
        <w:jc w:val="both"/>
        <w:rPr>
          <w:rFonts w:ascii="Times New Roman" w:hAnsi="Times New Roman"/>
          <w:i/>
          <w:sz w:val="24"/>
          <w:szCs w:val="24"/>
        </w:rPr>
      </w:pPr>
      <w:r w:rsidRPr="00286395">
        <w:rPr>
          <w:rFonts w:ascii="Times New Roman" w:hAnsi="Times New Roman"/>
          <w:i/>
          <w:sz w:val="24"/>
          <w:szCs w:val="24"/>
        </w:rPr>
        <w:t>Varianta 2 –</w:t>
      </w:r>
      <w:r w:rsidRPr="00286395">
        <w:rPr>
          <w:rFonts w:ascii="Times New Roman" w:hAnsi="Times New Roman"/>
          <w:sz w:val="24"/>
          <w:szCs w:val="24"/>
        </w:rPr>
        <w:t xml:space="preserve"> </w:t>
      </w:r>
      <w:r w:rsidR="00031308" w:rsidRPr="00286395">
        <w:rPr>
          <w:rFonts w:ascii="Times New Roman" w:hAnsi="Times New Roman"/>
          <w:sz w:val="24"/>
          <w:szCs w:val="24"/>
        </w:rPr>
        <w:t xml:space="preserve">legislativní řešení - </w:t>
      </w:r>
      <w:r w:rsidRPr="00286395">
        <w:rPr>
          <w:rFonts w:ascii="Times New Roman" w:hAnsi="Times New Roman"/>
          <w:sz w:val="24"/>
          <w:szCs w:val="24"/>
        </w:rPr>
        <w:t>novela existujícího právního předpisu</w:t>
      </w:r>
      <w:r w:rsidR="00B417BB" w:rsidRPr="00286395">
        <w:rPr>
          <w:rFonts w:ascii="Times New Roman" w:hAnsi="Times New Roman"/>
          <w:sz w:val="24"/>
          <w:szCs w:val="24"/>
        </w:rPr>
        <w:t xml:space="preserve"> – stanovení absolutní částky </w:t>
      </w:r>
      <w:r w:rsidR="00E628BB" w:rsidRPr="00286395">
        <w:rPr>
          <w:rFonts w:ascii="Times New Roman" w:hAnsi="Times New Roman"/>
          <w:sz w:val="24"/>
          <w:szCs w:val="24"/>
        </w:rPr>
        <w:t>l</w:t>
      </w:r>
      <w:r w:rsidR="00E628BB" w:rsidRPr="00286395">
        <w:rPr>
          <w:rFonts w:ascii="Times New Roman" w:hAnsi="Times New Roman"/>
          <w:bCs/>
          <w:sz w:val="24"/>
          <w:szCs w:val="24"/>
        </w:rPr>
        <w:t>imitů pro schvalování obchodních případů vládou</w:t>
      </w:r>
    </w:p>
    <w:p w14:paraId="21664DD2" w14:textId="77777777" w:rsidR="00791FFD" w:rsidRPr="00286395" w:rsidRDefault="00791FFD" w:rsidP="00EB147E">
      <w:pPr>
        <w:spacing w:before="120" w:after="120"/>
        <w:ind w:left="360"/>
        <w:rPr>
          <w:rFonts w:ascii="Times New Roman" w:hAnsi="Times New Roman"/>
          <w:sz w:val="24"/>
          <w:szCs w:val="24"/>
        </w:rPr>
      </w:pPr>
      <w:r w:rsidRPr="00286395">
        <w:rPr>
          <w:rFonts w:ascii="Times New Roman" w:hAnsi="Times New Roman"/>
          <w:sz w:val="24"/>
          <w:szCs w:val="24"/>
        </w:rPr>
        <w:t xml:space="preserve">a) </w:t>
      </w:r>
      <w:r w:rsidRPr="00286395">
        <w:rPr>
          <w:rFonts w:ascii="Times New Roman" w:hAnsi="Times New Roman"/>
          <w:i/>
          <w:sz w:val="24"/>
          <w:szCs w:val="24"/>
        </w:rPr>
        <w:t>Nulová varianta</w:t>
      </w:r>
    </w:p>
    <w:p w14:paraId="6CC44090" w14:textId="3C65D99D" w:rsidR="00945044" w:rsidRPr="00286395" w:rsidRDefault="00945044" w:rsidP="00556B61">
      <w:pPr>
        <w:spacing w:before="120" w:after="120"/>
        <w:ind w:left="357"/>
        <w:jc w:val="both"/>
        <w:rPr>
          <w:rFonts w:ascii="Times New Roman" w:hAnsi="Times New Roman"/>
          <w:sz w:val="24"/>
          <w:szCs w:val="24"/>
        </w:rPr>
      </w:pPr>
      <w:r w:rsidRPr="00286395">
        <w:rPr>
          <w:rFonts w:ascii="Times New Roman" w:hAnsi="Times New Roman"/>
          <w:sz w:val="24"/>
          <w:szCs w:val="24"/>
        </w:rPr>
        <w:t>P</w:t>
      </w:r>
      <w:r w:rsidR="00685E05" w:rsidRPr="00286395">
        <w:rPr>
          <w:rFonts w:ascii="Times New Roman" w:hAnsi="Times New Roman"/>
          <w:sz w:val="24"/>
          <w:szCs w:val="24"/>
        </w:rPr>
        <w:t xml:space="preserve">odle </w:t>
      </w:r>
      <w:r w:rsidRPr="00286395">
        <w:rPr>
          <w:rFonts w:ascii="Times New Roman" w:hAnsi="Times New Roman"/>
          <w:sz w:val="24"/>
          <w:szCs w:val="24"/>
        </w:rPr>
        <w:t>ustanovení</w:t>
      </w:r>
      <w:r w:rsidR="00F06FCC">
        <w:rPr>
          <w:rFonts w:ascii="Times New Roman" w:hAnsi="Times New Roman"/>
          <w:sz w:val="24"/>
          <w:szCs w:val="24"/>
        </w:rPr>
        <w:t xml:space="preserve"> § 4 odst. 6</w:t>
      </w:r>
      <w:r w:rsidR="00685E05" w:rsidRPr="00286395">
        <w:rPr>
          <w:rFonts w:ascii="Times New Roman" w:hAnsi="Times New Roman"/>
          <w:sz w:val="24"/>
          <w:szCs w:val="24"/>
        </w:rPr>
        <w:t xml:space="preserve"> zákona </w:t>
      </w:r>
      <w:r w:rsidR="005450F3" w:rsidRPr="0073392D">
        <w:rPr>
          <w:rFonts w:ascii="Times New Roman" w:hAnsi="Times New Roman"/>
          <w:sz w:val="24"/>
          <w:szCs w:val="24"/>
        </w:rPr>
        <w:t>č.</w:t>
      </w:r>
      <w:r w:rsidR="00C625A4">
        <w:rPr>
          <w:rFonts w:ascii="Times New Roman" w:hAnsi="Times New Roman"/>
          <w:sz w:val="24"/>
          <w:szCs w:val="24"/>
        </w:rPr>
        <w:t> </w:t>
      </w:r>
      <w:r w:rsidR="005450F3" w:rsidRPr="0073392D">
        <w:rPr>
          <w:rFonts w:ascii="Times New Roman" w:hAnsi="Times New Roman"/>
          <w:sz w:val="24"/>
          <w:szCs w:val="24"/>
        </w:rPr>
        <w:t>58/1995 Sb.</w:t>
      </w:r>
      <w:r w:rsidR="005137D8">
        <w:rPr>
          <w:rFonts w:ascii="Times New Roman" w:hAnsi="Times New Roman"/>
          <w:sz w:val="24"/>
          <w:szCs w:val="24"/>
        </w:rPr>
        <w:t xml:space="preserve"> </w:t>
      </w:r>
      <w:r w:rsidR="00685E05" w:rsidRPr="00286395">
        <w:rPr>
          <w:rFonts w:ascii="Times New Roman" w:hAnsi="Times New Roman"/>
          <w:sz w:val="24"/>
          <w:szCs w:val="24"/>
        </w:rPr>
        <w:t>může</w:t>
      </w:r>
      <w:r w:rsidRPr="00286395">
        <w:rPr>
          <w:rFonts w:ascii="Times New Roman" w:hAnsi="Times New Roman"/>
          <w:sz w:val="24"/>
          <w:szCs w:val="24"/>
        </w:rPr>
        <w:t xml:space="preserve"> exportní pojišťovna pojistit jednotlivá vývozní úvěrová rizika až do výše 20 % pojistné kapacity stanovené pro rok, kdy je na</w:t>
      </w:r>
      <w:r w:rsidR="00685E05" w:rsidRPr="00286395">
        <w:rPr>
          <w:rFonts w:ascii="Times New Roman" w:hAnsi="Times New Roman"/>
          <w:sz w:val="24"/>
          <w:szCs w:val="24"/>
        </w:rPr>
        <w:t xml:space="preserve"> toto riziko sjednáno pojištění</w:t>
      </w:r>
      <w:r w:rsidR="00BA027E">
        <w:rPr>
          <w:rFonts w:ascii="Times New Roman" w:hAnsi="Times New Roman"/>
          <w:sz w:val="24"/>
          <w:szCs w:val="24"/>
        </w:rPr>
        <w:t>,</w:t>
      </w:r>
      <w:r w:rsidR="00685E05" w:rsidRPr="00286395">
        <w:rPr>
          <w:rFonts w:ascii="Times New Roman" w:hAnsi="Times New Roman"/>
          <w:sz w:val="24"/>
          <w:szCs w:val="24"/>
        </w:rPr>
        <w:t xml:space="preserve"> a s</w:t>
      </w:r>
      <w:r w:rsidRPr="00286395">
        <w:rPr>
          <w:rFonts w:ascii="Times New Roman" w:hAnsi="Times New Roman"/>
          <w:sz w:val="24"/>
          <w:szCs w:val="24"/>
        </w:rPr>
        <w:t>e souhlasem ministra financí a ministra průmyslu a</w:t>
      </w:r>
      <w:r w:rsidR="00B91A33">
        <w:rPr>
          <w:rFonts w:ascii="Times New Roman" w:hAnsi="Times New Roman"/>
          <w:sz w:val="24"/>
          <w:szCs w:val="24"/>
        </w:rPr>
        <w:t> </w:t>
      </w:r>
      <w:r w:rsidRPr="00286395">
        <w:rPr>
          <w:rFonts w:ascii="Times New Roman" w:hAnsi="Times New Roman"/>
          <w:sz w:val="24"/>
          <w:szCs w:val="24"/>
        </w:rPr>
        <w:t>obchodu je exportní pojišťovna oprávněna pojistit jednotlivé vývozní úvěrové riziko až do výše 40 % pojistné kapacity. Jednotlivá úvěrová rizika přesahující 40 % pojistné kapacity může exportní pojišťovna pojistit se souhlasem vlády</w:t>
      </w:r>
      <w:r w:rsidR="00685E05" w:rsidRPr="00286395">
        <w:rPr>
          <w:rFonts w:ascii="Times New Roman" w:hAnsi="Times New Roman"/>
          <w:sz w:val="24"/>
          <w:szCs w:val="24"/>
        </w:rPr>
        <w:t>. Předmětné ustanovení bylo do</w:t>
      </w:r>
      <w:r w:rsidR="00B91A33">
        <w:rPr>
          <w:rFonts w:ascii="Times New Roman" w:hAnsi="Times New Roman"/>
          <w:sz w:val="24"/>
          <w:szCs w:val="24"/>
        </w:rPr>
        <w:t> </w:t>
      </w:r>
      <w:r w:rsidR="00685E05" w:rsidRPr="00286395">
        <w:rPr>
          <w:rFonts w:ascii="Times New Roman" w:hAnsi="Times New Roman"/>
          <w:sz w:val="24"/>
          <w:szCs w:val="24"/>
        </w:rPr>
        <w:t xml:space="preserve">zákona </w:t>
      </w:r>
      <w:r w:rsidR="005137D8" w:rsidRPr="0073392D">
        <w:rPr>
          <w:rFonts w:ascii="Times New Roman" w:hAnsi="Times New Roman"/>
          <w:sz w:val="24"/>
          <w:szCs w:val="24"/>
        </w:rPr>
        <w:t>č.</w:t>
      </w:r>
      <w:r w:rsidR="00C625A4">
        <w:rPr>
          <w:rFonts w:ascii="Times New Roman" w:hAnsi="Times New Roman"/>
          <w:sz w:val="24"/>
          <w:szCs w:val="24"/>
        </w:rPr>
        <w:t> </w:t>
      </w:r>
      <w:r w:rsidR="005137D8" w:rsidRPr="0073392D">
        <w:rPr>
          <w:rFonts w:ascii="Times New Roman" w:hAnsi="Times New Roman"/>
          <w:sz w:val="24"/>
          <w:szCs w:val="24"/>
        </w:rPr>
        <w:t>58/1995 Sb.</w:t>
      </w:r>
      <w:r w:rsidR="00473588" w:rsidRPr="00286395">
        <w:rPr>
          <w:rFonts w:ascii="Times New Roman" w:hAnsi="Times New Roman"/>
          <w:sz w:val="24"/>
          <w:szCs w:val="24"/>
        </w:rPr>
        <w:t xml:space="preserve"> vloženo </w:t>
      </w:r>
      <w:r w:rsidR="00047ED8" w:rsidRPr="00286395">
        <w:rPr>
          <w:rFonts w:ascii="Times New Roman" w:hAnsi="Times New Roman"/>
          <w:sz w:val="24"/>
          <w:szCs w:val="24"/>
        </w:rPr>
        <w:t>s účinností od 30. března 1998</w:t>
      </w:r>
      <w:r w:rsidR="00047ED8">
        <w:rPr>
          <w:rFonts w:ascii="Times New Roman" w:hAnsi="Times New Roman"/>
          <w:sz w:val="24"/>
          <w:szCs w:val="24"/>
        </w:rPr>
        <w:t xml:space="preserve"> </w:t>
      </w:r>
      <w:r w:rsidR="00473588" w:rsidRPr="00286395">
        <w:rPr>
          <w:rFonts w:ascii="Times New Roman" w:hAnsi="Times New Roman"/>
          <w:sz w:val="24"/>
          <w:szCs w:val="24"/>
        </w:rPr>
        <w:t>zákonem č.</w:t>
      </w:r>
      <w:r w:rsidR="00C625A4">
        <w:rPr>
          <w:rFonts w:ascii="Times New Roman" w:hAnsi="Times New Roman"/>
          <w:sz w:val="24"/>
          <w:szCs w:val="24"/>
        </w:rPr>
        <w:t> </w:t>
      </w:r>
      <w:r w:rsidR="00473588" w:rsidRPr="00286395">
        <w:rPr>
          <w:rFonts w:ascii="Times New Roman" w:hAnsi="Times New Roman"/>
          <w:sz w:val="24"/>
          <w:szCs w:val="24"/>
        </w:rPr>
        <w:t xml:space="preserve">60/1998 Sb. a od té doby nebylo nikdy novelizováno. </w:t>
      </w:r>
      <w:r w:rsidR="00AD1DB6" w:rsidRPr="00286395">
        <w:rPr>
          <w:rFonts w:ascii="Times New Roman" w:hAnsi="Times New Roman"/>
          <w:sz w:val="24"/>
          <w:szCs w:val="24"/>
        </w:rPr>
        <w:t>V uplynulých dvou desetiletí</w:t>
      </w:r>
      <w:r w:rsidR="00BA027E">
        <w:rPr>
          <w:rFonts w:ascii="Times New Roman" w:hAnsi="Times New Roman"/>
          <w:sz w:val="24"/>
          <w:szCs w:val="24"/>
        </w:rPr>
        <w:t>ch</w:t>
      </w:r>
      <w:r w:rsidR="00AD1DB6" w:rsidRPr="00286395">
        <w:rPr>
          <w:rFonts w:ascii="Times New Roman" w:hAnsi="Times New Roman"/>
          <w:sz w:val="24"/>
          <w:szCs w:val="24"/>
        </w:rPr>
        <w:t xml:space="preserve"> se situace zcela proměnila a došlo k nárůstu pojistné kapacity</w:t>
      </w:r>
      <w:r w:rsidR="00187034">
        <w:rPr>
          <w:rFonts w:ascii="Times New Roman" w:hAnsi="Times New Roman"/>
          <w:sz w:val="24"/>
          <w:szCs w:val="24"/>
        </w:rPr>
        <w:t xml:space="preserve"> exportní pojišťovny</w:t>
      </w:r>
      <w:r w:rsidR="00AD1DB6" w:rsidRPr="00286395">
        <w:rPr>
          <w:rFonts w:ascii="Times New Roman" w:hAnsi="Times New Roman"/>
          <w:sz w:val="24"/>
          <w:szCs w:val="24"/>
        </w:rPr>
        <w:t xml:space="preserve"> v takovém rozsahu,</w:t>
      </w:r>
      <w:r w:rsidR="0047713B" w:rsidRPr="00286395">
        <w:rPr>
          <w:rFonts w:ascii="Times New Roman" w:hAnsi="Times New Roman"/>
          <w:sz w:val="24"/>
          <w:szCs w:val="24"/>
        </w:rPr>
        <w:t xml:space="preserve"> kdy stávající objemy i</w:t>
      </w:r>
      <w:r w:rsidR="00B91A33">
        <w:rPr>
          <w:rFonts w:ascii="Times New Roman" w:hAnsi="Times New Roman"/>
          <w:sz w:val="24"/>
          <w:szCs w:val="24"/>
        </w:rPr>
        <w:t> </w:t>
      </w:r>
      <w:r w:rsidR="0047713B" w:rsidRPr="00286395">
        <w:rPr>
          <w:rFonts w:ascii="Times New Roman" w:hAnsi="Times New Roman"/>
          <w:sz w:val="24"/>
          <w:szCs w:val="24"/>
        </w:rPr>
        <w:t xml:space="preserve">největších obchodních případů </w:t>
      </w:r>
      <w:r w:rsidR="009C4C19" w:rsidRPr="00286395">
        <w:rPr>
          <w:rFonts w:ascii="Times New Roman" w:hAnsi="Times New Roman"/>
          <w:sz w:val="24"/>
          <w:szCs w:val="24"/>
        </w:rPr>
        <w:t xml:space="preserve">nevyžadují schvalování obchodních případů na úrovni vlády nebo </w:t>
      </w:r>
      <w:r w:rsidR="008A7BEE" w:rsidRPr="00286395">
        <w:rPr>
          <w:rFonts w:ascii="Times New Roman" w:hAnsi="Times New Roman"/>
          <w:sz w:val="24"/>
          <w:szCs w:val="24"/>
        </w:rPr>
        <w:t xml:space="preserve">příslušných </w:t>
      </w:r>
      <w:r w:rsidR="009C4C19" w:rsidRPr="00286395">
        <w:rPr>
          <w:rFonts w:ascii="Times New Roman" w:hAnsi="Times New Roman"/>
          <w:sz w:val="24"/>
          <w:szCs w:val="24"/>
        </w:rPr>
        <w:t>ministrů. Ve státním rozpočtu na rok 2019 se předpokládá pojistná kapacita exportní pojišťovny v rozsahu 260 m</w:t>
      </w:r>
      <w:r w:rsidR="004A7222">
        <w:rPr>
          <w:rFonts w:ascii="Times New Roman" w:hAnsi="Times New Roman"/>
          <w:sz w:val="24"/>
          <w:szCs w:val="24"/>
        </w:rPr>
        <w:t>ld. Kč</w:t>
      </w:r>
      <w:r w:rsidR="009C4C19" w:rsidRPr="00286395">
        <w:rPr>
          <w:rFonts w:ascii="Times New Roman" w:hAnsi="Times New Roman"/>
          <w:sz w:val="24"/>
          <w:szCs w:val="24"/>
        </w:rPr>
        <w:t>, což znamen</w:t>
      </w:r>
      <w:r w:rsidR="00991E21">
        <w:rPr>
          <w:rFonts w:ascii="Times New Roman" w:hAnsi="Times New Roman"/>
          <w:sz w:val="24"/>
          <w:szCs w:val="24"/>
        </w:rPr>
        <w:t>á</w:t>
      </w:r>
      <w:r w:rsidR="009C4C19" w:rsidRPr="00286395">
        <w:rPr>
          <w:rFonts w:ascii="Times New Roman" w:hAnsi="Times New Roman"/>
          <w:sz w:val="24"/>
          <w:szCs w:val="24"/>
        </w:rPr>
        <w:t xml:space="preserve">, že </w:t>
      </w:r>
      <w:r w:rsidR="006A348C" w:rsidRPr="00286395">
        <w:rPr>
          <w:rFonts w:ascii="Times New Roman" w:hAnsi="Times New Roman"/>
          <w:sz w:val="24"/>
          <w:szCs w:val="24"/>
        </w:rPr>
        <w:t>souhlas ministra financí a ministra průmyslu a</w:t>
      </w:r>
      <w:r w:rsidR="00C76597">
        <w:rPr>
          <w:rFonts w:ascii="Times New Roman" w:hAnsi="Times New Roman"/>
          <w:sz w:val="24"/>
          <w:szCs w:val="24"/>
        </w:rPr>
        <w:t> </w:t>
      </w:r>
      <w:r w:rsidR="006A348C" w:rsidRPr="00286395">
        <w:rPr>
          <w:rFonts w:ascii="Times New Roman" w:hAnsi="Times New Roman"/>
          <w:sz w:val="24"/>
          <w:szCs w:val="24"/>
        </w:rPr>
        <w:t xml:space="preserve">obchodu je vyžadován teprve u </w:t>
      </w:r>
      <w:r w:rsidR="0059498A" w:rsidRPr="00286395">
        <w:rPr>
          <w:rFonts w:ascii="Times New Roman" w:hAnsi="Times New Roman"/>
          <w:sz w:val="24"/>
          <w:szCs w:val="24"/>
        </w:rPr>
        <w:t xml:space="preserve">jednotlivých </w:t>
      </w:r>
      <w:r w:rsidR="006A348C" w:rsidRPr="00286395">
        <w:rPr>
          <w:rFonts w:ascii="Times New Roman" w:hAnsi="Times New Roman"/>
          <w:sz w:val="24"/>
          <w:szCs w:val="24"/>
        </w:rPr>
        <w:t>vývozních úvěrových rizik v objemu 52</w:t>
      </w:r>
      <w:r w:rsidR="00C76597">
        <w:rPr>
          <w:rFonts w:ascii="Times New Roman" w:hAnsi="Times New Roman"/>
          <w:sz w:val="24"/>
          <w:szCs w:val="24"/>
        </w:rPr>
        <w:t> </w:t>
      </w:r>
      <w:r w:rsidR="006A348C" w:rsidRPr="00286395">
        <w:rPr>
          <w:rFonts w:ascii="Times New Roman" w:hAnsi="Times New Roman"/>
          <w:sz w:val="24"/>
          <w:szCs w:val="24"/>
        </w:rPr>
        <w:t>m</w:t>
      </w:r>
      <w:r w:rsidR="004A7222">
        <w:rPr>
          <w:rFonts w:ascii="Times New Roman" w:hAnsi="Times New Roman"/>
          <w:sz w:val="24"/>
          <w:szCs w:val="24"/>
        </w:rPr>
        <w:t>ld. Kč</w:t>
      </w:r>
      <w:r w:rsidR="006A348C" w:rsidRPr="00286395">
        <w:rPr>
          <w:rFonts w:ascii="Times New Roman" w:hAnsi="Times New Roman"/>
          <w:sz w:val="24"/>
          <w:szCs w:val="24"/>
        </w:rPr>
        <w:t>, souhlas vlády</w:t>
      </w:r>
      <w:r w:rsidR="0059498A" w:rsidRPr="00286395">
        <w:rPr>
          <w:rFonts w:ascii="Times New Roman" w:hAnsi="Times New Roman"/>
          <w:sz w:val="24"/>
          <w:szCs w:val="24"/>
        </w:rPr>
        <w:t xml:space="preserve"> je vyžadován</w:t>
      </w:r>
      <w:r w:rsidR="006A348C" w:rsidRPr="00286395">
        <w:rPr>
          <w:rFonts w:ascii="Times New Roman" w:hAnsi="Times New Roman"/>
          <w:sz w:val="24"/>
          <w:szCs w:val="24"/>
        </w:rPr>
        <w:t xml:space="preserve"> dokonce </w:t>
      </w:r>
      <w:r w:rsidR="0059498A" w:rsidRPr="00286395">
        <w:rPr>
          <w:rFonts w:ascii="Times New Roman" w:hAnsi="Times New Roman"/>
          <w:sz w:val="24"/>
          <w:szCs w:val="24"/>
        </w:rPr>
        <w:t>u</w:t>
      </w:r>
      <w:r w:rsidR="00F96EFA">
        <w:rPr>
          <w:rFonts w:ascii="Times New Roman" w:hAnsi="Times New Roman"/>
          <w:sz w:val="24"/>
          <w:szCs w:val="24"/>
        </w:rPr>
        <w:t> </w:t>
      </w:r>
      <w:r w:rsidR="006A348C" w:rsidRPr="00286395">
        <w:rPr>
          <w:rFonts w:ascii="Times New Roman" w:hAnsi="Times New Roman"/>
          <w:sz w:val="24"/>
          <w:szCs w:val="24"/>
        </w:rPr>
        <w:t>104</w:t>
      </w:r>
      <w:r w:rsidR="004A7222">
        <w:rPr>
          <w:rFonts w:ascii="Times New Roman" w:hAnsi="Times New Roman"/>
          <w:sz w:val="24"/>
          <w:szCs w:val="24"/>
        </w:rPr>
        <w:t> mld. Kč</w:t>
      </w:r>
      <w:r w:rsidR="0059498A" w:rsidRPr="00286395">
        <w:rPr>
          <w:rFonts w:ascii="Times New Roman" w:hAnsi="Times New Roman"/>
          <w:sz w:val="24"/>
          <w:szCs w:val="24"/>
        </w:rPr>
        <w:t>. Praxe ukazuje, že značné národohospodářské škody, náklady pro státní rozpočet, ale i</w:t>
      </w:r>
      <w:r w:rsidR="004A7222">
        <w:rPr>
          <w:rFonts w:ascii="Times New Roman" w:hAnsi="Times New Roman"/>
          <w:sz w:val="24"/>
          <w:szCs w:val="24"/>
        </w:rPr>
        <w:t> </w:t>
      </w:r>
      <w:r w:rsidR="0059498A" w:rsidRPr="00286395">
        <w:rPr>
          <w:rFonts w:ascii="Times New Roman" w:hAnsi="Times New Roman"/>
          <w:sz w:val="24"/>
          <w:szCs w:val="24"/>
        </w:rPr>
        <w:t>reputační rizik</w:t>
      </w:r>
      <w:r w:rsidR="0080738F" w:rsidRPr="00286395">
        <w:rPr>
          <w:rFonts w:ascii="Times New Roman" w:hAnsi="Times New Roman"/>
          <w:sz w:val="24"/>
          <w:szCs w:val="24"/>
        </w:rPr>
        <w:t>a</w:t>
      </w:r>
      <w:r w:rsidR="0059498A" w:rsidRPr="00286395">
        <w:rPr>
          <w:rFonts w:ascii="Times New Roman" w:hAnsi="Times New Roman"/>
          <w:sz w:val="24"/>
          <w:szCs w:val="24"/>
        </w:rPr>
        <w:t xml:space="preserve"> pro systém pojišťování a financování vývozu se státní podporou</w:t>
      </w:r>
      <w:r w:rsidR="0080738F" w:rsidRPr="00286395">
        <w:rPr>
          <w:rFonts w:ascii="Times New Roman" w:hAnsi="Times New Roman"/>
          <w:sz w:val="24"/>
          <w:szCs w:val="24"/>
        </w:rPr>
        <w:t xml:space="preserve"> jsou způsobeny </w:t>
      </w:r>
      <w:r w:rsidR="00222C1C" w:rsidRPr="00286395">
        <w:rPr>
          <w:rFonts w:ascii="Times New Roman" w:hAnsi="Times New Roman"/>
          <w:sz w:val="24"/>
          <w:szCs w:val="24"/>
        </w:rPr>
        <w:t>selhání</w:t>
      </w:r>
      <w:r w:rsidR="0080738F" w:rsidRPr="00286395">
        <w:rPr>
          <w:rFonts w:ascii="Times New Roman" w:hAnsi="Times New Roman"/>
          <w:sz w:val="24"/>
          <w:szCs w:val="24"/>
        </w:rPr>
        <w:t>m</w:t>
      </w:r>
      <w:r w:rsidR="00222C1C" w:rsidRPr="00286395">
        <w:rPr>
          <w:rFonts w:ascii="Times New Roman" w:hAnsi="Times New Roman"/>
          <w:sz w:val="24"/>
          <w:szCs w:val="24"/>
        </w:rPr>
        <w:t xml:space="preserve"> obchodních případů již v rozsahu jednotek miliard korun.</w:t>
      </w:r>
    </w:p>
    <w:p w14:paraId="3FEDB4E5" w14:textId="77777777" w:rsidR="005D678E" w:rsidRPr="00286395" w:rsidRDefault="005D678E" w:rsidP="00EB147E">
      <w:pPr>
        <w:spacing w:before="120" w:after="120"/>
        <w:ind w:left="360"/>
        <w:jc w:val="both"/>
        <w:rPr>
          <w:rFonts w:ascii="Times New Roman" w:hAnsi="Times New Roman"/>
          <w:sz w:val="24"/>
          <w:szCs w:val="24"/>
        </w:rPr>
      </w:pPr>
      <w:r w:rsidRPr="00286395">
        <w:rPr>
          <w:rFonts w:ascii="Times New Roman" w:hAnsi="Times New Roman"/>
          <w:sz w:val="24"/>
          <w:szCs w:val="24"/>
        </w:rPr>
        <w:t xml:space="preserve">V případě podpořeného financování zákon </w:t>
      </w:r>
      <w:r w:rsidR="00FE5909" w:rsidRPr="0073392D">
        <w:rPr>
          <w:rFonts w:ascii="Times New Roman" w:hAnsi="Times New Roman"/>
          <w:sz w:val="24"/>
          <w:szCs w:val="24"/>
        </w:rPr>
        <w:t>č.</w:t>
      </w:r>
      <w:r w:rsidR="00346C81">
        <w:rPr>
          <w:rFonts w:ascii="Times New Roman" w:hAnsi="Times New Roman"/>
          <w:sz w:val="24"/>
          <w:szCs w:val="24"/>
        </w:rPr>
        <w:t> </w:t>
      </w:r>
      <w:r w:rsidR="00FE5909" w:rsidRPr="0073392D">
        <w:rPr>
          <w:rFonts w:ascii="Times New Roman" w:hAnsi="Times New Roman"/>
          <w:sz w:val="24"/>
          <w:szCs w:val="24"/>
        </w:rPr>
        <w:t>58/1995 Sb.</w:t>
      </w:r>
      <w:r w:rsidR="00FE5909">
        <w:rPr>
          <w:rFonts w:ascii="Times New Roman" w:hAnsi="Times New Roman"/>
          <w:sz w:val="24"/>
          <w:szCs w:val="24"/>
        </w:rPr>
        <w:t xml:space="preserve"> </w:t>
      </w:r>
      <w:r w:rsidRPr="00286395">
        <w:rPr>
          <w:rFonts w:ascii="Times New Roman" w:hAnsi="Times New Roman"/>
          <w:sz w:val="24"/>
          <w:szCs w:val="24"/>
        </w:rPr>
        <w:t xml:space="preserve">schvalování obchodních případů na úrovni vlády nebo </w:t>
      </w:r>
      <w:r w:rsidR="008A7BEE" w:rsidRPr="00286395">
        <w:rPr>
          <w:rFonts w:ascii="Times New Roman" w:hAnsi="Times New Roman"/>
          <w:sz w:val="24"/>
          <w:szCs w:val="24"/>
        </w:rPr>
        <w:t xml:space="preserve">příslušných </w:t>
      </w:r>
      <w:r w:rsidRPr="00286395">
        <w:rPr>
          <w:rFonts w:ascii="Times New Roman" w:hAnsi="Times New Roman"/>
          <w:sz w:val="24"/>
          <w:szCs w:val="24"/>
        </w:rPr>
        <w:t>ministrů vůbec nepředpokládá.</w:t>
      </w:r>
    </w:p>
    <w:p w14:paraId="1D419447" w14:textId="77777777" w:rsidR="00E628BB" w:rsidRPr="00C66369" w:rsidRDefault="00B463AB" w:rsidP="00EB147E">
      <w:pPr>
        <w:spacing w:before="120" w:after="120"/>
        <w:ind w:left="360"/>
        <w:jc w:val="both"/>
        <w:rPr>
          <w:rFonts w:ascii="Times New Roman" w:hAnsi="Times New Roman"/>
          <w:sz w:val="24"/>
          <w:szCs w:val="24"/>
        </w:rPr>
      </w:pPr>
      <w:r w:rsidRPr="00286395">
        <w:rPr>
          <w:rFonts w:ascii="Times New Roman" w:hAnsi="Times New Roman"/>
          <w:sz w:val="24"/>
          <w:szCs w:val="24"/>
        </w:rPr>
        <w:t>b)</w:t>
      </w:r>
      <w:r w:rsidRPr="00286395">
        <w:rPr>
          <w:rFonts w:ascii="Times New Roman" w:hAnsi="Times New Roman"/>
          <w:i/>
          <w:sz w:val="24"/>
          <w:szCs w:val="24"/>
        </w:rPr>
        <w:t xml:space="preserve"> </w:t>
      </w:r>
      <w:r w:rsidR="00E628BB" w:rsidRPr="00286395">
        <w:rPr>
          <w:rFonts w:ascii="Times New Roman" w:hAnsi="Times New Roman"/>
          <w:i/>
          <w:sz w:val="24"/>
          <w:szCs w:val="24"/>
        </w:rPr>
        <w:t xml:space="preserve">Varianta 1 – </w:t>
      </w:r>
      <w:r w:rsidR="00E628BB" w:rsidRPr="00286395">
        <w:rPr>
          <w:rFonts w:ascii="Times New Roman" w:hAnsi="Times New Roman"/>
          <w:sz w:val="24"/>
          <w:szCs w:val="24"/>
        </w:rPr>
        <w:t>legislativní řešení - novela existujícího právního předpisu – úprava procenta výše pojistné kapacity při pojištění vývozního úvěrového rizika</w:t>
      </w:r>
    </w:p>
    <w:p w14:paraId="77E22E86" w14:textId="77777777" w:rsidR="00E628BB" w:rsidRPr="00286395" w:rsidRDefault="00E50CCF" w:rsidP="00EB147E">
      <w:pPr>
        <w:spacing w:before="120" w:after="120"/>
        <w:ind w:left="360"/>
        <w:jc w:val="both"/>
        <w:rPr>
          <w:rFonts w:ascii="Times New Roman" w:hAnsi="Times New Roman"/>
          <w:sz w:val="24"/>
          <w:szCs w:val="24"/>
        </w:rPr>
      </w:pPr>
      <w:r w:rsidRPr="00286395">
        <w:rPr>
          <w:rFonts w:ascii="Times New Roman" w:hAnsi="Times New Roman"/>
          <w:sz w:val="24"/>
          <w:szCs w:val="24"/>
        </w:rPr>
        <w:t xml:space="preserve">Z výše uvedeného vyplývá, že procento pojistné kapacity stanovené pro rok, do něhož je exportní pojišťovna oprávněna pojistit jednotlivá vývozní úvěrová rizika bez souhlasu vlády nebo </w:t>
      </w:r>
      <w:r w:rsidR="002E0472" w:rsidRPr="00286395">
        <w:rPr>
          <w:rFonts w:ascii="Times New Roman" w:hAnsi="Times New Roman"/>
          <w:sz w:val="24"/>
          <w:szCs w:val="24"/>
        </w:rPr>
        <w:t xml:space="preserve">příslušných </w:t>
      </w:r>
      <w:r w:rsidRPr="00286395">
        <w:rPr>
          <w:rFonts w:ascii="Times New Roman" w:hAnsi="Times New Roman"/>
          <w:sz w:val="24"/>
          <w:szCs w:val="24"/>
        </w:rPr>
        <w:t xml:space="preserve">ministrů, </w:t>
      </w:r>
      <w:r w:rsidR="005B2C02" w:rsidRPr="00286395">
        <w:rPr>
          <w:rFonts w:ascii="Times New Roman" w:hAnsi="Times New Roman"/>
          <w:sz w:val="24"/>
          <w:szCs w:val="24"/>
        </w:rPr>
        <w:t xml:space="preserve">objemem výrazně převyšuje realitu obchodních případů, s nimiž exportní pojišťovna pracuje. </w:t>
      </w:r>
    </w:p>
    <w:p w14:paraId="3B1FB681" w14:textId="77777777" w:rsidR="00E628BB" w:rsidRPr="00286395" w:rsidRDefault="00E93191" w:rsidP="00EB147E">
      <w:pPr>
        <w:spacing w:before="120" w:after="120"/>
        <w:ind w:left="360"/>
        <w:jc w:val="both"/>
        <w:rPr>
          <w:rFonts w:ascii="Times New Roman" w:hAnsi="Times New Roman"/>
          <w:sz w:val="24"/>
          <w:szCs w:val="24"/>
        </w:rPr>
      </w:pPr>
      <w:r w:rsidRPr="00286395">
        <w:rPr>
          <w:rFonts w:ascii="Times New Roman" w:hAnsi="Times New Roman"/>
          <w:sz w:val="24"/>
          <w:szCs w:val="24"/>
        </w:rPr>
        <w:t>Jevilo by se tedy jako žádoucí legislativní úpravou adekvátně snížit uvedené procento pojistné kapacity stanovené pro rok. Nicméně z výše uvedeného je zřetelné, že se pojistná kapacita mezi jednotlivými roky</w:t>
      </w:r>
      <w:r w:rsidR="00D13E26" w:rsidRPr="00286395">
        <w:rPr>
          <w:rFonts w:ascii="Times New Roman" w:hAnsi="Times New Roman"/>
          <w:sz w:val="24"/>
          <w:szCs w:val="24"/>
        </w:rPr>
        <w:t xml:space="preserve"> a dále v delších časových řadách</w:t>
      </w:r>
      <w:r w:rsidRPr="00286395">
        <w:rPr>
          <w:rFonts w:ascii="Times New Roman" w:hAnsi="Times New Roman"/>
          <w:sz w:val="24"/>
          <w:szCs w:val="24"/>
        </w:rPr>
        <w:t xml:space="preserve"> výrazně liší. </w:t>
      </w:r>
      <w:r w:rsidR="00D13E26" w:rsidRPr="00286395">
        <w:rPr>
          <w:rFonts w:ascii="Times New Roman" w:hAnsi="Times New Roman"/>
          <w:sz w:val="24"/>
          <w:szCs w:val="24"/>
        </w:rPr>
        <w:t xml:space="preserve">Tak by mohlo docházet i nadále ke skokovým změnám objemu vývozních úvěrových rizik, k jejichž pojištění by byl nezbytný souhlas ministrů nebo vlády. </w:t>
      </w:r>
    </w:p>
    <w:p w14:paraId="4AA93506" w14:textId="03AEFE1E" w:rsidR="00E628BB" w:rsidRPr="00286395" w:rsidRDefault="000154FB" w:rsidP="00EB147E">
      <w:pPr>
        <w:spacing w:before="120" w:after="120"/>
        <w:ind w:left="360"/>
        <w:jc w:val="both"/>
        <w:rPr>
          <w:rFonts w:ascii="Times New Roman" w:hAnsi="Times New Roman"/>
          <w:sz w:val="24"/>
          <w:szCs w:val="24"/>
        </w:rPr>
      </w:pPr>
      <w:r w:rsidRPr="00286395">
        <w:rPr>
          <w:rFonts w:ascii="Times New Roman" w:hAnsi="Times New Roman"/>
          <w:sz w:val="24"/>
          <w:szCs w:val="24"/>
        </w:rPr>
        <w:t>Nadto z analýz a konzultací s exportní pojišťovnou, exportní bankou a M</w:t>
      </w:r>
      <w:r w:rsidR="003F4B90">
        <w:rPr>
          <w:rFonts w:ascii="Times New Roman" w:hAnsi="Times New Roman"/>
          <w:sz w:val="24"/>
          <w:szCs w:val="24"/>
        </w:rPr>
        <w:t>F</w:t>
      </w:r>
      <w:r w:rsidRPr="00286395">
        <w:rPr>
          <w:rFonts w:ascii="Times New Roman" w:hAnsi="Times New Roman"/>
          <w:sz w:val="24"/>
          <w:szCs w:val="24"/>
        </w:rPr>
        <w:t xml:space="preserve"> vyplývá, že </w:t>
      </w:r>
      <w:r w:rsidR="00D54B27">
        <w:rPr>
          <w:rFonts w:ascii="Times New Roman" w:hAnsi="Times New Roman"/>
          <w:sz w:val="24"/>
          <w:szCs w:val="24"/>
        </w:rPr>
        <w:t xml:space="preserve">by bylo </w:t>
      </w:r>
      <w:r w:rsidR="006F1A95" w:rsidRPr="00286395">
        <w:rPr>
          <w:rFonts w:ascii="Times New Roman" w:hAnsi="Times New Roman"/>
          <w:sz w:val="24"/>
          <w:szCs w:val="24"/>
        </w:rPr>
        <w:t>nezbytné stanovit analogický proces schvalování obchodních případů od jisté výše i</w:t>
      </w:r>
      <w:r w:rsidR="00820ABE">
        <w:rPr>
          <w:rFonts w:ascii="Times New Roman" w:hAnsi="Times New Roman"/>
          <w:sz w:val="24"/>
          <w:szCs w:val="24"/>
        </w:rPr>
        <w:t> </w:t>
      </w:r>
      <w:r w:rsidR="006F1A95" w:rsidRPr="00286395">
        <w:rPr>
          <w:rFonts w:ascii="Times New Roman" w:hAnsi="Times New Roman"/>
          <w:sz w:val="24"/>
          <w:szCs w:val="24"/>
        </w:rPr>
        <w:t xml:space="preserve">v případě exportní banky. </w:t>
      </w:r>
    </w:p>
    <w:p w14:paraId="58640FEE" w14:textId="77777777" w:rsidR="00D97873" w:rsidRPr="00286395" w:rsidRDefault="00D97873" w:rsidP="00527CC1">
      <w:pPr>
        <w:spacing w:before="120" w:after="120"/>
        <w:ind w:left="360"/>
        <w:jc w:val="both"/>
        <w:rPr>
          <w:rFonts w:ascii="Times New Roman" w:hAnsi="Times New Roman"/>
          <w:sz w:val="24"/>
          <w:szCs w:val="24"/>
        </w:rPr>
      </w:pPr>
      <w:r w:rsidRPr="00286395">
        <w:rPr>
          <w:rFonts w:ascii="Times New Roman" w:hAnsi="Times New Roman"/>
          <w:sz w:val="24"/>
          <w:szCs w:val="24"/>
        </w:rPr>
        <w:t>c)</w:t>
      </w:r>
      <w:r w:rsidR="00304F09" w:rsidRPr="00286395">
        <w:rPr>
          <w:rFonts w:ascii="Times New Roman" w:hAnsi="Times New Roman"/>
          <w:sz w:val="24"/>
          <w:szCs w:val="24"/>
        </w:rPr>
        <w:t xml:space="preserve"> </w:t>
      </w:r>
      <w:r w:rsidRPr="00286395">
        <w:rPr>
          <w:rFonts w:ascii="Times New Roman" w:hAnsi="Times New Roman"/>
          <w:i/>
          <w:sz w:val="24"/>
          <w:szCs w:val="24"/>
        </w:rPr>
        <w:t xml:space="preserve">Varianta 2 </w:t>
      </w:r>
      <w:r w:rsidRPr="00286395">
        <w:rPr>
          <w:rFonts w:ascii="Times New Roman" w:hAnsi="Times New Roman"/>
          <w:sz w:val="24"/>
          <w:szCs w:val="24"/>
        </w:rPr>
        <w:t>– legislativní řešení - novela existujícího právního předpisu – stanovení absolutní částky limitů pro schvalování obchodních případů vládou</w:t>
      </w:r>
    </w:p>
    <w:p w14:paraId="11C3F4C1" w14:textId="4BBCE54E" w:rsidR="00BA6059" w:rsidRPr="00286395" w:rsidRDefault="002C52EC" w:rsidP="004A7222">
      <w:pPr>
        <w:spacing w:before="120" w:after="120"/>
        <w:ind w:left="357"/>
        <w:jc w:val="both"/>
        <w:rPr>
          <w:rFonts w:ascii="Times New Roman" w:hAnsi="Times New Roman"/>
          <w:sz w:val="24"/>
          <w:szCs w:val="24"/>
        </w:rPr>
      </w:pPr>
      <w:r w:rsidRPr="00286395">
        <w:rPr>
          <w:rFonts w:ascii="Times New Roman" w:hAnsi="Times New Roman"/>
          <w:sz w:val="24"/>
          <w:szCs w:val="24"/>
        </w:rPr>
        <w:t>D</w:t>
      </w:r>
      <w:r w:rsidR="00744F77" w:rsidRPr="00286395">
        <w:rPr>
          <w:rFonts w:ascii="Times New Roman" w:hAnsi="Times New Roman"/>
          <w:sz w:val="24"/>
          <w:szCs w:val="24"/>
        </w:rPr>
        <w:t>le důvodové zprávy zákona č.</w:t>
      </w:r>
      <w:r w:rsidR="00346C81">
        <w:rPr>
          <w:rFonts w:ascii="Times New Roman" w:hAnsi="Times New Roman"/>
          <w:sz w:val="24"/>
          <w:szCs w:val="24"/>
        </w:rPr>
        <w:t> </w:t>
      </w:r>
      <w:r w:rsidR="00744F77" w:rsidRPr="00286395">
        <w:rPr>
          <w:rFonts w:ascii="Times New Roman" w:hAnsi="Times New Roman"/>
          <w:sz w:val="24"/>
          <w:szCs w:val="24"/>
        </w:rPr>
        <w:t xml:space="preserve">60/1998 Sb., kterým byl novelizován zákon </w:t>
      </w:r>
      <w:r w:rsidR="00FE5909" w:rsidRPr="0073392D">
        <w:rPr>
          <w:rFonts w:ascii="Times New Roman" w:hAnsi="Times New Roman"/>
          <w:sz w:val="24"/>
          <w:szCs w:val="24"/>
        </w:rPr>
        <w:t>č.</w:t>
      </w:r>
      <w:r w:rsidR="00346C81">
        <w:rPr>
          <w:rFonts w:ascii="Times New Roman" w:hAnsi="Times New Roman"/>
          <w:sz w:val="24"/>
          <w:szCs w:val="24"/>
        </w:rPr>
        <w:t> </w:t>
      </w:r>
      <w:r w:rsidR="00FE5909" w:rsidRPr="0073392D">
        <w:rPr>
          <w:rFonts w:ascii="Times New Roman" w:hAnsi="Times New Roman"/>
          <w:sz w:val="24"/>
          <w:szCs w:val="24"/>
        </w:rPr>
        <w:t>58/1995</w:t>
      </w:r>
      <w:r w:rsidR="00C76597">
        <w:rPr>
          <w:rFonts w:ascii="Times New Roman" w:hAnsi="Times New Roman"/>
          <w:sz w:val="24"/>
          <w:szCs w:val="24"/>
        </w:rPr>
        <w:t> </w:t>
      </w:r>
      <w:r w:rsidR="00FE5909" w:rsidRPr="0073392D">
        <w:rPr>
          <w:rFonts w:ascii="Times New Roman" w:hAnsi="Times New Roman"/>
          <w:sz w:val="24"/>
          <w:szCs w:val="24"/>
        </w:rPr>
        <w:t>Sb.</w:t>
      </w:r>
      <w:r w:rsidR="00744F77" w:rsidRPr="00286395">
        <w:rPr>
          <w:rFonts w:ascii="Times New Roman" w:hAnsi="Times New Roman"/>
          <w:sz w:val="24"/>
          <w:szCs w:val="24"/>
        </w:rPr>
        <w:t>, bylo d</w:t>
      </w:r>
      <w:r w:rsidRPr="00286395">
        <w:rPr>
          <w:rFonts w:ascii="Times New Roman" w:hAnsi="Times New Roman"/>
          <w:sz w:val="24"/>
          <w:szCs w:val="24"/>
        </w:rPr>
        <w:t xml:space="preserve">o zákona </w:t>
      </w:r>
      <w:r w:rsidR="00FE5909" w:rsidRPr="0073392D">
        <w:rPr>
          <w:rFonts w:ascii="Times New Roman" w:hAnsi="Times New Roman"/>
          <w:sz w:val="24"/>
          <w:szCs w:val="24"/>
        </w:rPr>
        <w:t>č.</w:t>
      </w:r>
      <w:r w:rsidR="00346C81">
        <w:rPr>
          <w:rFonts w:ascii="Times New Roman" w:hAnsi="Times New Roman"/>
          <w:sz w:val="24"/>
          <w:szCs w:val="24"/>
        </w:rPr>
        <w:t> </w:t>
      </w:r>
      <w:r w:rsidR="00FE5909" w:rsidRPr="0073392D">
        <w:rPr>
          <w:rFonts w:ascii="Times New Roman" w:hAnsi="Times New Roman"/>
          <w:sz w:val="24"/>
          <w:szCs w:val="24"/>
        </w:rPr>
        <w:t>58/1995 Sb.</w:t>
      </w:r>
      <w:r w:rsidR="00FE5909">
        <w:rPr>
          <w:rFonts w:ascii="Times New Roman" w:hAnsi="Times New Roman"/>
          <w:sz w:val="24"/>
          <w:szCs w:val="24"/>
        </w:rPr>
        <w:t xml:space="preserve"> </w:t>
      </w:r>
      <w:r w:rsidRPr="00286395">
        <w:rPr>
          <w:rFonts w:ascii="Times New Roman" w:hAnsi="Times New Roman"/>
          <w:sz w:val="24"/>
          <w:szCs w:val="24"/>
        </w:rPr>
        <w:t>vloženo ustanovení omezující právo exportní pojišťovny poskytnout pojištění jednoho rizika do výše 20 % pojistné kapacity s</w:t>
      </w:r>
      <w:r w:rsidR="00C45F29">
        <w:rPr>
          <w:rFonts w:ascii="Times New Roman" w:hAnsi="Times New Roman"/>
          <w:sz w:val="24"/>
          <w:szCs w:val="24"/>
        </w:rPr>
        <w:t> </w:t>
      </w:r>
      <w:r w:rsidRPr="00286395">
        <w:rPr>
          <w:rFonts w:ascii="Times New Roman" w:hAnsi="Times New Roman"/>
          <w:sz w:val="24"/>
          <w:szCs w:val="24"/>
        </w:rPr>
        <w:t>tím</w:t>
      </w:r>
      <w:r w:rsidR="00C45F29">
        <w:rPr>
          <w:rFonts w:ascii="Times New Roman" w:hAnsi="Times New Roman"/>
          <w:sz w:val="24"/>
          <w:szCs w:val="24"/>
        </w:rPr>
        <w:t>,</w:t>
      </w:r>
      <w:r w:rsidRPr="00286395">
        <w:rPr>
          <w:rFonts w:ascii="Times New Roman" w:hAnsi="Times New Roman"/>
          <w:sz w:val="24"/>
          <w:szCs w:val="24"/>
        </w:rPr>
        <w:t xml:space="preserve"> že se souhlasem ministra financí </w:t>
      </w:r>
      <w:r w:rsidR="00807286">
        <w:rPr>
          <w:rFonts w:ascii="Times New Roman" w:hAnsi="Times New Roman"/>
          <w:sz w:val="24"/>
          <w:szCs w:val="24"/>
        </w:rPr>
        <w:t>po</w:t>
      </w:r>
      <w:r w:rsidRPr="00286395">
        <w:rPr>
          <w:rFonts w:ascii="Times New Roman" w:hAnsi="Times New Roman"/>
          <w:sz w:val="24"/>
          <w:szCs w:val="24"/>
        </w:rPr>
        <w:t xml:space="preserve"> dohodě s ministrem průmyslu a obchodu může pojišťovna pojistit úvěry do výše dvojnásobku takového limitu, tj. 40% </w:t>
      </w:r>
      <w:r w:rsidR="00507625">
        <w:rPr>
          <w:rFonts w:ascii="Times New Roman" w:hAnsi="Times New Roman"/>
          <w:sz w:val="24"/>
          <w:szCs w:val="24"/>
        </w:rPr>
        <w:t xml:space="preserve">své pojistné </w:t>
      </w:r>
      <w:r w:rsidRPr="00286395">
        <w:rPr>
          <w:rFonts w:ascii="Times New Roman" w:hAnsi="Times New Roman"/>
          <w:sz w:val="24"/>
          <w:szCs w:val="24"/>
        </w:rPr>
        <w:t>kapacity a se souhlasem vlády mimořádné případy, kdy by bylo nezbytné schválit úvěr rozsah</w:t>
      </w:r>
      <w:r w:rsidR="00807286">
        <w:rPr>
          <w:rFonts w:ascii="Times New Roman" w:hAnsi="Times New Roman"/>
          <w:sz w:val="24"/>
          <w:szCs w:val="24"/>
        </w:rPr>
        <w:t>em</w:t>
      </w:r>
      <w:r w:rsidRPr="00286395">
        <w:rPr>
          <w:rFonts w:ascii="Times New Roman" w:hAnsi="Times New Roman"/>
          <w:sz w:val="24"/>
          <w:szCs w:val="24"/>
        </w:rPr>
        <w:t xml:space="preserve"> přesahující i pravomoci ministrů.</w:t>
      </w:r>
      <w:r w:rsidR="007631CA" w:rsidRPr="00286395">
        <w:rPr>
          <w:rFonts w:ascii="Times New Roman" w:hAnsi="Times New Roman"/>
          <w:sz w:val="24"/>
          <w:szCs w:val="24"/>
        </w:rPr>
        <w:t xml:space="preserve"> </w:t>
      </w:r>
      <w:r w:rsidR="006D01C2" w:rsidRPr="00286395">
        <w:rPr>
          <w:rFonts w:ascii="Times New Roman" w:hAnsi="Times New Roman"/>
          <w:bCs/>
          <w:iCs/>
          <w:sz w:val="24"/>
          <w:szCs w:val="24"/>
        </w:rPr>
        <w:t xml:space="preserve">Dosavadní schvalování velkých expozic pouze na úrovni </w:t>
      </w:r>
      <w:r w:rsidR="006D01C2" w:rsidRPr="00286395">
        <w:rPr>
          <w:rFonts w:ascii="Times New Roman" w:hAnsi="Times New Roman"/>
          <w:sz w:val="24"/>
          <w:szCs w:val="24"/>
        </w:rPr>
        <w:t>exportní pojišťovny a</w:t>
      </w:r>
      <w:r w:rsidR="00F96EFA">
        <w:rPr>
          <w:rFonts w:ascii="Times New Roman" w:hAnsi="Times New Roman"/>
          <w:sz w:val="24"/>
          <w:szCs w:val="24"/>
        </w:rPr>
        <w:t> </w:t>
      </w:r>
      <w:r w:rsidR="006D01C2" w:rsidRPr="00286395">
        <w:rPr>
          <w:rFonts w:ascii="Times New Roman" w:hAnsi="Times New Roman"/>
          <w:sz w:val="24"/>
          <w:szCs w:val="24"/>
        </w:rPr>
        <w:t>exportní banky</w:t>
      </w:r>
      <w:r w:rsidR="006D01C2" w:rsidRPr="00286395">
        <w:rPr>
          <w:rFonts w:ascii="Times New Roman" w:hAnsi="Times New Roman"/>
          <w:bCs/>
          <w:iCs/>
          <w:sz w:val="24"/>
          <w:szCs w:val="24"/>
        </w:rPr>
        <w:t xml:space="preserve"> se ukázalo jako </w:t>
      </w:r>
      <w:r w:rsidR="006D01C2" w:rsidRPr="00286395">
        <w:rPr>
          <w:rFonts w:ascii="Times New Roman" w:hAnsi="Times New Roman"/>
          <w:sz w:val="24"/>
          <w:szCs w:val="24"/>
        </w:rPr>
        <w:t>nedostačující a</w:t>
      </w:r>
      <w:r w:rsidR="00C76597">
        <w:rPr>
          <w:rFonts w:ascii="Times New Roman" w:hAnsi="Times New Roman"/>
          <w:sz w:val="24"/>
          <w:szCs w:val="24"/>
        </w:rPr>
        <w:t> </w:t>
      </w:r>
      <w:r w:rsidR="006D01C2" w:rsidRPr="00286395">
        <w:rPr>
          <w:rFonts w:ascii="Times New Roman" w:hAnsi="Times New Roman"/>
          <w:sz w:val="24"/>
          <w:szCs w:val="24"/>
        </w:rPr>
        <w:t>neúčinné. V minulosti docházelo k pojišťování a</w:t>
      </w:r>
      <w:r w:rsidR="00B91A33">
        <w:rPr>
          <w:rFonts w:ascii="Times New Roman" w:hAnsi="Times New Roman"/>
          <w:sz w:val="24"/>
          <w:szCs w:val="24"/>
        </w:rPr>
        <w:t> </w:t>
      </w:r>
      <w:r w:rsidR="006D01C2" w:rsidRPr="00286395">
        <w:rPr>
          <w:rFonts w:ascii="Times New Roman" w:hAnsi="Times New Roman"/>
          <w:sz w:val="24"/>
          <w:szCs w:val="24"/>
        </w:rPr>
        <w:t xml:space="preserve">financování rozsáhlých obchodních případů, aniž by vláda měla dostatečnou kontrolu. Dosavadní limity pojištění vývozních úvěrových rizik vázané na procenta pojistné kapacity se objemem zcela vymykají drtivé většině realizovaných obchodních případů. </w:t>
      </w:r>
      <w:r w:rsidR="007631CA" w:rsidRPr="00286395">
        <w:rPr>
          <w:rFonts w:ascii="Times New Roman" w:hAnsi="Times New Roman"/>
          <w:sz w:val="24"/>
          <w:szCs w:val="24"/>
        </w:rPr>
        <w:t xml:space="preserve">Jak bylo výše uvedeno, jedná se o postup nevhodný a přežitý. </w:t>
      </w:r>
    </w:p>
    <w:p w14:paraId="25915B0B" w14:textId="77777777" w:rsidR="00020636" w:rsidRPr="00286395" w:rsidRDefault="00B2630C" w:rsidP="00EB147E">
      <w:pPr>
        <w:spacing w:before="120" w:after="120"/>
        <w:ind w:left="360"/>
        <w:jc w:val="both"/>
        <w:rPr>
          <w:rFonts w:ascii="Times New Roman" w:hAnsi="Times New Roman"/>
          <w:sz w:val="24"/>
          <w:szCs w:val="24"/>
        </w:rPr>
      </w:pPr>
      <w:r w:rsidRPr="00286395">
        <w:rPr>
          <w:rFonts w:ascii="Times New Roman" w:hAnsi="Times New Roman"/>
          <w:sz w:val="24"/>
          <w:szCs w:val="24"/>
        </w:rPr>
        <w:t xml:space="preserve">Protože je nezbytné stanovit analogický proces schvalování obchodních případů od jisté výše v případě </w:t>
      </w:r>
      <w:r w:rsidR="00020636" w:rsidRPr="00286395">
        <w:rPr>
          <w:rFonts w:ascii="Times New Roman" w:hAnsi="Times New Roman"/>
          <w:sz w:val="24"/>
          <w:szCs w:val="24"/>
        </w:rPr>
        <w:t xml:space="preserve">exportní pojišťovny i </w:t>
      </w:r>
      <w:r w:rsidRPr="00286395">
        <w:rPr>
          <w:rFonts w:ascii="Times New Roman" w:hAnsi="Times New Roman"/>
          <w:sz w:val="24"/>
          <w:szCs w:val="24"/>
        </w:rPr>
        <w:t>exportní banky</w:t>
      </w:r>
      <w:r w:rsidR="00020636" w:rsidRPr="00286395">
        <w:rPr>
          <w:rFonts w:ascii="Times New Roman" w:hAnsi="Times New Roman"/>
          <w:sz w:val="24"/>
          <w:szCs w:val="24"/>
        </w:rPr>
        <w:t xml:space="preserve"> na základě jednotného a</w:t>
      </w:r>
      <w:r w:rsidR="00B91A33">
        <w:rPr>
          <w:rFonts w:ascii="Times New Roman" w:hAnsi="Times New Roman"/>
          <w:sz w:val="24"/>
          <w:szCs w:val="24"/>
        </w:rPr>
        <w:t> </w:t>
      </w:r>
      <w:r w:rsidR="00020636" w:rsidRPr="00286395">
        <w:rPr>
          <w:rFonts w:ascii="Times New Roman" w:hAnsi="Times New Roman"/>
          <w:sz w:val="24"/>
          <w:szCs w:val="24"/>
        </w:rPr>
        <w:t xml:space="preserve">transparentního systémového postupu a zároveň </w:t>
      </w:r>
      <w:r w:rsidR="006F3447" w:rsidRPr="00286395">
        <w:rPr>
          <w:rFonts w:ascii="Times New Roman" w:hAnsi="Times New Roman"/>
          <w:sz w:val="24"/>
          <w:szCs w:val="24"/>
        </w:rPr>
        <w:t xml:space="preserve">eliminovat časové hledisko, kdy </w:t>
      </w:r>
      <w:r w:rsidR="00A524A5" w:rsidRPr="00286395">
        <w:rPr>
          <w:rFonts w:ascii="Times New Roman" w:hAnsi="Times New Roman"/>
          <w:sz w:val="24"/>
          <w:szCs w:val="24"/>
        </w:rPr>
        <w:t xml:space="preserve">je nezbytné, aby </w:t>
      </w:r>
      <w:r w:rsidR="00500C68" w:rsidRPr="00286395">
        <w:rPr>
          <w:rFonts w:ascii="Times New Roman" w:hAnsi="Times New Roman"/>
          <w:sz w:val="24"/>
          <w:szCs w:val="24"/>
        </w:rPr>
        <w:t xml:space="preserve">se </w:t>
      </w:r>
      <w:r w:rsidR="006F3447" w:rsidRPr="00286395">
        <w:rPr>
          <w:rFonts w:ascii="Times New Roman" w:hAnsi="Times New Roman"/>
          <w:sz w:val="24"/>
          <w:szCs w:val="24"/>
        </w:rPr>
        <w:t>mezi jednotlivými roky a dále v delších č</w:t>
      </w:r>
      <w:r w:rsidR="00500C68" w:rsidRPr="00286395">
        <w:rPr>
          <w:rFonts w:ascii="Times New Roman" w:hAnsi="Times New Roman"/>
          <w:sz w:val="24"/>
          <w:szCs w:val="24"/>
        </w:rPr>
        <w:t>asových řadách parametry určující předmětné limity výše pro schvalování obchodních případů</w:t>
      </w:r>
      <w:r w:rsidR="00BB41BE" w:rsidRPr="00286395">
        <w:rPr>
          <w:rFonts w:ascii="Times New Roman" w:hAnsi="Times New Roman"/>
          <w:sz w:val="24"/>
          <w:szCs w:val="24"/>
        </w:rPr>
        <w:t xml:space="preserve"> neměnily, jeví se jako žádoucí stanovit pevné částky (absolutní hodnoty) objemu obchodních případů pojištění vývozních úvěrových rizik a podpořeného financování.</w:t>
      </w:r>
    </w:p>
    <w:p w14:paraId="545E810C" w14:textId="77777777" w:rsidR="00020636" w:rsidRPr="00286395" w:rsidRDefault="00E73C92" w:rsidP="00EB147E">
      <w:pPr>
        <w:spacing w:before="120" w:after="120"/>
        <w:ind w:left="360"/>
        <w:jc w:val="both"/>
        <w:rPr>
          <w:rFonts w:ascii="Times New Roman" w:hAnsi="Times New Roman"/>
          <w:sz w:val="24"/>
          <w:szCs w:val="24"/>
        </w:rPr>
      </w:pPr>
      <w:r w:rsidRPr="00286395">
        <w:rPr>
          <w:rFonts w:ascii="Times New Roman" w:hAnsi="Times New Roman"/>
          <w:sz w:val="24"/>
          <w:szCs w:val="24"/>
        </w:rPr>
        <w:t>Zároveň není žádoucí, aby stát schvalováním obchodních případů nahrazoval odpovědnost obchodního vedení exportní pojišťovny a exportní banky</w:t>
      </w:r>
      <w:r w:rsidR="003A78FA" w:rsidRPr="00286395">
        <w:rPr>
          <w:rFonts w:ascii="Times New Roman" w:hAnsi="Times New Roman"/>
          <w:sz w:val="24"/>
          <w:szCs w:val="24"/>
        </w:rPr>
        <w:t xml:space="preserve">, proto je nezbytné stanovit příslušné objemy v adekvátní výši tak, aby schvalování podléhaly pouze objemné expozice. Smyslem schvalování objemných obchodních případů vládou je </w:t>
      </w:r>
      <w:r w:rsidR="00880EC7" w:rsidRPr="00286395">
        <w:rPr>
          <w:rFonts w:ascii="Times New Roman" w:hAnsi="Times New Roman"/>
          <w:sz w:val="24"/>
          <w:szCs w:val="24"/>
        </w:rPr>
        <w:t xml:space="preserve">zaručit ochranu státního rozpočtu před případnými selháními </w:t>
      </w:r>
      <w:r w:rsidR="00C46D07" w:rsidRPr="00286395">
        <w:rPr>
          <w:rFonts w:ascii="Times New Roman" w:hAnsi="Times New Roman"/>
          <w:sz w:val="24"/>
          <w:szCs w:val="24"/>
        </w:rPr>
        <w:t xml:space="preserve">nadstandardně objemných </w:t>
      </w:r>
      <w:r w:rsidR="00880EC7" w:rsidRPr="00286395">
        <w:rPr>
          <w:rFonts w:ascii="Times New Roman" w:hAnsi="Times New Roman"/>
          <w:sz w:val="24"/>
          <w:szCs w:val="24"/>
        </w:rPr>
        <w:t>obchodních případů, která mohou vést ke značným nárokům na státní rozpočet.</w:t>
      </w:r>
    </w:p>
    <w:p w14:paraId="48899136" w14:textId="5EA391A3" w:rsidR="007631CA" w:rsidRDefault="006D01C2" w:rsidP="00EB147E">
      <w:pPr>
        <w:spacing w:before="120" w:after="120"/>
        <w:ind w:left="360"/>
        <w:jc w:val="both"/>
        <w:rPr>
          <w:rFonts w:ascii="Times New Roman" w:hAnsi="Times New Roman"/>
          <w:sz w:val="24"/>
          <w:szCs w:val="24"/>
        </w:rPr>
      </w:pPr>
      <w:r w:rsidRPr="00286395">
        <w:rPr>
          <w:rFonts w:ascii="Times New Roman" w:hAnsi="Times New Roman"/>
          <w:sz w:val="24"/>
          <w:szCs w:val="24"/>
        </w:rPr>
        <w:t>Po rozsáhlých analýzách portfolií exportní pojišťovny a exportní banky za mnoho předchozích let, zejména s přihlédnutím k obchodním případům, u nichž došlo k selhání, a</w:t>
      </w:r>
      <w:r w:rsidR="00957E28">
        <w:rPr>
          <w:rFonts w:ascii="Times New Roman" w:hAnsi="Times New Roman"/>
          <w:sz w:val="24"/>
          <w:szCs w:val="24"/>
        </w:rPr>
        <w:t> </w:t>
      </w:r>
      <w:r w:rsidRPr="00286395">
        <w:rPr>
          <w:rFonts w:ascii="Times New Roman" w:hAnsi="Times New Roman"/>
          <w:sz w:val="24"/>
          <w:szCs w:val="24"/>
        </w:rPr>
        <w:t>po konzultacích s vedením exportní pojišťovny a exportní banky a M</w:t>
      </w:r>
      <w:r w:rsidR="003F4B90">
        <w:rPr>
          <w:rFonts w:ascii="Times New Roman" w:hAnsi="Times New Roman"/>
          <w:sz w:val="24"/>
          <w:szCs w:val="24"/>
        </w:rPr>
        <w:t>F</w:t>
      </w:r>
      <w:r w:rsidRPr="00286395">
        <w:rPr>
          <w:rFonts w:ascii="Times New Roman" w:hAnsi="Times New Roman"/>
          <w:sz w:val="24"/>
          <w:szCs w:val="24"/>
        </w:rPr>
        <w:t xml:space="preserve"> byly nalezeny nejvhodnější limity ref</w:t>
      </w:r>
      <w:r w:rsidR="00A0172B" w:rsidRPr="00286395">
        <w:rPr>
          <w:rFonts w:ascii="Times New Roman" w:hAnsi="Times New Roman"/>
          <w:sz w:val="24"/>
          <w:szCs w:val="24"/>
        </w:rPr>
        <w:t>lektující ekonomickou, právní a tržní realitu, mj.</w:t>
      </w:r>
      <w:r w:rsidR="00957E28">
        <w:rPr>
          <w:rFonts w:ascii="Times New Roman" w:hAnsi="Times New Roman"/>
          <w:sz w:val="24"/>
          <w:szCs w:val="24"/>
        </w:rPr>
        <w:t> </w:t>
      </w:r>
      <w:r w:rsidR="00A0172B" w:rsidRPr="00286395">
        <w:rPr>
          <w:rFonts w:ascii="Times New Roman" w:hAnsi="Times New Roman"/>
          <w:sz w:val="24"/>
          <w:szCs w:val="24"/>
        </w:rPr>
        <w:t xml:space="preserve">s přihlédnutím k analogickým procesům u zahraničních </w:t>
      </w:r>
      <w:proofErr w:type="spellStart"/>
      <w:r w:rsidR="00A0172B" w:rsidRPr="00286395">
        <w:rPr>
          <w:rFonts w:ascii="Times New Roman" w:hAnsi="Times New Roman"/>
          <w:sz w:val="24"/>
          <w:szCs w:val="24"/>
        </w:rPr>
        <w:t>ECAs</w:t>
      </w:r>
      <w:proofErr w:type="spellEnd"/>
      <w:r w:rsidR="00A0172B" w:rsidRPr="00286395">
        <w:rPr>
          <w:rFonts w:ascii="Times New Roman" w:hAnsi="Times New Roman"/>
          <w:sz w:val="24"/>
          <w:szCs w:val="24"/>
        </w:rPr>
        <w:t>.</w:t>
      </w:r>
    </w:p>
    <w:p w14:paraId="60949503" w14:textId="77777777" w:rsidR="002E16A2" w:rsidRPr="00286395" w:rsidRDefault="002E16A2" w:rsidP="00EB147E">
      <w:pPr>
        <w:spacing w:before="120" w:after="120"/>
        <w:ind w:left="360"/>
        <w:jc w:val="both"/>
        <w:rPr>
          <w:rFonts w:ascii="Times New Roman" w:hAnsi="Times New Roman"/>
          <w:sz w:val="24"/>
          <w:szCs w:val="24"/>
        </w:rPr>
      </w:pPr>
      <w:r>
        <w:rPr>
          <w:rFonts w:ascii="Times New Roman" w:hAnsi="Times New Roman"/>
          <w:sz w:val="24"/>
          <w:szCs w:val="24"/>
        </w:rPr>
        <w:t>Jako optimální řešení bylo vyhodnoceno v zákoně neuvádět absolutní částky limitů, ale</w:t>
      </w:r>
      <w:r w:rsidR="00957E28">
        <w:rPr>
          <w:rFonts w:ascii="Times New Roman" w:hAnsi="Times New Roman"/>
          <w:sz w:val="24"/>
          <w:szCs w:val="24"/>
        </w:rPr>
        <w:t> </w:t>
      </w:r>
      <w:r>
        <w:rPr>
          <w:rFonts w:ascii="Times New Roman" w:hAnsi="Times New Roman"/>
          <w:sz w:val="24"/>
          <w:szCs w:val="24"/>
        </w:rPr>
        <w:t>zmocnění pro uvedení konkrétních částek v prováděcím právním předpisu.</w:t>
      </w:r>
      <w:r w:rsidR="003549D9">
        <w:rPr>
          <w:rFonts w:ascii="Times New Roman" w:hAnsi="Times New Roman"/>
          <w:sz w:val="24"/>
          <w:szCs w:val="24"/>
        </w:rPr>
        <w:t xml:space="preserve"> Tak může vláda flexibilně reagovat na aktuální vývoj systému exportního pojišťování a financování.</w:t>
      </w:r>
    </w:p>
    <w:p w14:paraId="3F259079" w14:textId="77777777" w:rsidR="00502145" w:rsidRDefault="003549D9" w:rsidP="00EB147E">
      <w:pPr>
        <w:spacing w:before="120" w:after="120"/>
        <w:ind w:left="360"/>
        <w:jc w:val="both"/>
        <w:rPr>
          <w:rFonts w:ascii="Times New Roman" w:hAnsi="Times New Roman"/>
          <w:sz w:val="24"/>
          <w:szCs w:val="24"/>
        </w:rPr>
      </w:pPr>
      <w:r>
        <w:rPr>
          <w:rFonts w:ascii="Times New Roman" w:hAnsi="Times New Roman"/>
          <w:sz w:val="24"/>
          <w:szCs w:val="24"/>
        </w:rPr>
        <w:t>V</w:t>
      </w:r>
      <w:r w:rsidR="00637E55" w:rsidRPr="00286395">
        <w:rPr>
          <w:rFonts w:ascii="Times New Roman" w:hAnsi="Times New Roman"/>
          <w:sz w:val="24"/>
          <w:szCs w:val="24"/>
        </w:rPr>
        <w:t xml:space="preserve"> případě exportní </w:t>
      </w:r>
      <w:r w:rsidR="00370520" w:rsidRPr="00286395">
        <w:rPr>
          <w:rFonts w:ascii="Times New Roman" w:hAnsi="Times New Roman"/>
          <w:sz w:val="24"/>
          <w:szCs w:val="24"/>
        </w:rPr>
        <w:t xml:space="preserve">pojišťovny bylo vyhodnoceno, že je třeba </w:t>
      </w:r>
      <w:r w:rsidR="00750613">
        <w:rPr>
          <w:rFonts w:ascii="Times New Roman" w:hAnsi="Times New Roman"/>
          <w:sz w:val="24"/>
          <w:szCs w:val="24"/>
        </w:rPr>
        <w:t xml:space="preserve">vládou </w:t>
      </w:r>
      <w:r w:rsidR="00370520" w:rsidRPr="00286395">
        <w:rPr>
          <w:rFonts w:ascii="Times New Roman" w:hAnsi="Times New Roman"/>
          <w:sz w:val="24"/>
          <w:szCs w:val="24"/>
        </w:rPr>
        <w:t xml:space="preserve">schvalovat </w:t>
      </w:r>
      <w:r w:rsidR="00FD5676" w:rsidRPr="00286395">
        <w:rPr>
          <w:rFonts w:ascii="Times New Roman" w:hAnsi="Times New Roman"/>
          <w:sz w:val="24"/>
          <w:szCs w:val="24"/>
        </w:rPr>
        <w:t>v</w:t>
      </w:r>
      <w:r w:rsidR="00370520" w:rsidRPr="00286395">
        <w:rPr>
          <w:rFonts w:ascii="Times New Roman" w:hAnsi="Times New Roman"/>
          <w:sz w:val="24"/>
          <w:szCs w:val="24"/>
        </w:rPr>
        <w:t xml:space="preserve">ývozní úvěrová rizika přesahující </w:t>
      </w:r>
      <w:r w:rsidR="00370520" w:rsidRPr="00BE6E69">
        <w:rPr>
          <w:rFonts w:ascii="Times New Roman" w:hAnsi="Times New Roman"/>
          <w:sz w:val="24"/>
          <w:szCs w:val="24"/>
        </w:rPr>
        <w:t>3 000 000 000 Kč</w:t>
      </w:r>
      <w:r w:rsidR="00502145" w:rsidRPr="00BE6E69">
        <w:rPr>
          <w:rFonts w:ascii="Times New Roman" w:hAnsi="Times New Roman"/>
          <w:sz w:val="24"/>
          <w:szCs w:val="24"/>
        </w:rPr>
        <w:t>.</w:t>
      </w:r>
    </w:p>
    <w:p w14:paraId="1F243984" w14:textId="77777777" w:rsidR="0079020B" w:rsidRDefault="00502145" w:rsidP="00EB147E">
      <w:pPr>
        <w:spacing w:before="120" w:after="120"/>
        <w:ind w:left="360"/>
        <w:jc w:val="both"/>
        <w:rPr>
          <w:rFonts w:ascii="Times New Roman" w:hAnsi="Times New Roman"/>
          <w:sz w:val="24"/>
          <w:szCs w:val="24"/>
        </w:rPr>
      </w:pPr>
      <w:r>
        <w:rPr>
          <w:rFonts w:ascii="Times New Roman" w:hAnsi="Times New Roman"/>
          <w:sz w:val="24"/>
          <w:szCs w:val="24"/>
        </w:rPr>
        <w:t>V</w:t>
      </w:r>
      <w:r w:rsidR="00370520" w:rsidRPr="00286395">
        <w:rPr>
          <w:rFonts w:ascii="Times New Roman" w:hAnsi="Times New Roman"/>
          <w:sz w:val="24"/>
          <w:szCs w:val="24"/>
        </w:rPr>
        <w:t xml:space="preserve"> případě exportní </w:t>
      </w:r>
      <w:r w:rsidR="00637E55" w:rsidRPr="00286395">
        <w:rPr>
          <w:rFonts w:ascii="Times New Roman" w:hAnsi="Times New Roman"/>
          <w:sz w:val="24"/>
          <w:szCs w:val="24"/>
        </w:rPr>
        <w:t>banky bylo vyhodnoceno, že je třeba</w:t>
      </w:r>
      <w:r w:rsidR="00C10E87">
        <w:rPr>
          <w:rFonts w:ascii="Times New Roman" w:hAnsi="Times New Roman"/>
          <w:sz w:val="24"/>
          <w:szCs w:val="24"/>
        </w:rPr>
        <w:t xml:space="preserve"> vládou</w:t>
      </w:r>
      <w:r w:rsidR="00637E55" w:rsidRPr="00286395">
        <w:rPr>
          <w:rFonts w:ascii="Times New Roman" w:hAnsi="Times New Roman"/>
          <w:sz w:val="24"/>
          <w:szCs w:val="24"/>
        </w:rPr>
        <w:t xml:space="preserve"> schvalovat j</w:t>
      </w:r>
      <w:r w:rsidR="00CF4C1F" w:rsidRPr="00286395">
        <w:rPr>
          <w:rFonts w:ascii="Times New Roman" w:hAnsi="Times New Roman"/>
          <w:sz w:val="24"/>
          <w:szCs w:val="24"/>
        </w:rPr>
        <w:t>ednotlivé transakce týkající se obchodních případů podpořeného financování přesah</w:t>
      </w:r>
      <w:r w:rsidR="00FD5676" w:rsidRPr="00286395">
        <w:rPr>
          <w:rFonts w:ascii="Times New Roman" w:hAnsi="Times New Roman"/>
          <w:sz w:val="24"/>
          <w:szCs w:val="24"/>
        </w:rPr>
        <w:t xml:space="preserve">ující částku </w:t>
      </w:r>
      <w:r w:rsidR="00FD5676" w:rsidRPr="00BE6E69">
        <w:rPr>
          <w:rFonts w:ascii="Times New Roman" w:hAnsi="Times New Roman"/>
          <w:sz w:val="24"/>
          <w:szCs w:val="24"/>
        </w:rPr>
        <w:t>1 000</w:t>
      </w:r>
      <w:r w:rsidRPr="00BE6E69">
        <w:rPr>
          <w:rFonts w:ascii="Times New Roman" w:hAnsi="Times New Roman"/>
          <w:sz w:val="24"/>
          <w:szCs w:val="24"/>
        </w:rPr>
        <w:t> </w:t>
      </w:r>
      <w:r w:rsidR="00FD5676" w:rsidRPr="00BE6E69">
        <w:rPr>
          <w:rFonts w:ascii="Times New Roman" w:hAnsi="Times New Roman"/>
          <w:sz w:val="24"/>
          <w:szCs w:val="24"/>
        </w:rPr>
        <w:t>000</w:t>
      </w:r>
      <w:r w:rsidRPr="00BE6E69">
        <w:rPr>
          <w:rFonts w:ascii="Times New Roman" w:hAnsi="Times New Roman"/>
          <w:sz w:val="24"/>
          <w:szCs w:val="24"/>
        </w:rPr>
        <w:t> </w:t>
      </w:r>
      <w:r w:rsidR="00FD5676" w:rsidRPr="00BE6E69">
        <w:rPr>
          <w:rFonts w:ascii="Times New Roman" w:hAnsi="Times New Roman"/>
          <w:sz w:val="24"/>
          <w:szCs w:val="24"/>
        </w:rPr>
        <w:t>000 Kč.</w:t>
      </w:r>
      <w:r w:rsidR="00D94F99">
        <w:rPr>
          <w:rFonts w:ascii="Times New Roman" w:hAnsi="Times New Roman"/>
          <w:sz w:val="24"/>
          <w:szCs w:val="24"/>
        </w:rPr>
        <w:t xml:space="preserve"> </w:t>
      </w:r>
    </w:p>
    <w:p w14:paraId="4BBF4256" w14:textId="77777777" w:rsidR="00FD5676" w:rsidRPr="00286395" w:rsidRDefault="00D94F99" w:rsidP="00EB147E">
      <w:pPr>
        <w:spacing w:before="120" w:after="120"/>
        <w:ind w:left="360"/>
        <w:jc w:val="both"/>
        <w:rPr>
          <w:rFonts w:ascii="Times New Roman" w:hAnsi="Times New Roman"/>
          <w:sz w:val="24"/>
          <w:szCs w:val="24"/>
        </w:rPr>
      </w:pPr>
      <w:r>
        <w:rPr>
          <w:rFonts w:ascii="Times New Roman" w:hAnsi="Times New Roman"/>
          <w:sz w:val="24"/>
          <w:szCs w:val="24"/>
        </w:rPr>
        <w:t>Tyto objemy jsou navrhovány v </w:t>
      </w:r>
      <w:r w:rsidRPr="00BE6E69">
        <w:rPr>
          <w:rFonts w:ascii="Times New Roman" w:hAnsi="Times New Roman"/>
          <w:sz w:val="24"/>
          <w:szCs w:val="24"/>
        </w:rPr>
        <w:t>prováděcím právním předpisu.</w:t>
      </w:r>
    </w:p>
    <w:p w14:paraId="0360BEBA" w14:textId="77777777" w:rsidR="00637E55" w:rsidRPr="00286395" w:rsidRDefault="00486AE0" w:rsidP="00EB147E">
      <w:pPr>
        <w:spacing w:before="120" w:after="120"/>
        <w:ind w:left="360"/>
        <w:jc w:val="both"/>
        <w:rPr>
          <w:rFonts w:ascii="Times New Roman" w:hAnsi="Times New Roman"/>
          <w:sz w:val="24"/>
          <w:szCs w:val="24"/>
        </w:rPr>
      </w:pPr>
      <w:r w:rsidRPr="00286395">
        <w:rPr>
          <w:rFonts w:ascii="Times New Roman" w:hAnsi="Times New Roman"/>
          <w:sz w:val="24"/>
          <w:szCs w:val="24"/>
        </w:rPr>
        <w:t xml:space="preserve">Dále byl analyzován samotný schvalovací mechanismus. V dosavadní situaci </w:t>
      </w:r>
      <w:r w:rsidR="00AC55A1" w:rsidRPr="00286395">
        <w:rPr>
          <w:rFonts w:ascii="Times New Roman" w:hAnsi="Times New Roman"/>
          <w:sz w:val="24"/>
          <w:szCs w:val="24"/>
        </w:rPr>
        <w:t xml:space="preserve">se předpokládaly dvě odlišné úrovně schvalování podle výše rizika </w:t>
      </w:r>
      <w:r w:rsidR="00E00106" w:rsidRPr="00286395">
        <w:rPr>
          <w:rFonts w:ascii="Times New Roman" w:hAnsi="Times New Roman"/>
          <w:sz w:val="24"/>
          <w:szCs w:val="24"/>
        </w:rPr>
        <w:t xml:space="preserve">pojištěného exportní pojišťovnou, a to a) od určité výše </w:t>
      </w:r>
      <w:r w:rsidR="00AC55A1" w:rsidRPr="00286395">
        <w:rPr>
          <w:rFonts w:ascii="Times New Roman" w:hAnsi="Times New Roman"/>
          <w:sz w:val="24"/>
          <w:szCs w:val="24"/>
        </w:rPr>
        <w:t>se souhlasem ministra financí v dohodě s ministrem průmyslu a obchodu</w:t>
      </w:r>
      <w:r w:rsidR="00E00106" w:rsidRPr="00286395">
        <w:rPr>
          <w:rFonts w:ascii="Times New Roman" w:hAnsi="Times New Roman"/>
          <w:sz w:val="24"/>
          <w:szCs w:val="24"/>
        </w:rPr>
        <w:t xml:space="preserve">, b) od dvojnásobku této výše se souhlasem vlády. Vzhledem k tomu, že vláda jedná jako kolektivní orgán, byl tento mechanismus vyhodnocen jako nadbytečný. Nadále se tedy předpokládá, že </w:t>
      </w:r>
      <w:r w:rsidR="00CD3C53" w:rsidRPr="00286395">
        <w:rPr>
          <w:rFonts w:ascii="Times New Roman" w:hAnsi="Times New Roman"/>
          <w:sz w:val="24"/>
          <w:szCs w:val="24"/>
        </w:rPr>
        <w:t xml:space="preserve">obchodní případy od limitů výše uvedených budou vyžadovat schválení vládou vždy. </w:t>
      </w:r>
    </w:p>
    <w:p w14:paraId="3181A51C" w14:textId="77777777" w:rsidR="00CF485A" w:rsidRPr="00286395" w:rsidRDefault="00CD3C53" w:rsidP="00EB147E">
      <w:pPr>
        <w:spacing w:before="120" w:after="120"/>
        <w:ind w:left="360"/>
        <w:jc w:val="both"/>
        <w:rPr>
          <w:rFonts w:ascii="Times New Roman" w:hAnsi="Times New Roman"/>
          <w:sz w:val="24"/>
          <w:szCs w:val="24"/>
        </w:rPr>
      </w:pPr>
      <w:r w:rsidRPr="00286395">
        <w:rPr>
          <w:rFonts w:ascii="Times New Roman" w:hAnsi="Times New Roman"/>
          <w:sz w:val="24"/>
          <w:szCs w:val="24"/>
        </w:rPr>
        <w:t>Je třeba mít na paměti, a navržené znění zákona</w:t>
      </w:r>
      <w:r w:rsidR="00FE5909">
        <w:rPr>
          <w:rFonts w:ascii="Times New Roman" w:hAnsi="Times New Roman"/>
          <w:sz w:val="24"/>
          <w:szCs w:val="24"/>
        </w:rPr>
        <w:t xml:space="preserve"> </w:t>
      </w:r>
      <w:r w:rsidR="00346C81" w:rsidRPr="0073392D">
        <w:rPr>
          <w:rFonts w:ascii="Times New Roman" w:hAnsi="Times New Roman"/>
          <w:sz w:val="24"/>
          <w:szCs w:val="24"/>
        </w:rPr>
        <w:t>č.</w:t>
      </w:r>
      <w:r w:rsidR="00346C81">
        <w:rPr>
          <w:rFonts w:ascii="Times New Roman" w:hAnsi="Times New Roman"/>
          <w:sz w:val="24"/>
          <w:szCs w:val="24"/>
        </w:rPr>
        <w:t> </w:t>
      </w:r>
      <w:r w:rsidR="00FE5909" w:rsidRPr="0073392D">
        <w:rPr>
          <w:rFonts w:ascii="Times New Roman" w:hAnsi="Times New Roman"/>
          <w:sz w:val="24"/>
          <w:szCs w:val="24"/>
        </w:rPr>
        <w:t>58/1995 Sb.</w:t>
      </w:r>
      <w:r w:rsidRPr="00286395">
        <w:rPr>
          <w:rFonts w:ascii="Times New Roman" w:hAnsi="Times New Roman"/>
          <w:sz w:val="24"/>
          <w:szCs w:val="24"/>
        </w:rPr>
        <w:t xml:space="preserve"> to explicitně zdůrazňuje, že</w:t>
      </w:r>
      <w:r w:rsidR="00957E28">
        <w:rPr>
          <w:rFonts w:ascii="Times New Roman" w:hAnsi="Times New Roman"/>
          <w:sz w:val="24"/>
          <w:szCs w:val="24"/>
        </w:rPr>
        <w:t> </w:t>
      </w:r>
      <w:r w:rsidRPr="00286395">
        <w:rPr>
          <w:rFonts w:ascii="Times New Roman" w:hAnsi="Times New Roman"/>
          <w:sz w:val="24"/>
          <w:szCs w:val="24"/>
        </w:rPr>
        <w:t>primární odpovědnost za obchodní případ leží v souladu s</w:t>
      </w:r>
      <w:r w:rsidR="00845F1B">
        <w:rPr>
          <w:rFonts w:ascii="Times New Roman" w:hAnsi="Times New Roman"/>
          <w:sz w:val="24"/>
          <w:szCs w:val="24"/>
        </w:rPr>
        <w:t>e zákonem o obchodních korporacích</w:t>
      </w:r>
      <w:r w:rsidRPr="00286395">
        <w:rPr>
          <w:rFonts w:ascii="Times New Roman" w:hAnsi="Times New Roman"/>
          <w:sz w:val="24"/>
          <w:szCs w:val="24"/>
        </w:rPr>
        <w:t xml:space="preserve"> a stanovami obou společností na příslušných orgánech exportní pojišťovny a</w:t>
      </w:r>
      <w:r w:rsidR="00957E28">
        <w:rPr>
          <w:rFonts w:ascii="Times New Roman" w:hAnsi="Times New Roman"/>
          <w:sz w:val="24"/>
          <w:szCs w:val="24"/>
        </w:rPr>
        <w:t> </w:t>
      </w:r>
      <w:r w:rsidRPr="00286395">
        <w:rPr>
          <w:rFonts w:ascii="Times New Roman" w:hAnsi="Times New Roman"/>
          <w:sz w:val="24"/>
          <w:szCs w:val="24"/>
        </w:rPr>
        <w:t xml:space="preserve">exportní banky. Proto souhlas vlády s realizací obchodního případu přímo ani nepřímo nesnižuje odpovědnost obchodního vedení exportní </w:t>
      </w:r>
      <w:r w:rsidR="0078332A" w:rsidRPr="00286395">
        <w:rPr>
          <w:rFonts w:ascii="Times New Roman" w:hAnsi="Times New Roman"/>
          <w:sz w:val="24"/>
          <w:szCs w:val="24"/>
        </w:rPr>
        <w:t xml:space="preserve">pojišťovny nebo exportní </w:t>
      </w:r>
      <w:r w:rsidRPr="00286395">
        <w:rPr>
          <w:rFonts w:ascii="Times New Roman" w:hAnsi="Times New Roman"/>
          <w:sz w:val="24"/>
          <w:szCs w:val="24"/>
        </w:rPr>
        <w:t>banky za</w:t>
      </w:r>
      <w:r w:rsidR="00957E28">
        <w:rPr>
          <w:rFonts w:ascii="Times New Roman" w:hAnsi="Times New Roman"/>
          <w:sz w:val="24"/>
          <w:szCs w:val="24"/>
        </w:rPr>
        <w:t> </w:t>
      </w:r>
      <w:r w:rsidRPr="00286395">
        <w:rPr>
          <w:rFonts w:ascii="Times New Roman" w:hAnsi="Times New Roman"/>
          <w:sz w:val="24"/>
          <w:szCs w:val="24"/>
        </w:rPr>
        <w:t>předmětnou transakci</w:t>
      </w:r>
      <w:r w:rsidR="0078332A" w:rsidRPr="00286395">
        <w:rPr>
          <w:rFonts w:ascii="Times New Roman" w:hAnsi="Times New Roman"/>
          <w:sz w:val="24"/>
          <w:szCs w:val="24"/>
        </w:rPr>
        <w:t xml:space="preserve">. Aby tedy byl obchodní případ vůbec předložen vládě, je třeba, aby byl důkladně posouzen a schválen příslušnými </w:t>
      </w:r>
      <w:r w:rsidR="00714A3A" w:rsidRPr="00286395">
        <w:rPr>
          <w:rFonts w:ascii="Times New Roman" w:hAnsi="Times New Roman"/>
          <w:sz w:val="24"/>
          <w:szCs w:val="24"/>
        </w:rPr>
        <w:t xml:space="preserve">postupy a v rámci </w:t>
      </w:r>
      <w:r w:rsidR="00921772" w:rsidRPr="00286395">
        <w:rPr>
          <w:rFonts w:ascii="Times New Roman" w:hAnsi="Times New Roman"/>
          <w:sz w:val="24"/>
          <w:szCs w:val="24"/>
        </w:rPr>
        <w:t xml:space="preserve">schvalovacích mechanismů </w:t>
      </w:r>
      <w:r w:rsidR="00714A3A" w:rsidRPr="00286395">
        <w:rPr>
          <w:rFonts w:ascii="Times New Roman" w:hAnsi="Times New Roman"/>
          <w:sz w:val="24"/>
          <w:szCs w:val="24"/>
        </w:rPr>
        <w:t>vedení</w:t>
      </w:r>
      <w:r w:rsidR="00D46694">
        <w:rPr>
          <w:rFonts w:ascii="Times New Roman" w:hAnsi="Times New Roman"/>
          <w:sz w:val="24"/>
          <w:szCs w:val="24"/>
        </w:rPr>
        <w:t>m</w:t>
      </w:r>
      <w:r w:rsidR="00714A3A" w:rsidRPr="00286395">
        <w:rPr>
          <w:rFonts w:ascii="Times New Roman" w:hAnsi="Times New Roman"/>
          <w:sz w:val="24"/>
          <w:szCs w:val="24"/>
        </w:rPr>
        <w:t xml:space="preserve"> exportní pojišťovny nebo exportní banky.</w:t>
      </w:r>
    </w:p>
    <w:p w14:paraId="55A7FE35" w14:textId="130B6B12" w:rsidR="00CD3C53" w:rsidRDefault="00CF485A" w:rsidP="00EB147E">
      <w:pPr>
        <w:spacing w:before="120" w:after="120"/>
        <w:ind w:left="360"/>
        <w:jc w:val="both"/>
        <w:rPr>
          <w:rFonts w:ascii="Times New Roman" w:hAnsi="Times New Roman"/>
          <w:bCs/>
          <w:sz w:val="24"/>
          <w:szCs w:val="24"/>
        </w:rPr>
      </w:pPr>
      <w:r w:rsidRPr="00286395">
        <w:rPr>
          <w:rFonts w:ascii="Times New Roman" w:hAnsi="Times New Roman"/>
          <w:sz w:val="24"/>
          <w:szCs w:val="24"/>
        </w:rPr>
        <w:t xml:space="preserve">Předpokládá se, že </w:t>
      </w:r>
      <w:r w:rsidR="00A01FD7">
        <w:rPr>
          <w:rFonts w:ascii="Times New Roman" w:hAnsi="Times New Roman"/>
          <w:sz w:val="24"/>
          <w:szCs w:val="24"/>
        </w:rPr>
        <w:t>materiál</w:t>
      </w:r>
      <w:r w:rsidR="004A549F" w:rsidRPr="00286395">
        <w:rPr>
          <w:rFonts w:ascii="Times New Roman" w:hAnsi="Times New Roman"/>
          <w:bCs/>
          <w:sz w:val="24"/>
          <w:szCs w:val="24"/>
        </w:rPr>
        <w:t xml:space="preserve"> vládě předkládá </w:t>
      </w:r>
      <w:r w:rsidR="005916A1">
        <w:rPr>
          <w:rFonts w:ascii="Times New Roman" w:hAnsi="Times New Roman"/>
          <w:bCs/>
          <w:sz w:val="24"/>
          <w:szCs w:val="24"/>
        </w:rPr>
        <w:t xml:space="preserve">společně </w:t>
      </w:r>
      <w:r w:rsidR="004A549F" w:rsidRPr="00286395">
        <w:rPr>
          <w:rFonts w:ascii="Times New Roman" w:hAnsi="Times New Roman"/>
          <w:bCs/>
          <w:sz w:val="24"/>
          <w:szCs w:val="24"/>
        </w:rPr>
        <w:t>ministr financí a ministr průmyslu a</w:t>
      </w:r>
      <w:r w:rsidR="00412ECE">
        <w:rPr>
          <w:rFonts w:ascii="Times New Roman" w:hAnsi="Times New Roman"/>
          <w:bCs/>
          <w:sz w:val="24"/>
          <w:szCs w:val="24"/>
        </w:rPr>
        <w:t> o</w:t>
      </w:r>
      <w:r w:rsidR="004A549F" w:rsidRPr="00286395">
        <w:rPr>
          <w:rFonts w:ascii="Times New Roman" w:hAnsi="Times New Roman"/>
          <w:bCs/>
          <w:sz w:val="24"/>
          <w:szCs w:val="24"/>
        </w:rPr>
        <w:t xml:space="preserve">bchodu. Tento postup byl posuzován s ohledem na transparentnost předkládání obchodních případů vládě. </w:t>
      </w:r>
      <w:r w:rsidR="00AB4039" w:rsidRPr="00946832">
        <w:rPr>
          <w:rFonts w:ascii="Times New Roman" w:hAnsi="Times New Roman"/>
          <w:sz w:val="24"/>
          <w:szCs w:val="24"/>
        </w:rPr>
        <w:t>Změna legislativního řešení umožní</w:t>
      </w:r>
      <w:r w:rsidR="00AB4039" w:rsidRPr="00946832">
        <w:rPr>
          <w:rFonts w:ascii="Times New Roman" w:hAnsi="Times New Roman"/>
          <w:bCs/>
          <w:iCs/>
          <w:sz w:val="24"/>
          <w:szCs w:val="24"/>
        </w:rPr>
        <w:t xml:space="preserve"> odstranění</w:t>
      </w:r>
      <w:r w:rsidR="00AB4039" w:rsidRPr="00946832">
        <w:rPr>
          <w:rFonts w:ascii="Times New Roman" w:hAnsi="Times New Roman"/>
          <w:sz w:val="24"/>
          <w:szCs w:val="24"/>
        </w:rPr>
        <w:t xml:space="preserve"> rizika dopadajícího na státní rozpočet ve smyslu výplaty dotací neočekávaných a neúměrně vysokých částek peněžních prostředků, neboť bude novým procesem vzata v potaz aktuální politika České republiky v oblasti státní podpory exportu a tím i její případné</w:t>
      </w:r>
      <w:r w:rsidR="001A78D9" w:rsidRPr="00946832">
        <w:rPr>
          <w:rFonts w:ascii="Times New Roman" w:hAnsi="Times New Roman"/>
          <w:sz w:val="24"/>
          <w:szCs w:val="24"/>
        </w:rPr>
        <w:t xml:space="preserve"> limitované a </w:t>
      </w:r>
      <w:proofErr w:type="spellStart"/>
      <w:r w:rsidR="001A78D9" w:rsidRPr="00946832">
        <w:rPr>
          <w:rFonts w:ascii="Times New Roman" w:hAnsi="Times New Roman"/>
          <w:sz w:val="24"/>
          <w:szCs w:val="24"/>
        </w:rPr>
        <w:t>predikovatelné</w:t>
      </w:r>
      <w:proofErr w:type="spellEnd"/>
      <w:r w:rsidR="00AB4039" w:rsidRPr="00946832">
        <w:rPr>
          <w:rFonts w:ascii="Times New Roman" w:hAnsi="Times New Roman"/>
          <w:sz w:val="24"/>
          <w:szCs w:val="24"/>
        </w:rPr>
        <w:t xml:space="preserve"> negativní dopady na státní rozpočet.</w:t>
      </w:r>
      <w:r w:rsidR="00AB4039" w:rsidRPr="00946832">
        <w:rPr>
          <w:rFonts w:ascii="Times New Roman" w:hAnsi="Times New Roman"/>
          <w:bCs/>
          <w:iCs/>
          <w:sz w:val="24"/>
          <w:szCs w:val="24"/>
        </w:rPr>
        <w:t xml:space="preserve"> Nároky na dotace ze</w:t>
      </w:r>
      <w:r w:rsidR="00C76597">
        <w:rPr>
          <w:rFonts w:ascii="Times New Roman" w:hAnsi="Times New Roman"/>
          <w:bCs/>
          <w:iCs/>
          <w:sz w:val="24"/>
          <w:szCs w:val="24"/>
        </w:rPr>
        <w:t> </w:t>
      </w:r>
      <w:r w:rsidR="008B0C0B">
        <w:rPr>
          <w:rFonts w:ascii="Times New Roman" w:hAnsi="Times New Roman"/>
          <w:bCs/>
          <w:iCs/>
          <w:sz w:val="24"/>
          <w:szCs w:val="24"/>
        </w:rPr>
        <w:t>s</w:t>
      </w:r>
      <w:r w:rsidR="00AB4039" w:rsidRPr="00946832">
        <w:rPr>
          <w:rFonts w:ascii="Times New Roman" w:hAnsi="Times New Roman"/>
          <w:bCs/>
          <w:iCs/>
          <w:sz w:val="24"/>
          <w:szCs w:val="24"/>
        </w:rPr>
        <w:t>tátního rozpočtu uplatněné ze strany exportní banky a exportní pojišťovny na obchodní případy uzavřené po nabytí účinnosti této navrhované novely zákona č.</w:t>
      </w:r>
      <w:r w:rsidR="00820ABE">
        <w:rPr>
          <w:rFonts w:ascii="Times New Roman" w:hAnsi="Times New Roman"/>
          <w:bCs/>
          <w:iCs/>
          <w:sz w:val="24"/>
          <w:szCs w:val="24"/>
        </w:rPr>
        <w:t> </w:t>
      </w:r>
      <w:r w:rsidR="00AB4039" w:rsidRPr="00946832">
        <w:rPr>
          <w:rFonts w:ascii="Times New Roman" w:hAnsi="Times New Roman"/>
          <w:bCs/>
          <w:iCs/>
          <w:sz w:val="24"/>
          <w:szCs w:val="24"/>
        </w:rPr>
        <w:t xml:space="preserve">58/1995 Sb. budou v dlouhodobém měřítku nižší oproti dosavadní </w:t>
      </w:r>
      <w:r w:rsidR="001A78D9" w:rsidRPr="00946832">
        <w:rPr>
          <w:rFonts w:ascii="Times New Roman" w:hAnsi="Times New Roman"/>
          <w:bCs/>
          <w:iCs/>
          <w:sz w:val="24"/>
          <w:szCs w:val="24"/>
        </w:rPr>
        <w:t>výši nároků</w:t>
      </w:r>
      <w:r w:rsidR="00AB4039" w:rsidRPr="00946832">
        <w:rPr>
          <w:rFonts w:ascii="Times New Roman" w:hAnsi="Times New Roman"/>
          <w:bCs/>
          <w:iCs/>
          <w:sz w:val="24"/>
          <w:szCs w:val="24"/>
        </w:rPr>
        <w:t xml:space="preserve"> uplatněných vůči</w:t>
      </w:r>
      <w:r w:rsidR="0086648F">
        <w:rPr>
          <w:rFonts w:ascii="Times New Roman" w:hAnsi="Times New Roman"/>
          <w:bCs/>
          <w:iCs/>
          <w:sz w:val="24"/>
          <w:szCs w:val="24"/>
        </w:rPr>
        <w:t> </w:t>
      </w:r>
      <w:r w:rsidR="00AB4039" w:rsidRPr="00946832">
        <w:rPr>
          <w:rFonts w:ascii="Times New Roman" w:hAnsi="Times New Roman"/>
          <w:bCs/>
          <w:iCs/>
          <w:sz w:val="24"/>
          <w:szCs w:val="24"/>
        </w:rPr>
        <w:t>státnímu rozpočtu</w:t>
      </w:r>
      <w:r w:rsidR="001A78D9" w:rsidRPr="00946832">
        <w:rPr>
          <w:rFonts w:ascii="Times New Roman" w:hAnsi="Times New Roman"/>
          <w:bCs/>
          <w:iCs/>
          <w:sz w:val="24"/>
          <w:szCs w:val="24"/>
        </w:rPr>
        <w:t xml:space="preserve"> ve formě dotací</w:t>
      </w:r>
      <w:r w:rsidR="00AB4039" w:rsidRPr="00946832">
        <w:rPr>
          <w:rFonts w:ascii="Times New Roman" w:hAnsi="Times New Roman"/>
          <w:bCs/>
          <w:iCs/>
          <w:sz w:val="24"/>
          <w:szCs w:val="24"/>
        </w:rPr>
        <w:t xml:space="preserve"> ze strany exportní banky a exportní pojišťovny.</w:t>
      </w:r>
    </w:p>
    <w:p w14:paraId="7C7C28D6" w14:textId="77777777" w:rsidR="0087638B" w:rsidRDefault="0087638B" w:rsidP="003432D3">
      <w:pPr>
        <w:spacing w:before="120" w:after="120"/>
        <w:ind w:left="360"/>
        <w:jc w:val="both"/>
        <w:rPr>
          <w:rFonts w:ascii="Times New Roman" w:hAnsi="Times New Roman"/>
          <w:bCs/>
          <w:sz w:val="24"/>
          <w:szCs w:val="24"/>
          <w:u w:val="single"/>
        </w:rPr>
      </w:pPr>
    </w:p>
    <w:p w14:paraId="28D02BB2" w14:textId="237306CE" w:rsidR="009214DF" w:rsidRPr="00286395" w:rsidRDefault="004F1259" w:rsidP="003432D3">
      <w:pPr>
        <w:spacing w:before="120" w:after="120"/>
        <w:ind w:left="360"/>
        <w:jc w:val="both"/>
        <w:rPr>
          <w:rFonts w:ascii="Times New Roman" w:hAnsi="Times New Roman"/>
          <w:bCs/>
          <w:sz w:val="24"/>
          <w:szCs w:val="24"/>
          <w:u w:val="single"/>
        </w:rPr>
      </w:pPr>
      <w:r>
        <w:rPr>
          <w:rFonts w:ascii="Times New Roman" w:hAnsi="Times New Roman"/>
          <w:bCs/>
          <w:sz w:val="24"/>
          <w:szCs w:val="24"/>
          <w:u w:val="single"/>
        </w:rPr>
        <w:t>E</w:t>
      </w:r>
      <w:r w:rsidR="009214DF" w:rsidRPr="00286395">
        <w:rPr>
          <w:rFonts w:ascii="Times New Roman" w:hAnsi="Times New Roman"/>
          <w:bCs/>
          <w:sz w:val="24"/>
          <w:szCs w:val="24"/>
          <w:u w:val="single"/>
        </w:rPr>
        <w:t>.</w:t>
      </w:r>
      <w:r w:rsidR="00364527" w:rsidRPr="00286395">
        <w:rPr>
          <w:rFonts w:ascii="Times New Roman" w:hAnsi="Times New Roman"/>
          <w:bCs/>
          <w:sz w:val="24"/>
          <w:szCs w:val="24"/>
          <w:u w:val="single"/>
        </w:rPr>
        <w:t xml:space="preserve"> </w:t>
      </w:r>
      <w:r w:rsidR="00B80C17" w:rsidRPr="00286395">
        <w:rPr>
          <w:rFonts w:ascii="Times New Roman" w:hAnsi="Times New Roman"/>
          <w:bCs/>
          <w:sz w:val="24"/>
          <w:szCs w:val="24"/>
          <w:u w:val="single"/>
        </w:rPr>
        <w:t>Zjednodušení rozpočtování a vyúčtování záloh na dorovnávání úrokových rozdílů</w:t>
      </w:r>
    </w:p>
    <w:p w14:paraId="5529097B" w14:textId="77777777" w:rsidR="00DA2427" w:rsidRDefault="00791FFD" w:rsidP="00EB147E">
      <w:pPr>
        <w:spacing w:before="120" w:after="120"/>
        <w:ind w:left="360"/>
        <w:rPr>
          <w:rFonts w:ascii="Times New Roman" w:hAnsi="Times New Roman"/>
          <w:i/>
          <w:sz w:val="24"/>
          <w:szCs w:val="24"/>
        </w:rPr>
      </w:pPr>
      <w:r w:rsidRPr="00286395">
        <w:rPr>
          <w:rFonts w:ascii="Times New Roman" w:hAnsi="Times New Roman"/>
          <w:sz w:val="24"/>
          <w:szCs w:val="24"/>
        </w:rPr>
        <w:t xml:space="preserve">a) </w:t>
      </w:r>
      <w:r w:rsidRPr="00286395">
        <w:rPr>
          <w:rFonts w:ascii="Times New Roman" w:hAnsi="Times New Roman"/>
          <w:i/>
          <w:sz w:val="24"/>
          <w:szCs w:val="24"/>
        </w:rPr>
        <w:t>Nulová varianta</w:t>
      </w:r>
    </w:p>
    <w:p w14:paraId="225D87E8" w14:textId="77777777" w:rsidR="002D523D" w:rsidRPr="00286395" w:rsidRDefault="00791FFD" w:rsidP="003432D3">
      <w:pPr>
        <w:spacing w:before="120" w:after="120"/>
        <w:ind w:left="360"/>
        <w:jc w:val="both"/>
        <w:rPr>
          <w:rFonts w:ascii="Times New Roman" w:hAnsi="Times New Roman"/>
          <w:sz w:val="24"/>
          <w:szCs w:val="24"/>
        </w:rPr>
      </w:pPr>
      <w:r w:rsidRPr="00286395">
        <w:rPr>
          <w:rFonts w:ascii="Times New Roman" w:hAnsi="Times New Roman"/>
          <w:sz w:val="24"/>
          <w:szCs w:val="24"/>
        </w:rPr>
        <w:t xml:space="preserve">b) </w:t>
      </w:r>
      <w:r w:rsidRPr="00286395">
        <w:rPr>
          <w:rFonts w:ascii="Times New Roman" w:hAnsi="Times New Roman"/>
          <w:i/>
          <w:sz w:val="24"/>
          <w:szCs w:val="24"/>
        </w:rPr>
        <w:t>Varianta 1</w:t>
      </w:r>
      <w:r w:rsidRPr="00286395">
        <w:rPr>
          <w:rFonts w:ascii="Times New Roman" w:hAnsi="Times New Roman"/>
          <w:sz w:val="24"/>
          <w:szCs w:val="24"/>
        </w:rPr>
        <w:t xml:space="preserve"> –</w:t>
      </w:r>
      <w:r w:rsidR="00340080" w:rsidRPr="00286395">
        <w:rPr>
          <w:rFonts w:ascii="Times New Roman" w:hAnsi="Times New Roman"/>
          <w:sz w:val="24"/>
          <w:szCs w:val="24"/>
        </w:rPr>
        <w:t xml:space="preserve"> </w:t>
      </w:r>
      <w:r w:rsidRPr="00286395">
        <w:rPr>
          <w:rFonts w:ascii="Times New Roman" w:hAnsi="Times New Roman"/>
          <w:sz w:val="24"/>
          <w:szCs w:val="24"/>
        </w:rPr>
        <w:t xml:space="preserve">legislativní řešení </w:t>
      </w:r>
      <w:r w:rsidR="002D523D" w:rsidRPr="00286395">
        <w:rPr>
          <w:rFonts w:ascii="Times New Roman" w:hAnsi="Times New Roman"/>
          <w:sz w:val="24"/>
          <w:szCs w:val="24"/>
        </w:rPr>
        <w:t>–</w:t>
      </w:r>
      <w:r w:rsidRPr="00286395">
        <w:rPr>
          <w:rFonts w:ascii="Times New Roman" w:hAnsi="Times New Roman"/>
          <w:sz w:val="24"/>
          <w:szCs w:val="24"/>
        </w:rPr>
        <w:t xml:space="preserve"> </w:t>
      </w:r>
      <w:r w:rsidR="002D523D" w:rsidRPr="00286395">
        <w:rPr>
          <w:rFonts w:ascii="Times New Roman" w:hAnsi="Times New Roman"/>
          <w:sz w:val="24"/>
          <w:szCs w:val="24"/>
        </w:rPr>
        <w:t xml:space="preserve">zjednodušení rozpočtování a vyúčtování </w:t>
      </w:r>
    </w:p>
    <w:p w14:paraId="7933890C" w14:textId="77777777" w:rsidR="00791FFD" w:rsidRPr="00286395" w:rsidRDefault="00791FFD" w:rsidP="00EB147E">
      <w:pPr>
        <w:spacing w:before="120" w:after="120"/>
        <w:ind w:left="360"/>
        <w:rPr>
          <w:rFonts w:ascii="Times New Roman" w:hAnsi="Times New Roman"/>
          <w:sz w:val="24"/>
          <w:szCs w:val="24"/>
        </w:rPr>
      </w:pPr>
      <w:r w:rsidRPr="00286395">
        <w:rPr>
          <w:rFonts w:ascii="Times New Roman" w:hAnsi="Times New Roman"/>
          <w:sz w:val="24"/>
          <w:szCs w:val="24"/>
        </w:rPr>
        <w:t xml:space="preserve">a) </w:t>
      </w:r>
      <w:r w:rsidRPr="00286395">
        <w:rPr>
          <w:rFonts w:ascii="Times New Roman" w:hAnsi="Times New Roman"/>
          <w:i/>
          <w:sz w:val="24"/>
          <w:szCs w:val="24"/>
        </w:rPr>
        <w:t>Nulová varianta</w:t>
      </w:r>
    </w:p>
    <w:p w14:paraId="491D9349" w14:textId="617E6FD3" w:rsidR="00791FFD" w:rsidRPr="00286395" w:rsidRDefault="00791FFD" w:rsidP="00221B1B">
      <w:pPr>
        <w:spacing w:before="120" w:after="120"/>
        <w:ind w:left="357"/>
        <w:jc w:val="both"/>
        <w:rPr>
          <w:rFonts w:ascii="Times New Roman" w:hAnsi="Times New Roman"/>
          <w:sz w:val="24"/>
          <w:szCs w:val="24"/>
        </w:rPr>
      </w:pPr>
      <w:r w:rsidRPr="00286395">
        <w:rPr>
          <w:rFonts w:ascii="Times New Roman" w:hAnsi="Times New Roman"/>
          <w:sz w:val="24"/>
          <w:szCs w:val="24"/>
        </w:rPr>
        <w:t>Nulová varianta</w:t>
      </w:r>
      <w:r w:rsidR="00EE6750">
        <w:rPr>
          <w:rFonts w:ascii="Times New Roman" w:hAnsi="Times New Roman"/>
          <w:sz w:val="24"/>
          <w:szCs w:val="24"/>
        </w:rPr>
        <w:t xml:space="preserve"> znamená</w:t>
      </w:r>
      <w:r w:rsidRPr="00286395">
        <w:rPr>
          <w:rFonts w:ascii="Times New Roman" w:hAnsi="Times New Roman"/>
          <w:sz w:val="24"/>
          <w:szCs w:val="24"/>
        </w:rPr>
        <w:t xml:space="preserve"> zachování současného stavu, </w:t>
      </w:r>
      <w:r w:rsidR="00AF6B73" w:rsidRPr="00286395">
        <w:rPr>
          <w:rFonts w:ascii="Times New Roman" w:hAnsi="Times New Roman"/>
          <w:sz w:val="24"/>
          <w:szCs w:val="24"/>
        </w:rPr>
        <w:t xml:space="preserve">kdy podle platného znění zákona </w:t>
      </w:r>
      <w:r w:rsidR="00A70E2F" w:rsidRPr="0073392D">
        <w:rPr>
          <w:rFonts w:ascii="Times New Roman" w:hAnsi="Times New Roman"/>
          <w:sz w:val="24"/>
          <w:szCs w:val="24"/>
        </w:rPr>
        <w:t>č.</w:t>
      </w:r>
      <w:r w:rsidR="003432D3">
        <w:rPr>
          <w:rFonts w:ascii="Times New Roman" w:hAnsi="Times New Roman"/>
          <w:sz w:val="24"/>
          <w:szCs w:val="24"/>
        </w:rPr>
        <w:t> </w:t>
      </w:r>
      <w:r w:rsidR="00A70E2F" w:rsidRPr="0073392D">
        <w:rPr>
          <w:rFonts w:ascii="Times New Roman" w:hAnsi="Times New Roman"/>
          <w:sz w:val="24"/>
          <w:szCs w:val="24"/>
        </w:rPr>
        <w:t>58/1995 Sb.</w:t>
      </w:r>
      <w:r w:rsidR="00A70E2F">
        <w:rPr>
          <w:rFonts w:ascii="Times New Roman" w:hAnsi="Times New Roman"/>
          <w:sz w:val="24"/>
          <w:szCs w:val="24"/>
        </w:rPr>
        <w:t xml:space="preserve"> </w:t>
      </w:r>
      <w:r w:rsidR="00241744" w:rsidRPr="00286395">
        <w:rPr>
          <w:rFonts w:ascii="Times New Roman" w:hAnsi="Times New Roman"/>
          <w:sz w:val="24"/>
          <w:szCs w:val="24"/>
        </w:rPr>
        <w:t>M</w:t>
      </w:r>
      <w:r w:rsidR="008B0C0B">
        <w:rPr>
          <w:rFonts w:ascii="Times New Roman" w:hAnsi="Times New Roman"/>
          <w:sz w:val="24"/>
          <w:szCs w:val="24"/>
        </w:rPr>
        <w:t>F</w:t>
      </w:r>
      <w:r w:rsidR="00241744" w:rsidRPr="00286395">
        <w:rPr>
          <w:rFonts w:ascii="Times New Roman" w:hAnsi="Times New Roman"/>
          <w:sz w:val="24"/>
          <w:szCs w:val="24"/>
        </w:rPr>
        <w:t xml:space="preserve"> </w:t>
      </w:r>
      <w:r w:rsidR="00747A1D">
        <w:rPr>
          <w:rFonts w:ascii="Times New Roman" w:hAnsi="Times New Roman"/>
          <w:sz w:val="24"/>
          <w:szCs w:val="24"/>
        </w:rPr>
        <w:t>má každoročně poskytovat</w:t>
      </w:r>
      <w:r w:rsidR="00241744" w:rsidRPr="00286395">
        <w:rPr>
          <w:rFonts w:ascii="Times New Roman" w:hAnsi="Times New Roman"/>
          <w:sz w:val="24"/>
          <w:szCs w:val="24"/>
        </w:rPr>
        <w:t xml:space="preserve"> exportní bance na úhradu dorovnávání úrokových rozdílů </w:t>
      </w:r>
      <w:r w:rsidR="00B20A13" w:rsidRPr="004D2804">
        <w:rPr>
          <w:rFonts w:ascii="Times New Roman" w:hAnsi="Times New Roman"/>
          <w:sz w:val="24"/>
          <w:szCs w:val="24"/>
        </w:rPr>
        <w:t>peněžní</w:t>
      </w:r>
      <w:r w:rsidR="00241744" w:rsidRPr="00286395">
        <w:rPr>
          <w:rFonts w:ascii="Times New Roman" w:hAnsi="Times New Roman"/>
          <w:sz w:val="24"/>
          <w:szCs w:val="24"/>
        </w:rPr>
        <w:t xml:space="preserve"> prostředky ze státního rozpočtu ve formě zálohy ve výši 250</w:t>
      </w:r>
      <w:r w:rsidR="00773CB1">
        <w:rPr>
          <w:rFonts w:ascii="Times New Roman" w:hAnsi="Times New Roman"/>
          <w:sz w:val="24"/>
          <w:szCs w:val="24"/>
        </w:rPr>
        <w:t> </w:t>
      </w:r>
      <w:r w:rsidR="00241744" w:rsidRPr="00286395">
        <w:rPr>
          <w:rFonts w:ascii="Times New Roman" w:hAnsi="Times New Roman"/>
          <w:sz w:val="24"/>
          <w:szCs w:val="24"/>
        </w:rPr>
        <w:t>000</w:t>
      </w:r>
      <w:r w:rsidR="00773CB1">
        <w:rPr>
          <w:rFonts w:ascii="Times New Roman" w:hAnsi="Times New Roman"/>
          <w:sz w:val="24"/>
          <w:szCs w:val="24"/>
        </w:rPr>
        <w:t> </w:t>
      </w:r>
      <w:r w:rsidR="00241744" w:rsidRPr="00286395">
        <w:rPr>
          <w:rFonts w:ascii="Times New Roman" w:hAnsi="Times New Roman"/>
          <w:sz w:val="24"/>
          <w:szCs w:val="24"/>
        </w:rPr>
        <w:t>000 Kč.</w:t>
      </w:r>
    </w:p>
    <w:p w14:paraId="0EA8302A" w14:textId="0E145A87" w:rsidR="00241744" w:rsidRPr="00286395" w:rsidRDefault="002527C8" w:rsidP="00EB147E">
      <w:pPr>
        <w:spacing w:before="120" w:after="120"/>
        <w:ind w:left="360"/>
        <w:jc w:val="both"/>
        <w:rPr>
          <w:rFonts w:ascii="Times New Roman" w:hAnsi="Times New Roman"/>
          <w:sz w:val="24"/>
          <w:szCs w:val="24"/>
        </w:rPr>
      </w:pPr>
      <w:r w:rsidRPr="00286395">
        <w:rPr>
          <w:rFonts w:ascii="Times New Roman" w:hAnsi="Times New Roman"/>
          <w:sz w:val="24"/>
          <w:szCs w:val="24"/>
        </w:rPr>
        <w:t>Vzhledem k tomu, že systém dorovnávání úrokových rozdílů nebyl dosud uveden do</w:t>
      </w:r>
      <w:r w:rsidR="0086648F">
        <w:rPr>
          <w:rFonts w:ascii="Times New Roman" w:hAnsi="Times New Roman"/>
          <w:sz w:val="24"/>
          <w:szCs w:val="24"/>
        </w:rPr>
        <w:t> </w:t>
      </w:r>
      <w:r w:rsidRPr="00286395">
        <w:rPr>
          <w:rFonts w:ascii="Times New Roman" w:hAnsi="Times New Roman"/>
          <w:sz w:val="24"/>
          <w:szCs w:val="24"/>
        </w:rPr>
        <w:t>praxe, záloha exportní bance dosud nebyla M</w:t>
      </w:r>
      <w:r w:rsidR="008B0C0B">
        <w:rPr>
          <w:rFonts w:ascii="Times New Roman" w:hAnsi="Times New Roman"/>
          <w:sz w:val="24"/>
          <w:szCs w:val="24"/>
        </w:rPr>
        <w:t>F</w:t>
      </w:r>
      <w:r w:rsidRPr="00286395">
        <w:rPr>
          <w:rFonts w:ascii="Times New Roman" w:hAnsi="Times New Roman"/>
          <w:sz w:val="24"/>
          <w:szCs w:val="24"/>
        </w:rPr>
        <w:t xml:space="preserve"> poskytnuta, ačkoli je částka v souladu se zákonem</w:t>
      </w:r>
      <w:r w:rsidR="007A4285">
        <w:rPr>
          <w:rFonts w:ascii="Times New Roman" w:hAnsi="Times New Roman"/>
          <w:sz w:val="24"/>
          <w:szCs w:val="24"/>
        </w:rPr>
        <w:t xml:space="preserve"> č. 58/1995 Sb.</w:t>
      </w:r>
      <w:r w:rsidRPr="00286395">
        <w:rPr>
          <w:rFonts w:ascii="Times New Roman" w:hAnsi="Times New Roman"/>
          <w:sz w:val="24"/>
          <w:szCs w:val="24"/>
        </w:rPr>
        <w:t xml:space="preserve"> každoročně vyčleněna ve státním rozpočtu.</w:t>
      </w:r>
      <w:r w:rsidR="009931DE" w:rsidRPr="00286395">
        <w:rPr>
          <w:rFonts w:ascii="Times New Roman" w:hAnsi="Times New Roman"/>
          <w:sz w:val="24"/>
          <w:szCs w:val="24"/>
        </w:rPr>
        <w:t xml:space="preserve"> Přes tento fakt je nutno vzít v úvahu, že prostředky určené na výše uvedené zálohy musí být ve státním rozpočtu alokovány, což s sebou nese nemalé odpovídající náklady </w:t>
      </w:r>
      <w:r w:rsidR="009E7FCE" w:rsidRPr="00286395">
        <w:rPr>
          <w:rFonts w:ascii="Times New Roman" w:hAnsi="Times New Roman"/>
          <w:sz w:val="24"/>
          <w:szCs w:val="24"/>
        </w:rPr>
        <w:t>(např.</w:t>
      </w:r>
      <w:r w:rsidR="0086648F">
        <w:rPr>
          <w:rFonts w:ascii="Times New Roman" w:hAnsi="Times New Roman"/>
          <w:sz w:val="24"/>
          <w:szCs w:val="24"/>
        </w:rPr>
        <w:t> </w:t>
      </w:r>
      <w:r w:rsidR="009E7FCE" w:rsidRPr="00286395">
        <w:rPr>
          <w:rFonts w:ascii="Times New Roman" w:hAnsi="Times New Roman"/>
          <w:sz w:val="24"/>
          <w:szCs w:val="24"/>
        </w:rPr>
        <w:t>úrokové výdaje na obsluhu státního dluhu</w:t>
      </w:r>
      <w:r w:rsidR="007643CB" w:rsidRPr="00286395">
        <w:rPr>
          <w:rFonts w:ascii="Times New Roman" w:hAnsi="Times New Roman"/>
          <w:sz w:val="24"/>
          <w:szCs w:val="24"/>
        </w:rPr>
        <w:t xml:space="preserve">). </w:t>
      </w:r>
    </w:p>
    <w:p w14:paraId="654C6A29" w14:textId="641C64B1" w:rsidR="006254C5" w:rsidRPr="00286395" w:rsidRDefault="007643CB" w:rsidP="00EB147E">
      <w:pPr>
        <w:spacing w:before="120" w:after="120"/>
        <w:ind w:left="360"/>
        <w:jc w:val="both"/>
        <w:rPr>
          <w:rFonts w:ascii="Times New Roman" w:hAnsi="Times New Roman"/>
          <w:sz w:val="24"/>
          <w:szCs w:val="24"/>
        </w:rPr>
      </w:pPr>
      <w:r w:rsidRPr="00286395">
        <w:rPr>
          <w:rFonts w:ascii="Times New Roman" w:hAnsi="Times New Roman"/>
          <w:sz w:val="24"/>
          <w:szCs w:val="24"/>
        </w:rPr>
        <w:t xml:space="preserve">Dále platné znění zákona </w:t>
      </w:r>
      <w:r w:rsidR="00A70E2F" w:rsidRPr="0073392D">
        <w:rPr>
          <w:rFonts w:ascii="Times New Roman" w:hAnsi="Times New Roman"/>
          <w:sz w:val="24"/>
          <w:szCs w:val="24"/>
        </w:rPr>
        <w:t>č.</w:t>
      </w:r>
      <w:r w:rsidR="00346C81">
        <w:rPr>
          <w:rFonts w:ascii="Times New Roman" w:hAnsi="Times New Roman"/>
          <w:sz w:val="24"/>
          <w:szCs w:val="24"/>
        </w:rPr>
        <w:t> </w:t>
      </w:r>
      <w:r w:rsidR="00A70E2F" w:rsidRPr="0073392D">
        <w:rPr>
          <w:rFonts w:ascii="Times New Roman" w:hAnsi="Times New Roman"/>
          <w:sz w:val="24"/>
          <w:szCs w:val="24"/>
        </w:rPr>
        <w:t>58/1995 Sb.</w:t>
      </w:r>
      <w:r w:rsidR="00A70E2F">
        <w:rPr>
          <w:rFonts w:ascii="Times New Roman" w:hAnsi="Times New Roman"/>
          <w:sz w:val="24"/>
          <w:szCs w:val="24"/>
        </w:rPr>
        <w:t xml:space="preserve"> </w:t>
      </w:r>
      <w:r w:rsidRPr="00286395">
        <w:rPr>
          <w:rFonts w:ascii="Times New Roman" w:hAnsi="Times New Roman"/>
          <w:sz w:val="24"/>
          <w:szCs w:val="24"/>
        </w:rPr>
        <w:t>předpokládá, že</w:t>
      </w:r>
      <w:r w:rsidR="006254C5" w:rsidRPr="00286395">
        <w:rPr>
          <w:rFonts w:ascii="Times New Roman" w:hAnsi="Times New Roman"/>
          <w:sz w:val="24"/>
          <w:szCs w:val="24"/>
        </w:rPr>
        <w:t xml:space="preserve"> při poklesu výše zálohy úhradami z titulu dorovnání úrokových rozdílů</w:t>
      </w:r>
      <w:r w:rsidR="00B460CC" w:rsidRPr="00286395">
        <w:rPr>
          <w:rFonts w:ascii="Times New Roman" w:hAnsi="Times New Roman"/>
          <w:sz w:val="24"/>
          <w:szCs w:val="24"/>
        </w:rPr>
        <w:t xml:space="preserve"> pod částku 100</w:t>
      </w:r>
      <w:r w:rsidR="00773CB1">
        <w:rPr>
          <w:rFonts w:ascii="Times New Roman" w:hAnsi="Times New Roman"/>
          <w:sz w:val="24"/>
          <w:szCs w:val="24"/>
        </w:rPr>
        <w:t> </w:t>
      </w:r>
      <w:r w:rsidR="00B460CC" w:rsidRPr="00286395">
        <w:rPr>
          <w:rFonts w:ascii="Times New Roman" w:hAnsi="Times New Roman"/>
          <w:sz w:val="24"/>
          <w:szCs w:val="24"/>
        </w:rPr>
        <w:t>000</w:t>
      </w:r>
      <w:r w:rsidR="00773CB1">
        <w:rPr>
          <w:rFonts w:ascii="Times New Roman" w:hAnsi="Times New Roman"/>
          <w:sz w:val="24"/>
          <w:szCs w:val="24"/>
        </w:rPr>
        <w:t> </w:t>
      </w:r>
      <w:r w:rsidR="00B460CC" w:rsidRPr="00286395">
        <w:rPr>
          <w:rFonts w:ascii="Times New Roman" w:hAnsi="Times New Roman"/>
          <w:sz w:val="24"/>
          <w:szCs w:val="24"/>
        </w:rPr>
        <w:t>000 Kč je</w:t>
      </w:r>
      <w:r w:rsidR="006254C5" w:rsidRPr="00286395">
        <w:rPr>
          <w:rFonts w:ascii="Times New Roman" w:hAnsi="Times New Roman"/>
          <w:sz w:val="24"/>
          <w:szCs w:val="24"/>
        </w:rPr>
        <w:t xml:space="preserve"> exportní banka oprávněna požádat M</w:t>
      </w:r>
      <w:r w:rsidR="008B0C0B">
        <w:rPr>
          <w:rFonts w:ascii="Times New Roman" w:hAnsi="Times New Roman"/>
          <w:sz w:val="24"/>
          <w:szCs w:val="24"/>
        </w:rPr>
        <w:t>F</w:t>
      </w:r>
      <w:r w:rsidR="006254C5" w:rsidRPr="00286395">
        <w:rPr>
          <w:rFonts w:ascii="Times New Roman" w:hAnsi="Times New Roman"/>
          <w:sz w:val="24"/>
          <w:szCs w:val="24"/>
        </w:rPr>
        <w:t xml:space="preserve"> o dorovnání do částky 250</w:t>
      </w:r>
      <w:r w:rsidR="00773CB1">
        <w:rPr>
          <w:rFonts w:ascii="Times New Roman" w:hAnsi="Times New Roman"/>
          <w:sz w:val="24"/>
          <w:szCs w:val="24"/>
        </w:rPr>
        <w:t> </w:t>
      </w:r>
      <w:r w:rsidR="006254C5" w:rsidRPr="00286395">
        <w:rPr>
          <w:rFonts w:ascii="Times New Roman" w:hAnsi="Times New Roman"/>
          <w:sz w:val="24"/>
          <w:szCs w:val="24"/>
        </w:rPr>
        <w:t>000</w:t>
      </w:r>
      <w:r w:rsidR="00773CB1">
        <w:rPr>
          <w:rFonts w:ascii="Times New Roman" w:hAnsi="Times New Roman"/>
          <w:sz w:val="24"/>
          <w:szCs w:val="24"/>
        </w:rPr>
        <w:t> </w:t>
      </w:r>
      <w:r w:rsidR="006254C5" w:rsidRPr="00286395">
        <w:rPr>
          <w:rFonts w:ascii="Times New Roman" w:hAnsi="Times New Roman"/>
          <w:sz w:val="24"/>
          <w:szCs w:val="24"/>
        </w:rPr>
        <w:t>000 Kč. M</w:t>
      </w:r>
      <w:r w:rsidR="008B0C0B">
        <w:rPr>
          <w:rFonts w:ascii="Times New Roman" w:hAnsi="Times New Roman"/>
          <w:sz w:val="24"/>
          <w:szCs w:val="24"/>
        </w:rPr>
        <w:t>F</w:t>
      </w:r>
      <w:r w:rsidR="006254C5" w:rsidRPr="00286395">
        <w:rPr>
          <w:rFonts w:ascii="Times New Roman" w:hAnsi="Times New Roman"/>
          <w:sz w:val="24"/>
          <w:szCs w:val="24"/>
        </w:rPr>
        <w:t xml:space="preserve"> navýší zálohu do 20 dnů od obdržení žádosti. Exportní banka převádí M</w:t>
      </w:r>
      <w:r w:rsidR="008B0C0B">
        <w:rPr>
          <w:rFonts w:ascii="Times New Roman" w:hAnsi="Times New Roman"/>
          <w:sz w:val="24"/>
          <w:szCs w:val="24"/>
        </w:rPr>
        <w:t>F</w:t>
      </w:r>
      <w:r w:rsidR="006254C5" w:rsidRPr="00286395">
        <w:rPr>
          <w:rFonts w:ascii="Times New Roman" w:hAnsi="Times New Roman"/>
          <w:sz w:val="24"/>
          <w:szCs w:val="24"/>
        </w:rPr>
        <w:t xml:space="preserve"> částku převyšující 250</w:t>
      </w:r>
      <w:r w:rsidR="00773CB1">
        <w:rPr>
          <w:rFonts w:ascii="Times New Roman" w:hAnsi="Times New Roman"/>
          <w:sz w:val="24"/>
          <w:szCs w:val="24"/>
        </w:rPr>
        <w:t> </w:t>
      </w:r>
      <w:r w:rsidR="006254C5" w:rsidRPr="00286395">
        <w:rPr>
          <w:rFonts w:ascii="Times New Roman" w:hAnsi="Times New Roman"/>
          <w:sz w:val="24"/>
          <w:szCs w:val="24"/>
        </w:rPr>
        <w:t>000</w:t>
      </w:r>
      <w:r w:rsidR="00773CB1">
        <w:rPr>
          <w:rFonts w:ascii="Times New Roman" w:hAnsi="Times New Roman"/>
          <w:sz w:val="24"/>
          <w:szCs w:val="24"/>
        </w:rPr>
        <w:t> </w:t>
      </w:r>
      <w:r w:rsidR="006254C5" w:rsidRPr="00286395">
        <w:rPr>
          <w:rFonts w:ascii="Times New Roman" w:hAnsi="Times New Roman"/>
          <w:sz w:val="24"/>
          <w:szCs w:val="24"/>
        </w:rPr>
        <w:t>000 Kč z titulu přebytku úrokových rozdílů do 20 dnů od dne, kdy zůstatek zálohy přesáhne částku 500</w:t>
      </w:r>
      <w:r w:rsidR="00773CB1">
        <w:rPr>
          <w:rFonts w:ascii="Times New Roman" w:hAnsi="Times New Roman"/>
          <w:sz w:val="24"/>
          <w:szCs w:val="24"/>
        </w:rPr>
        <w:t> </w:t>
      </w:r>
      <w:r w:rsidR="006254C5" w:rsidRPr="00286395">
        <w:rPr>
          <w:rFonts w:ascii="Times New Roman" w:hAnsi="Times New Roman"/>
          <w:sz w:val="24"/>
          <w:szCs w:val="24"/>
        </w:rPr>
        <w:t>000</w:t>
      </w:r>
      <w:r w:rsidR="00773CB1">
        <w:rPr>
          <w:rFonts w:ascii="Times New Roman" w:hAnsi="Times New Roman"/>
          <w:sz w:val="24"/>
          <w:szCs w:val="24"/>
        </w:rPr>
        <w:t> </w:t>
      </w:r>
      <w:r w:rsidR="006254C5" w:rsidRPr="00286395">
        <w:rPr>
          <w:rFonts w:ascii="Times New Roman" w:hAnsi="Times New Roman"/>
          <w:sz w:val="24"/>
          <w:szCs w:val="24"/>
        </w:rPr>
        <w:t xml:space="preserve">000 Kč. </w:t>
      </w:r>
    </w:p>
    <w:p w14:paraId="3F919BDC" w14:textId="77777777" w:rsidR="00B53E45" w:rsidRDefault="00B460CC" w:rsidP="00EB147E">
      <w:pPr>
        <w:spacing w:before="120" w:after="120"/>
        <w:ind w:left="360"/>
        <w:jc w:val="both"/>
        <w:rPr>
          <w:rFonts w:ascii="Times New Roman" w:hAnsi="Times New Roman"/>
          <w:sz w:val="24"/>
          <w:szCs w:val="24"/>
        </w:rPr>
      </w:pPr>
      <w:r w:rsidRPr="00286395">
        <w:rPr>
          <w:rFonts w:ascii="Times New Roman" w:hAnsi="Times New Roman"/>
          <w:sz w:val="24"/>
          <w:szCs w:val="24"/>
        </w:rPr>
        <w:t>P</w:t>
      </w:r>
      <w:r w:rsidR="007643CB" w:rsidRPr="00286395">
        <w:rPr>
          <w:rFonts w:ascii="Times New Roman" w:hAnsi="Times New Roman"/>
          <w:sz w:val="24"/>
          <w:szCs w:val="24"/>
        </w:rPr>
        <w:t>o období, ve kterém bude úhrn přebytku úrokových rozdílů přesahovat úhrn provedených dorovnání, nebude výsledné saldo použito na úhradu jiných nákladů, ledaže zůstatek přesáhne částku 500</w:t>
      </w:r>
      <w:r w:rsidR="00773CB1">
        <w:rPr>
          <w:rFonts w:ascii="Times New Roman" w:hAnsi="Times New Roman"/>
          <w:sz w:val="24"/>
          <w:szCs w:val="24"/>
        </w:rPr>
        <w:t> </w:t>
      </w:r>
      <w:r w:rsidR="007643CB" w:rsidRPr="00286395">
        <w:rPr>
          <w:rFonts w:ascii="Times New Roman" w:hAnsi="Times New Roman"/>
          <w:sz w:val="24"/>
          <w:szCs w:val="24"/>
        </w:rPr>
        <w:t>000</w:t>
      </w:r>
      <w:r w:rsidR="00773CB1">
        <w:rPr>
          <w:rFonts w:ascii="Times New Roman" w:hAnsi="Times New Roman"/>
          <w:sz w:val="24"/>
          <w:szCs w:val="24"/>
        </w:rPr>
        <w:t> </w:t>
      </w:r>
      <w:r w:rsidR="007643CB" w:rsidRPr="00286395">
        <w:rPr>
          <w:rFonts w:ascii="Times New Roman" w:hAnsi="Times New Roman"/>
          <w:sz w:val="24"/>
          <w:szCs w:val="24"/>
        </w:rPr>
        <w:t>000 Kč. V takovém případě bude zůstatek přesahující částku 250</w:t>
      </w:r>
      <w:r w:rsidR="00773CB1">
        <w:rPr>
          <w:rFonts w:ascii="Times New Roman" w:hAnsi="Times New Roman"/>
          <w:sz w:val="24"/>
          <w:szCs w:val="24"/>
        </w:rPr>
        <w:t> </w:t>
      </w:r>
      <w:r w:rsidR="007643CB" w:rsidRPr="00286395">
        <w:rPr>
          <w:rFonts w:ascii="Times New Roman" w:hAnsi="Times New Roman"/>
          <w:sz w:val="24"/>
          <w:szCs w:val="24"/>
        </w:rPr>
        <w:t>000</w:t>
      </w:r>
      <w:r w:rsidR="00773CB1">
        <w:rPr>
          <w:rFonts w:ascii="Times New Roman" w:hAnsi="Times New Roman"/>
          <w:sz w:val="24"/>
          <w:szCs w:val="24"/>
        </w:rPr>
        <w:t> </w:t>
      </w:r>
      <w:r w:rsidR="007643CB" w:rsidRPr="00286395">
        <w:rPr>
          <w:rFonts w:ascii="Times New Roman" w:hAnsi="Times New Roman"/>
          <w:sz w:val="24"/>
          <w:szCs w:val="24"/>
        </w:rPr>
        <w:t xml:space="preserve">000 Kč převeden do státního rozpočtu a bude možné jej použít na úhradu jiných nákladů. </w:t>
      </w:r>
    </w:p>
    <w:p w14:paraId="50150F27" w14:textId="77777777" w:rsidR="00B460CC" w:rsidRPr="00286395" w:rsidRDefault="005C28FB" w:rsidP="00EB147E">
      <w:pPr>
        <w:spacing w:before="120" w:after="120"/>
        <w:ind w:left="360"/>
        <w:jc w:val="both"/>
        <w:rPr>
          <w:rFonts w:ascii="Times New Roman" w:hAnsi="Times New Roman"/>
          <w:sz w:val="24"/>
          <w:szCs w:val="24"/>
        </w:rPr>
      </w:pPr>
      <w:r w:rsidRPr="00286395">
        <w:rPr>
          <w:rFonts w:ascii="Times New Roman" w:hAnsi="Times New Roman"/>
          <w:sz w:val="24"/>
          <w:szCs w:val="24"/>
        </w:rPr>
        <w:t xml:space="preserve">b) </w:t>
      </w:r>
      <w:r w:rsidRPr="00286395">
        <w:rPr>
          <w:rFonts w:ascii="Times New Roman" w:hAnsi="Times New Roman"/>
          <w:i/>
          <w:sz w:val="24"/>
          <w:szCs w:val="24"/>
        </w:rPr>
        <w:t>Varianta 1</w:t>
      </w:r>
      <w:r w:rsidRPr="00286395">
        <w:rPr>
          <w:rFonts w:ascii="Times New Roman" w:hAnsi="Times New Roman"/>
          <w:sz w:val="24"/>
          <w:szCs w:val="24"/>
        </w:rPr>
        <w:t xml:space="preserve"> – legislativní řešení – zjednodušení rozpočtování a vyúčtování</w:t>
      </w:r>
    </w:p>
    <w:p w14:paraId="52F328E7" w14:textId="42411336" w:rsidR="00B460CC" w:rsidRPr="00286395" w:rsidRDefault="00BF2094" w:rsidP="00EB147E">
      <w:pPr>
        <w:spacing w:before="120" w:after="120"/>
        <w:ind w:left="360"/>
        <w:jc w:val="both"/>
        <w:rPr>
          <w:rFonts w:ascii="Times New Roman" w:hAnsi="Times New Roman"/>
          <w:sz w:val="24"/>
          <w:szCs w:val="24"/>
        </w:rPr>
      </w:pPr>
      <w:r w:rsidRPr="00286395">
        <w:rPr>
          <w:rFonts w:ascii="Times New Roman" w:hAnsi="Times New Roman"/>
          <w:sz w:val="24"/>
          <w:szCs w:val="24"/>
        </w:rPr>
        <w:t>Po obsáhlých konzultacích s M</w:t>
      </w:r>
      <w:r w:rsidR="008B0C0B">
        <w:rPr>
          <w:rFonts w:ascii="Times New Roman" w:hAnsi="Times New Roman"/>
          <w:sz w:val="24"/>
          <w:szCs w:val="24"/>
        </w:rPr>
        <w:t>F</w:t>
      </w:r>
      <w:r w:rsidRPr="00286395">
        <w:rPr>
          <w:rFonts w:ascii="Times New Roman" w:hAnsi="Times New Roman"/>
          <w:sz w:val="24"/>
          <w:szCs w:val="24"/>
        </w:rPr>
        <w:t xml:space="preserve"> a exportní bankou bylo vyhodnoceno, že </w:t>
      </w:r>
      <w:r w:rsidR="00291B92" w:rsidRPr="00286395">
        <w:rPr>
          <w:rFonts w:ascii="Times New Roman" w:hAnsi="Times New Roman"/>
          <w:sz w:val="24"/>
          <w:szCs w:val="24"/>
        </w:rPr>
        <w:t>každoroční alokace částky 250</w:t>
      </w:r>
      <w:r w:rsidR="00984454">
        <w:rPr>
          <w:rFonts w:ascii="Times New Roman" w:hAnsi="Times New Roman"/>
          <w:sz w:val="24"/>
          <w:szCs w:val="24"/>
        </w:rPr>
        <w:t> </w:t>
      </w:r>
      <w:r w:rsidR="00291B92" w:rsidRPr="00286395">
        <w:rPr>
          <w:rFonts w:ascii="Times New Roman" w:hAnsi="Times New Roman"/>
          <w:sz w:val="24"/>
          <w:szCs w:val="24"/>
        </w:rPr>
        <w:t>000</w:t>
      </w:r>
      <w:r w:rsidR="00984454">
        <w:rPr>
          <w:rFonts w:ascii="Times New Roman" w:hAnsi="Times New Roman"/>
          <w:sz w:val="24"/>
          <w:szCs w:val="24"/>
        </w:rPr>
        <w:t> </w:t>
      </w:r>
      <w:r w:rsidR="00291B92" w:rsidRPr="00286395">
        <w:rPr>
          <w:rFonts w:ascii="Times New Roman" w:hAnsi="Times New Roman"/>
          <w:sz w:val="24"/>
          <w:szCs w:val="24"/>
        </w:rPr>
        <w:t xml:space="preserve">000 Kč ve státním rozpočtu v situaci, kdy systém dorovnávání úrokových rozdílů nebyl dosud uveden do praxe, představuje </w:t>
      </w:r>
      <w:r w:rsidR="00377E85" w:rsidRPr="00286395">
        <w:rPr>
          <w:rFonts w:ascii="Times New Roman" w:hAnsi="Times New Roman"/>
          <w:sz w:val="24"/>
          <w:szCs w:val="24"/>
        </w:rPr>
        <w:t>nadměrný náklad z titulu obsluhy výdajové stránky státního rozpočtu a administrativní zátěž.</w:t>
      </w:r>
      <w:r w:rsidR="00517479" w:rsidRPr="00286395">
        <w:rPr>
          <w:rFonts w:ascii="Times New Roman" w:hAnsi="Times New Roman"/>
          <w:sz w:val="24"/>
          <w:szCs w:val="24"/>
        </w:rPr>
        <w:t xml:space="preserve"> Proto se navrhuje v zákoně </w:t>
      </w:r>
      <w:r w:rsidR="00A70E2F" w:rsidRPr="0073392D">
        <w:rPr>
          <w:rFonts w:ascii="Times New Roman" w:hAnsi="Times New Roman"/>
          <w:sz w:val="24"/>
          <w:szCs w:val="24"/>
        </w:rPr>
        <w:t>č.</w:t>
      </w:r>
      <w:r w:rsidR="003B0E25">
        <w:rPr>
          <w:rFonts w:ascii="Times New Roman" w:hAnsi="Times New Roman"/>
          <w:sz w:val="24"/>
          <w:szCs w:val="24"/>
        </w:rPr>
        <w:t> </w:t>
      </w:r>
      <w:r w:rsidR="00A70E2F" w:rsidRPr="0073392D">
        <w:rPr>
          <w:rFonts w:ascii="Times New Roman" w:hAnsi="Times New Roman"/>
          <w:sz w:val="24"/>
          <w:szCs w:val="24"/>
        </w:rPr>
        <w:t>58/1995 Sb.</w:t>
      </w:r>
      <w:r w:rsidR="00A70E2F">
        <w:rPr>
          <w:rFonts w:ascii="Times New Roman" w:hAnsi="Times New Roman"/>
          <w:sz w:val="24"/>
          <w:szCs w:val="24"/>
        </w:rPr>
        <w:t xml:space="preserve"> </w:t>
      </w:r>
      <w:r w:rsidR="00517479" w:rsidRPr="00286395">
        <w:rPr>
          <w:rFonts w:ascii="Times New Roman" w:hAnsi="Times New Roman"/>
          <w:sz w:val="24"/>
          <w:szCs w:val="24"/>
        </w:rPr>
        <w:t>konkrétní částku záloh neuvádět. Možné nedostatečné alokaci prostředků na zálohy na dorovnávání úrokových rozdílů ve státním rozpočtu lze předcházet efektivním plánováním potřeby záloh v jednotlivých letech v závislosti na</w:t>
      </w:r>
      <w:r w:rsidR="003432D3">
        <w:rPr>
          <w:rFonts w:ascii="Times New Roman" w:hAnsi="Times New Roman"/>
          <w:sz w:val="24"/>
          <w:szCs w:val="24"/>
        </w:rPr>
        <w:t> </w:t>
      </w:r>
      <w:r w:rsidR="00517479" w:rsidRPr="00286395">
        <w:rPr>
          <w:rFonts w:ascii="Times New Roman" w:hAnsi="Times New Roman"/>
          <w:sz w:val="24"/>
          <w:szCs w:val="24"/>
        </w:rPr>
        <w:t>skutečné poptávce bank po dorovnávání úrokových rozdílů.</w:t>
      </w:r>
    </w:p>
    <w:p w14:paraId="557508AC" w14:textId="734FD870" w:rsidR="00B571BD" w:rsidRDefault="00377E85" w:rsidP="00EB147E">
      <w:pPr>
        <w:spacing w:before="120" w:after="120"/>
        <w:ind w:left="360"/>
        <w:jc w:val="both"/>
        <w:rPr>
          <w:rFonts w:ascii="Times New Roman" w:hAnsi="Times New Roman"/>
          <w:bCs/>
          <w:sz w:val="24"/>
          <w:szCs w:val="24"/>
        </w:rPr>
      </w:pPr>
      <w:r w:rsidRPr="00286395">
        <w:rPr>
          <w:rFonts w:ascii="Times New Roman" w:hAnsi="Times New Roman"/>
          <w:sz w:val="24"/>
          <w:szCs w:val="24"/>
        </w:rPr>
        <w:t>Dále byl posuzován mechanismus d</w:t>
      </w:r>
      <w:r w:rsidRPr="00286395">
        <w:rPr>
          <w:rFonts w:ascii="Times New Roman" w:hAnsi="Times New Roman"/>
          <w:bCs/>
          <w:sz w:val="24"/>
          <w:szCs w:val="24"/>
        </w:rPr>
        <w:t xml:space="preserve">oplňování záloh při poklesu pod určitou hladinu </w:t>
      </w:r>
      <w:r w:rsidR="00B20A13" w:rsidRPr="004D2804">
        <w:rPr>
          <w:rFonts w:ascii="Times New Roman" w:hAnsi="Times New Roman"/>
          <w:sz w:val="24"/>
          <w:szCs w:val="24"/>
        </w:rPr>
        <w:t>peněžní</w:t>
      </w:r>
      <w:r w:rsidRPr="00286395">
        <w:rPr>
          <w:rFonts w:ascii="Times New Roman" w:hAnsi="Times New Roman"/>
          <w:bCs/>
          <w:sz w:val="24"/>
          <w:szCs w:val="24"/>
        </w:rPr>
        <w:t>ch prostředků a převod peněz ve prospěch M</w:t>
      </w:r>
      <w:r w:rsidR="008B0C0B">
        <w:rPr>
          <w:rFonts w:ascii="Times New Roman" w:hAnsi="Times New Roman"/>
          <w:bCs/>
          <w:sz w:val="24"/>
          <w:szCs w:val="24"/>
        </w:rPr>
        <w:t>F</w:t>
      </w:r>
      <w:r w:rsidRPr="00286395">
        <w:rPr>
          <w:rFonts w:ascii="Times New Roman" w:hAnsi="Times New Roman"/>
          <w:bCs/>
          <w:sz w:val="24"/>
          <w:szCs w:val="24"/>
        </w:rPr>
        <w:t xml:space="preserve"> při překročení daného limitu </w:t>
      </w:r>
      <w:r w:rsidR="00B20A13" w:rsidRPr="004D2804">
        <w:rPr>
          <w:rFonts w:ascii="Times New Roman" w:hAnsi="Times New Roman"/>
          <w:sz w:val="24"/>
          <w:szCs w:val="24"/>
        </w:rPr>
        <w:t>peněžní</w:t>
      </w:r>
      <w:r w:rsidRPr="00286395">
        <w:rPr>
          <w:rFonts w:ascii="Times New Roman" w:hAnsi="Times New Roman"/>
          <w:bCs/>
          <w:sz w:val="24"/>
          <w:szCs w:val="24"/>
        </w:rPr>
        <w:t xml:space="preserve">ch prostředků plynoucích z dorovnávání úrokových rozdílů. Jako zjednodušení administrativní zátěže mechanismu bylo navrženo, </w:t>
      </w:r>
      <w:r w:rsidR="005779E0" w:rsidRPr="00286395">
        <w:rPr>
          <w:rFonts w:ascii="Times New Roman" w:hAnsi="Times New Roman"/>
          <w:bCs/>
          <w:sz w:val="24"/>
          <w:szCs w:val="24"/>
        </w:rPr>
        <w:t>aby byla exportní banka povinna vyúčtovat obdržené zálohy jen jednou ročně, a to vždy k poslednímu dni kalendářního roku, ve kterém zálohy obdržela, a provedené vyúčtování zaslat M</w:t>
      </w:r>
      <w:r w:rsidR="008B0C0B">
        <w:rPr>
          <w:rFonts w:ascii="Times New Roman" w:hAnsi="Times New Roman"/>
          <w:bCs/>
          <w:sz w:val="24"/>
          <w:szCs w:val="24"/>
        </w:rPr>
        <w:t>F</w:t>
      </w:r>
      <w:r w:rsidR="005779E0" w:rsidRPr="00286395">
        <w:rPr>
          <w:rFonts w:ascii="Times New Roman" w:hAnsi="Times New Roman"/>
          <w:bCs/>
          <w:sz w:val="24"/>
          <w:szCs w:val="24"/>
        </w:rPr>
        <w:t xml:space="preserve"> do 30. ledna následujícího kalendářního roku. M</w:t>
      </w:r>
      <w:r w:rsidR="008B0C0B">
        <w:rPr>
          <w:rFonts w:ascii="Times New Roman" w:hAnsi="Times New Roman"/>
          <w:bCs/>
          <w:sz w:val="24"/>
          <w:szCs w:val="24"/>
        </w:rPr>
        <w:t xml:space="preserve">F </w:t>
      </w:r>
      <w:r w:rsidR="005779E0" w:rsidRPr="00286395">
        <w:rPr>
          <w:rFonts w:ascii="Times New Roman" w:hAnsi="Times New Roman"/>
          <w:bCs/>
          <w:sz w:val="24"/>
          <w:szCs w:val="24"/>
        </w:rPr>
        <w:t xml:space="preserve">oznámí exportní bance do 30 dnů od obdržení tohoto vyúčtování výši </w:t>
      </w:r>
      <w:r w:rsidR="00B20A13" w:rsidRPr="004D2804">
        <w:rPr>
          <w:rFonts w:ascii="Times New Roman" w:hAnsi="Times New Roman"/>
          <w:sz w:val="24"/>
          <w:szCs w:val="24"/>
        </w:rPr>
        <w:t>peněžní</w:t>
      </w:r>
      <w:r w:rsidR="005779E0" w:rsidRPr="00286395">
        <w:rPr>
          <w:rFonts w:ascii="Times New Roman" w:hAnsi="Times New Roman"/>
          <w:bCs/>
          <w:sz w:val="24"/>
          <w:szCs w:val="24"/>
        </w:rPr>
        <w:t>ch prostředků, které je exportní banka povinna převést do</w:t>
      </w:r>
      <w:r w:rsidR="00820ABE">
        <w:rPr>
          <w:rFonts w:ascii="Times New Roman" w:hAnsi="Times New Roman"/>
          <w:bCs/>
          <w:sz w:val="24"/>
          <w:szCs w:val="24"/>
        </w:rPr>
        <w:t> </w:t>
      </w:r>
      <w:r w:rsidR="005779E0" w:rsidRPr="00286395">
        <w:rPr>
          <w:rFonts w:ascii="Times New Roman" w:hAnsi="Times New Roman"/>
          <w:bCs/>
          <w:sz w:val="24"/>
          <w:szCs w:val="24"/>
        </w:rPr>
        <w:t>5</w:t>
      </w:r>
      <w:r w:rsidR="00820ABE">
        <w:rPr>
          <w:rFonts w:ascii="Times New Roman" w:hAnsi="Times New Roman"/>
          <w:bCs/>
          <w:sz w:val="24"/>
          <w:szCs w:val="24"/>
        </w:rPr>
        <w:t> </w:t>
      </w:r>
      <w:r w:rsidR="005779E0" w:rsidRPr="00286395">
        <w:rPr>
          <w:rFonts w:ascii="Times New Roman" w:hAnsi="Times New Roman"/>
          <w:bCs/>
          <w:sz w:val="24"/>
          <w:szCs w:val="24"/>
        </w:rPr>
        <w:t>pracovních dnů na účet M</w:t>
      </w:r>
      <w:r w:rsidR="008B0C0B">
        <w:rPr>
          <w:rFonts w:ascii="Times New Roman" w:hAnsi="Times New Roman"/>
          <w:bCs/>
          <w:sz w:val="24"/>
          <w:szCs w:val="24"/>
        </w:rPr>
        <w:t>F</w:t>
      </w:r>
      <w:r w:rsidR="005779E0" w:rsidRPr="00286395">
        <w:rPr>
          <w:rFonts w:ascii="Times New Roman" w:hAnsi="Times New Roman"/>
          <w:bCs/>
          <w:sz w:val="24"/>
          <w:szCs w:val="24"/>
        </w:rPr>
        <w:t>.</w:t>
      </w:r>
      <w:r w:rsidR="00E2317A" w:rsidRPr="00286395">
        <w:rPr>
          <w:rFonts w:ascii="Times New Roman" w:hAnsi="Times New Roman"/>
          <w:bCs/>
          <w:sz w:val="24"/>
          <w:szCs w:val="24"/>
        </w:rPr>
        <w:t xml:space="preserve"> Tímto návrhem bude odstraněn značně komplikovaný </w:t>
      </w:r>
      <w:r w:rsidR="00E2317A" w:rsidRPr="00286395">
        <w:rPr>
          <w:rFonts w:ascii="Times New Roman" w:hAnsi="Times New Roman"/>
          <w:sz w:val="24"/>
          <w:szCs w:val="24"/>
        </w:rPr>
        <w:t>mechanismus d</w:t>
      </w:r>
      <w:r w:rsidR="00E2317A" w:rsidRPr="00286395">
        <w:rPr>
          <w:rFonts w:ascii="Times New Roman" w:hAnsi="Times New Roman"/>
          <w:bCs/>
          <w:sz w:val="24"/>
          <w:szCs w:val="24"/>
        </w:rPr>
        <w:t>oplňování záloh</w:t>
      </w:r>
      <w:r w:rsidR="0069442B" w:rsidRPr="00286395">
        <w:rPr>
          <w:rFonts w:ascii="Times New Roman" w:hAnsi="Times New Roman"/>
          <w:bCs/>
          <w:sz w:val="24"/>
          <w:szCs w:val="24"/>
        </w:rPr>
        <w:t xml:space="preserve"> a</w:t>
      </w:r>
      <w:r w:rsidR="0086648F">
        <w:rPr>
          <w:rFonts w:ascii="Times New Roman" w:hAnsi="Times New Roman"/>
          <w:bCs/>
          <w:sz w:val="24"/>
          <w:szCs w:val="24"/>
        </w:rPr>
        <w:t> </w:t>
      </w:r>
      <w:r w:rsidR="0069442B" w:rsidRPr="00286395">
        <w:rPr>
          <w:rFonts w:ascii="Times New Roman" w:hAnsi="Times New Roman"/>
          <w:bCs/>
          <w:sz w:val="24"/>
          <w:szCs w:val="24"/>
        </w:rPr>
        <w:t xml:space="preserve">zároveň nebude zatěžován státní rozpočet dodatečnými náklady, které </w:t>
      </w:r>
      <w:r w:rsidR="00BA476C" w:rsidRPr="00286395">
        <w:rPr>
          <w:rFonts w:ascii="Times New Roman" w:hAnsi="Times New Roman"/>
          <w:bCs/>
          <w:sz w:val="24"/>
          <w:szCs w:val="24"/>
        </w:rPr>
        <w:t>bylo doposud nutné vynakládat.</w:t>
      </w:r>
      <w:r w:rsidR="001A764F">
        <w:rPr>
          <w:rFonts w:ascii="Times New Roman" w:hAnsi="Times New Roman"/>
          <w:bCs/>
          <w:sz w:val="24"/>
          <w:szCs w:val="24"/>
        </w:rPr>
        <w:t xml:space="preserve"> </w:t>
      </w:r>
      <w:r w:rsidR="001A764F" w:rsidRPr="00946832">
        <w:rPr>
          <w:rFonts w:ascii="Times New Roman" w:hAnsi="Times New Roman"/>
          <w:sz w:val="24"/>
          <w:szCs w:val="24"/>
        </w:rPr>
        <w:t>Změna legislativního řešení umožní</w:t>
      </w:r>
      <w:r w:rsidR="001A764F" w:rsidRPr="00946832">
        <w:rPr>
          <w:rFonts w:ascii="Times New Roman" w:hAnsi="Times New Roman"/>
          <w:bCs/>
          <w:iCs/>
          <w:sz w:val="24"/>
          <w:szCs w:val="24"/>
        </w:rPr>
        <w:t xml:space="preserve"> odstranění </w:t>
      </w:r>
      <w:r w:rsidR="00AB4039" w:rsidRPr="00946832">
        <w:rPr>
          <w:rFonts w:ascii="Times New Roman" w:hAnsi="Times New Roman"/>
          <w:bCs/>
          <w:iCs/>
          <w:sz w:val="24"/>
          <w:szCs w:val="24"/>
        </w:rPr>
        <w:t xml:space="preserve">povinné </w:t>
      </w:r>
      <w:r w:rsidR="001A764F" w:rsidRPr="00946832">
        <w:rPr>
          <w:rFonts w:ascii="Times New Roman" w:hAnsi="Times New Roman"/>
          <w:bCs/>
          <w:iCs/>
          <w:sz w:val="24"/>
          <w:szCs w:val="24"/>
        </w:rPr>
        <w:t>každoročn</w:t>
      </w:r>
      <w:r w:rsidR="00733D7F" w:rsidRPr="00946832">
        <w:rPr>
          <w:rFonts w:ascii="Times New Roman" w:hAnsi="Times New Roman"/>
          <w:bCs/>
          <w:iCs/>
          <w:sz w:val="24"/>
          <w:szCs w:val="24"/>
        </w:rPr>
        <w:t>í fixování</w:t>
      </w:r>
      <w:r w:rsidR="001A764F" w:rsidRPr="00946832">
        <w:rPr>
          <w:rFonts w:ascii="Times New Roman" w:hAnsi="Times New Roman"/>
          <w:bCs/>
          <w:iCs/>
          <w:sz w:val="24"/>
          <w:szCs w:val="24"/>
        </w:rPr>
        <w:t xml:space="preserve"> částky ve výši 250 mil. Kč alokované ve státním rozpočtu na jediný účel</w:t>
      </w:r>
      <w:r w:rsidR="00AB4039" w:rsidRPr="00946832">
        <w:rPr>
          <w:rFonts w:ascii="Times New Roman" w:hAnsi="Times New Roman"/>
          <w:bCs/>
          <w:iCs/>
          <w:sz w:val="24"/>
          <w:szCs w:val="24"/>
        </w:rPr>
        <w:t xml:space="preserve"> (dorovnávání úrokových rozdílů)</w:t>
      </w:r>
      <w:r w:rsidR="001A764F" w:rsidRPr="00946832">
        <w:rPr>
          <w:rFonts w:ascii="Times New Roman" w:hAnsi="Times New Roman"/>
          <w:bCs/>
          <w:iCs/>
          <w:sz w:val="24"/>
          <w:szCs w:val="24"/>
        </w:rPr>
        <w:t xml:space="preserve">, ačkoliv takový účel v rozpočtovém období </w:t>
      </w:r>
      <w:r w:rsidR="00AB4039" w:rsidRPr="00946832">
        <w:rPr>
          <w:rFonts w:ascii="Times New Roman" w:hAnsi="Times New Roman"/>
          <w:bCs/>
          <w:iCs/>
          <w:sz w:val="24"/>
          <w:szCs w:val="24"/>
        </w:rPr>
        <w:t xml:space="preserve">nenastane nebo </w:t>
      </w:r>
      <w:r w:rsidR="001A764F" w:rsidRPr="00946832">
        <w:rPr>
          <w:rFonts w:ascii="Times New Roman" w:hAnsi="Times New Roman"/>
          <w:bCs/>
          <w:iCs/>
          <w:sz w:val="24"/>
          <w:szCs w:val="24"/>
        </w:rPr>
        <w:t>nenastal.</w:t>
      </w:r>
    </w:p>
    <w:p w14:paraId="2DFCCF2F" w14:textId="436FCC85" w:rsidR="009214DF" w:rsidRPr="00286395" w:rsidRDefault="004F1259" w:rsidP="00EB147E">
      <w:pPr>
        <w:spacing w:before="120" w:after="120"/>
        <w:ind w:left="360"/>
        <w:rPr>
          <w:rFonts w:ascii="Times New Roman" w:hAnsi="Times New Roman"/>
          <w:bCs/>
          <w:sz w:val="24"/>
          <w:szCs w:val="24"/>
          <w:u w:val="single"/>
        </w:rPr>
      </w:pPr>
      <w:r>
        <w:rPr>
          <w:rFonts w:ascii="Times New Roman" w:hAnsi="Times New Roman"/>
          <w:bCs/>
          <w:sz w:val="24"/>
          <w:szCs w:val="24"/>
          <w:u w:val="single"/>
        </w:rPr>
        <w:t>F</w:t>
      </w:r>
      <w:r w:rsidR="009214DF" w:rsidRPr="00286395">
        <w:rPr>
          <w:rFonts w:ascii="Times New Roman" w:hAnsi="Times New Roman"/>
          <w:bCs/>
          <w:sz w:val="24"/>
          <w:szCs w:val="24"/>
          <w:u w:val="single"/>
        </w:rPr>
        <w:t>.</w:t>
      </w:r>
      <w:r w:rsidR="00364527" w:rsidRPr="00286395">
        <w:rPr>
          <w:rFonts w:ascii="Times New Roman" w:hAnsi="Times New Roman"/>
          <w:bCs/>
          <w:sz w:val="24"/>
          <w:szCs w:val="24"/>
          <w:u w:val="single"/>
        </w:rPr>
        <w:t xml:space="preserve"> </w:t>
      </w:r>
      <w:r w:rsidR="00B80C17" w:rsidRPr="00286395">
        <w:rPr>
          <w:rFonts w:ascii="Times New Roman" w:hAnsi="Times New Roman"/>
          <w:bCs/>
          <w:sz w:val="24"/>
          <w:szCs w:val="24"/>
          <w:u w:val="single"/>
        </w:rPr>
        <w:t>Rozšíření kontrolní pravomoci M</w:t>
      </w:r>
      <w:r w:rsidR="008B0C0B">
        <w:rPr>
          <w:rFonts w:ascii="Times New Roman" w:hAnsi="Times New Roman"/>
          <w:bCs/>
          <w:sz w:val="24"/>
          <w:szCs w:val="24"/>
          <w:u w:val="single"/>
        </w:rPr>
        <w:t>F</w:t>
      </w:r>
      <w:r w:rsidR="00B80C17" w:rsidRPr="00286395">
        <w:rPr>
          <w:rFonts w:ascii="Times New Roman" w:hAnsi="Times New Roman"/>
          <w:bCs/>
          <w:sz w:val="24"/>
          <w:szCs w:val="24"/>
          <w:u w:val="single"/>
        </w:rPr>
        <w:t xml:space="preserve"> vůči exportní pojišťovně</w:t>
      </w:r>
    </w:p>
    <w:p w14:paraId="56A51284" w14:textId="77777777" w:rsidR="00DA2427" w:rsidRDefault="00791FFD" w:rsidP="00EB147E">
      <w:pPr>
        <w:spacing w:before="120" w:after="120"/>
        <w:ind w:left="360"/>
        <w:rPr>
          <w:rFonts w:ascii="Times New Roman" w:hAnsi="Times New Roman"/>
          <w:i/>
          <w:sz w:val="24"/>
          <w:szCs w:val="24"/>
        </w:rPr>
      </w:pPr>
      <w:r w:rsidRPr="00286395">
        <w:rPr>
          <w:rFonts w:ascii="Times New Roman" w:hAnsi="Times New Roman"/>
          <w:sz w:val="24"/>
          <w:szCs w:val="24"/>
        </w:rPr>
        <w:t xml:space="preserve">a) </w:t>
      </w:r>
      <w:r w:rsidRPr="00286395">
        <w:rPr>
          <w:rFonts w:ascii="Times New Roman" w:hAnsi="Times New Roman"/>
          <w:i/>
          <w:sz w:val="24"/>
          <w:szCs w:val="24"/>
        </w:rPr>
        <w:t>Nulová varianta</w:t>
      </w:r>
    </w:p>
    <w:p w14:paraId="15C446FE" w14:textId="77777777" w:rsidR="002308DE" w:rsidRPr="00286395" w:rsidRDefault="002308DE" w:rsidP="00EB147E">
      <w:pPr>
        <w:spacing w:before="120" w:after="120"/>
        <w:ind w:left="360"/>
        <w:rPr>
          <w:rFonts w:ascii="Times New Roman" w:hAnsi="Times New Roman"/>
          <w:sz w:val="24"/>
          <w:szCs w:val="24"/>
        </w:rPr>
      </w:pPr>
      <w:r w:rsidRPr="00286395">
        <w:rPr>
          <w:rFonts w:ascii="Times New Roman" w:hAnsi="Times New Roman"/>
          <w:sz w:val="24"/>
          <w:szCs w:val="24"/>
        </w:rPr>
        <w:t xml:space="preserve">b) </w:t>
      </w:r>
      <w:r w:rsidRPr="00286395">
        <w:rPr>
          <w:rFonts w:ascii="Times New Roman" w:hAnsi="Times New Roman"/>
          <w:i/>
          <w:sz w:val="24"/>
          <w:szCs w:val="24"/>
        </w:rPr>
        <w:t>Varianta 1</w:t>
      </w:r>
      <w:r w:rsidRPr="00286395">
        <w:rPr>
          <w:rFonts w:ascii="Times New Roman" w:hAnsi="Times New Roman"/>
          <w:sz w:val="24"/>
          <w:szCs w:val="24"/>
        </w:rPr>
        <w:t xml:space="preserve"> – legislativní řešení - novela existujícího právního předpisu </w:t>
      </w:r>
    </w:p>
    <w:p w14:paraId="25E44D79" w14:textId="77777777" w:rsidR="00791FFD" w:rsidRPr="00286395" w:rsidRDefault="00791FFD" w:rsidP="00EB147E">
      <w:pPr>
        <w:spacing w:before="120" w:after="120"/>
        <w:ind w:left="360"/>
        <w:rPr>
          <w:rFonts w:ascii="Times New Roman" w:hAnsi="Times New Roman"/>
          <w:sz w:val="24"/>
          <w:szCs w:val="24"/>
        </w:rPr>
      </w:pPr>
      <w:r w:rsidRPr="00286395">
        <w:rPr>
          <w:rFonts w:ascii="Times New Roman" w:hAnsi="Times New Roman"/>
          <w:sz w:val="24"/>
          <w:szCs w:val="24"/>
        </w:rPr>
        <w:t xml:space="preserve">a) </w:t>
      </w:r>
      <w:r w:rsidRPr="00286395">
        <w:rPr>
          <w:rFonts w:ascii="Times New Roman" w:hAnsi="Times New Roman"/>
          <w:i/>
          <w:sz w:val="24"/>
          <w:szCs w:val="24"/>
        </w:rPr>
        <w:t>Nulová varianta</w:t>
      </w:r>
    </w:p>
    <w:p w14:paraId="427CF492" w14:textId="02E51315" w:rsidR="00EA65EF" w:rsidRPr="00286395" w:rsidRDefault="00A864ED" w:rsidP="003B0E25">
      <w:pPr>
        <w:spacing w:before="120" w:after="120"/>
        <w:ind w:left="357"/>
        <w:jc w:val="both"/>
        <w:rPr>
          <w:rFonts w:ascii="Times New Roman" w:hAnsi="Times New Roman"/>
          <w:sz w:val="24"/>
          <w:szCs w:val="24"/>
        </w:rPr>
      </w:pPr>
      <w:r w:rsidRPr="00286395">
        <w:rPr>
          <w:rFonts w:ascii="Times New Roman" w:hAnsi="Times New Roman"/>
          <w:sz w:val="24"/>
          <w:szCs w:val="24"/>
        </w:rPr>
        <w:t xml:space="preserve">Novelou zákona </w:t>
      </w:r>
      <w:r w:rsidR="00001690" w:rsidRPr="0073392D">
        <w:rPr>
          <w:rFonts w:ascii="Times New Roman" w:hAnsi="Times New Roman"/>
          <w:sz w:val="24"/>
          <w:szCs w:val="24"/>
        </w:rPr>
        <w:t>č.</w:t>
      </w:r>
      <w:r w:rsidR="00346C81">
        <w:rPr>
          <w:rFonts w:ascii="Times New Roman" w:hAnsi="Times New Roman"/>
          <w:sz w:val="24"/>
          <w:szCs w:val="24"/>
        </w:rPr>
        <w:t> </w:t>
      </w:r>
      <w:r w:rsidR="00001690" w:rsidRPr="0073392D">
        <w:rPr>
          <w:rFonts w:ascii="Times New Roman" w:hAnsi="Times New Roman"/>
          <w:sz w:val="24"/>
          <w:szCs w:val="24"/>
        </w:rPr>
        <w:t>58/1995 Sb.</w:t>
      </w:r>
      <w:r w:rsidR="00F0778A">
        <w:rPr>
          <w:rFonts w:ascii="Times New Roman" w:hAnsi="Times New Roman"/>
          <w:sz w:val="24"/>
          <w:szCs w:val="24"/>
        </w:rPr>
        <w:t xml:space="preserve"> provedenou</w:t>
      </w:r>
      <w:r w:rsidRPr="00286395">
        <w:rPr>
          <w:rFonts w:ascii="Times New Roman" w:hAnsi="Times New Roman"/>
          <w:sz w:val="24"/>
          <w:szCs w:val="24"/>
        </w:rPr>
        <w:t xml:space="preserve"> zákonem č.</w:t>
      </w:r>
      <w:r w:rsidR="00346C81">
        <w:rPr>
          <w:rFonts w:ascii="Times New Roman" w:hAnsi="Times New Roman"/>
          <w:sz w:val="24"/>
          <w:szCs w:val="24"/>
        </w:rPr>
        <w:t> </w:t>
      </w:r>
      <w:r w:rsidRPr="00286395">
        <w:rPr>
          <w:rFonts w:ascii="Times New Roman" w:hAnsi="Times New Roman"/>
          <w:sz w:val="24"/>
          <w:szCs w:val="24"/>
        </w:rPr>
        <w:t xml:space="preserve">220/2015 Sb. byla do zákona </w:t>
      </w:r>
      <w:r w:rsidR="00F0778A">
        <w:rPr>
          <w:rFonts w:ascii="Times New Roman" w:hAnsi="Times New Roman"/>
          <w:sz w:val="24"/>
          <w:szCs w:val="24"/>
        </w:rPr>
        <w:t>č.</w:t>
      </w:r>
      <w:r w:rsidR="0029490C">
        <w:rPr>
          <w:rFonts w:ascii="Times New Roman" w:hAnsi="Times New Roman"/>
          <w:sz w:val="24"/>
          <w:szCs w:val="24"/>
        </w:rPr>
        <w:t> </w:t>
      </w:r>
      <w:r w:rsidR="00F0778A">
        <w:rPr>
          <w:rFonts w:ascii="Times New Roman" w:hAnsi="Times New Roman"/>
          <w:sz w:val="24"/>
          <w:szCs w:val="24"/>
        </w:rPr>
        <w:t xml:space="preserve">58/1995 Sb. </w:t>
      </w:r>
      <w:r w:rsidRPr="00286395">
        <w:rPr>
          <w:rFonts w:ascii="Times New Roman" w:hAnsi="Times New Roman"/>
          <w:sz w:val="24"/>
          <w:szCs w:val="24"/>
        </w:rPr>
        <w:t>včleněna pravomoc M</w:t>
      </w:r>
      <w:r w:rsidR="008B0C0B">
        <w:rPr>
          <w:rFonts w:ascii="Times New Roman" w:hAnsi="Times New Roman"/>
          <w:sz w:val="24"/>
          <w:szCs w:val="24"/>
        </w:rPr>
        <w:t>F</w:t>
      </w:r>
      <w:r w:rsidRPr="00286395">
        <w:rPr>
          <w:rFonts w:ascii="Times New Roman" w:hAnsi="Times New Roman"/>
          <w:sz w:val="24"/>
          <w:szCs w:val="24"/>
        </w:rPr>
        <w:t xml:space="preserve"> provádět kontrolu úvěrů poskytovaných v rámci podpořeného financování vývozu, tj. kontrolu hospodaření exportní banky. Ustanovení umož</w:t>
      </w:r>
      <w:r w:rsidR="00FB45BD">
        <w:rPr>
          <w:rFonts w:ascii="Times New Roman" w:hAnsi="Times New Roman"/>
          <w:sz w:val="24"/>
          <w:szCs w:val="24"/>
        </w:rPr>
        <w:t>ňuje</w:t>
      </w:r>
      <w:r w:rsidRPr="00286395">
        <w:rPr>
          <w:rFonts w:ascii="Times New Roman" w:hAnsi="Times New Roman"/>
          <w:sz w:val="24"/>
          <w:szCs w:val="24"/>
        </w:rPr>
        <w:t xml:space="preserve"> vyžádat si libovolné účetní záznamy, věcné podklady a</w:t>
      </w:r>
      <w:r w:rsidR="00630B41">
        <w:rPr>
          <w:rFonts w:ascii="Times New Roman" w:hAnsi="Times New Roman"/>
          <w:sz w:val="24"/>
          <w:szCs w:val="24"/>
        </w:rPr>
        <w:t> </w:t>
      </w:r>
      <w:r w:rsidRPr="00286395">
        <w:rPr>
          <w:rFonts w:ascii="Times New Roman" w:hAnsi="Times New Roman"/>
          <w:sz w:val="24"/>
          <w:szCs w:val="24"/>
        </w:rPr>
        <w:t>informace k</w:t>
      </w:r>
      <w:r w:rsidR="00820ABE">
        <w:rPr>
          <w:rFonts w:ascii="Times New Roman" w:hAnsi="Times New Roman"/>
          <w:sz w:val="24"/>
          <w:szCs w:val="24"/>
        </w:rPr>
        <w:t> </w:t>
      </w:r>
      <w:r w:rsidRPr="00286395">
        <w:rPr>
          <w:rFonts w:ascii="Times New Roman" w:hAnsi="Times New Roman"/>
          <w:sz w:val="24"/>
          <w:szCs w:val="24"/>
        </w:rPr>
        <w:t>jednotlivým obchodním případům. Tímto ustanovením je sledován požadavek zajistit působnost M</w:t>
      </w:r>
      <w:r w:rsidR="008B0C0B">
        <w:rPr>
          <w:rFonts w:ascii="Times New Roman" w:hAnsi="Times New Roman"/>
          <w:sz w:val="24"/>
          <w:szCs w:val="24"/>
        </w:rPr>
        <w:t>F</w:t>
      </w:r>
      <w:r w:rsidRPr="00286395">
        <w:rPr>
          <w:rFonts w:ascii="Times New Roman" w:hAnsi="Times New Roman"/>
          <w:sz w:val="24"/>
          <w:szCs w:val="24"/>
        </w:rPr>
        <w:t xml:space="preserve"> v oblasti kontroly podpořeného financování. Zákon </w:t>
      </w:r>
      <w:r w:rsidR="00001690" w:rsidRPr="0073392D">
        <w:rPr>
          <w:rFonts w:ascii="Times New Roman" w:hAnsi="Times New Roman"/>
          <w:sz w:val="24"/>
          <w:szCs w:val="24"/>
        </w:rPr>
        <w:t>č.</w:t>
      </w:r>
      <w:r w:rsidR="00346C81">
        <w:rPr>
          <w:rFonts w:ascii="Times New Roman" w:hAnsi="Times New Roman"/>
          <w:sz w:val="24"/>
          <w:szCs w:val="24"/>
        </w:rPr>
        <w:t> </w:t>
      </w:r>
      <w:r w:rsidR="00001690" w:rsidRPr="0073392D">
        <w:rPr>
          <w:rFonts w:ascii="Times New Roman" w:hAnsi="Times New Roman"/>
          <w:sz w:val="24"/>
          <w:szCs w:val="24"/>
        </w:rPr>
        <w:t>58/1995 Sb.</w:t>
      </w:r>
      <w:r w:rsidR="00001690">
        <w:rPr>
          <w:rFonts w:ascii="Times New Roman" w:hAnsi="Times New Roman"/>
          <w:sz w:val="24"/>
          <w:szCs w:val="24"/>
        </w:rPr>
        <w:t xml:space="preserve"> </w:t>
      </w:r>
      <w:r w:rsidRPr="00286395">
        <w:rPr>
          <w:rFonts w:ascii="Times New Roman" w:hAnsi="Times New Roman"/>
          <w:sz w:val="24"/>
          <w:szCs w:val="24"/>
        </w:rPr>
        <w:t>však explicitně nestanoví odpovídající kontrolní pravomoci M</w:t>
      </w:r>
      <w:r w:rsidR="008B0C0B">
        <w:rPr>
          <w:rFonts w:ascii="Times New Roman" w:hAnsi="Times New Roman"/>
          <w:sz w:val="24"/>
          <w:szCs w:val="24"/>
        </w:rPr>
        <w:t>F</w:t>
      </w:r>
      <w:r w:rsidRPr="00286395">
        <w:rPr>
          <w:rFonts w:ascii="Times New Roman" w:hAnsi="Times New Roman"/>
          <w:sz w:val="24"/>
          <w:szCs w:val="24"/>
        </w:rPr>
        <w:t xml:space="preserve"> ve vztahu k exportní pojišťovně, a tak vzniká hrozba, že</w:t>
      </w:r>
      <w:r w:rsidR="00630B41">
        <w:rPr>
          <w:rFonts w:ascii="Times New Roman" w:hAnsi="Times New Roman"/>
          <w:sz w:val="24"/>
          <w:szCs w:val="24"/>
        </w:rPr>
        <w:t> </w:t>
      </w:r>
      <w:r w:rsidRPr="00286395">
        <w:rPr>
          <w:rFonts w:ascii="Times New Roman" w:hAnsi="Times New Roman"/>
          <w:sz w:val="24"/>
          <w:szCs w:val="24"/>
        </w:rPr>
        <w:t xml:space="preserve">tyto kontrolní pravomoci jsou vymezeny nejednoznačně. </w:t>
      </w:r>
      <w:r w:rsidR="00BA3EFA" w:rsidRPr="00286395">
        <w:rPr>
          <w:rFonts w:ascii="Times New Roman" w:hAnsi="Times New Roman"/>
          <w:sz w:val="24"/>
          <w:szCs w:val="24"/>
        </w:rPr>
        <w:t>V současné době M</w:t>
      </w:r>
      <w:r w:rsidR="008B0C0B">
        <w:rPr>
          <w:rFonts w:ascii="Times New Roman" w:hAnsi="Times New Roman"/>
          <w:sz w:val="24"/>
          <w:szCs w:val="24"/>
        </w:rPr>
        <w:t>F</w:t>
      </w:r>
      <w:r w:rsidR="00BA3EFA" w:rsidRPr="00286395">
        <w:rPr>
          <w:rFonts w:ascii="Times New Roman" w:hAnsi="Times New Roman"/>
          <w:sz w:val="24"/>
          <w:szCs w:val="24"/>
        </w:rPr>
        <w:t xml:space="preserve"> vykonává </w:t>
      </w:r>
      <w:r w:rsidR="00BB436B" w:rsidRPr="00286395">
        <w:rPr>
          <w:rFonts w:ascii="Times New Roman" w:hAnsi="Times New Roman"/>
          <w:sz w:val="24"/>
          <w:szCs w:val="24"/>
        </w:rPr>
        <w:t xml:space="preserve">kontrolu hospodaření exportní pojišťovny </w:t>
      </w:r>
      <w:r w:rsidR="00BA3EFA" w:rsidRPr="00286395">
        <w:rPr>
          <w:rFonts w:ascii="Times New Roman" w:hAnsi="Times New Roman"/>
          <w:sz w:val="24"/>
          <w:szCs w:val="24"/>
        </w:rPr>
        <w:t>na základě pravidel pro</w:t>
      </w:r>
      <w:r w:rsidR="00B40BD5">
        <w:t> </w:t>
      </w:r>
      <w:r w:rsidR="00BA3EFA" w:rsidRPr="00286395">
        <w:rPr>
          <w:rFonts w:ascii="Times New Roman" w:hAnsi="Times New Roman"/>
          <w:sz w:val="24"/>
          <w:szCs w:val="24"/>
        </w:rPr>
        <w:t>poskytování dotace a zákona o finanční kontrole</w:t>
      </w:r>
      <w:r w:rsidR="00BB436B" w:rsidRPr="00286395">
        <w:rPr>
          <w:rFonts w:ascii="Times New Roman" w:hAnsi="Times New Roman"/>
          <w:sz w:val="24"/>
          <w:szCs w:val="24"/>
        </w:rPr>
        <w:t>.</w:t>
      </w:r>
      <w:r w:rsidR="002D6815" w:rsidRPr="00286395">
        <w:rPr>
          <w:rFonts w:ascii="Times New Roman" w:hAnsi="Times New Roman"/>
          <w:sz w:val="24"/>
          <w:szCs w:val="24"/>
        </w:rPr>
        <w:t xml:space="preserve"> Přestože tato situace dosud nenastala, není vyloučeno, že exportní pojišťovna by do budoucna mohla </w:t>
      </w:r>
      <w:r w:rsidR="00BC0B9B" w:rsidRPr="00286395">
        <w:rPr>
          <w:rFonts w:ascii="Times New Roman" w:hAnsi="Times New Roman"/>
          <w:sz w:val="24"/>
          <w:szCs w:val="24"/>
        </w:rPr>
        <w:t xml:space="preserve">průběh a závěry kontroly zpochybňovat z důvodu jejího nejednoznačného vymezení. </w:t>
      </w:r>
    </w:p>
    <w:p w14:paraId="4EBF682B" w14:textId="77777777" w:rsidR="002A692E" w:rsidRPr="00286395" w:rsidRDefault="002A692E" w:rsidP="00EB147E">
      <w:pPr>
        <w:spacing w:before="120" w:after="120"/>
        <w:ind w:left="360"/>
        <w:rPr>
          <w:rFonts w:ascii="Times New Roman" w:hAnsi="Times New Roman"/>
          <w:sz w:val="24"/>
          <w:szCs w:val="24"/>
        </w:rPr>
      </w:pPr>
      <w:r w:rsidRPr="00286395">
        <w:rPr>
          <w:rFonts w:ascii="Times New Roman" w:hAnsi="Times New Roman"/>
          <w:sz w:val="24"/>
          <w:szCs w:val="24"/>
        </w:rPr>
        <w:t xml:space="preserve">b) </w:t>
      </w:r>
      <w:r w:rsidRPr="00286395">
        <w:rPr>
          <w:rFonts w:ascii="Times New Roman" w:hAnsi="Times New Roman"/>
          <w:i/>
          <w:sz w:val="24"/>
          <w:szCs w:val="24"/>
        </w:rPr>
        <w:t>Varianta 1</w:t>
      </w:r>
      <w:r w:rsidRPr="00286395">
        <w:rPr>
          <w:rFonts w:ascii="Times New Roman" w:hAnsi="Times New Roman"/>
          <w:sz w:val="24"/>
          <w:szCs w:val="24"/>
        </w:rPr>
        <w:t xml:space="preserve"> – legislativní řešení - novela existujícího právního předpisu </w:t>
      </w:r>
    </w:p>
    <w:p w14:paraId="200C1F60" w14:textId="4F4B8A2A" w:rsidR="00CC02CB" w:rsidRPr="00286395" w:rsidRDefault="001764B6" w:rsidP="003B0E25">
      <w:pPr>
        <w:spacing w:before="120" w:after="120"/>
        <w:ind w:left="357"/>
        <w:jc w:val="both"/>
        <w:rPr>
          <w:rFonts w:ascii="Times New Roman" w:hAnsi="Times New Roman"/>
          <w:sz w:val="24"/>
          <w:szCs w:val="24"/>
        </w:rPr>
      </w:pPr>
      <w:r w:rsidRPr="00286395">
        <w:rPr>
          <w:rFonts w:ascii="Times New Roman" w:hAnsi="Times New Roman"/>
          <w:sz w:val="24"/>
          <w:szCs w:val="24"/>
        </w:rPr>
        <w:t xml:space="preserve">Na </w:t>
      </w:r>
      <w:r w:rsidR="00EA65EF" w:rsidRPr="00286395">
        <w:rPr>
          <w:rFonts w:ascii="Times New Roman" w:hAnsi="Times New Roman"/>
          <w:sz w:val="24"/>
          <w:szCs w:val="24"/>
        </w:rPr>
        <w:t>základě konzultací s M</w:t>
      </w:r>
      <w:r w:rsidR="008B0C0B">
        <w:rPr>
          <w:rFonts w:ascii="Times New Roman" w:hAnsi="Times New Roman"/>
          <w:sz w:val="24"/>
          <w:szCs w:val="24"/>
        </w:rPr>
        <w:t>F</w:t>
      </w:r>
      <w:r w:rsidR="00EA65EF" w:rsidRPr="00286395">
        <w:rPr>
          <w:rFonts w:ascii="Times New Roman" w:hAnsi="Times New Roman"/>
          <w:sz w:val="24"/>
          <w:szCs w:val="24"/>
        </w:rPr>
        <w:t xml:space="preserve"> i exportní pojiš</w:t>
      </w:r>
      <w:r w:rsidRPr="00286395">
        <w:rPr>
          <w:rFonts w:ascii="Times New Roman" w:hAnsi="Times New Roman"/>
          <w:sz w:val="24"/>
          <w:szCs w:val="24"/>
        </w:rPr>
        <w:t>ťovnou se</w:t>
      </w:r>
      <w:r w:rsidR="00EA65EF" w:rsidRPr="00286395">
        <w:rPr>
          <w:rFonts w:ascii="Times New Roman" w:hAnsi="Times New Roman"/>
          <w:sz w:val="24"/>
          <w:szCs w:val="24"/>
        </w:rPr>
        <w:t xml:space="preserve"> jako vhodné </w:t>
      </w:r>
      <w:r w:rsidR="00CC0D30">
        <w:rPr>
          <w:rFonts w:ascii="Times New Roman" w:hAnsi="Times New Roman"/>
          <w:sz w:val="24"/>
          <w:szCs w:val="24"/>
        </w:rPr>
        <w:t xml:space="preserve">jeví </w:t>
      </w:r>
      <w:r w:rsidR="00E14477" w:rsidRPr="00286395">
        <w:rPr>
          <w:rFonts w:ascii="Times New Roman" w:hAnsi="Times New Roman"/>
          <w:sz w:val="24"/>
          <w:szCs w:val="24"/>
        </w:rPr>
        <w:t xml:space="preserve">odstranit stávající stav, kdy jsou v zákoně </w:t>
      </w:r>
      <w:r w:rsidR="00001690" w:rsidRPr="0073392D">
        <w:rPr>
          <w:rFonts w:ascii="Times New Roman" w:hAnsi="Times New Roman"/>
          <w:sz w:val="24"/>
          <w:szCs w:val="24"/>
        </w:rPr>
        <w:t>č.</w:t>
      </w:r>
      <w:r w:rsidR="00546BFC">
        <w:rPr>
          <w:rFonts w:ascii="Times New Roman" w:hAnsi="Times New Roman"/>
          <w:sz w:val="24"/>
          <w:szCs w:val="24"/>
        </w:rPr>
        <w:t> </w:t>
      </w:r>
      <w:r w:rsidR="00001690" w:rsidRPr="0073392D">
        <w:rPr>
          <w:rFonts w:ascii="Times New Roman" w:hAnsi="Times New Roman"/>
          <w:sz w:val="24"/>
          <w:szCs w:val="24"/>
        </w:rPr>
        <w:t>58/1995 Sb.</w:t>
      </w:r>
      <w:r w:rsidR="00E14477" w:rsidRPr="00286395">
        <w:rPr>
          <w:rFonts w:ascii="Times New Roman" w:hAnsi="Times New Roman"/>
          <w:sz w:val="24"/>
          <w:szCs w:val="24"/>
        </w:rPr>
        <w:t xml:space="preserve"> nerovnoměrně specifikovány pouze kontrolní pravomoci M</w:t>
      </w:r>
      <w:r w:rsidR="008B0C0B">
        <w:rPr>
          <w:rFonts w:ascii="Times New Roman" w:hAnsi="Times New Roman"/>
          <w:sz w:val="24"/>
          <w:szCs w:val="24"/>
        </w:rPr>
        <w:t>F</w:t>
      </w:r>
      <w:r w:rsidR="00E14477" w:rsidRPr="00286395">
        <w:rPr>
          <w:rFonts w:ascii="Times New Roman" w:hAnsi="Times New Roman"/>
          <w:sz w:val="24"/>
          <w:szCs w:val="24"/>
        </w:rPr>
        <w:t xml:space="preserve"> vůči exportní bance, zatímco </w:t>
      </w:r>
      <w:r w:rsidR="0046337F" w:rsidRPr="00286395">
        <w:rPr>
          <w:rFonts w:ascii="Times New Roman" w:hAnsi="Times New Roman"/>
          <w:sz w:val="24"/>
          <w:szCs w:val="24"/>
        </w:rPr>
        <w:t>kontrolní pravomoci vůči exportní pojišťovně zákon</w:t>
      </w:r>
      <w:r w:rsidR="00001690">
        <w:rPr>
          <w:rFonts w:ascii="Times New Roman" w:hAnsi="Times New Roman"/>
          <w:sz w:val="24"/>
          <w:szCs w:val="24"/>
        </w:rPr>
        <w:t xml:space="preserve"> </w:t>
      </w:r>
      <w:r w:rsidR="00546BFC" w:rsidRPr="0073392D">
        <w:rPr>
          <w:rFonts w:ascii="Times New Roman" w:hAnsi="Times New Roman"/>
          <w:sz w:val="24"/>
          <w:szCs w:val="24"/>
        </w:rPr>
        <w:t>č.</w:t>
      </w:r>
      <w:r w:rsidR="00546BFC">
        <w:rPr>
          <w:rFonts w:ascii="Times New Roman" w:hAnsi="Times New Roman"/>
          <w:sz w:val="24"/>
          <w:szCs w:val="24"/>
        </w:rPr>
        <w:t> </w:t>
      </w:r>
      <w:r w:rsidR="00001690" w:rsidRPr="0073392D">
        <w:rPr>
          <w:rFonts w:ascii="Times New Roman" w:hAnsi="Times New Roman"/>
          <w:sz w:val="24"/>
          <w:szCs w:val="24"/>
        </w:rPr>
        <w:t>58/1995 Sb.</w:t>
      </w:r>
      <w:r w:rsidR="0046337F" w:rsidRPr="00286395">
        <w:rPr>
          <w:rFonts w:ascii="Times New Roman" w:hAnsi="Times New Roman"/>
          <w:sz w:val="24"/>
          <w:szCs w:val="24"/>
        </w:rPr>
        <w:t xml:space="preserve"> explicitně neřeší.</w:t>
      </w:r>
      <w:r w:rsidR="00E553E1" w:rsidRPr="00286395">
        <w:rPr>
          <w:rFonts w:ascii="Times New Roman" w:hAnsi="Times New Roman"/>
          <w:sz w:val="24"/>
          <w:szCs w:val="24"/>
        </w:rPr>
        <w:t xml:space="preserve"> Navrhuje se tedy, analogicky s ustanovením o kontrole v exportní bance, aby M</w:t>
      </w:r>
      <w:r w:rsidR="008B0C0B">
        <w:rPr>
          <w:rFonts w:ascii="Times New Roman" w:hAnsi="Times New Roman"/>
          <w:sz w:val="24"/>
          <w:szCs w:val="24"/>
        </w:rPr>
        <w:t>F</w:t>
      </w:r>
      <w:r w:rsidR="00E553E1" w:rsidRPr="00286395">
        <w:rPr>
          <w:rFonts w:ascii="Times New Roman" w:hAnsi="Times New Roman"/>
          <w:sz w:val="24"/>
          <w:szCs w:val="24"/>
        </w:rPr>
        <w:t xml:space="preserve"> bylo p</w:t>
      </w:r>
      <w:r w:rsidR="00E14477" w:rsidRPr="00286395">
        <w:rPr>
          <w:rFonts w:ascii="Times New Roman" w:hAnsi="Times New Roman"/>
          <w:sz w:val="24"/>
          <w:szCs w:val="24"/>
        </w:rPr>
        <w:t>o obdržení žádosti o dotaci ze</w:t>
      </w:r>
      <w:r w:rsidR="00820ABE">
        <w:rPr>
          <w:rFonts w:ascii="Times New Roman" w:hAnsi="Times New Roman"/>
          <w:sz w:val="24"/>
          <w:szCs w:val="24"/>
        </w:rPr>
        <w:t> </w:t>
      </w:r>
      <w:r w:rsidR="00E14477" w:rsidRPr="00286395">
        <w:rPr>
          <w:rFonts w:ascii="Times New Roman" w:hAnsi="Times New Roman"/>
          <w:sz w:val="24"/>
          <w:szCs w:val="24"/>
        </w:rPr>
        <w:t>státního rozpočtu oprávněno provést kontrolu</w:t>
      </w:r>
      <w:r w:rsidR="00101110">
        <w:rPr>
          <w:rFonts w:ascii="Times New Roman" w:hAnsi="Times New Roman"/>
          <w:sz w:val="24"/>
          <w:szCs w:val="24"/>
        </w:rPr>
        <w:t xml:space="preserve"> dotací</w:t>
      </w:r>
      <w:r w:rsidR="007A4285">
        <w:rPr>
          <w:rFonts w:ascii="Times New Roman" w:hAnsi="Times New Roman"/>
          <w:sz w:val="24"/>
          <w:szCs w:val="24"/>
        </w:rPr>
        <w:t xml:space="preserve"> </w:t>
      </w:r>
      <w:r w:rsidR="00E14477" w:rsidRPr="00286395">
        <w:rPr>
          <w:rFonts w:ascii="Times New Roman" w:hAnsi="Times New Roman"/>
          <w:sz w:val="24"/>
          <w:szCs w:val="24"/>
        </w:rPr>
        <w:t xml:space="preserve">exportní pojišťovny. </w:t>
      </w:r>
      <w:r w:rsidR="00E23F78" w:rsidRPr="00286395">
        <w:rPr>
          <w:rFonts w:ascii="Times New Roman" w:hAnsi="Times New Roman"/>
          <w:sz w:val="24"/>
          <w:szCs w:val="24"/>
        </w:rPr>
        <w:t xml:space="preserve">Tomu odpovídá povinnost exportní pojišťovny na žádost </w:t>
      </w:r>
      <w:r w:rsidR="00810B0D" w:rsidRPr="00286395">
        <w:rPr>
          <w:rFonts w:ascii="Times New Roman" w:hAnsi="Times New Roman"/>
          <w:sz w:val="24"/>
          <w:szCs w:val="24"/>
        </w:rPr>
        <w:t>M</w:t>
      </w:r>
      <w:r w:rsidR="008B0C0B">
        <w:rPr>
          <w:rFonts w:ascii="Times New Roman" w:hAnsi="Times New Roman"/>
          <w:sz w:val="24"/>
          <w:szCs w:val="24"/>
        </w:rPr>
        <w:t>F</w:t>
      </w:r>
      <w:r w:rsidR="00E14477" w:rsidRPr="00286395">
        <w:rPr>
          <w:rFonts w:ascii="Times New Roman" w:hAnsi="Times New Roman"/>
          <w:sz w:val="24"/>
          <w:szCs w:val="24"/>
        </w:rPr>
        <w:t xml:space="preserve"> předložit </w:t>
      </w:r>
      <w:r w:rsidR="00101110">
        <w:rPr>
          <w:rFonts w:ascii="Times New Roman" w:hAnsi="Times New Roman"/>
          <w:sz w:val="24"/>
          <w:szCs w:val="24"/>
        </w:rPr>
        <w:t xml:space="preserve">příslušné </w:t>
      </w:r>
      <w:r w:rsidR="00E14477" w:rsidRPr="00286395">
        <w:rPr>
          <w:rFonts w:ascii="Times New Roman" w:hAnsi="Times New Roman"/>
          <w:sz w:val="24"/>
          <w:szCs w:val="24"/>
        </w:rPr>
        <w:t>údaje a</w:t>
      </w:r>
      <w:r w:rsidR="00820ABE">
        <w:rPr>
          <w:rFonts w:ascii="Times New Roman" w:hAnsi="Times New Roman"/>
          <w:sz w:val="24"/>
          <w:szCs w:val="24"/>
        </w:rPr>
        <w:t> </w:t>
      </w:r>
      <w:r w:rsidR="00E14477" w:rsidRPr="00286395">
        <w:rPr>
          <w:rFonts w:ascii="Times New Roman" w:hAnsi="Times New Roman"/>
          <w:sz w:val="24"/>
          <w:szCs w:val="24"/>
        </w:rPr>
        <w:t>dokumenty, jakož i poskytnout M</w:t>
      </w:r>
      <w:r w:rsidR="008B0C0B">
        <w:rPr>
          <w:rFonts w:ascii="Times New Roman" w:hAnsi="Times New Roman"/>
          <w:sz w:val="24"/>
          <w:szCs w:val="24"/>
        </w:rPr>
        <w:t>F</w:t>
      </w:r>
      <w:r w:rsidR="00E14477" w:rsidRPr="00286395">
        <w:rPr>
          <w:rFonts w:ascii="Times New Roman" w:hAnsi="Times New Roman"/>
          <w:sz w:val="24"/>
          <w:szCs w:val="24"/>
        </w:rPr>
        <w:t xml:space="preserve"> při provádění kontroly potřebnou součinnost</w:t>
      </w:r>
      <w:r w:rsidR="00E14477" w:rsidRPr="00946832">
        <w:rPr>
          <w:rFonts w:ascii="Times New Roman" w:hAnsi="Times New Roman"/>
          <w:sz w:val="24"/>
          <w:szCs w:val="24"/>
        </w:rPr>
        <w:t>.</w:t>
      </w:r>
      <w:r w:rsidR="0041279F" w:rsidRPr="00946832">
        <w:rPr>
          <w:rFonts w:ascii="Times New Roman" w:hAnsi="Times New Roman"/>
          <w:sz w:val="24"/>
          <w:szCs w:val="24"/>
        </w:rPr>
        <w:t xml:space="preserve"> </w:t>
      </w:r>
      <w:r w:rsidR="00F054EE" w:rsidRPr="00946832">
        <w:rPr>
          <w:rFonts w:ascii="Times New Roman" w:hAnsi="Times New Roman"/>
          <w:sz w:val="24"/>
          <w:szCs w:val="24"/>
        </w:rPr>
        <w:t xml:space="preserve">Změna legislativního řešení je navrhována zejména kvůli možnosti v exportní pojišťovně zkontrolovat, zda je v souvislosti s poskytnutými dotacemi ze státního rozpočtu </w:t>
      </w:r>
      <w:r w:rsidR="001A764F" w:rsidRPr="00946832">
        <w:rPr>
          <w:rFonts w:ascii="Times New Roman" w:hAnsi="Times New Roman"/>
          <w:sz w:val="24"/>
          <w:szCs w:val="24"/>
        </w:rPr>
        <w:t>nakládáno s těmito peněžními prostředky (tj. i s majetkem státu) hospodárně</w:t>
      </w:r>
      <w:r w:rsidR="00954842">
        <w:rPr>
          <w:rFonts w:ascii="Times New Roman" w:hAnsi="Times New Roman"/>
          <w:sz w:val="24"/>
          <w:szCs w:val="24"/>
        </w:rPr>
        <w:t>.</w:t>
      </w:r>
    </w:p>
    <w:p w14:paraId="0C1C72FB" w14:textId="2A8B40AB" w:rsidR="00734882" w:rsidRDefault="00734882">
      <w:pPr>
        <w:overflowPunct/>
        <w:autoSpaceDE/>
        <w:autoSpaceDN/>
        <w:adjustRightInd/>
        <w:spacing w:after="0" w:line="240" w:lineRule="auto"/>
        <w:textAlignment w:val="auto"/>
        <w:rPr>
          <w:rFonts w:ascii="Times New Roman" w:hAnsi="Times New Roman"/>
          <w:b/>
          <w:sz w:val="24"/>
          <w:szCs w:val="24"/>
        </w:rPr>
      </w:pPr>
    </w:p>
    <w:p w14:paraId="3A73B723" w14:textId="77777777" w:rsidR="00F051FD" w:rsidRPr="00286395" w:rsidRDefault="00F051FD" w:rsidP="00B22FAC">
      <w:pPr>
        <w:spacing w:before="120" w:after="120"/>
        <w:ind w:left="357" w:right="357"/>
        <w:rPr>
          <w:rFonts w:ascii="Times New Roman" w:hAnsi="Times New Roman"/>
          <w:b/>
          <w:sz w:val="24"/>
          <w:szCs w:val="24"/>
        </w:rPr>
      </w:pPr>
      <w:r w:rsidRPr="00286395">
        <w:rPr>
          <w:rFonts w:ascii="Times New Roman" w:hAnsi="Times New Roman"/>
          <w:b/>
          <w:sz w:val="24"/>
          <w:szCs w:val="24"/>
        </w:rPr>
        <w:t>3. Vyhodnocení nákladů a přínosů</w:t>
      </w:r>
    </w:p>
    <w:p w14:paraId="04459D26" w14:textId="77777777" w:rsidR="00564BE9" w:rsidRPr="00286395" w:rsidRDefault="00564BE9" w:rsidP="00BD3E0C">
      <w:pPr>
        <w:keepNext/>
        <w:spacing w:before="120" w:after="120"/>
        <w:ind w:left="357" w:right="357"/>
        <w:contextualSpacing/>
        <w:jc w:val="both"/>
        <w:rPr>
          <w:rFonts w:ascii="Times New Roman" w:hAnsi="Times New Roman"/>
          <w:b/>
          <w:sz w:val="24"/>
          <w:szCs w:val="24"/>
        </w:rPr>
      </w:pPr>
      <w:r w:rsidRPr="00286395">
        <w:rPr>
          <w:rFonts w:ascii="Times New Roman" w:hAnsi="Times New Roman"/>
          <w:b/>
          <w:sz w:val="24"/>
          <w:szCs w:val="24"/>
        </w:rPr>
        <w:t>Nákla</w:t>
      </w:r>
      <w:r w:rsidR="00C51552">
        <w:rPr>
          <w:rFonts w:ascii="Times New Roman" w:hAnsi="Times New Roman"/>
          <w:b/>
          <w:sz w:val="24"/>
          <w:szCs w:val="24"/>
        </w:rPr>
        <w:t xml:space="preserve">dy a přínosy (A) Flexibilnější </w:t>
      </w:r>
      <w:r w:rsidRPr="00286395">
        <w:rPr>
          <w:rFonts w:ascii="Times New Roman" w:hAnsi="Times New Roman"/>
          <w:b/>
          <w:sz w:val="24"/>
          <w:szCs w:val="24"/>
        </w:rPr>
        <w:t>nabídka exportní pojišťovny a exportní banky</w:t>
      </w:r>
    </w:p>
    <w:p w14:paraId="7DAA6FB3" w14:textId="77777777" w:rsidR="00564BE9" w:rsidRPr="00286395" w:rsidRDefault="00564BE9" w:rsidP="009279C1">
      <w:pPr>
        <w:keepNext/>
        <w:spacing w:before="120" w:after="120"/>
        <w:ind w:left="360" w:right="357"/>
        <w:contextualSpacing/>
        <w:rPr>
          <w:rFonts w:ascii="Times New Roman" w:hAnsi="Times New Roman"/>
          <w:b/>
          <w:sz w:val="24"/>
          <w:szCs w:val="24"/>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3"/>
        <w:gridCol w:w="3055"/>
        <w:gridCol w:w="3055"/>
      </w:tblGrid>
      <w:tr w:rsidR="00962AB2" w:rsidRPr="00286395" w14:paraId="640DB561" w14:textId="77777777" w:rsidTr="00962AB2">
        <w:trPr>
          <w:trHeight w:val="708"/>
        </w:trPr>
        <w:tc>
          <w:tcPr>
            <w:tcW w:w="2253" w:type="dxa"/>
            <w:tcBorders>
              <w:top w:val="single" w:sz="4" w:space="0" w:color="auto"/>
              <w:left w:val="single" w:sz="4" w:space="0" w:color="auto"/>
              <w:bottom w:val="single" w:sz="4" w:space="0" w:color="auto"/>
              <w:right w:val="single" w:sz="4" w:space="0" w:color="auto"/>
            </w:tcBorders>
            <w:vAlign w:val="center"/>
          </w:tcPr>
          <w:p w14:paraId="0E8C2F60" w14:textId="77777777" w:rsidR="00962AB2" w:rsidRPr="00286395" w:rsidRDefault="00962AB2" w:rsidP="00046E09">
            <w:pPr>
              <w:keepLines/>
              <w:tabs>
                <w:tab w:val="left" w:pos="709"/>
              </w:tabs>
              <w:spacing w:after="120" w:line="300" w:lineRule="exact"/>
              <w:ind w:right="357"/>
              <w:rPr>
                <w:rFonts w:ascii="Times New Roman" w:hAnsi="Times New Roman"/>
                <w:b/>
                <w:sz w:val="24"/>
                <w:szCs w:val="24"/>
              </w:rPr>
            </w:pPr>
            <w:r w:rsidRPr="00286395">
              <w:rPr>
                <w:rFonts w:ascii="Times New Roman" w:hAnsi="Times New Roman"/>
                <w:b/>
                <w:sz w:val="24"/>
                <w:szCs w:val="24"/>
              </w:rPr>
              <w:t>VARIANTA</w:t>
            </w:r>
          </w:p>
        </w:tc>
        <w:tc>
          <w:tcPr>
            <w:tcW w:w="3055" w:type="dxa"/>
            <w:tcBorders>
              <w:top w:val="single" w:sz="4" w:space="0" w:color="auto"/>
              <w:left w:val="single" w:sz="4" w:space="0" w:color="auto"/>
              <w:bottom w:val="single" w:sz="4" w:space="0" w:color="auto"/>
              <w:right w:val="single" w:sz="4" w:space="0" w:color="auto"/>
            </w:tcBorders>
            <w:vAlign w:val="center"/>
          </w:tcPr>
          <w:p w14:paraId="33022767" w14:textId="77777777" w:rsidR="00962AB2" w:rsidRPr="00286395" w:rsidRDefault="00962AB2" w:rsidP="00046E09">
            <w:pPr>
              <w:keepLines/>
              <w:tabs>
                <w:tab w:val="left" w:pos="709"/>
              </w:tabs>
              <w:spacing w:after="120" w:line="300" w:lineRule="exact"/>
              <w:ind w:right="357"/>
              <w:rPr>
                <w:rFonts w:ascii="Times New Roman" w:hAnsi="Times New Roman"/>
                <w:b/>
                <w:sz w:val="24"/>
                <w:szCs w:val="24"/>
              </w:rPr>
            </w:pPr>
            <w:r w:rsidRPr="00286395">
              <w:rPr>
                <w:rFonts w:ascii="Times New Roman" w:hAnsi="Times New Roman"/>
                <w:b/>
                <w:sz w:val="24"/>
                <w:szCs w:val="24"/>
              </w:rPr>
              <w:t>PŘÍNOSY</w:t>
            </w:r>
          </w:p>
        </w:tc>
        <w:tc>
          <w:tcPr>
            <w:tcW w:w="3055" w:type="dxa"/>
            <w:tcBorders>
              <w:top w:val="single" w:sz="4" w:space="0" w:color="auto"/>
              <w:left w:val="single" w:sz="4" w:space="0" w:color="auto"/>
              <w:bottom w:val="single" w:sz="4" w:space="0" w:color="auto"/>
              <w:right w:val="single" w:sz="4" w:space="0" w:color="auto"/>
            </w:tcBorders>
            <w:vAlign w:val="center"/>
          </w:tcPr>
          <w:p w14:paraId="74AE76BA" w14:textId="77777777" w:rsidR="00962AB2" w:rsidRPr="00286395" w:rsidRDefault="00962AB2" w:rsidP="00046E09">
            <w:pPr>
              <w:keepLines/>
              <w:tabs>
                <w:tab w:val="left" w:pos="709"/>
              </w:tabs>
              <w:spacing w:after="120" w:line="300" w:lineRule="exact"/>
              <w:ind w:right="357"/>
              <w:rPr>
                <w:rFonts w:ascii="Times New Roman" w:hAnsi="Times New Roman"/>
                <w:b/>
                <w:sz w:val="24"/>
                <w:szCs w:val="24"/>
              </w:rPr>
            </w:pPr>
            <w:r w:rsidRPr="00286395">
              <w:rPr>
                <w:rFonts w:ascii="Times New Roman" w:hAnsi="Times New Roman"/>
                <w:b/>
                <w:sz w:val="24"/>
                <w:szCs w:val="24"/>
              </w:rPr>
              <w:t>NÁKLADY</w:t>
            </w:r>
          </w:p>
        </w:tc>
      </w:tr>
      <w:tr w:rsidR="00962AB2" w:rsidRPr="00286395" w14:paraId="30A6743D" w14:textId="77777777" w:rsidTr="00962AB2">
        <w:trPr>
          <w:trHeight w:val="2042"/>
        </w:trPr>
        <w:tc>
          <w:tcPr>
            <w:tcW w:w="2253" w:type="dxa"/>
            <w:tcBorders>
              <w:top w:val="single" w:sz="4" w:space="0" w:color="auto"/>
              <w:left w:val="single" w:sz="4" w:space="0" w:color="auto"/>
              <w:bottom w:val="single" w:sz="4" w:space="0" w:color="auto"/>
              <w:right w:val="single" w:sz="4" w:space="0" w:color="auto"/>
            </w:tcBorders>
            <w:vAlign w:val="center"/>
          </w:tcPr>
          <w:p w14:paraId="7CF43528" w14:textId="77777777" w:rsidR="00962AB2" w:rsidRPr="00286395" w:rsidRDefault="00962AB2" w:rsidP="00046E09">
            <w:pPr>
              <w:keepLines/>
              <w:tabs>
                <w:tab w:val="left" w:pos="34"/>
              </w:tabs>
              <w:spacing w:after="0"/>
              <w:jc w:val="both"/>
              <w:rPr>
                <w:rFonts w:ascii="Times New Roman" w:hAnsi="Times New Roman"/>
                <w:sz w:val="24"/>
                <w:szCs w:val="24"/>
              </w:rPr>
            </w:pPr>
            <w:r w:rsidRPr="00286395">
              <w:rPr>
                <w:rFonts w:ascii="Times New Roman" w:hAnsi="Times New Roman"/>
                <w:b/>
                <w:sz w:val="24"/>
                <w:szCs w:val="24"/>
              </w:rPr>
              <w:t>„nulová“</w:t>
            </w:r>
          </w:p>
        </w:tc>
        <w:tc>
          <w:tcPr>
            <w:tcW w:w="3055" w:type="dxa"/>
            <w:tcBorders>
              <w:top w:val="single" w:sz="4" w:space="0" w:color="auto"/>
              <w:left w:val="single" w:sz="4" w:space="0" w:color="auto"/>
              <w:bottom w:val="single" w:sz="4" w:space="0" w:color="auto"/>
              <w:right w:val="single" w:sz="4" w:space="0" w:color="auto"/>
            </w:tcBorders>
          </w:tcPr>
          <w:p w14:paraId="3FA84774" w14:textId="77777777" w:rsidR="00962AB2" w:rsidRPr="00286395" w:rsidRDefault="00962AB2" w:rsidP="00046E0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Beze změn</w:t>
            </w:r>
          </w:p>
          <w:p w14:paraId="35C9F3CD" w14:textId="77777777" w:rsidR="00962AB2" w:rsidRPr="00286395" w:rsidRDefault="00962AB2" w:rsidP="00046E09">
            <w:pPr>
              <w:keepLines/>
              <w:tabs>
                <w:tab w:val="left" w:pos="709"/>
              </w:tabs>
              <w:spacing w:after="120" w:line="300" w:lineRule="exact"/>
              <w:jc w:val="both"/>
              <w:rPr>
                <w:rFonts w:ascii="Times New Roman" w:hAnsi="Times New Roman"/>
                <w:sz w:val="24"/>
                <w:szCs w:val="24"/>
              </w:rPr>
            </w:pPr>
          </w:p>
          <w:p w14:paraId="1F9ABDF7" w14:textId="77777777" w:rsidR="00962AB2" w:rsidRPr="00286395" w:rsidRDefault="00962AB2" w:rsidP="00046E09">
            <w:pPr>
              <w:keepLines/>
              <w:tabs>
                <w:tab w:val="left" w:pos="709"/>
              </w:tabs>
              <w:spacing w:after="120" w:line="300" w:lineRule="exact"/>
              <w:jc w:val="both"/>
              <w:rPr>
                <w:rFonts w:ascii="Times New Roman" w:hAnsi="Times New Roman"/>
                <w:sz w:val="24"/>
                <w:szCs w:val="24"/>
              </w:rPr>
            </w:pPr>
          </w:p>
          <w:p w14:paraId="0E7672F1" w14:textId="77777777" w:rsidR="00962AB2" w:rsidRPr="00286395" w:rsidRDefault="00962AB2" w:rsidP="00046E09">
            <w:pPr>
              <w:keepLines/>
              <w:tabs>
                <w:tab w:val="left" w:pos="709"/>
              </w:tabs>
              <w:spacing w:after="120" w:line="300" w:lineRule="exact"/>
              <w:jc w:val="both"/>
              <w:rPr>
                <w:rFonts w:ascii="Times New Roman" w:hAnsi="Times New Roman"/>
                <w:sz w:val="24"/>
                <w:szCs w:val="24"/>
              </w:rPr>
            </w:pPr>
          </w:p>
          <w:p w14:paraId="71244297" w14:textId="77777777" w:rsidR="00962AB2" w:rsidRPr="00286395" w:rsidRDefault="00962AB2" w:rsidP="00046E09">
            <w:pPr>
              <w:keepLines/>
              <w:tabs>
                <w:tab w:val="left" w:pos="709"/>
              </w:tabs>
              <w:spacing w:after="120" w:line="300" w:lineRule="exact"/>
              <w:jc w:val="both"/>
              <w:rPr>
                <w:rFonts w:ascii="Times New Roman" w:hAnsi="Times New Roman"/>
                <w:b/>
                <w:sz w:val="24"/>
                <w:szCs w:val="24"/>
              </w:rPr>
            </w:pPr>
          </w:p>
        </w:tc>
        <w:tc>
          <w:tcPr>
            <w:tcW w:w="3055" w:type="dxa"/>
            <w:tcBorders>
              <w:top w:val="single" w:sz="4" w:space="0" w:color="auto"/>
              <w:left w:val="single" w:sz="4" w:space="0" w:color="auto"/>
              <w:bottom w:val="single" w:sz="4" w:space="0" w:color="auto"/>
              <w:right w:val="single" w:sz="4" w:space="0" w:color="auto"/>
            </w:tcBorders>
          </w:tcPr>
          <w:p w14:paraId="171BA028" w14:textId="77777777" w:rsidR="00962AB2" w:rsidRPr="00286395" w:rsidRDefault="00962AB2" w:rsidP="00046E09">
            <w:pPr>
              <w:keepLines/>
              <w:tabs>
                <w:tab w:val="left" w:pos="709"/>
                <w:tab w:val="left" w:pos="2482"/>
              </w:tabs>
              <w:spacing w:after="120" w:line="300" w:lineRule="exact"/>
              <w:jc w:val="both"/>
              <w:rPr>
                <w:rFonts w:ascii="Times New Roman" w:hAnsi="Times New Roman"/>
                <w:sz w:val="24"/>
                <w:szCs w:val="24"/>
              </w:rPr>
            </w:pPr>
            <w:r w:rsidRPr="00286395">
              <w:rPr>
                <w:rFonts w:ascii="Times New Roman" w:hAnsi="Times New Roman"/>
                <w:sz w:val="24"/>
                <w:szCs w:val="24"/>
              </w:rPr>
              <w:t>Makroekonomické náklady plynoucí z neflexibilních nástrojů exportní pojišťovny a exportní banky nereflektujících aktuální potřeby trhu</w:t>
            </w:r>
          </w:p>
          <w:p w14:paraId="19DBD768" w14:textId="77777777" w:rsidR="00962AB2" w:rsidRPr="00286395" w:rsidRDefault="00962AB2" w:rsidP="00046E0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Mikroekonomické náklady plynoucí z klesající konkurenceschopnosti ex</w:t>
            </w:r>
            <w:r w:rsidR="008E25AF">
              <w:rPr>
                <w:rFonts w:ascii="Times New Roman" w:hAnsi="Times New Roman"/>
                <w:sz w:val="24"/>
                <w:szCs w:val="24"/>
              </w:rPr>
              <w:t xml:space="preserve">- </w:t>
            </w:r>
            <w:proofErr w:type="spellStart"/>
            <w:r w:rsidRPr="00286395">
              <w:rPr>
                <w:rFonts w:ascii="Times New Roman" w:hAnsi="Times New Roman"/>
                <w:sz w:val="24"/>
                <w:szCs w:val="24"/>
              </w:rPr>
              <w:t>portně</w:t>
            </w:r>
            <w:proofErr w:type="spellEnd"/>
            <w:r w:rsidRPr="00286395">
              <w:rPr>
                <w:rFonts w:ascii="Times New Roman" w:hAnsi="Times New Roman"/>
                <w:sz w:val="24"/>
                <w:szCs w:val="24"/>
              </w:rPr>
              <w:t xml:space="preserve"> orientovaných podniků</w:t>
            </w:r>
          </w:p>
          <w:p w14:paraId="21E35F17" w14:textId="77777777" w:rsidR="00962AB2" w:rsidRPr="00286395" w:rsidRDefault="00962AB2" w:rsidP="00046E0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Náklady průběžného zastará</w:t>
            </w:r>
            <w:r w:rsidR="00C062E9">
              <w:rPr>
                <w:rFonts w:ascii="Times New Roman" w:hAnsi="Times New Roman"/>
                <w:sz w:val="24"/>
                <w:szCs w:val="24"/>
              </w:rPr>
              <w:softHyphen/>
            </w:r>
            <w:r w:rsidRPr="00286395">
              <w:rPr>
                <w:rFonts w:ascii="Times New Roman" w:hAnsi="Times New Roman"/>
                <w:sz w:val="24"/>
                <w:szCs w:val="24"/>
              </w:rPr>
              <w:t>vání nabídky exportní pojiš</w:t>
            </w:r>
            <w:r w:rsidR="00C062E9">
              <w:rPr>
                <w:rFonts w:ascii="Times New Roman" w:hAnsi="Times New Roman"/>
                <w:sz w:val="24"/>
                <w:szCs w:val="24"/>
              </w:rPr>
              <w:softHyphen/>
            </w:r>
            <w:r w:rsidRPr="00286395">
              <w:rPr>
                <w:rFonts w:ascii="Times New Roman" w:hAnsi="Times New Roman"/>
                <w:sz w:val="24"/>
                <w:szCs w:val="24"/>
              </w:rPr>
              <w:t>ťovny a</w:t>
            </w:r>
            <w:r w:rsidR="005D6413">
              <w:rPr>
                <w:rFonts w:ascii="Times New Roman" w:hAnsi="Times New Roman"/>
                <w:sz w:val="24"/>
                <w:szCs w:val="24"/>
              </w:rPr>
              <w:t> </w:t>
            </w:r>
            <w:r w:rsidRPr="00286395">
              <w:rPr>
                <w:rFonts w:ascii="Times New Roman" w:hAnsi="Times New Roman"/>
                <w:sz w:val="24"/>
                <w:szCs w:val="24"/>
              </w:rPr>
              <w:t>exportní banky v</w:t>
            </w:r>
            <w:r w:rsidR="00C062E9">
              <w:rPr>
                <w:rFonts w:ascii="Times New Roman" w:hAnsi="Times New Roman"/>
                <w:sz w:val="24"/>
                <w:szCs w:val="24"/>
              </w:rPr>
              <w:t> </w:t>
            </w:r>
            <w:r w:rsidRPr="00286395">
              <w:rPr>
                <w:rFonts w:ascii="Times New Roman" w:hAnsi="Times New Roman"/>
                <w:sz w:val="24"/>
                <w:szCs w:val="24"/>
              </w:rPr>
              <w:t>čase</w:t>
            </w:r>
          </w:p>
          <w:p w14:paraId="2AC3B293" w14:textId="77777777" w:rsidR="00962AB2" w:rsidRPr="00286395" w:rsidRDefault="00962AB2" w:rsidP="00046E0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Náklady plynoucí z poklesu relativní konkurenceschop</w:t>
            </w:r>
            <w:r w:rsidR="00C062E9">
              <w:rPr>
                <w:rFonts w:ascii="Times New Roman" w:hAnsi="Times New Roman"/>
                <w:sz w:val="24"/>
                <w:szCs w:val="24"/>
              </w:rPr>
              <w:softHyphen/>
            </w:r>
            <w:r w:rsidRPr="00286395">
              <w:rPr>
                <w:rFonts w:ascii="Times New Roman" w:hAnsi="Times New Roman"/>
                <w:sz w:val="24"/>
                <w:szCs w:val="24"/>
              </w:rPr>
              <w:t>nosti exportní pojišťovny a</w:t>
            </w:r>
            <w:r w:rsidR="00F44785">
              <w:rPr>
                <w:rFonts w:ascii="Times New Roman" w:hAnsi="Times New Roman"/>
                <w:sz w:val="24"/>
                <w:szCs w:val="24"/>
              </w:rPr>
              <w:t> </w:t>
            </w:r>
            <w:r w:rsidRPr="00286395">
              <w:rPr>
                <w:rFonts w:ascii="Times New Roman" w:hAnsi="Times New Roman"/>
                <w:sz w:val="24"/>
                <w:szCs w:val="24"/>
              </w:rPr>
              <w:t>exportní banky ve vztahu k </w:t>
            </w:r>
            <w:r w:rsidRPr="00286395">
              <w:rPr>
                <w:rFonts w:ascii="Times New Roman" w:hAnsi="Times New Roman"/>
                <w:bCs/>
                <w:iCs/>
                <w:sz w:val="24"/>
                <w:szCs w:val="24"/>
              </w:rPr>
              <w:t xml:space="preserve">zahraničním </w:t>
            </w:r>
            <w:proofErr w:type="spellStart"/>
            <w:r w:rsidRPr="00286395">
              <w:rPr>
                <w:rFonts w:ascii="Times New Roman" w:hAnsi="Times New Roman"/>
                <w:bCs/>
                <w:iCs/>
                <w:sz w:val="24"/>
                <w:szCs w:val="24"/>
              </w:rPr>
              <w:t>ECAs</w:t>
            </w:r>
            <w:proofErr w:type="spellEnd"/>
            <w:r w:rsidRPr="00286395">
              <w:rPr>
                <w:rFonts w:ascii="Times New Roman" w:hAnsi="Times New Roman"/>
                <w:sz w:val="24"/>
                <w:szCs w:val="24"/>
              </w:rPr>
              <w:t xml:space="preserve"> </w:t>
            </w:r>
          </w:p>
        </w:tc>
      </w:tr>
      <w:tr w:rsidR="00962AB2" w:rsidRPr="00286395" w14:paraId="53070AD6" w14:textId="77777777" w:rsidTr="00962AB2">
        <w:trPr>
          <w:trHeight w:val="708"/>
        </w:trPr>
        <w:tc>
          <w:tcPr>
            <w:tcW w:w="2253" w:type="dxa"/>
            <w:tcBorders>
              <w:top w:val="single" w:sz="4" w:space="0" w:color="auto"/>
              <w:left w:val="single" w:sz="4" w:space="0" w:color="auto"/>
              <w:bottom w:val="single" w:sz="4" w:space="0" w:color="auto"/>
              <w:right w:val="single" w:sz="4" w:space="0" w:color="auto"/>
            </w:tcBorders>
            <w:vAlign w:val="center"/>
          </w:tcPr>
          <w:p w14:paraId="7CC622E5" w14:textId="77777777" w:rsidR="00962AB2" w:rsidRPr="00286395" w:rsidRDefault="00962AB2" w:rsidP="00046E09">
            <w:pPr>
              <w:keepLines/>
              <w:tabs>
                <w:tab w:val="left" w:pos="34"/>
              </w:tabs>
              <w:spacing w:after="120" w:line="300" w:lineRule="exact"/>
              <w:jc w:val="both"/>
              <w:rPr>
                <w:rFonts w:ascii="Times New Roman" w:hAnsi="Times New Roman"/>
                <w:b/>
                <w:sz w:val="24"/>
                <w:szCs w:val="24"/>
              </w:rPr>
            </w:pPr>
            <w:r w:rsidRPr="00286395">
              <w:rPr>
                <w:rFonts w:ascii="Times New Roman" w:hAnsi="Times New Roman"/>
                <w:b/>
                <w:sz w:val="24"/>
                <w:szCs w:val="24"/>
              </w:rPr>
              <w:t>1</w:t>
            </w:r>
          </w:p>
          <w:p w14:paraId="5835AA1E" w14:textId="77777777" w:rsidR="00962AB2" w:rsidRPr="00286395" w:rsidRDefault="00962AB2" w:rsidP="008E25AF">
            <w:pPr>
              <w:keepLines/>
              <w:tabs>
                <w:tab w:val="left" w:pos="34"/>
              </w:tabs>
              <w:spacing w:after="120" w:line="300" w:lineRule="exact"/>
              <w:jc w:val="both"/>
              <w:rPr>
                <w:rFonts w:ascii="Times New Roman" w:hAnsi="Times New Roman"/>
                <w:b/>
                <w:sz w:val="24"/>
                <w:szCs w:val="24"/>
              </w:rPr>
            </w:pPr>
            <w:r w:rsidRPr="00286395">
              <w:rPr>
                <w:rFonts w:ascii="Times New Roman" w:hAnsi="Times New Roman"/>
                <w:sz w:val="24"/>
                <w:szCs w:val="24"/>
              </w:rPr>
              <w:t>legislativní řešení v podobě úpravy (rozšíření) taxativ</w:t>
            </w:r>
            <w:r w:rsidR="00C062E9">
              <w:rPr>
                <w:rFonts w:ascii="Times New Roman" w:hAnsi="Times New Roman"/>
                <w:sz w:val="24"/>
                <w:szCs w:val="24"/>
              </w:rPr>
              <w:softHyphen/>
            </w:r>
            <w:r w:rsidRPr="00286395">
              <w:rPr>
                <w:rFonts w:ascii="Times New Roman" w:hAnsi="Times New Roman"/>
                <w:sz w:val="24"/>
                <w:szCs w:val="24"/>
              </w:rPr>
              <w:t>ního výčtu nástrojů pojištění vývozních úvěrových rizik a</w:t>
            </w:r>
            <w:r w:rsidR="008E25AF">
              <w:rPr>
                <w:rFonts w:ascii="Times New Roman" w:hAnsi="Times New Roman"/>
                <w:sz w:val="24"/>
                <w:szCs w:val="24"/>
              </w:rPr>
              <w:t> </w:t>
            </w:r>
            <w:r w:rsidRPr="00286395">
              <w:rPr>
                <w:rFonts w:ascii="Times New Roman" w:hAnsi="Times New Roman"/>
                <w:sz w:val="24"/>
                <w:szCs w:val="24"/>
              </w:rPr>
              <w:t>podpořeného fi</w:t>
            </w:r>
            <w:r w:rsidR="008E25AF">
              <w:rPr>
                <w:rFonts w:ascii="Times New Roman" w:hAnsi="Times New Roman"/>
                <w:sz w:val="24"/>
                <w:szCs w:val="24"/>
              </w:rPr>
              <w:softHyphen/>
            </w:r>
            <w:r w:rsidRPr="00286395">
              <w:rPr>
                <w:rFonts w:ascii="Times New Roman" w:hAnsi="Times New Roman"/>
                <w:sz w:val="24"/>
                <w:szCs w:val="24"/>
              </w:rPr>
              <w:t>nancování</w:t>
            </w:r>
          </w:p>
        </w:tc>
        <w:tc>
          <w:tcPr>
            <w:tcW w:w="3055" w:type="dxa"/>
            <w:tcBorders>
              <w:top w:val="single" w:sz="4" w:space="0" w:color="auto"/>
              <w:left w:val="single" w:sz="4" w:space="0" w:color="auto"/>
              <w:bottom w:val="single" w:sz="4" w:space="0" w:color="auto"/>
              <w:right w:val="single" w:sz="4" w:space="0" w:color="auto"/>
            </w:tcBorders>
          </w:tcPr>
          <w:p w14:paraId="1DCC35B7" w14:textId="77777777" w:rsidR="00962AB2" w:rsidRPr="00286395" w:rsidRDefault="00962AB2" w:rsidP="00046E0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Částečné makroekonomické přínosy plynoucí z flexibil</w:t>
            </w:r>
            <w:r w:rsidR="00C062E9">
              <w:rPr>
                <w:rFonts w:ascii="Times New Roman" w:hAnsi="Times New Roman"/>
                <w:sz w:val="24"/>
                <w:szCs w:val="24"/>
              </w:rPr>
              <w:softHyphen/>
            </w:r>
            <w:r w:rsidRPr="00286395">
              <w:rPr>
                <w:rFonts w:ascii="Times New Roman" w:hAnsi="Times New Roman"/>
                <w:sz w:val="24"/>
                <w:szCs w:val="24"/>
              </w:rPr>
              <w:t>nější nabídky nástrojů ex</w:t>
            </w:r>
            <w:r w:rsidR="00C062E9">
              <w:rPr>
                <w:rFonts w:ascii="Times New Roman" w:hAnsi="Times New Roman"/>
                <w:sz w:val="24"/>
                <w:szCs w:val="24"/>
              </w:rPr>
              <w:softHyphen/>
            </w:r>
            <w:r w:rsidRPr="00286395">
              <w:rPr>
                <w:rFonts w:ascii="Times New Roman" w:hAnsi="Times New Roman"/>
                <w:sz w:val="24"/>
                <w:szCs w:val="24"/>
              </w:rPr>
              <w:t xml:space="preserve">portní pojišťovny a exportní banky </w:t>
            </w:r>
          </w:p>
          <w:p w14:paraId="3E3567C6" w14:textId="77777777" w:rsidR="00962AB2" w:rsidRPr="00286395" w:rsidRDefault="00962AB2" w:rsidP="00046E0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Mikroekonomické přínosy exportně orientovaných pod</w:t>
            </w:r>
            <w:r w:rsidR="00C062E9">
              <w:rPr>
                <w:rFonts w:ascii="Times New Roman" w:hAnsi="Times New Roman"/>
                <w:sz w:val="24"/>
                <w:szCs w:val="24"/>
              </w:rPr>
              <w:softHyphen/>
            </w:r>
            <w:r w:rsidRPr="00286395">
              <w:rPr>
                <w:rFonts w:ascii="Times New Roman" w:hAnsi="Times New Roman"/>
                <w:sz w:val="24"/>
                <w:szCs w:val="24"/>
              </w:rPr>
              <w:t>niků z bohatší nabídky ex</w:t>
            </w:r>
            <w:r w:rsidR="00C062E9">
              <w:rPr>
                <w:rFonts w:ascii="Times New Roman" w:hAnsi="Times New Roman"/>
                <w:sz w:val="24"/>
                <w:szCs w:val="24"/>
              </w:rPr>
              <w:softHyphen/>
            </w:r>
            <w:r w:rsidRPr="00286395">
              <w:rPr>
                <w:rFonts w:ascii="Times New Roman" w:hAnsi="Times New Roman"/>
                <w:sz w:val="24"/>
                <w:szCs w:val="24"/>
              </w:rPr>
              <w:t>portní pojišťovny a</w:t>
            </w:r>
            <w:r w:rsidR="00026B99">
              <w:rPr>
                <w:rFonts w:ascii="Times New Roman" w:hAnsi="Times New Roman"/>
                <w:sz w:val="24"/>
                <w:szCs w:val="24"/>
              </w:rPr>
              <w:t> </w:t>
            </w:r>
            <w:r w:rsidRPr="00286395">
              <w:rPr>
                <w:rFonts w:ascii="Times New Roman" w:hAnsi="Times New Roman"/>
                <w:sz w:val="24"/>
                <w:szCs w:val="24"/>
              </w:rPr>
              <w:t>exportní banky</w:t>
            </w:r>
          </w:p>
        </w:tc>
        <w:tc>
          <w:tcPr>
            <w:tcW w:w="3055" w:type="dxa"/>
            <w:tcBorders>
              <w:top w:val="single" w:sz="4" w:space="0" w:color="auto"/>
              <w:left w:val="single" w:sz="4" w:space="0" w:color="auto"/>
              <w:bottom w:val="single" w:sz="4" w:space="0" w:color="auto"/>
              <w:right w:val="single" w:sz="4" w:space="0" w:color="auto"/>
            </w:tcBorders>
          </w:tcPr>
          <w:p w14:paraId="21DAFCE9" w14:textId="77777777" w:rsidR="00962AB2" w:rsidRPr="00286395" w:rsidRDefault="00962AB2" w:rsidP="00046E0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Náklady exportní pojišťovny a exportní banky na</w:t>
            </w:r>
            <w:r w:rsidR="005D5F3A">
              <w:rPr>
                <w:rFonts w:ascii="Times New Roman" w:hAnsi="Times New Roman"/>
                <w:sz w:val="24"/>
                <w:szCs w:val="24"/>
              </w:rPr>
              <w:t> </w:t>
            </w:r>
            <w:r w:rsidRPr="00286395">
              <w:rPr>
                <w:rFonts w:ascii="Times New Roman" w:hAnsi="Times New Roman"/>
                <w:sz w:val="24"/>
                <w:szCs w:val="24"/>
              </w:rPr>
              <w:t>přizpůso</w:t>
            </w:r>
            <w:r w:rsidR="00C062E9">
              <w:rPr>
                <w:rFonts w:ascii="Times New Roman" w:hAnsi="Times New Roman"/>
                <w:sz w:val="24"/>
                <w:szCs w:val="24"/>
              </w:rPr>
              <w:softHyphen/>
            </w:r>
            <w:r w:rsidRPr="00286395">
              <w:rPr>
                <w:rFonts w:ascii="Times New Roman" w:hAnsi="Times New Roman"/>
                <w:sz w:val="24"/>
                <w:szCs w:val="24"/>
              </w:rPr>
              <w:t xml:space="preserve">bení </w:t>
            </w:r>
            <w:r w:rsidR="00F17F87">
              <w:rPr>
                <w:rFonts w:ascii="Times New Roman" w:hAnsi="Times New Roman"/>
                <w:sz w:val="24"/>
                <w:szCs w:val="24"/>
              </w:rPr>
              <w:t>nabídky</w:t>
            </w:r>
            <w:r w:rsidRPr="00286395">
              <w:rPr>
                <w:rFonts w:ascii="Times New Roman" w:hAnsi="Times New Roman"/>
                <w:sz w:val="24"/>
                <w:szCs w:val="24"/>
              </w:rPr>
              <w:t xml:space="preserve"> novému znění zákona</w:t>
            </w:r>
          </w:p>
          <w:p w14:paraId="69253249" w14:textId="77777777" w:rsidR="00962AB2" w:rsidRPr="00286395" w:rsidRDefault="00962AB2" w:rsidP="008E25AF">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Náklady průběžného zastará</w:t>
            </w:r>
            <w:r w:rsidR="00C062E9">
              <w:rPr>
                <w:rFonts w:ascii="Times New Roman" w:hAnsi="Times New Roman"/>
                <w:sz w:val="24"/>
                <w:szCs w:val="24"/>
              </w:rPr>
              <w:softHyphen/>
            </w:r>
            <w:r w:rsidRPr="00286395">
              <w:rPr>
                <w:rFonts w:ascii="Times New Roman" w:hAnsi="Times New Roman"/>
                <w:sz w:val="24"/>
                <w:szCs w:val="24"/>
              </w:rPr>
              <w:t>vání nabídky exportní pojiš</w:t>
            </w:r>
            <w:r w:rsidR="00C062E9">
              <w:rPr>
                <w:rFonts w:ascii="Times New Roman" w:hAnsi="Times New Roman"/>
                <w:sz w:val="24"/>
                <w:szCs w:val="24"/>
              </w:rPr>
              <w:softHyphen/>
            </w:r>
            <w:r w:rsidRPr="00286395">
              <w:rPr>
                <w:rFonts w:ascii="Times New Roman" w:hAnsi="Times New Roman"/>
                <w:sz w:val="24"/>
                <w:szCs w:val="24"/>
              </w:rPr>
              <w:t>ťovny a</w:t>
            </w:r>
            <w:r w:rsidR="005D6413">
              <w:rPr>
                <w:rFonts w:ascii="Times New Roman" w:hAnsi="Times New Roman"/>
                <w:sz w:val="24"/>
                <w:szCs w:val="24"/>
              </w:rPr>
              <w:t> </w:t>
            </w:r>
            <w:r w:rsidRPr="00286395">
              <w:rPr>
                <w:rFonts w:ascii="Times New Roman" w:hAnsi="Times New Roman"/>
                <w:sz w:val="24"/>
                <w:szCs w:val="24"/>
              </w:rPr>
              <w:t>exportní banky v</w:t>
            </w:r>
            <w:r w:rsidR="008E25AF">
              <w:rPr>
                <w:rFonts w:ascii="Times New Roman" w:hAnsi="Times New Roman"/>
                <w:sz w:val="24"/>
                <w:szCs w:val="24"/>
              </w:rPr>
              <w:t> </w:t>
            </w:r>
            <w:r w:rsidRPr="00286395">
              <w:rPr>
                <w:rFonts w:ascii="Times New Roman" w:hAnsi="Times New Roman"/>
                <w:sz w:val="24"/>
                <w:szCs w:val="24"/>
              </w:rPr>
              <w:t xml:space="preserve">čase </w:t>
            </w:r>
            <w:r w:rsidR="00BA54A1" w:rsidRPr="00BA54A1">
              <w:rPr>
                <w:rFonts w:ascii="Times New Roman" w:hAnsi="Times New Roman"/>
                <w:sz w:val="24"/>
                <w:szCs w:val="24"/>
              </w:rPr>
              <w:t>a</w:t>
            </w:r>
            <w:r w:rsidR="005D6413">
              <w:rPr>
                <w:rFonts w:ascii="Times New Roman" w:hAnsi="Times New Roman"/>
                <w:sz w:val="24"/>
                <w:szCs w:val="24"/>
              </w:rPr>
              <w:t> </w:t>
            </w:r>
            <w:r w:rsidR="00BA54A1" w:rsidRPr="00BA54A1">
              <w:rPr>
                <w:rFonts w:ascii="Times New Roman" w:hAnsi="Times New Roman"/>
                <w:sz w:val="24"/>
                <w:szCs w:val="24"/>
              </w:rPr>
              <w:t>nutnost další legisla</w:t>
            </w:r>
            <w:r w:rsidR="00C062E9">
              <w:rPr>
                <w:rFonts w:ascii="Times New Roman" w:hAnsi="Times New Roman"/>
                <w:sz w:val="24"/>
                <w:szCs w:val="24"/>
              </w:rPr>
              <w:softHyphen/>
            </w:r>
            <w:r w:rsidR="00BA54A1" w:rsidRPr="00BA54A1">
              <w:rPr>
                <w:rFonts w:ascii="Times New Roman" w:hAnsi="Times New Roman"/>
                <w:sz w:val="24"/>
                <w:szCs w:val="24"/>
              </w:rPr>
              <w:t>tivní úpravy</w:t>
            </w:r>
          </w:p>
        </w:tc>
      </w:tr>
      <w:tr w:rsidR="00962AB2" w:rsidRPr="00286395" w14:paraId="05E9D337" w14:textId="77777777" w:rsidTr="00962AB2">
        <w:trPr>
          <w:trHeight w:val="708"/>
        </w:trPr>
        <w:tc>
          <w:tcPr>
            <w:tcW w:w="2253" w:type="dxa"/>
            <w:tcBorders>
              <w:top w:val="single" w:sz="4" w:space="0" w:color="auto"/>
              <w:left w:val="single" w:sz="4" w:space="0" w:color="auto"/>
              <w:bottom w:val="single" w:sz="4" w:space="0" w:color="auto"/>
              <w:right w:val="single" w:sz="4" w:space="0" w:color="auto"/>
            </w:tcBorders>
            <w:vAlign w:val="center"/>
          </w:tcPr>
          <w:p w14:paraId="5037984C" w14:textId="77777777" w:rsidR="00962AB2" w:rsidRPr="00286395" w:rsidRDefault="00962AB2" w:rsidP="00046E09">
            <w:pPr>
              <w:keepLines/>
              <w:tabs>
                <w:tab w:val="left" w:pos="34"/>
              </w:tabs>
              <w:spacing w:after="120" w:line="300" w:lineRule="exact"/>
              <w:jc w:val="both"/>
              <w:rPr>
                <w:rFonts w:ascii="Times New Roman" w:hAnsi="Times New Roman"/>
                <w:b/>
                <w:sz w:val="24"/>
                <w:szCs w:val="24"/>
              </w:rPr>
            </w:pPr>
            <w:r w:rsidRPr="00286395">
              <w:rPr>
                <w:rFonts w:ascii="Times New Roman" w:hAnsi="Times New Roman"/>
                <w:b/>
                <w:sz w:val="24"/>
                <w:szCs w:val="24"/>
              </w:rPr>
              <w:t>2</w:t>
            </w:r>
          </w:p>
          <w:p w14:paraId="7FDA6C4E" w14:textId="77777777" w:rsidR="00962AB2" w:rsidRPr="00286395" w:rsidRDefault="00962AB2" w:rsidP="00046E09">
            <w:pPr>
              <w:keepLines/>
              <w:tabs>
                <w:tab w:val="left" w:pos="34"/>
              </w:tabs>
              <w:spacing w:after="120" w:line="300" w:lineRule="exact"/>
              <w:jc w:val="both"/>
              <w:rPr>
                <w:rFonts w:ascii="Times New Roman" w:hAnsi="Times New Roman"/>
                <w:b/>
                <w:sz w:val="24"/>
                <w:szCs w:val="24"/>
              </w:rPr>
            </w:pPr>
            <w:r w:rsidRPr="00286395">
              <w:rPr>
                <w:rFonts w:ascii="Times New Roman" w:hAnsi="Times New Roman"/>
                <w:sz w:val="24"/>
                <w:szCs w:val="24"/>
              </w:rPr>
              <w:t>legislativní řešení v podobě demonstra</w:t>
            </w:r>
            <w:r w:rsidR="00C062E9">
              <w:rPr>
                <w:rFonts w:ascii="Times New Roman" w:hAnsi="Times New Roman"/>
                <w:sz w:val="24"/>
                <w:szCs w:val="24"/>
              </w:rPr>
              <w:softHyphen/>
            </w:r>
            <w:r w:rsidRPr="00286395">
              <w:rPr>
                <w:rFonts w:ascii="Times New Roman" w:hAnsi="Times New Roman"/>
                <w:sz w:val="24"/>
                <w:szCs w:val="24"/>
              </w:rPr>
              <w:t>tivního výčtu ná</w:t>
            </w:r>
            <w:r w:rsidR="00C062E9">
              <w:rPr>
                <w:rFonts w:ascii="Times New Roman" w:hAnsi="Times New Roman"/>
                <w:sz w:val="24"/>
                <w:szCs w:val="24"/>
              </w:rPr>
              <w:softHyphen/>
            </w:r>
            <w:r w:rsidRPr="00286395">
              <w:rPr>
                <w:rFonts w:ascii="Times New Roman" w:hAnsi="Times New Roman"/>
                <w:sz w:val="24"/>
                <w:szCs w:val="24"/>
              </w:rPr>
              <w:t>strojů pojištění vý</w:t>
            </w:r>
            <w:r w:rsidR="00C062E9">
              <w:rPr>
                <w:rFonts w:ascii="Times New Roman" w:hAnsi="Times New Roman"/>
                <w:sz w:val="24"/>
                <w:szCs w:val="24"/>
              </w:rPr>
              <w:softHyphen/>
            </w:r>
            <w:r w:rsidRPr="00286395">
              <w:rPr>
                <w:rFonts w:ascii="Times New Roman" w:hAnsi="Times New Roman"/>
                <w:sz w:val="24"/>
                <w:szCs w:val="24"/>
              </w:rPr>
              <w:t>vozních úvěrových rizik a</w:t>
            </w:r>
            <w:r w:rsidR="005D5F3A">
              <w:rPr>
                <w:rFonts w:ascii="Times New Roman" w:hAnsi="Times New Roman"/>
                <w:sz w:val="24"/>
                <w:szCs w:val="24"/>
              </w:rPr>
              <w:t> </w:t>
            </w:r>
            <w:r w:rsidRPr="00286395">
              <w:rPr>
                <w:rFonts w:ascii="Times New Roman" w:hAnsi="Times New Roman"/>
                <w:sz w:val="24"/>
                <w:szCs w:val="24"/>
              </w:rPr>
              <w:t>podpořeného financování</w:t>
            </w:r>
          </w:p>
        </w:tc>
        <w:tc>
          <w:tcPr>
            <w:tcW w:w="3055" w:type="dxa"/>
            <w:tcBorders>
              <w:top w:val="single" w:sz="4" w:space="0" w:color="auto"/>
              <w:left w:val="single" w:sz="4" w:space="0" w:color="auto"/>
              <w:bottom w:val="single" w:sz="4" w:space="0" w:color="auto"/>
              <w:right w:val="single" w:sz="4" w:space="0" w:color="auto"/>
            </w:tcBorders>
          </w:tcPr>
          <w:p w14:paraId="7979DE39" w14:textId="77777777" w:rsidR="00962AB2" w:rsidRPr="00286395" w:rsidRDefault="00962AB2" w:rsidP="00046E0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Částečné makroekonomické přínosy plynoucí z flexibil</w:t>
            </w:r>
            <w:r w:rsidR="00C062E9">
              <w:rPr>
                <w:rFonts w:ascii="Times New Roman" w:hAnsi="Times New Roman"/>
                <w:sz w:val="24"/>
                <w:szCs w:val="24"/>
              </w:rPr>
              <w:softHyphen/>
            </w:r>
            <w:r w:rsidRPr="00286395">
              <w:rPr>
                <w:rFonts w:ascii="Times New Roman" w:hAnsi="Times New Roman"/>
                <w:sz w:val="24"/>
                <w:szCs w:val="24"/>
              </w:rPr>
              <w:t>nější nabídky nástrojů ex</w:t>
            </w:r>
            <w:r w:rsidR="00C062E9">
              <w:rPr>
                <w:rFonts w:ascii="Times New Roman" w:hAnsi="Times New Roman"/>
                <w:sz w:val="24"/>
                <w:szCs w:val="24"/>
              </w:rPr>
              <w:softHyphen/>
            </w:r>
            <w:r w:rsidRPr="00286395">
              <w:rPr>
                <w:rFonts w:ascii="Times New Roman" w:hAnsi="Times New Roman"/>
                <w:sz w:val="24"/>
                <w:szCs w:val="24"/>
              </w:rPr>
              <w:t>portní pojišťovny a exportní banky</w:t>
            </w:r>
          </w:p>
          <w:p w14:paraId="534F3481" w14:textId="77777777" w:rsidR="00962AB2" w:rsidRPr="00286395" w:rsidRDefault="00962AB2" w:rsidP="00046E0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Mikroekonomické přínosy exportně orientovaných pod</w:t>
            </w:r>
            <w:r w:rsidR="00C062E9">
              <w:rPr>
                <w:rFonts w:ascii="Times New Roman" w:hAnsi="Times New Roman"/>
                <w:sz w:val="24"/>
                <w:szCs w:val="24"/>
              </w:rPr>
              <w:softHyphen/>
            </w:r>
            <w:r w:rsidRPr="00286395">
              <w:rPr>
                <w:rFonts w:ascii="Times New Roman" w:hAnsi="Times New Roman"/>
                <w:sz w:val="24"/>
                <w:szCs w:val="24"/>
              </w:rPr>
              <w:t>niků z velmi flexibilní na</w:t>
            </w:r>
            <w:r w:rsidR="00C062E9">
              <w:rPr>
                <w:rFonts w:ascii="Times New Roman" w:hAnsi="Times New Roman"/>
                <w:sz w:val="24"/>
                <w:szCs w:val="24"/>
              </w:rPr>
              <w:softHyphen/>
            </w:r>
            <w:r w:rsidRPr="00286395">
              <w:rPr>
                <w:rFonts w:ascii="Times New Roman" w:hAnsi="Times New Roman"/>
                <w:sz w:val="24"/>
                <w:szCs w:val="24"/>
              </w:rPr>
              <w:t>bídky exportní pojišťovny a</w:t>
            </w:r>
            <w:r w:rsidR="00997092">
              <w:rPr>
                <w:rFonts w:ascii="Times New Roman" w:hAnsi="Times New Roman"/>
                <w:sz w:val="24"/>
                <w:szCs w:val="24"/>
              </w:rPr>
              <w:t> </w:t>
            </w:r>
            <w:r w:rsidRPr="00286395">
              <w:rPr>
                <w:rFonts w:ascii="Times New Roman" w:hAnsi="Times New Roman"/>
                <w:sz w:val="24"/>
                <w:szCs w:val="24"/>
              </w:rPr>
              <w:t>exportní banky</w:t>
            </w:r>
          </w:p>
          <w:p w14:paraId="209E2630" w14:textId="77777777" w:rsidR="00962AB2" w:rsidRPr="00286395" w:rsidRDefault="00962AB2" w:rsidP="00046E0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Přínosy plynoucí z nárůstu relativní konkurenceschop</w:t>
            </w:r>
            <w:r w:rsidR="00C062E9">
              <w:rPr>
                <w:rFonts w:ascii="Times New Roman" w:hAnsi="Times New Roman"/>
                <w:sz w:val="24"/>
                <w:szCs w:val="24"/>
              </w:rPr>
              <w:softHyphen/>
            </w:r>
            <w:r w:rsidRPr="00286395">
              <w:rPr>
                <w:rFonts w:ascii="Times New Roman" w:hAnsi="Times New Roman"/>
                <w:sz w:val="24"/>
                <w:szCs w:val="24"/>
              </w:rPr>
              <w:t>nosti exportní pojišťovny a</w:t>
            </w:r>
            <w:r w:rsidR="00F30C04">
              <w:rPr>
                <w:rFonts w:ascii="Times New Roman" w:hAnsi="Times New Roman"/>
                <w:sz w:val="24"/>
                <w:szCs w:val="24"/>
              </w:rPr>
              <w:t> </w:t>
            </w:r>
            <w:r w:rsidRPr="00286395">
              <w:rPr>
                <w:rFonts w:ascii="Times New Roman" w:hAnsi="Times New Roman"/>
                <w:sz w:val="24"/>
                <w:szCs w:val="24"/>
              </w:rPr>
              <w:t>exportní banky ve vztahu k </w:t>
            </w:r>
            <w:r w:rsidRPr="00286395">
              <w:rPr>
                <w:rFonts w:ascii="Times New Roman" w:hAnsi="Times New Roman"/>
                <w:bCs/>
                <w:iCs/>
                <w:sz w:val="24"/>
                <w:szCs w:val="24"/>
              </w:rPr>
              <w:t xml:space="preserve">zahraničním </w:t>
            </w:r>
            <w:proofErr w:type="spellStart"/>
            <w:r w:rsidRPr="00286395">
              <w:rPr>
                <w:rFonts w:ascii="Times New Roman" w:hAnsi="Times New Roman"/>
                <w:bCs/>
                <w:iCs/>
                <w:sz w:val="24"/>
                <w:szCs w:val="24"/>
              </w:rPr>
              <w:t>ECAs</w:t>
            </w:r>
            <w:proofErr w:type="spellEnd"/>
            <w:r w:rsidRPr="00286395">
              <w:rPr>
                <w:rFonts w:ascii="Times New Roman" w:hAnsi="Times New Roman"/>
                <w:bCs/>
                <w:iCs/>
                <w:sz w:val="24"/>
                <w:szCs w:val="24"/>
              </w:rPr>
              <w:t xml:space="preserve"> díky velké flexibilitě </w:t>
            </w:r>
            <w:r w:rsidR="00C51552">
              <w:rPr>
                <w:rFonts w:ascii="Times New Roman" w:hAnsi="Times New Roman"/>
                <w:bCs/>
                <w:iCs/>
                <w:sz w:val="24"/>
                <w:szCs w:val="24"/>
              </w:rPr>
              <w:t>nástroj</w:t>
            </w:r>
            <w:r w:rsidRPr="00286395">
              <w:rPr>
                <w:rFonts w:ascii="Times New Roman" w:hAnsi="Times New Roman"/>
                <w:bCs/>
                <w:iCs/>
                <w:sz w:val="24"/>
                <w:szCs w:val="24"/>
              </w:rPr>
              <w:t>ových řad</w:t>
            </w:r>
          </w:p>
        </w:tc>
        <w:tc>
          <w:tcPr>
            <w:tcW w:w="3055" w:type="dxa"/>
            <w:tcBorders>
              <w:top w:val="single" w:sz="4" w:space="0" w:color="auto"/>
              <w:left w:val="single" w:sz="4" w:space="0" w:color="auto"/>
              <w:bottom w:val="single" w:sz="4" w:space="0" w:color="auto"/>
              <w:right w:val="single" w:sz="4" w:space="0" w:color="auto"/>
            </w:tcBorders>
          </w:tcPr>
          <w:p w14:paraId="6E2BB36F" w14:textId="77777777" w:rsidR="00962AB2" w:rsidRPr="00286395" w:rsidRDefault="00962AB2" w:rsidP="00046E0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Náklady vytěsňovacího efektu služeb trhu službami exportní pojišťovny a</w:t>
            </w:r>
            <w:r w:rsidR="00F30C04">
              <w:rPr>
                <w:rFonts w:ascii="Times New Roman" w:hAnsi="Times New Roman"/>
                <w:sz w:val="24"/>
                <w:szCs w:val="24"/>
              </w:rPr>
              <w:t> </w:t>
            </w:r>
            <w:r w:rsidRPr="00286395">
              <w:rPr>
                <w:rFonts w:ascii="Times New Roman" w:hAnsi="Times New Roman"/>
                <w:sz w:val="24"/>
                <w:szCs w:val="24"/>
              </w:rPr>
              <w:t>ex</w:t>
            </w:r>
            <w:r w:rsidR="00C062E9">
              <w:rPr>
                <w:rFonts w:ascii="Times New Roman" w:hAnsi="Times New Roman"/>
                <w:sz w:val="24"/>
                <w:szCs w:val="24"/>
              </w:rPr>
              <w:softHyphen/>
            </w:r>
            <w:r w:rsidRPr="00286395">
              <w:rPr>
                <w:rFonts w:ascii="Times New Roman" w:hAnsi="Times New Roman"/>
                <w:sz w:val="24"/>
                <w:szCs w:val="24"/>
              </w:rPr>
              <w:t>portní banky v situaci, kdy rozsah nástrojů exportní po</w:t>
            </w:r>
            <w:r w:rsidR="00C062E9">
              <w:rPr>
                <w:rFonts w:ascii="Times New Roman" w:hAnsi="Times New Roman"/>
                <w:sz w:val="24"/>
                <w:szCs w:val="24"/>
              </w:rPr>
              <w:softHyphen/>
            </w:r>
            <w:r w:rsidRPr="00286395">
              <w:rPr>
                <w:rFonts w:ascii="Times New Roman" w:hAnsi="Times New Roman"/>
                <w:sz w:val="24"/>
                <w:szCs w:val="24"/>
              </w:rPr>
              <w:t>jišťovny a</w:t>
            </w:r>
            <w:r w:rsidR="005D6413">
              <w:rPr>
                <w:rFonts w:ascii="Times New Roman" w:hAnsi="Times New Roman"/>
                <w:sz w:val="24"/>
                <w:szCs w:val="24"/>
              </w:rPr>
              <w:t> </w:t>
            </w:r>
            <w:r w:rsidRPr="00286395">
              <w:rPr>
                <w:rFonts w:ascii="Times New Roman" w:hAnsi="Times New Roman"/>
                <w:sz w:val="24"/>
                <w:szCs w:val="24"/>
              </w:rPr>
              <w:t>exportní banky by přímo konkuroval službám, které je schopen exportérům posk</w:t>
            </w:r>
            <w:r w:rsidR="00C543C0">
              <w:rPr>
                <w:rFonts w:ascii="Times New Roman" w:hAnsi="Times New Roman"/>
                <w:sz w:val="24"/>
                <w:szCs w:val="24"/>
              </w:rPr>
              <w:t>ytnout komerční fi</w:t>
            </w:r>
            <w:r w:rsidR="00C062E9">
              <w:rPr>
                <w:rFonts w:ascii="Times New Roman" w:hAnsi="Times New Roman"/>
                <w:sz w:val="24"/>
                <w:szCs w:val="24"/>
              </w:rPr>
              <w:softHyphen/>
            </w:r>
            <w:r w:rsidR="00C543C0">
              <w:rPr>
                <w:rFonts w:ascii="Times New Roman" w:hAnsi="Times New Roman"/>
                <w:sz w:val="24"/>
                <w:szCs w:val="24"/>
              </w:rPr>
              <w:t>nanční sektor</w:t>
            </w:r>
          </w:p>
          <w:p w14:paraId="1D8FABC7" w14:textId="77777777" w:rsidR="00962AB2" w:rsidRPr="00286395" w:rsidRDefault="00962AB2" w:rsidP="00046E09">
            <w:pPr>
              <w:keepLines/>
              <w:tabs>
                <w:tab w:val="left" w:pos="709"/>
              </w:tabs>
              <w:spacing w:after="120" w:line="300" w:lineRule="exact"/>
              <w:jc w:val="both"/>
              <w:rPr>
                <w:rFonts w:ascii="Times New Roman" w:hAnsi="Times New Roman"/>
                <w:b/>
                <w:sz w:val="24"/>
                <w:szCs w:val="24"/>
              </w:rPr>
            </w:pPr>
            <w:r w:rsidRPr="00286395">
              <w:rPr>
                <w:rFonts w:ascii="Times New Roman" w:hAnsi="Times New Roman"/>
                <w:sz w:val="24"/>
                <w:szCs w:val="24"/>
              </w:rPr>
              <w:t>Náklady snížení transparent</w:t>
            </w:r>
            <w:r w:rsidR="00C062E9">
              <w:rPr>
                <w:rFonts w:ascii="Times New Roman" w:hAnsi="Times New Roman"/>
                <w:sz w:val="24"/>
                <w:szCs w:val="24"/>
              </w:rPr>
              <w:softHyphen/>
            </w:r>
            <w:r w:rsidRPr="00286395">
              <w:rPr>
                <w:rFonts w:ascii="Times New Roman" w:hAnsi="Times New Roman"/>
                <w:sz w:val="24"/>
                <w:szCs w:val="24"/>
              </w:rPr>
              <w:t>nosti a</w:t>
            </w:r>
            <w:r w:rsidR="005D6413">
              <w:rPr>
                <w:rFonts w:ascii="Times New Roman" w:hAnsi="Times New Roman"/>
                <w:sz w:val="24"/>
                <w:szCs w:val="24"/>
              </w:rPr>
              <w:t> </w:t>
            </w:r>
            <w:r w:rsidRPr="00286395">
              <w:rPr>
                <w:rFonts w:ascii="Times New Roman" w:hAnsi="Times New Roman"/>
                <w:sz w:val="24"/>
                <w:szCs w:val="24"/>
              </w:rPr>
              <w:t>zacílen</w:t>
            </w:r>
            <w:r w:rsidR="00A92653">
              <w:rPr>
                <w:rFonts w:ascii="Times New Roman" w:hAnsi="Times New Roman"/>
                <w:sz w:val="24"/>
                <w:szCs w:val="24"/>
              </w:rPr>
              <w:t>í</w:t>
            </w:r>
            <w:r w:rsidRPr="00286395">
              <w:rPr>
                <w:rFonts w:ascii="Times New Roman" w:hAnsi="Times New Roman"/>
                <w:sz w:val="24"/>
                <w:szCs w:val="24"/>
              </w:rPr>
              <w:t xml:space="preserve"> nástrojů exportní pojišťovny a ex</w:t>
            </w:r>
            <w:r w:rsidR="00C062E9">
              <w:rPr>
                <w:rFonts w:ascii="Times New Roman" w:hAnsi="Times New Roman"/>
                <w:sz w:val="24"/>
                <w:szCs w:val="24"/>
              </w:rPr>
              <w:softHyphen/>
            </w:r>
            <w:r w:rsidRPr="00286395">
              <w:rPr>
                <w:rFonts w:ascii="Times New Roman" w:hAnsi="Times New Roman"/>
                <w:sz w:val="24"/>
                <w:szCs w:val="24"/>
              </w:rPr>
              <w:t>portní banky ve vazbě na</w:t>
            </w:r>
            <w:r w:rsidR="00F30C04">
              <w:rPr>
                <w:rFonts w:ascii="Times New Roman" w:hAnsi="Times New Roman"/>
                <w:sz w:val="24"/>
                <w:szCs w:val="24"/>
              </w:rPr>
              <w:t> </w:t>
            </w:r>
            <w:r w:rsidRPr="00286395">
              <w:rPr>
                <w:rFonts w:ascii="Times New Roman" w:hAnsi="Times New Roman"/>
                <w:sz w:val="24"/>
                <w:szCs w:val="24"/>
              </w:rPr>
              <w:t>zá</w:t>
            </w:r>
            <w:r w:rsidR="00C062E9">
              <w:rPr>
                <w:rFonts w:ascii="Times New Roman" w:hAnsi="Times New Roman"/>
                <w:sz w:val="24"/>
                <w:szCs w:val="24"/>
              </w:rPr>
              <w:softHyphen/>
            </w:r>
            <w:r w:rsidRPr="00286395">
              <w:rPr>
                <w:rFonts w:ascii="Times New Roman" w:hAnsi="Times New Roman"/>
                <w:sz w:val="24"/>
                <w:szCs w:val="24"/>
              </w:rPr>
              <w:t>jmy exportní politiky státu</w:t>
            </w:r>
          </w:p>
          <w:p w14:paraId="2BBDADE9" w14:textId="77777777" w:rsidR="00962AB2" w:rsidRPr="00286395" w:rsidRDefault="00962AB2" w:rsidP="00046E0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Náklady vyplývající z pří</w:t>
            </w:r>
            <w:r w:rsidR="00C062E9">
              <w:rPr>
                <w:rFonts w:ascii="Times New Roman" w:hAnsi="Times New Roman"/>
                <w:sz w:val="24"/>
                <w:szCs w:val="24"/>
              </w:rPr>
              <w:softHyphen/>
            </w:r>
            <w:r w:rsidRPr="00286395">
              <w:rPr>
                <w:rFonts w:ascii="Times New Roman" w:hAnsi="Times New Roman"/>
                <w:sz w:val="24"/>
                <w:szCs w:val="24"/>
              </w:rPr>
              <w:t xml:space="preserve">padných dodatečných dopadů nově zaváděných </w:t>
            </w:r>
            <w:r w:rsidR="00C51552">
              <w:rPr>
                <w:rFonts w:ascii="Times New Roman" w:hAnsi="Times New Roman"/>
                <w:sz w:val="24"/>
                <w:szCs w:val="24"/>
              </w:rPr>
              <w:t>nástroj</w:t>
            </w:r>
            <w:r w:rsidRPr="00286395">
              <w:rPr>
                <w:rFonts w:ascii="Times New Roman" w:hAnsi="Times New Roman"/>
                <w:sz w:val="24"/>
                <w:szCs w:val="24"/>
              </w:rPr>
              <w:t>ů na</w:t>
            </w:r>
            <w:r w:rsidR="00997092">
              <w:rPr>
                <w:rFonts w:ascii="Times New Roman" w:hAnsi="Times New Roman"/>
                <w:sz w:val="24"/>
                <w:szCs w:val="24"/>
              </w:rPr>
              <w:t> </w:t>
            </w:r>
            <w:r w:rsidRPr="00286395">
              <w:rPr>
                <w:rFonts w:ascii="Times New Roman" w:hAnsi="Times New Roman"/>
                <w:sz w:val="24"/>
                <w:szCs w:val="24"/>
              </w:rPr>
              <w:t xml:space="preserve">státní rozpočet </w:t>
            </w:r>
          </w:p>
          <w:p w14:paraId="26C59B76" w14:textId="77777777" w:rsidR="00962AB2" w:rsidRPr="00286395" w:rsidRDefault="00962AB2" w:rsidP="00046E0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Náklady ze snížení efektivity kontroly exportní pojišťovny a exportní banky jako ná</w:t>
            </w:r>
            <w:r w:rsidR="00C062E9">
              <w:rPr>
                <w:rFonts w:ascii="Times New Roman" w:hAnsi="Times New Roman"/>
                <w:sz w:val="24"/>
                <w:szCs w:val="24"/>
              </w:rPr>
              <w:softHyphen/>
            </w:r>
            <w:r w:rsidRPr="00286395">
              <w:rPr>
                <w:rFonts w:ascii="Times New Roman" w:hAnsi="Times New Roman"/>
                <w:sz w:val="24"/>
                <w:szCs w:val="24"/>
              </w:rPr>
              <w:t>strojů státní politiky podpory vývozu</w:t>
            </w:r>
          </w:p>
        </w:tc>
      </w:tr>
      <w:tr w:rsidR="00962AB2" w:rsidRPr="00286395" w14:paraId="5677F3AF" w14:textId="77777777" w:rsidTr="00962AB2">
        <w:trPr>
          <w:trHeight w:val="708"/>
        </w:trPr>
        <w:tc>
          <w:tcPr>
            <w:tcW w:w="2253" w:type="dxa"/>
            <w:tcBorders>
              <w:top w:val="single" w:sz="4" w:space="0" w:color="auto"/>
              <w:left w:val="single" w:sz="4" w:space="0" w:color="auto"/>
              <w:bottom w:val="single" w:sz="4" w:space="0" w:color="auto"/>
              <w:right w:val="single" w:sz="4" w:space="0" w:color="auto"/>
            </w:tcBorders>
            <w:vAlign w:val="center"/>
          </w:tcPr>
          <w:p w14:paraId="7658942F" w14:textId="77777777" w:rsidR="00962AB2" w:rsidRPr="00286395" w:rsidRDefault="00962AB2" w:rsidP="00046E09">
            <w:pPr>
              <w:keepLines/>
              <w:tabs>
                <w:tab w:val="left" w:pos="34"/>
              </w:tabs>
              <w:spacing w:after="120" w:line="300" w:lineRule="exact"/>
              <w:jc w:val="both"/>
              <w:rPr>
                <w:rFonts w:ascii="Times New Roman" w:hAnsi="Times New Roman"/>
                <w:b/>
                <w:sz w:val="24"/>
                <w:szCs w:val="24"/>
              </w:rPr>
            </w:pPr>
            <w:r w:rsidRPr="00286395">
              <w:rPr>
                <w:rFonts w:ascii="Times New Roman" w:hAnsi="Times New Roman"/>
                <w:b/>
                <w:sz w:val="24"/>
                <w:szCs w:val="24"/>
              </w:rPr>
              <w:t>3</w:t>
            </w:r>
          </w:p>
          <w:p w14:paraId="3F39B98C" w14:textId="77777777" w:rsidR="00962AB2" w:rsidRPr="00286395" w:rsidRDefault="00962AB2" w:rsidP="00046E09">
            <w:pPr>
              <w:keepLines/>
              <w:tabs>
                <w:tab w:val="left" w:pos="34"/>
              </w:tabs>
              <w:spacing w:after="120" w:line="300" w:lineRule="exact"/>
              <w:jc w:val="both"/>
              <w:rPr>
                <w:rFonts w:ascii="Times New Roman" w:hAnsi="Times New Roman"/>
                <w:b/>
                <w:sz w:val="24"/>
                <w:szCs w:val="24"/>
              </w:rPr>
            </w:pPr>
            <w:r w:rsidRPr="00286395">
              <w:rPr>
                <w:rFonts w:ascii="Times New Roman" w:hAnsi="Times New Roman"/>
                <w:sz w:val="24"/>
                <w:szCs w:val="24"/>
              </w:rPr>
              <w:t xml:space="preserve">legislativní řešení v podobě </w:t>
            </w:r>
            <w:r w:rsidR="00E22734">
              <w:rPr>
                <w:rFonts w:ascii="Times New Roman" w:hAnsi="Times New Roman"/>
                <w:sz w:val="24"/>
                <w:szCs w:val="24"/>
              </w:rPr>
              <w:t>obecného vymezení</w:t>
            </w:r>
            <w:r w:rsidRPr="00286395">
              <w:rPr>
                <w:rFonts w:ascii="Times New Roman" w:hAnsi="Times New Roman"/>
                <w:sz w:val="24"/>
                <w:szCs w:val="24"/>
              </w:rPr>
              <w:t xml:space="preserve"> nástrojů pojištění vývozních úvěrových rizik a</w:t>
            </w:r>
            <w:r w:rsidR="005D5F3A">
              <w:rPr>
                <w:rFonts w:ascii="Times New Roman" w:hAnsi="Times New Roman"/>
                <w:sz w:val="24"/>
                <w:szCs w:val="24"/>
              </w:rPr>
              <w:t> </w:t>
            </w:r>
            <w:r w:rsidRPr="00286395">
              <w:rPr>
                <w:rFonts w:ascii="Times New Roman" w:hAnsi="Times New Roman"/>
                <w:sz w:val="24"/>
                <w:szCs w:val="24"/>
              </w:rPr>
              <w:t>podpořeného fi</w:t>
            </w:r>
            <w:r w:rsidR="00C062E9">
              <w:rPr>
                <w:rFonts w:ascii="Times New Roman" w:hAnsi="Times New Roman"/>
                <w:sz w:val="24"/>
                <w:szCs w:val="24"/>
              </w:rPr>
              <w:softHyphen/>
            </w:r>
            <w:r w:rsidRPr="00286395">
              <w:rPr>
                <w:rFonts w:ascii="Times New Roman" w:hAnsi="Times New Roman"/>
                <w:sz w:val="24"/>
                <w:szCs w:val="24"/>
              </w:rPr>
              <w:t>nancování s odka</w:t>
            </w:r>
            <w:r w:rsidR="00C062E9">
              <w:rPr>
                <w:rFonts w:ascii="Times New Roman" w:hAnsi="Times New Roman"/>
                <w:sz w:val="24"/>
                <w:szCs w:val="24"/>
              </w:rPr>
              <w:softHyphen/>
            </w:r>
            <w:r w:rsidRPr="00286395">
              <w:rPr>
                <w:rFonts w:ascii="Times New Roman" w:hAnsi="Times New Roman"/>
                <w:sz w:val="24"/>
                <w:szCs w:val="24"/>
              </w:rPr>
              <w:t>zem na prováděcí právní předpis</w:t>
            </w:r>
          </w:p>
        </w:tc>
        <w:tc>
          <w:tcPr>
            <w:tcW w:w="3055" w:type="dxa"/>
            <w:tcBorders>
              <w:top w:val="single" w:sz="4" w:space="0" w:color="auto"/>
              <w:left w:val="single" w:sz="4" w:space="0" w:color="auto"/>
              <w:bottom w:val="single" w:sz="4" w:space="0" w:color="auto"/>
              <w:right w:val="single" w:sz="4" w:space="0" w:color="auto"/>
            </w:tcBorders>
          </w:tcPr>
          <w:p w14:paraId="24900E0C" w14:textId="77777777" w:rsidR="00962AB2" w:rsidRPr="00286395" w:rsidRDefault="00962AB2" w:rsidP="00046E0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Částečné makroekonomické přínosy plynoucí z flexibil</w:t>
            </w:r>
            <w:r w:rsidR="00C062E9">
              <w:rPr>
                <w:rFonts w:ascii="Times New Roman" w:hAnsi="Times New Roman"/>
                <w:sz w:val="24"/>
                <w:szCs w:val="24"/>
              </w:rPr>
              <w:softHyphen/>
            </w:r>
            <w:r w:rsidRPr="00286395">
              <w:rPr>
                <w:rFonts w:ascii="Times New Roman" w:hAnsi="Times New Roman"/>
                <w:sz w:val="24"/>
                <w:szCs w:val="24"/>
              </w:rPr>
              <w:t>nější nabídky nástrojů ex</w:t>
            </w:r>
            <w:r w:rsidR="00C062E9">
              <w:rPr>
                <w:rFonts w:ascii="Times New Roman" w:hAnsi="Times New Roman"/>
                <w:sz w:val="24"/>
                <w:szCs w:val="24"/>
              </w:rPr>
              <w:softHyphen/>
            </w:r>
            <w:r w:rsidRPr="00286395">
              <w:rPr>
                <w:rFonts w:ascii="Times New Roman" w:hAnsi="Times New Roman"/>
                <w:sz w:val="24"/>
                <w:szCs w:val="24"/>
              </w:rPr>
              <w:t>portní pojišťovny a exportní banky reflektujících potřeby trhu k datu přípravy zákona</w:t>
            </w:r>
          </w:p>
          <w:p w14:paraId="4577A233" w14:textId="77777777" w:rsidR="00962AB2" w:rsidRPr="00286395" w:rsidRDefault="00962AB2" w:rsidP="00046E0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Mikroekonomické přínosy exportně orientovaných pod</w:t>
            </w:r>
            <w:r w:rsidR="00C062E9">
              <w:rPr>
                <w:rFonts w:ascii="Times New Roman" w:hAnsi="Times New Roman"/>
                <w:sz w:val="24"/>
                <w:szCs w:val="24"/>
              </w:rPr>
              <w:softHyphen/>
            </w:r>
            <w:r w:rsidRPr="00286395">
              <w:rPr>
                <w:rFonts w:ascii="Times New Roman" w:hAnsi="Times New Roman"/>
                <w:sz w:val="24"/>
                <w:szCs w:val="24"/>
              </w:rPr>
              <w:t>niků z bohatší nabídky ex</w:t>
            </w:r>
            <w:r w:rsidR="00C062E9">
              <w:rPr>
                <w:rFonts w:ascii="Times New Roman" w:hAnsi="Times New Roman"/>
                <w:sz w:val="24"/>
                <w:szCs w:val="24"/>
              </w:rPr>
              <w:softHyphen/>
            </w:r>
            <w:r w:rsidRPr="00286395">
              <w:rPr>
                <w:rFonts w:ascii="Times New Roman" w:hAnsi="Times New Roman"/>
                <w:sz w:val="24"/>
                <w:szCs w:val="24"/>
              </w:rPr>
              <w:t>portní pojišťovny a</w:t>
            </w:r>
            <w:r w:rsidR="00F30C04">
              <w:rPr>
                <w:rFonts w:ascii="Times New Roman" w:hAnsi="Times New Roman"/>
                <w:sz w:val="24"/>
                <w:szCs w:val="24"/>
              </w:rPr>
              <w:t> </w:t>
            </w:r>
            <w:r w:rsidRPr="00286395">
              <w:rPr>
                <w:rFonts w:ascii="Times New Roman" w:hAnsi="Times New Roman"/>
                <w:sz w:val="24"/>
                <w:szCs w:val="24"/>
              </w:rPr>
              <w:t>exportní banky</w:t>
            </w:r>
          </w:p>
          <w:p w14:paraId="19964F14" w14:textId="35A3C289" w:rsidR="00962AB2" w:rsidRPr="00286395" w:rsidRDefault="00962AB2" w:rsidP="00046E0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 xml:space="preserve">Přínosy z transparentního schvalování nových </w:t>
            </w:r>
            <w:r w:rsidR="00F17F87">
              <w:rPr>
                <w:rFonts w:ascii="Times New Roman" w:hAnsi="Times New Roman"/>
                <w:sz w:val="24"/>
                <w:szCs w:val="24"/>
              </w:rPr>
              <w:t>nástrojů</w:t>
            </w:r>
            <w:r w:rsidRPr="00286395">
              <w:rPr>
                <w:rFonts w:ascii="Times New Roman" w:hAnsi="Times New Roman"/>
                <w:sz w:val="24"/>
                <w:szCs w:val="24"/>
              </w:rPr>
              <w:t xml:space="preserve"> M</w:t>
            </w:r>
            <w:r w:rsidR="008B0C0B">
              <w:rPr>
                <w:rFonts w:ascii="Times New Roman" w:hAnsi="Times New Roman"/>
                <w:sz w:val="24"/>
                <w:szCs w:val="24"/>
              </w:rPr>
              <w:t>F</w:t>
            </w:r>
          </w:p>
          <w:p w14:paraId="36646FDC" w14:textId="77777777" w:rsidR="00962AB2" w:rsidRPr="00286395" w:rsidRDefault="00962AB2" w:rsidP="00046E0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Přínosy plynoucí z nárůstu relativní konkurenceschop</w:t>
            </w:r>
            <w:r w:rsidR="00C062E9">
              <w:rPr>
                <w:rFonts w:ascii="Times New Roman" w:hAnsi="Times New Roman"/>
                <w:sz w:val="24"/>
                <w:szCs w:val="24"/>
              </w:rPr>
              <w:softHyphen/>
            </w:r>
            <w:r w:rsidRPr="00286395">
              <w:rPr>
                <w:rFonts w:ascii="Times New Roman" w:hAnsi="Times New Roman"/>
                <w:sz w:val="24"/>
                <w:szCs w:val="24"/>
              </w:rPr>
              <w:t>nosti exportní pojišťovny a</w:t>
            </w:r>
            <w:r w:rsidR="00200413">
              <w:rPr>
                <w:rFonts w:ascii="Times New Roman" w:hAnsi="Times New Roman"/>
                <w:sz w:val="24"/>
                <w:szCs w:val="24"/>
              </w:rPr>
              <w:t> </w:t>
            </w:r>
            <w:r w:rsidRPr="00286395">
              <w:rPr>
                <w:rFonts w:ascii="Times New Roman" w:hAnsi="Times New Roman"/>
                <w:sz w:val="24"/>
                <w:szCs w:val="24"/>
              </w:rPr>
              <w:t>exportní banky ve vztahu k </w:t>
            </w:r>
            <w:r w:rsidRPr="00286395">
              <w:rPr>
                <w:rFonts w:ascii="Times New Roman" w:hAnsi="Times New Roman"/>
                <w:bCs/>
                <w:iCs/>
                <w:sz w:val="24"/>
                <w:szCs w:val="24"/>
              </w:rPr>
              <w:t xml:space="preserve">zahraničním </w:t>
            </w:r>
            <w:proofErr w:type="spellStart"/>
            <w:r w:rsidRPr="00286395">
              <w:rPr>
                <w:rFonts w:ascii="Times New Roman" w:hAnsi="Times New Roman"/>
                <w:bCs/>
                <w:iCs/>
                <w:sz w:val="24"/>
                <w:szCs w:val="24"/>
              </w:rPr>
              <w:t>ECAs</w:t>
            </w:r>
            <w:proofErr w:type="spellEnd"/>
            <w:r w:rsidRPr="00286395">
              <w:rPr>
                <w:rFonts w:ascii="Times New Roman" w:hAnsi="Times New Roman"/>
                <w:bCs/>
                <w:iCs/>
                <w:sz w:val="24"/>
                <w:szCs w:val="24"/>
              </w:rPr>
              <w:t xml:space="preserve"> díky přiměřené flexibilitě </w:t>
            </w:r>
            <w:r w:rsidR="00F17F87">
              <w:rPr>
                <w:rFonts w:ascii="Times New Roman" w:hAnsi="Times New Roman"/>
                <w:bCs/>
                <w:iCs/>
                <w:sz w:val="24"/>
                <w:szCs w:val="24"/>
              </w:rPr>
              <w:t>jejich nabídky</w:t>
            </w:r>
          </w:p>
        </w:tc>
        <w:tc>
          <w:tcPr>
            <w:tcW w:w="3055" w:type="dxa"/>
            <w:tcBorders>
              <w:top w:val="single" w:sz="4" w:space="0" w:color="auto"/>
              <w:left w:val="single" w:sz="4" w:space="0" w:color="auto"/>
              <w:bottom w:val="single" w:sz="4" w:space="0" w:color="auto"/>
              <w:right w:val="single" w:sz="4" w:space="0" w:color="auto"/>
            </w:tcBorders>
          </w:tcPr>
          <w:p w14:paraId="46240A3C" w14:textId="77777777" w:rsidR="00962AB2" w:rsidRPr="00286395" w:rsidRDefault="00962AB2" w:rsidP="00046E0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Náklady exportní pojišťovny a exportní banky na</w:t>
            </w:r>
            <w:r w:rsidR="005D5F3A">
              <w:rPr>
                <w:rFonts w:ascii="Times New Roman" w:hAnsi="Times New Roman"/>
                <w:sz w:val="24"/>
                <w:szCs w:val="24"/>
              </w:rPr>
              <w:t> </w:t>
            </w:r>
            <w:r w:rsidRPr="00286395">
              <w:rPr>
                <w:rFonts w:ascii="Times New Roman" w:hAnsi="Times New Roman"/>
                <w:sz w:val="24"/>
                <w:szCs w:val="24"/>
              </w:rPr>
              <w:t>přizpůso</w:t>
            </w:r>
            <w:r w:rsidR="00C062E9">
              <w:rPr>
                <w:rFonts w:ascii="Times New Roman" w:hAnsi="Times New Roman"/>
                <w:sz w:val="24"/>
                <w:szCs w:val="24"/>
              </w:rPr>
              <w:softHyphen/>
            </w:r>
            <w:r w:rsidRPr="00286395">
              <w:rPr>
                <w:rFonts w:ascii="Times New Roman" w:hAnsi="Times New Roman"/>
                <w:sz w:val="24"/>
                <w:szCs w:val="24"/>
              </w:rPr>
              <w:t>bení</w:t>
            </w:r>
            <w:r w:rsidR="00F17F87">
              <w:rPr>
                <w:rFonts w:ascii="Times New Roman" w:hAnsi="Times New Roman"/>
                <w:sz w:val="24"/>
                <w:szCs w:val="24"/>
              </w:rPr>
              <w:t xml:space="preserve"> nabídky </w:t>
            </w:r>
            <w:r w:rsidRPr="00286395">
              <w:rPr>
                <w:rFonts w:ascii="Times New Roman" w:hAnsi="Times New Roman"/>
                <w:sz w:val="24"/>
                <w:szCs w:val="24"/>
              </w:rPr>
              <w:t>novému znění zákona</w:t>
            </w:r>
          </w:p>
          <w:p w14:paraId="6FA98C4A" w14:textId="4DB2DFE8" w:rsidR="00962AB2" w:rsidRPr="00286395" w:rsidRDefault="00962AB2" w:rsidP="008B0C0B">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Náklady M</w:t>
            </w:r>
            <w:r w:rsidR="008B0C0B">
              <w:rPr>
                <w:rFonts w:ascii="Times New Roman" w:hAnsi="Times New Roman"/>
                <w:sz w:val="24"/>
                <w:szCs w:val="24"/>
              </w:rPr>
              <w:t>PO</w:t>
            </w:r>
            <w:r w:rsidRPr="00286395">
              <w:rPr>
                <w:rFonts w:ascii="Times New Roman" w:hAnsi="Times New Roman"/>
                <w:sz w:val="24"/>
                <w:szCs w:val="24"/>
              </w:rPr>
              <w:t xml:space="preserve"> a</w:t>
            </w:r>
            <w:r w:rsidR="00F30C04">
              <w:rPr>
                <w:rFonts w:ascii="Times New Roman" w:hAnsi="Times New Roman"/>
                <w:sz w:val="24"/>
                <w:szCs w:val="24"/>
              </w:rPr>
              <w:t> </w:t>
            </w:r>
            <w:r w:rsidRPr="00286395">
              <w:rPr>
                <w:rFonts w:ascii="Times New Roman" w:hAnsi="Times New Roman"/>
                <w:sz w:val="24"/>
                <w:szCs w:val="24"/>
              </w:rPr>
              <w:t>M</w:t>
            </w:r>
            <w:r w:rsidR="008B0C0B">
              <w:rPr>
                <w:rFonts w:ascii="Times New Roman" w:hAnsi="Times New Roman"/>
                <w:sz w:val="24"/>
                <w:szCs w:val="24"/>
              </w:rPr>
              <w:t>F</w:t>
            </w:r>
            <w:r w:rsidRPr="00286395">
              <w:rPr>
                <w:rFonts w:ascii="Times New Roman" w:hAnsi="Times New Roman"/>
                <w:sz w:val="24"/>
                <w:szCs w:val="24"/>
              </w:rPr>
              <w:t xml:space="preserve"> plynoucí</w:t>
            </w:r>
            <w:r w:rsidR="008B0C0B">
              <w:rPr>
                <w:rFonts w:ascii="Times New Roman" w:hAnsi="Times New Roman"/>
                <w:sz w:val="24"/>
                <w:szCs w:val="24"/>
              </w:rPr>
              <w:t xml:space="preserve"> </w:t>
            </w:r>
            <w:r w:rsidRPr="00286395">
              <w:rPr>
                <w:rFonts w:ascii="Times New Roman" w:hAnsi="Times New Roman"/>
                <w:sz w:val="24"/>
                <w:szCs w:val="24"/>
              </w:rPr>
              <w:t>z po</w:t>
            </w:r>
            <w:r w:rsidR="00C062E9">
              <w:rPr>
                <w:rFonts w:ascii="Times New Roman" w:hAnsi="Times New Roman"/>
                <w:sz w:val="24"/>
                <w:szCs w:val="24"/>
              </w:rPr>
              <w:softHyphen/>
            </w:r>
            <w:r w:rsidRPr="00286395">
              <w:rPr>
                <w:rFonts w:ascii="Times New Roman" w:hAnsi="Times New Roman"/>
                <w:sz w:val="24"/>
                <w:szCs w:val="24"/>
              </w:rPr>
              <w:t>třeby novelizace prováděcího právního předpisu a</w:t>
            </w:r>
            <w:r w:rsidR="00F30C04">
              <w:rPr>
                <w:rFonts w:ascii="Times New Roman" w:hAnsi="Times New Roman"/>
                <w:sz w:val="24"/>
                <w:szCs w:val="24"/>
              </w:rPr>
              <w:t> </w:t>
            </w:r>
            <w:r w:rsidRPr="00286395">
              <w:rPr>
                <w:rFonts w:ascii="Times New Roman" w:hAnsi="Times New Roman"/>
                <w:sz w:val="24"/>
                <w:szCs w:val="24"/>
              </w:rPr>
              <w:t>ze</w:t>
            </w:r>
            <w:r w:rsidR="00F30C04">
              <w:rPr>
                <w:rFonts w:ascii="Times New Roman" w:hAnsi="Times New Roman"/>
                <w:sz w:val="24"/>
                <w:szCs w:val="24"/>
              </w:rPr>
              <w:t> </w:t>
            </w:r>
            <w:r w:rsidRPr="00286395">
              <w:rPr>
                <w:rFonts w:ascii="Times New Roman" w:hAnsi="Times New Roman"/>
                <w:sz w:val="24"/>
                <w:szCs w:val="24"/>
              </w:rPr>
              <w:t>schva</w:t>
            </w:r>
            <w:r w:rsidR="00C062E9">
              <w:rPr>
                <w:rFonts w:ascii="Times New Roman" w:hAnsi="Times New Roman"/>
                <w:sz w:val="24"/>
                <w:szCs w:val="24"/>
              </w:rPr>
              <w:softHyphen/>
            </w:r>
            <w:r w:rsidRPr="00286395">
              <w:rPr>
                <w:rFonts w:ascii="Times New Roman" w:hAnsi="Times New Roman"/>
                <w:sz w:val="24"/>
                <w:szCs w:val="24"/>
              </w:rPr>
              <w:t xml:space="preserve">lovacího mechanismu nových </w:t>
            </w:r>
            <w:r w:rsidR="00C51552">
              <w:rPr>
                <w:rFonts w:ascii="Times New Roman" w:hAnsi="Times New Roman"/>
                <w:sz w:val="24"/>
                <w:szCs w:val="24"/>
              </w:rPr>
              <w:t>nástroj</w:t>
            </w:r>
            <w:r w:rsidRPr="00286395">
              <w:rPr>
                <w:rFonts w:ascii="Times New Roman" w:hAnsi="Times New Roman"/>
                <w:sz w:val="24"/>
                <w:szCs w:val="24"/>
              </w:rPr>
              <w:t>ů exportní pojišťovny a</w:t>
            </w:r>
            <w:r w:rsidR="00200413">
              <w:rPr>
                <w:rFonts w:ascii="Times New Roman" w:hAnsi="Times New Roman"/>
                <w:sz w:val="24"/>
                <w:szCs w:val="24"/>
              </w:rPr>
              <w:t> </w:t>
            </w:r>
            <w:r w:rsidRPr="00286395">
              <w:rPr>
                <w:rFonts w:ascii="Times New Roman" w:hAnsi="Times New Roman"/>
                <w:sz w:val="24"/>
                <w:szCs w:val="24"/>
              </w:rPr>
              <w:t>exportní banky</w:t>
            </w:r>
          </w:p>
        </w:tc>
      </w:tr>
    </w:tbl>
    <w:p w14:paraId="52CC63B4" w14:textId="77777777" w:rsidR="00523340" w:rsidRDefault="00523340" w:rsidP="001C4A83">
      <w:pPr>
        <w:spacing w:after="120" w:line="300" w:lineRule="exact"/>
        <w:jc w:val="both"/>
        <w:rPr>
          <w:rFonts w:ascii="Times New Roman" w:hAnsi="Times New Roman"/>
          <w:sz w:val="24"/>
          <w:szCs w:val="24"/>
        </w:rPr>
      </w:pPr>
    </w:p>
    <w:p w14:paraId="0619D626" w14:textId="77777777" w:rsidR="00C46147" w:rsidRPr="0040577E" w:rsidRDefault="00C46147" w:rsidP="0040577E">
      <w:pPr>
        <w:keepNext/>
        <w:spacing w:before="120" w:after="120"/>
        <w:ind w:left="426" w:right="357"/>
        <w:contextualSpacing/>
        <w:jc w:val="both"/>
        <w:rPr>
          <w:rFonts w:ascii="Times New Roman" w:hAnsi="Times New Roman"/>
          <w:b/>
          <w:sz w:val="24"/>
          <w:szCs w:val="24"/>
        </w:rPr>
      </w:pPr>
      <w:r w:rsidRPr="0040577E">
        <w:rPr>
          <w:rFonts w:ascii="Times New Roman" w:hAnsi="Times New Roman"/>
          <w:b/>
          <w:sz w:val="24"/>
          <w:szCs w:val="24"/>
        </w:rPr>
        <w:t xml:space="preserve">Náklady a přínosy (B) Vedení </w:t>
      </w:r>
      <w:r w:rsidR="00B20A13" w:rsidRPr="00B20A13">
        <w:rPr>
          <w:rFonts w:ascii="Times New Roman" w:hAnsi="Times New Roman"/>
          <w:b/>
          <w:sz w:val="24"/>
          <w:szCs w:val="24"/>
        </w:rPr>
        <w:t>peněžní</w:t>
      </w:r>
      <w:r w:rsidRPr="0040577E">
        <w:rPr>
          <w:rFonts w:ascii="Times New Roman" w:hAnsi="Times New Roman"/>
          <w:b/>
          <w:sz w:val="24"/>
          <w:szCs w:val="24"/>
        </w:rPr>
        <w:t>ch prostředků exportní pojišťovny a</w:t>
      </w:r>
      <w:r w:rsidR="00E77462">
        <w:rPr>
          <w:rFonts w:ascii="Times New Roman" w:hAnsi="Times New Roman"/>
          <w:b/>
          <w:sz w:val="24"/>
          <w:szCs w:val="24"/>
        </w:rPr>
        <w:t> </w:t>
      </w:r>
      <w:r w:rsidRPr="0040577E">
        <w:rPr>
          <w:rFonts w:ascii="Times New Roman" w:hAnsi="Times New Roman"/>
          <w:b/>
          <w:sz w:val="24"/>
          <w:szCs w:val="24"/>
        </w:rPr>
        <w:t>exportní banky poskytnutých ze státního rozpočtu na účtech vedených u</w:t>
      </w:r>
      <w:r w:rsidR="00E77462">
        <w:rPr>
          <w:rFonts w:ascii="Times New Roman" w:hAnsi="Times New Roman"/>
          <w:b/>
          <w:sz w:val="24"/>
          <w:szCs w:val="24"/>
        </w:rPr>
        <w:t> </w:t>
      </w:r>
      <w:r w:rsidRPr="0040577E">
        <w:rPr>
          <w:rFonts w:ascii="Times New Roman" w:hAnsi="Times New Roman"/>
          <w:b/>
          <w:sz w:val="24"/>
          <w:szCs w:val="24"/>
        </w:rPr>
        <w:t>centrální banky</w:t>
      </w:r>
    </w:p>
    <w:p w14:paraId="2839168B" w14:textId="77777777" w:rsidR="00C46147" w:rsidRPr="00286395" w:rsidRDefault="00C46147" w:rsidP="009279C1">
      <w:pPr>
        <w:keepNext/>
        <w:spacing w:before="120" w:after="120"/>
        <w:ind w:left="360" w:right="357"/>
        <w:contextualSpacing/>
        <w:rPr>
          <w:rFonts w:ascii="Times New Roman" w:hAnsi="Times New Roman"/>
          <w:b/>
          <w:sz w:val="24"/>
          <w:szCs w:val="24"/>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3029"/>
        <w:gridCol w:w="3066"/>
      </w:tblGrid>
      <w:tr w:rsidR="00C46147" w:rsidRPr="00286395" w14:paraId="5A5D0FC0" w14:textId="77777777" w:rsidTr="00B53E45">
        <w:trPr>
          <w:trHeight w:val="708"/>
        </w:trPr>
        <w:tc>
          <w:tcPr>
            <w:tcW w:w="2268" w:type="dxa"/>
            <w:tcBorders>
              <w:top w:val="single" w:sz="4" w:space="0" w:color="auto"/>
              <w:left w:val="single" w:sz="4" w:space="0" w:color="auto"/>
              <w:bottom w:val="single" w:sz="4" w:space="0" w:color="auto"/>
              <w:right w:val="single" w:sz="4" w:space="0" w:color="auto"/>
            </w:tcBorders>
            <w:vAlign w:val="center"/>
          </w:tcPr>
          <w:p w14:paraId="3122A8D1" w14:textId="77777777" w:rsidR="00C46147" w:rsidRPr="00286395" w:rsidRDefault="00C46147" w:rsidP="00005303">
            <w:pPr>
              <w:keepLines/>
              <w:spacing w:before="120" w:after="120"/>
              <w:rPr>
                <w:rFonts w:ascii="Times New Roman" w:hAnsi="Times New Roman"/>
                <w:b/>
                <w:sz w:val="24"/>
                <w:szCs w:val="24"/>
              </w:rPr>
            </w:pPr>
            <w:r w:rsidRPr="00286395">
              <w:rPr>
                <w:rFonts w:ascii="Times New Roman" w:hAnsi="Times New Roman"/>
                <w:b/>
                <w:sz w:val="24"/>
                <w:szCs w:val="24"/>
              </w:rPr>
              <w:t>VARIANTA</w:t>
            </w:r>
          </w:p>
        </w:tc>
        <w:tc>
          <w:tcPr>
            <w:tcW w:w="3029" w:type="dxa"/>
            <w:tcBorders>
              <w:top w:val="single" w:sz="4" w:space="0" w:color="auto"/>
              <w:left w:val="single" w:sz="4" w:space="0" w:color="auto"/>
              <w:bottom w:val="single" w:sz="4" w:space="0" w:color="auto"/>
              <w:right w:val="single" w:sz="4" w:space="0" w:color="auto"/>
            </w:tcBorders>
            <w:vAlign w:val="center"/>
          </w:tcPr>
          <w:p w14:paraId="19B316FF" w14:textId="77777777" w:rsidR="00C46147" w:rsidRPr="00286395" w:rsidRDefault="00C46147" w:rsidP="009279C1">
            <w:pPr>
              <w:keepLines/>
              <w:tabs>
                <w:tab w:val="left" w:pos="709"/>
              </w:tabs>
              <w:spacing w:before="120" w:after="120"/>
              <w:ind w:right="357"/>
              <w:rPr>
                <w:rFonts w:ascii="Times New Roman" w:hAnsi="Times New Roman"/>
                <w:b/>
                <w:sz w:val="24"/>
                <w:szCs w:val="24"/>
              </w:rPr>
            </w:pPr>
            <w:r w:rsidRPr="00286395">
              <w:rPr>
                <w:rFonts w:ascii="Times New Roman" w:hAnsi="Times New Roman"/>
                <w:b/>
                <w:sz w:val="24"/>
                <w:szCs w:val="24"/>
              </w:rPr>
              <w:t>PŘÍNOSY</w:t>
            </w:r>
          </w:p>
        </w:tc>
        <w:tc>
          <w:tcPr>
            <w:tcW w:w="3066" w:type="dxa"/>
            <w:tcBorders>
              <w:top w:val="single" w:sz="4" w:space="0" w:color="auto"/>
              <w:left w:val="single" w:sz="4" w:space="0" w:color="auto"/>
              <w:bottom w:val="single" w:sz="4" w:space="0" w:color="auto"/>
              <w:right w:val="single" w:sz="4" w:space="0" w:color="auto"/>
            </w:tcBorders>
            <w:vAlign w:val="center"/>
          </w:tcPr>
          <w:p w14:paraId="0685E98A" w14:textId="77777777" w:rsidR="00C46147" w:rsidRPr="00286395" w:rsidRDefault="00C46147" w:rsidP="009279C1">
            <w:pPr>
              <w:keepLines/>
              <w:tabs>
                <w:tab w:val="left" w:pos="709"/>
              </w:tabs>
              <w:spacing w:before="120" w:after="120"/>
              <w:ind w:right="357"/>
              <w:rPr>
                <w:rFonts w:ascii="Times New Roman" w:hAnsi="Times New Roman"/>
                <w:b/>
                <w:sz w:val="24"/>
                <w:szCs w:val="24"/>
              </w:rPr>
            </w:pPr>
            <w:r w:rsidRPr="00286395">
              <w:rPr>
                <w:rFonts w:ascii="Times New Roman" w:hAnsi="Times New Roman"/>
                <w:b/>
                <w:sz w:val="24"/>
                <w:szCs w:val="24"/>
              </w:rPr>
              <w:t>NÁKLADY</w:t>
            </w:r>
          </w:p>
        </w:tc>
      </w:tr>
      <w:tr w:rsidR="00C46147" w:rsidRPr="00286395" w14:paraId="44D00DD2" w14:textId="77777777" w:rsidTr="00B53E45">
        <w:trPr>
          <w:trHeight w:val="2042"/>
        </w:trPr>
        <w:tc>
          <w:tcPr>
            <w:tcW w:w="2268" w:type="dxa"/>
            <w:tcBorders>
              <w:top w:val="single" w:sz="4" w:space="0" w:color="auto"/>
              <w:left w:val="single" w:sz="4" w:space="0" w:color="auto"/>
              <w:bottom w:val="single" w:sz="4" w:space="0" w:color="auto"/>
              <w:right w:val="single" w:sz="4" w:space="0" w:color="auto"/>
            </w:tcBorders>
            <w:vAlign w:val="center"/>
          </w:tcPr>
          <w:p w14:paraId="3F321091" w14:textId="77777777" w:rsidR="00C46147" w:rsidRPr="00286395" w:rsidRDefault="00C46147" w:rsidP="005867EE">
            <w:pPr>
              <w:keepLines/>
              <w:tabs>
                <w:tab w:val="left" w:pos="34"/>
              </w:tabs>
              <w:spacing w:after="120" w:line="300" w:lineRule="exact"/>
              <w:rPr>
                <w:rFonts w:ascii="Times New Roman" w:hAnsi="Times New Roman"/>
                <w:sz w:val="24"/>
                <w:szCs w:val="24"/>
              </w:rPr>
            </w:pPr>
            <w:r w:rsidRPr="00286395">
              <w:rPr>
                <w:rFonts w:ascii="Times New Roman" w:hAnsi="Times New Roman"/>
                <w:b/>
                <w:sz w:val="24"/>
                <w:szCs w:val="24"/>
              </w:rPr>
              <w:t>„nulová“</w:t>
            </w:r>
          </w:p>
        </w:tc>
        <w:tc>
          <w:tcPr>
            <w:tcW w:w="3029" w:type="dxa"/>
            <w:tcBorders>
              <w:top w:val="single" w:sz="4" w:space="0" w:color="auto"/>
              <w:left w:val="single" w:sz="4" w:space="0" w:color="auto"/>
              <w:bottom w:val="single" w:sz="4" w:space="0" w:color="auto"/>
              <w:right w:val="single" w:sz="4" w:space="0" w:color="auto"/>
            </w:tcBorders>
          </w:tcPr>
          <w:p w14:paraId="7EB26004" w14:textId="77777777" w:rsidR="00C46147" w:rsidRPr="00286395" w:rsidRDefault="00C46147" w:rsidP="008E25AF">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Beze změn</w:t>
            </w:r>
          </w:p>
          <w:p w14:paraId="1C1A7563" w14:textId="77777777" w:rsidR="00C46147" w:rsidRPr="00286395" w:rsidRDefault="00C46147" w:rsidP="008E25AF">
            <w:pPr>
              <w:keepLines/>
              <w:tabs>
                <w:tab w:val="left" w:pos="709"/>
              </w:tabs>
              <w:spacing w:after="120" w:line="300" w:lineRule="exact"/>
              <w:jc w:val="both"/>
              <w:rPr>
                <w:rFonts w:ascii="Times New Roman" w:hAnsi="Times New Roman"/>
                <w:sz w:val="24"/>
                <w:szCs w:val="24"/>
              </w:rPr>
            </w:pPr>
          </w:p>
          <w:p w14:paraId="3E161B3A" w14:textId="77777777" w:rsidR="00C46147" w:rsidRPr="00286395" w:rsidRDefault="00C46147" w:rsidP="008E25AF">
            <w:pPr>
              <w:keepLines/>
              <w:tabs>
                <w:tab w:val="left" w:pos="709"/>
              </w:tabs>
              <w:spacing w:after="120" w:line="300" w:lineRule="exact"/>
              <w:jc w:val="both"/>
              <w:rPr>
                <w:rFonts w:ascii="Times New Roman" w:hAnsi="Times New Roman"/>
                <w:sz w:val="24"/>
                <w:szCs w:val="24"/>
              </w:rPr>
            </w:pPr>
          </w:p>
          <w:p w14:paraId="711F45C0" w14:textId="77777777" w:rsidR="00C46147" w:rsidRPr="00286395" w:rsidRDefault="00C46147" w:rsidP="008E25AF">
            <w:pPr>
              <w:keepLines/>
              <w:tabs>
                <w:tab w:val="left" w:pos="709"/>
              </w:tabs>
              <w:spacing w:after="120" w:line="300" w:lineRule="exact"/>
              <w:jc w:val="both"/>
              <w:rPr>
                <w:rFonts w:ascii="Times New Roman" w:hAnsi="Times New Roman"/>
                <w:sz w:val="24"/>
                <w:szCs w:val="24"/>
              </w:rPr>
            </w:pPr>
          </w:p>
          <w:p w14:paraId="57C3D41B" w14:textId="77777777" w:rsidR="00C46147" w:rsidRPr="00286395" w:rsidRDefault="00C46147" w:rsidP="008E25AF">
            <w:pPr>
              <w:keepLines/>
              <w:tabs>
                <w:tab w:val="left" w:pos="709"/>
              </w:tabs>
              <w:spacing w:after="120" w:line="300" w:lineRule="exact"/>
              <w:jc w:val="both"/>
              <w:rPr>
                <w:rFonts w:ascii="Times New Roman" w:hAnsi="Times New Roman"/>
                <w:b/>
                <w:sz w:val="24"/>
                <w:szCs w:val="24"/>
              </w:rPr>
            </w:pPr>
          </w:p>
        </w:tc>
        <w:tc>
          <w:tcPr>
            <w:tcW w:w="3066" w:type="dxa"/>
            <w:tcBorders>
              <w:top w:val="single" w:sz="4" w:space="0" w:color="auto"/>
              <w:left w:val="single" w:sz="4" w:space="0" w:color="auto"/>
              <w:bottom w:val="single" w:sz="4" w:space="0" w:color="auto"/>
              <w:right w:val="single" w:sz="4" w:space="0" w:color="auto"/>
            </w:tcBorders>
          </w:tcPr>
          <w:p w14:paraId="0EACE54E" w14:textId="77777777" w:rsidR="00C46147" w:rsidRPr="00286395" w:rsidRDefault="00C46147" w:rsidP="008E25AF">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 xml:space="preserve">Rozpočtové náklady v rámci omezeného řízení likvidity, kdy stát je nucen získávat krátkodobé zdroje peněžních prostředků pro krytí potřeby financování vlády formou výpůjčních operací státu </w:t>
            </w:r>
          </w:p>
          <w:p w14:paraId="19E59E7B" w14:textId="77777777" w:rsidR="00C46147" w:rsidRPr="00286395" w:rsidRDefault="00C46147" w:rsidP="008E25AF">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Náklady z úrokových výdajů na obsluhu státního dluhu souvisejících s emisní činností</w:t>
            </w:r>
          </w:p>
          <w:p w14:paraId="18FD908E" w14:textId="77777777" w:rsidR="00C46147" w:rsidRPr="00286395" w:rsidRDefault="00C46147" w:rsidP="008E25AF">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Náklady exportní pojišťovny a</w:t>
            </w:r>
            <w:r w:rsidR="003D5AB2">
              <w:rPr>
                <w:rFonts w:ascii="Times New Roman" w:hAnsi="Times New Roman"/>
                <w:sz w:val="24"/>
                <w:szCs w:val="24"/>
              </w:rPr>
              <w:t> </w:t>
            </w:r>
            <w:r w:rsidRPr="00286395">
              <w:rPr>
                <w:rFonts w:ascii="Times New Roman" w:hAnsi="Times New Roman"/>
                <w:sz w:val="24"/>
                <w:szCs w:val="24"/>
              </w:rPr>
              <w:t>exportní banky z titulu ban</w:t>
            </w:r>
            <w:r w:rsidR="00F96219">
              <w:rPr>
                <w:rFonts w:ascii="Times New Roman" w:hAnsi="Times New Roman"/>
                <w:sz w:val="24"/>
                <w:szCs w:val="24"/>
              </w:rPr>
              <w:softHyphen/>
            </w:r>
            <w:r w:rsidRPr="00286395">
              <w:rPr>
                <w:rFonts w:ascii="Times New Roman" w:hAnsi="Times New Roman"/>
                <w:sz w:val="24"/>
                <w:szCs w:val="24"/>
              </w:rPr>
              <w:t>kovních poplatků komerčním bankám</w:t>
            </w:r>
          </w:p>
          <w:p w14:paraId="529F5015" w14:textId="77777777" w:rsidR="00C46147" w:rsidRPr="00286395" w:rsidRDefault="00C46147" w:rsidP="00B53E45">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Absence příjmů státu z titulu nemožnosti investování pří</w:t>
            </w:r>
            <w:r w:rsidR="00B53E45">
              <w:rPr>
                <w:rFonts w:ascii="Times New Roman" w:hAnsi="Times New Roman"/>
                <w:sz w:val="24"/>
                <w:szCs w:val="24"/>
              </w:rPr>
              <w:softHyphen/>
            </w:r>
            <w:r w:rsidRPr="00286395">
              <w:rPr>
                <w:rFonts w:ascii="Times New Roman" w:hAnsi="Times New Roman"/>
                <w:sz w:val="24"/>
                <w:szCs w:val="24"/>
              </w:rPr>
              <w:t xml:space="preserve">slušných </w:t>
            </w:r>
            <w:r w:rsidR="00FE1075" w:rsidRPr="004D2804">
              <w:rPr>
                <w:rFonts w:ascii="Times New Roman" w:hAnsi="Times New Roman"/>
                <w:sz w:val="24"/>
                <w:szCs w:val="24"/>
              </w:rPr>
              <w:t>peněžní</w:t>
            </w:r>
            <w:r w:rsidRPr="00286395">
              <w:rPr>
                <w:rFonts w:ascii="Times New Roman" w:hAnsi="Times New Roman"/>
                <w:sz w:val="24"/>
                <w:szCs w:val="24"/>
              </w:rPr>
              <w:t>ch pro</w:t>
            </w:r>
            <w:r w:rsidR="00B53E45">
              <w:rPr>
                <w:rFonts w:ascii="Times New Roman" w:hAnsi="Times New Roman"/>
                <w:sz w:val="24"/>
                <w:szCs w:val="24"/>
              </w:rPr>
              <w:softHyphen/>
            </w:r>
            <w:r w:rsidRPr="00286395">
              <w:rPr>
                <w:rFonts w:ascii="Times New Roman" w:hAnsi="Times New Roman"/>
                <w:sz w:val="24"/>
                <w:szCs w:val="24"/>
              </w:rPr>
              <w:t>středků na</w:t>
            </w:r>
            <w:r w:rsidR="00997092">
              <w:rPr>
                <w:rFonts w:ascii="Times New Roman" w:hAnsi="Times New Roman"/>
                <w:sz w:val="24"/>
                <w:szCs w:val="24"/>
              </w:rPr>
              <w:t> </w:t>
            </w:r>
            <w:r w:rsidRPr="00286395">
              <w:rPr>
                <w:rFonts w:ascii="Times New Roman" w:hAnsi="Times New Roman"/>
                <w:sz w:val="24"/>
                <w:szCs w:val="24"/>
              </w:rPr>
              <w:t xml:space="preserve">peněžním trhu  </w:t>
            </w:r>
          </w:p>
        </w:tc>
      </w:tr>
      <w:tr w:rsidR="00C46147" w:rsidRPr="00286395" w14:paraId="107DE084" w14:textId="77777777" w:rsidTr="00B53E45">
        <w:trPr>
          <w:trHeight w:val="708"/>
        </w:trPr>
        <w:tc>
          <w:tcPr>
            <w:tcW w:w="2268" w:type="dxa"/>
            <w:tcBorders>
              <w:top w:val="single" w:sz="4" w:space="0" w:color="auto"/>
              <w:left w:val="single" w:sz="4" w:space="0" w:color="auto"/>
              <w:bottom w:val="single" w:sz="4" w:space="0" w:color="auto"/>
              <w:right w:val="single" w:sz="4" w:space="0" w:color="auto"/>
            </w:tcBorders>
            <w:vAlign w:val="center"/>
          </w:tcPr>
          <w:p w14:paraId="7CAF031B" w14:textId="77777777" w:rsidR="00C46147" w:rsidRPr="00286395" w:rsidRDefault="00C46147" w:rsidP="005867EE">
            <w:pPr>
              <w:keepLines/>
              <w:tabs>
                <w:tab w:val="left" w:pos="34"/>
              </w:tabs>
              <w:spacing w:after="120" w:line="300" w:lineRule="exact"/>
              <w:rPr>
                <w:rFonts w:ascii="Times New Roman" w:hAnsi="Times New Roman"/>
                <w:b/>
                <w:sz w:val="24"/>
                <w:szCs w:val="24"/>
              </w:rPr>
            </w:pPr>
            <w:r w:rsidRPr="00286395">
              <w:rPr>
                <w:rFonts w:ascii="Times New Roman" w:hAnsi="Times New Roman"/>
                <w:b/>
                <w:sz w:val="24"/>
                <w:szCs w:val="24"/>
              </w:rPr>
              <w:t>1</w:t>
            </w:r>
          </w:p>
          <w:p w14:paraId="6117307F" w14:textId="77777777" w:rsidR="00C46147" w:rsidRPr="00286395" w:rsidRDefault="00C46147" w:rsidP="005867EE">
            <w:pPr>
              <w:keepLines/>
              <w:tabs>
                <w:tab w:val="left" w:pos="34"/>
              </w:tabs>
              <w:spacing w:after="120" w:line="300" w:lineRule="exact"/>
              <w:rPr>
                <w:rFonts w:ascii="Times New Roman" w:hAnsi="Times New Roman"/>
                <w:b/>
                <w:sz w:val="24"/>
                <w:szCs w:val="24"/>
              </w:rPr>
            </w:pPr>
            <w:r w:rsidRPr="00286395">
              <w:rPr>
                <w:rFonts w:ascii="Times New Roman" w:hAnsi="Times New Roman"/>
                <w:sz w:val="24"/>
                <w:szCs w:val="24"/>
              </w:rPr>
              <w:t>legislativní řešení – podřízení ex</w:t>
            </w:r>
            <w:r w:rsidR="00F96219">
              <w:rPr>
                <w:rFonts w:ascii="Times New Roman" w:hAnsi="Times New Roman"/>
                <w:sz w:val="24"/>
                <w:szCs w:val="24"/>
              </w:rPr>
              <w:softHyphen/>
            </w:r>
            <w:r w:rsidRPr="00286395">
              <w:rPr>
                <w:rFonts w:ascii="Times New Roman" w:hAnsi="Times New Roman"/>
                <w:sz w:val="24"/>
                <w:szCs w:val="24"/>
              </w:rPr>
              <w:t>portní pojišťovny a exportní banky režimu státní po</w:t>
            </w:r>
            <w:r w:rsidR="00F96219">
              <w:rPr>
                <w:rFonts w:ascii="Times New Roman" w:hAnsi="Times New Roman"/>
                <w:sz w:val="24"/>
                <w:szCs w:val="24"/>
              </w:rPr>
              <w:softHyphen/>
            </w:r>
            <w:r w:rsidRPr="00286395">
              <w:rPr>
                <w:rFonts w:ascii="Times New Roman" w:hAnsi="Times New Roman"/>
                <w:sz w:val="24"/>
                <w:szCs w:val="24"/>
              </w:rPr>
              <w:t>kladny</w:t>
            </w:r>
          </w:p>
        </w:tc>
        <w:tc>
          <w:tcPr>
            <w:tcW w:w="3029" w:type="dxa"/>
            <w:tcBorders>
              <w:top w:val="single" w:sz="4" w:space="0" w:color="auto"/>
              <w:left w:val="single" w:sz="4" w:space="0" w:color="auto"/>
              <w:bottom w:val="single" w:sz="4" w:space="0" w:color="auto"/>
              <w:right w:val="single" w:sz="4" w:space="0" w:color="auto"/>
            </w:tcBorders>
          </w:tcPr>
          <w:p w14:paraId="51AC648F" w14:textId="77777777" w:rsidR="00C46147" w:rsidRPr="00286395" w:rsidRDefault="00C46147" w:rsidP="008E25AF">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Rozpočtové přínosy v rámci řízení likvidity státní po</w:t>
            </w:r>
            <w:r w:rsidR="00B53E45">
              <w:rPr>
                <w:rFonts w:ascii="Times New Roman" w:hAnsi="Times New Roman"/>
                <w:sz w:val="24"/>
                <w:szCs w:val="24"/>
              </w:rPr>
              <w:softHyphen/>
            </w:r>
            <w:r w:rsidRPr="00286395">
              <w:rPr>
                <w:rFonts w:ascii="Times New Roman" w:hAnsi="Times New Roman"/>
                <w:sz w:val="24"/>
                <w:szCs w:val="24"/>
              </w:rPr>
              <w:t>kladny, kdy stát získává krát</w:t>
            </w:r>
            <w:r w:rsidR="00B53E45">
              <w:rPr>
                <w:rFonts w:ascii="Times New Roman" w:hAnsi="Times New Roman"/>
                <w:sz w:val="24"/>
                <w:szCs w:val="24"/>
              </w:rPr>
              <w:softHyphen/>
            </w:r>
            <w:r w:rsidRPr="00286395">
              <w:rPr>
                <w:rFonts w:ascii="Times New Roman" w:hAnsi="Times New Roman"/>
                <w:sz w:val="24"/>
                <w:szCs w:val="24"/>
              </w:rPr>
              <w:t>kodobý zdroj peněžních pro</w:t>
            </w:r>
            <w:r w:rsidR="00B53E45">
              <w:rPr>
                <w:rFonts w:ascii="Times New Roman" w:hAnsi="Times New Roman"/>
                <w:sz w:val="24"/>
                <w:szCs w:val="24"/>
              </w:rPr>
              <w:softHyphen/>
            </w:r>
            <w:r w:rsidRPr="00286395">
              <w:rPr>
                <w:rFonts w:ascii="Times New Roman" w:hAnsi="Times New Roman"/>
                <w:sz w:val="24"/>
                <w:szCs w:val="24"/>
              </w:rPr>
              <w:t>středků pro</w:t>
            </w:r>
            <w:r w:rsidR="00FA7045">
              <w:rPr>
                <w:rFonts w:ascii="Times New Roman" w:hAnsi="Times New Roman"/>
                <w:sz w:val="24"/>
                <w:szCs w:val="24"/>
              </w:rPr>
              <w:t> </w:t>
            </w:r>
            <w:r w:rsidRPr="00286395">
              <w:rPr>
                <w:rFonts w:ascii="Times New Roman" w:hAnsi="Times New Roman"/>
                <w:sz w:val="24"/>
                <w:szCs w:val="24"/>
              </w:rPr>
              <w:t>krytí potřeby fi</w:t>
            </w:r>
            <w:r w:rsidR="00B53E45">
              <w:rPr>
                <w:rFonts w:ascii="Times New Roman" w:hAnsi="Times New Roman"/>
                <w:sz w:val="24"/>
                <w:szCs w:val="24"/>
              </w:rPr>
              <w:softHyphen/>
            </w:r>
            <w:r w:rsidRPr="00286395">
              <w:rPr>
                <w:rFonts w:ascii="Times New Roman" w:hAnsi="Times New Roman"/>
                <w:sz w:val="24"/>
                <w:szCs w:val="24"/>
              </w:rPr>
              <w:t>nancování vlády</w:t>
            </w:r>
          </w:p>
          <w:p w14:paraId="5D9A956B" w14:textId="77777777" w:rsidR="00C46147" w:rsidRPr="00286395" w:rsidRDefault="00C46147" w:rsidP="008E25AF">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Rozpočtové přínosy ze</w:t>
            </w:r>
            <w:r w:rsidR="00FA7045">
              <w:rPr>
                <w:rFonts w:ascii="Times New Roman" w:hAnsi="Times New Roman"/>
                <w:sz w:val="24"/>
                <w:szCs w:val="24"/>
              </w:rPr>
              <w:t> </w:t>
            </w:r>
            <w:r w:rsidRPr="00286395">
              <w:rPr>
                <w:rFonts w:ascii="Times New Roman" w:hAnsi="Times New Roman"/>
                <w:sz w:val="24"/>
                <w:szCs w:val="24"/>
              </w:rPr>
              <w:t>ze</w:t>
            </w:r>
            <w:r w:rsidR="00B53E45">
              <w:rPr>
                <w:rFonts w:ascii="Times New Roman" w:hAnsi="Times New Roman"/>
                <w:sz w:val="24"/>
                <w:szCs w:val="24"/>
              </w:rPr>
              <w:softHyphen/>
            </w:r>
            <w:r w:rsidRPr="00286395">
              <w:rPr>
                <w:rFonts w:ascii="Times New Roman" w:hAnsi="Times New Roman"/>
                <w:sz w:val="24"/>
                <w:szCs w:val="24"/>
              </w:rPr>
              <w:t xml:space="preserve">fektivnění řízení výpůjčních operací státu </w:t>
            </w:r>
          </w:p>
          <w:p w14:paraId="0E63110D" w14:textId="77777777" w:rsidR="00C46147" w:rsidRPr="00286395" w:rsidRDefault="00C46147" w:rsidP="008E25AF">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Přínosy ze snižování úroko</w:t>
            </w:r>
            <w:r w:rsidR="00B53E45">
              <w:rPr>
                <w:rFonts w:ascii="Times New Roman" w:hAnsi="Times New Roman"/>
                <w:sz w:val="24"/>
                <w:szCs w:val="24"/>
              </w:rPr>
              <w:softHyphen/>
            </w:r>
            <w:r w:rsidRPr="00286395">
              <w:rPr>
                <w:rFonts w:ascii="Times New Roman" w:hAnsi="Times New Roman"/>
                <w:sz w:val="24"/>
                <w:szCs w:val="24"/>
              </w:rPr>
              <w:t>vých výdajů na obsluhu stát</w:t>
            </w:r>
            <w:r w:rsidR="00B53E45">
              <w:rPr>
                <w:rFonts w:ascii="Times New Roman" w:hAnsi="Times New Roman"/>
                <w:sz w:val="24"/>
                <w:szCs w:val="24"/>
              </w:rPr>
              <w:softHyphen/>
            </w:r>
            <w:r w:rsidRPr="00286395">
              <w:rPr>
                <w:rFonts w:ascii="Times New Roman" w:hAnsi="Times New Roman"/>
                <w:sz w:val="24"/>
                <w:szCs w:val="24"/>
              </w:rPr>
              <w:t>ního dluhu souvisejících s emisní činností</w:t>
            </w:r>
          </w:p>
          <w:p w14:paraId="0991D7C6" w14:textId="77777777" w:rsidR="00C46147" w:rsidRPr="00286395" w:rsidRDefault="00C46147" w:rsidP="008E25AF">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Přínosy exportní pojišťovny a</w:t>
            </w:r>
            <w:r w:rsidR="00FA7045">
              <w:rPr>
                <w:rFonts w:ascii="Times New Roman" w:hAnsi="Times New Roman"/>
                <w:sz w:val="24"/>
                <w:szCs w:val="24"/>
              </w:rPr>
              <w:t> </w:t>
            </w:r>
            <w:r w:rsidRPr="00286395">
              <w:rPr>
                <w:rFonts w:ascii="Times New Roman" w:hAnsi="Times New Roman"/>
                <w:sz w:val="24"/>
                <w:szCs w:val="24"/>
              </w:rPr>
              <w:t>exportní banky plynoucí z úspory bankovních po</w:t>
            </w:r>
            <w:r w:rsidR="00B53E45">
              <w:rPr>
                <w:rFonts w:ascii="Times New Roman" w:hAnsi="Times New Roman"/>
                <w:sz w:val="24"/>
                <w:szCs w:val="24"/>
              </w:rPr>
              <w:softHyphen/>
            </w:r>
            <w:r w:rsidRPr="00286395">
              <w:rPr>
                <w:rFonts w:ascii="Times New Roman" w:hAnsi="Times New Roman"/>
                <w:sz w:val="24"/>
                <w:szCs w:val="24"/>
              </w:rPr>
              <w:t>platků</w:t>
            </w:r>
          </w:p>
          <w:p w14:paraId="3B0F7550" w14:textId="77777777" w:rsidR="00C46147" w:rsidRPr="00286395" w:rsidRDefault="00C46147" w:rsidP="00B53E45">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Přínosy státu z titulu investo</w:t>
            </w:r>
            <w:r w:rsidR="00B53E45">
              <w:rPr>
                <w:rFonts w:ascii="Times New Roman" w:hAnsi="Times New Roman"/>
                <w:sz w:val="24"/>
                <w:szCs w:val="24"/>
              </w:rPr>
              <w:softHyphen/>
            </w:r>
            <w:r w:rsidRPr="00286395">
              <w:rPr>
                <w:rFonts w:ascii="Times New Roman" w:hAnsi="Times New Roman"/>
                <w:sz w:val="24"/>
                <w:szCs w:val="24"/>
              </w:rPr>
              <w:t>vání dodatečných peněžních prostředků na účtech státní pokladny na peněžním trhu ve</w:t>
            </w:r>
            <w:r w:rsidR="00997092">
              <w:rPr>
                <w:rFonts w:ascii="Times New Roman" w:hAnsi="Times New Roman"/>
                <w:sz w:val="24"/>
                <w:szCs w:val="24"/>
              </w:rPr>
              <w:t> </w:t>
            </w:r>
            <w:r w:rsidRPr="00286395">
              <w:rPr>
                <w:rFonts w:ascii="Times New Roman" w:hAnsi="Times New Roman"/>
                <w:sz w:val="24"/>
                <w:szCs w:val="24"/>
              </w:rPr>
              <w:t>formě krátkodobých de</w:t>
            </w:r>
            <w:r w:rsidR="00B53E45">
              <w:rPr>
                <w:rFonts w:ascii="Times New Roman" w:hAnsi="Times New Roman"/>
                <w:sz w:val="24"/>
                <w:szCs w:val="24"/>
              </w:rPr>
              <w:softHyphen/>
            </w:r>
            <w:r w:rsidRPr="00286395">
              <w:rPr>
                <w:rFonts w:ascii="Times New Roman" w:hAnsi="Times New Roman"/>
                <w:sz w:val="24"/>
                <w:szCs w:val="24"/>
              </w:rPr>
              <w:t xml:space="preserve">pozitních a </w:t>
            </w:r>
            <w:proofErr w:type="spellStart"/>
            <w:r w:rsidRPr="00286395">
              <w:rPr>
                <w:rFonts w:ascii="Times New Roman" w:hAnsi="Times New Roman"/>
                <w:sz w:val="24"/>
                <w:szCs w:val="24"/>
              </w:rPr>
              <w:t>repo</w:t>
            </w:r>
            <w:proofErr w:type="spellEnd"/>
            <w:r w:rsidRPr="00286395">
              <w:rPr>
                <w:rFonts w:ascii="Times New Roman" w:hAnsi="Times New Roman"/>
                <w:sz w:val="24"/>
                <w:szCs w:val="24"/>
              </w:rPr>
              <w:t xml:space="preserve"> operací</w:t>
            </w:r>
          </w:p>
        </w:tc>
        <w:tc>
          <w:tcPr>
            <w:tcW w:w="3066" w:type="dxa"/>
            <w:tcBorders>
              <w:top w:val="single" w:sz="4" w:space="0" w:color="auto"/>
              <w:left w:val="single" w:sz="4" w:space="0" w:color="auto"/>
              <w:bottom w:val="single" w:sz="4" w:space="0" w:color="auto"/>
              <w:right w:val="single" w:sz="4" w:space="0" w:color="auto"/>
            </w:tcBorders>
          </w:tcPr>
          <w:p w14:paraId="5B14423F" w14:textId="77777777" w:rsidR="00C46147" w:rsidRPr="00286395" w:rsidRDefault="00C46147" w:rsidP="008E25AF">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Náklady exportní pojišťovny a</w:t>
            </w:r>
            <w:r w:rsidR="003D5AB2">
              <w:rPr>
                <w:rFonts w:ascii="Times New Roman" w:hAnsi="Times New Roman"/>
                <w:sz w:val="24"/>
                <w:szCs w:val="24"/>
              </w:rPr>
              <w:t> </w:t>
            </w:r>
            <w:r w:rsidRPr="00286395">
              <w:rPr>
                <w:rFonts w:ascii="Times New Roman" w:hAnsi="Times New Roman"/>
                <w:sz w:val="24"/>
                <w:szCs w:val="24"/>
              </w:rPr>
              <w:t>exportní banky plynoucí ze</w:t>
            </w:r>
            <w:r w:rsidR="00FA7045">
              <w:rPr>
                <w:rFonts w:ascii="Times New Roman" w:hAnsi="Times New Roman"/>
                <w:sz w:val="24"/>
                <w:szCs w:val="24"/>
              </w:rPr>
              <w:t> </w:t>
            </w:r>
            <w:r w:rsidRPr="00286395">
              <w:rPr>
                <w:rFonts w:ascii="Times New Roman" w:hAnsi="Times New Roman"/>
                <w:sz w:val="24"/>
                <w:szCs w:val="24"/>
              </w:rPr>
              <w:t xml:space="preserve">ztráty </w:t>
            </w:r>
            <w:r w:rsidRPr="00286395">
              <w:rPr>
                <w:rFonts w:ascii="Times New Roman" w:hAnsi="Times New Roman"/>
                <w:bCs/>
                <w:iCs/>
                <w:sz w:val="24"/>
                <w:szCs w:val="24"/>
              </w:rPr>
              <w:t>dodatečného příjmu plynoucího z komerčního zhodnocení uložených či in</w:t>
            </w:r>
            <w:r w:rsidR="00B53E45">
              <w:rPr>
                <w:rFonts w:ascii="Times New Roman" w:hAnsi="Times New Roman"/>
                <w:bCs/>
                <w:iCs/>
                <w:sz w:val="24"/>
                <w:szCs w:val="24"/>
              </w:rPr>
              <w:softHyphen/>
            </w:r>
            <w:r w:rsidRPr="00286395">
              <w:rPr>
                <w:rFonts w:ascii="Times New Roman" w:hAnsi="Times New Roman"/>
                <w:bCs/>
                <w:iCs/>
                <w:sz w:val="24"/>
                <w:szCs w:val="24"/>
              </w:rPr>
              <w:t>vestovaných prostředků</w:t>
            </w:r>
          </w:p>
          <w:p w14:paraId="333E4FF7" w14:textId="77777777" w:rsidR="00C46147" w:rsidRPr="00286395" w:rsidRDefault="00C46147" w:rsidP="008E25AF">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Rozpočtové náklady z titulu nároků exportní pojišťovny a</w:t>
            </w:r>
            <w:r w:rsidR="00FA7045">
              <w:rPr>
                <w:rFonts w:ascii="Times New Roman" w:hAnsi="Times New Roman"/>
                <w:sz w:val="24"/>
                <w:szCs w:val="24"/>
              </w:rPr>
              <w:t> </w:t>
            </w:r>
            <w:r w:rsidRPr="00286395">
              <w:rPr>
                <w:rFonts w:ascii="Times New Roman" w:hAnsi="Times New Roman"/>
                <w:sz w:val="24"/>
                <w:szCs w:val="24"/>
              </w:rPr>
              <w:t>exportní banky vůči státu v rámci dotačního vztahu z</w:t>
            </w:r>
            <w:r w:rsidR="00FA7045">
              <w:rPr>
                <w:rFonts w:ascii="Times New Roman" w:hAnsi="Times New Roman"/>
                <w:sz w:val="24"/>
                <w:szCs w:val="24"/>
              </w:rPr>
              <w:t> </w:t>
            </w:r>
            <w:r w:rsidRPr="00286395">
              <w:rPr>
                <w:rFonts w:ascii="Times New Roman" w:hAnsi="Times New Roman"/>
                <w:sz w:val="24"/>
                <w:szCs w:val="24"/>
              </w:rPr>
              <w:t>ti</w:t>
            </w:r>
            <w:r w:rsidR="00B53E45">
              <w:rPr>
                <w:rFonts w:ascii="Times New Roman" w:hAnsi="Times New Roman"/>
                <w:sz w:val="24"/>
                <w:szCs w:val="24"/>
              </w:rPr>
              <w:softHyphen/>
            </w:r>
            <w:r w:rsidRPr="00286395">
              <w:rPr>
                <w:rFonts w:ascii="Times New Roman" w:hAnsi="Times New Roman"/>
                <w:sz w:val="24"/>
                <w:szCs w:val="24"/>
              </w:rPr>
              <w:t>tulu výpadku příjmů plynou</w:t>
            </w:r>
            <w:r w:rsidR="00B53E45">
              <w:rPr>
                <w:rFonts w:ascii="Times New Roman" w:hAnsi="Times New Roman"/>
                <w:sz w:val="24"/>
                <w:szCs w:val="24"/>
              </w:rPr>
              <w:softHyphen/>
            </w:r>
            <w:r w:rsidRPr="00286395">
              <w:rPr>
                <w:rFonts w:ascii="Times New Roman" w:hAnsi="Times New Roman"/>
                <w:sz w:val="24"/>
                <w:szCs w:val="24"/>
              </w:rPr>
              <w:t xml:space="preserve">cích z tržního zhodnocení </w:t>
            </w:r>
            <w:r w:rsidR="00FE1075" w:rsidRPr="004D2804">
              <w:rPr>
                <w:rFonts w:ascii="Times New Roman" w:hAnsi="Times New Roman"/>
                <w:sz w:val="24"/>
                <w:szCs w:val="24"/>
              </w:rPr>
              <w:t>peněžní</w:t>
            </w:r>
            <w:r w:rsidR="00FE1075">
              <w:rPr>
                <w:rFonts w:ascii="Times New Roman" w:hAnsi="Times New Roman"/>
                <w:sz w:val="24"/>
                <w:szCs w:val="24"/>
              </w:rPr>
              <w:t>ch</w:t>
            </w:r>
            <w:r w:rsidRPr="00286395">
              <w:rPr>
                <w:rFonts w:ascii="Times New Roman" w:hAnsi="Times New Roman"/>
                <w:sz w:val="24"/>
                <w:szCs w:val="24"/>
              </w:rPr>
              <w:t xml:space="preserve"> prostředků poskytovaných ze</w:t>
            </w:r>
            <w:r w:rsidR="00FA7045">
              <w:rPr>
                <w:rFonts w:ascii="Times New Roman" w:hAnsi="Times New Roman"/>
                <w:sz w:val="24"/>
                <w:szCs w:val="24"/>
              </w:rPr>
              <w:t> </w:t>
            </w:r>
            <w:r w:rsidRPr="00286395">
              <w:rPr>
                <w:rFonts w:ascii="Times New Roman" w:hAnsi="Times New Roman"/>
                <w:sz w:val="24"/>
                <w:szCs w:val="24"/>
              </w:rPr>
              <w:t>státního rozpočtu podle stávající úpravy</w:t>
            </w:r>
          </w:p>
          <w:p w14:paraId="788E91D7" w14:textId="77777777" w:rsidR="00C46147" w:rsidRPr="00286395" w:rsidRDefault="00C46147" w:rsidP="008E25AF">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 xml:space="preserve"> </w:t>
            </w:r>
          </w:p>
        </w:tc>
      </w:tr>
    </w:tbl>
    <w:p w14:paraId="481AE1B9" w14:textId="77777777" w:rsidR="00734882" w:rsidRDefault="00734882" w:rsidP="00BD3E0C">
      <w:pPr>
        <w:keepNext/>
        <w:spacing w:before="120" w:after="120"/>
        <w:ind w:left="426" w:right="357"/>
        <w:contextualSpacing/>
        <w:jc w:val="both"/>
        <w:rPr>
          <w:rFonts w:ascii="Times New Roman" w:hAnsi="Times New Roman"/>
          <w:b/>
          <w:sz w:val="24"/>
          <w:szCs w:val="24"/>
        </w:rPr>
      </w:pPr>
    </w:p>
    <w:p w14:paraId="4A5251C5" w14:textId="77777777" w:rsidR="007403D7" w:rsidRPr="00286395" w:rsidRDefault="007403D7" w:rsidP="009279C1">
      <w:pPr>
        <w:spacing w:before="120" w:after="120"/>
        <w:ind w:right="357"/>
        <w:contextualSpacing/>
        <w:rPr>
          <w:rFonts w:ascii="Times New Roman" w:hAnsi="Times New Roman"/>
          <w:sz w:val="24"/>
          <w:szCs w:val="24"/>
        </w:rPr>
      </w:pPr>
    </w:p>
    <w:p w14:paraId="5317CB0E" w14:textId="1C2DDB76" w:rsidR="007403D7" w:rsidRPr="00286395" w:rsidRDefault="007403D7" w:rsidP="00B53E45">
      <w:pPr>
        <w:keepNext/>
        <w:spacing w:before="120" w:after="120"/>
        <w:ind w:left="360" w:right="357"/>
        <w:contextualSpacing/>
        <w:jc w:val="both"/>
        <w:rPr>
          <w:rFonts w:ascii="Times New Roman" w:hAnsi="Times New Roman"/>
          <w:b/>
          <w:sz w:val="24"/>
          <w:szCs w:val="24"/>
        </w:rPr>
      </w:pPr>
      <w:r w:rsidRPr="00286395">
        <w:rPr>
          <w:rFonts w:ascii="Times New Roman" w:hAnsi="Times New Roman"/>
          <w:b/>
          <w:sz w:val="24"/>
          <w:szCs w:val="24"/>
        </w:rPr>
        <w:t>Náklady a přínosy (</w:t>
      </w:r>
      <w:r w:rsidR="005908DC">
        <w:rPr>
          <w:rFonts w:ascii="Times New Roman" w:hAnsi="Times New Roman"/>
          <w:b/>
          <w:sz w:val="24"/>
          <w:szCs w:val="24"/>
        </w:rPr>
        <w:t>C</w:t>
      </w:r>
      <w:r w:rsidRPr="00286395">
        <w:rPr>
          <w:rFonts w:ascii="Times New Roman" w:hAnsi="Times New Roman"/>
          <w:b/>
          <w:sz w:val="24"/>
          <w:szCs w:val="24"/>
        </w:rPr>
        <w:t xml:space="preserve">) Rozšíření možností </w:t>
      </w:r>
      <w:r w:rsidR="00D970B3" w:rsidRPr="00D970B3">
        <w:rPr>
          <w:rFonts w:ascii="Times New Roman" w:hAnsi="Times New Roman"/>
          <w:b/>
          <w:sz w:val="24"/>
          <w:szCs w:val="24"/>
        </w:rPr>
        <w:t>zakládání právnických osob a</w:t>
      </w:r>
      <w:r w:rsidR="0086648F">
        <w:rPr>
          <w:rFonts w:ascii="Times New Roman" w:hAnsi="Times New Roman"/>
          <w:b/>
          <w:sz w:val="24"/>
          <w:szCs w:val="24"/>
        </w:rPr>
        <w:t> </w:t>
      </w:r>
      <w:r w:rsidRPr="00286395">
        <w:rPr>
          <w:rFonts w:ascii="Times New Roman" w:hAnsi="Times New Roman"/>
          <w:b/>
          <w:sz w:val="24"/>
          <w:szCs w:val="24"/>
        </w:rPr>
        <w:t>nabývání podílů v právnických osobách exportní pojišťovnou a exportní bankou</w:t>
      </w:r>
    </w:p>
    <w:p w14:paraId="52D5C5C8" w14:textId="77777777" w:rsidR="007403D7" w:rsidRPr="00286395" w:rsidRDefault="007403D7" w:rsidP="00B53E45">
      <w:pPr>
        <w:keepNext/>
        <w:spacing w:before="120" w:after="120"/>
        <w:ind w:left="360" w:right="357"/>
        <w:contextualSpacing/>
        <w:jc w:val="both"/>
        <w:rPr>
          <w:rFonts w:ascii="Times New Roman" w:hAnsi="Times New Roman"/>
          <w:b/>
          <w:sz w:val="24"/>
          <w:szCs w:val="24"/>
        </w:rPr>
      </w:pPr>
    </w:p>
    <w:tbl>
      <w:tblPr>
        <w:tblW w:w="836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7"/>
        <w:gridCol w:w="3248"/>
        <w:gridCol w:w="3248"/>
      </w:tblGrid>
      <w:tr w:rsidR="007403D7" w:rsidRPr="00286395" w14:paraId="04059CB7" w14:textId="77777777" w:rsidTr="009F4E90">
        <w:trPr>
          <w:trHeight w:val="708"/>
        </w:trPr>
        <w:tc>
          <w:tcPr>
            <w:tcW w:w="1867" w:type="dxa"/>
            <w:tcBorders>
              <w:top w:val="single" w:sz="4" w:space="0" w:color="auto"/>
              <w:left w:val="single" w:sz="4" w:space="0" w:color="auto"/>
              <w:bottom w:val="single" w:sz="4" w:space="0" w:color="auto"/>
              <w:right w:val="single" w:sz="4" w:space="0" w:color="auto"/>
            </w:tcBorders>
            <w:vAlign w:val="center"/>
          </w:tcPr>
          <w:p w14:paraId="6E11607F" w14:textId="77777777" w:rsidR="007403D7" w:rsidRPr="00286395" w:rsidRDefault="007403D7" w:rsidP="009279C1">
            <w:pPr>
              <w:keepLines/>
              <w:spacing w:before="120" w:after="120"/>
              <w:ind w:right="357"/>
              <w:rPr>
                <w:rFonts w:ascii="Times New Roman" w:hAnsi="Times New Roman"/>
                <w:b/>
                <w:sz w:val="24"/>
                <w:szCs w:val="24"/>
              </w:rPr>
            </w:pPr>
            <w:r w:rsidRPr="00286395">
              <w:rPr>
                <w:rFonts w:ascii="Times New Roman" w:hAnsi="Times New Roman"/>
                <w:b/>
                <w:sz w:val="24"/>
                <w:szCs w:val="24"/>
              </w:rPr>
              <w:t>VARIANTA</w:t>
            </w:r>
          </w:p>
        </w:tc>
        <w:tc>
          <w:tcPr>
            <w:tcW w:w="3248" w:type="dxa"/>
            <w:tcBorders>
              <w:top w:val="single" w:sz="4" w:space="0" w:color="auto"/>
              <w:left w:val="single" w:sz="4" w:space="0" w:color="auto"/>
              <w:bottom w:val="single" w:sz="4" w:space="0" w:color="auto"/>
              <w:right w:val="single" w:sz="4" w:space="0" w:color="auto"/>
            </w:tcBorders>
            <w:vAlign w:val="center"/>
          </w:tcPr>
          <w:p w14:paraId="2BAFD5FC" w14:textId="77777777" w:rsidR="007403D7" w:rsidRPr="00286395" w:rsidRDefault="007403D7" w:rsidP="009279C1">
            <w:pPr>
              <w:keepLines/>
              <w:tabs>
                <w:tab w:val="left" w:pos="709"/>
              </w:tabs>
              <w:spacing w:before="120" w:after="120"/>
              <w:ind w:right="357"/>
              <w:rPr>
                <w:rFonts w:ascii="Times New Roman" w:hAnsi="Times New Roman"/>
                <w:b/>
                <w:sz w:val="24"/>
                <w:szCs w:val="24"/>
              </w:rPr>
            </w:pPr>
            <w:r w:rsidRPr="00286395">
              <w:rPr>
                <w:rFonts w:ascii="Times New Roman" w:hAnsi="Times New Roman"/>
                <w:b/>
                <w:sz w:val="24"/>
                <w:szCs w:val="24"/>
              </w:rPr>
              <w:t>PŘÍNOSY</w:t>
            </w:r>
          </w:p>
        </w:tc>
        <w:tc>
          <w:tcPr>
            <w:tcW w:w="3248" w:type="dxa"/>
            <w:tcBorders>
              <w:top w:val="single" w:sz="4" w:space="0" w:color="auto"/>
              <w:left w:val="single" w:sz="4" w:space="0" w:color="auto"/>
              <w:bottom w:val="single" w:sz="4" w:space="0" w:color="auto"/>
              <w:right w:val="single" w:sz="4" w:space="0" w:color="auto"/>
            </w:tcBorders>
            <w:vAlign w:val="center"/>
          </w:tcPr>
          <w:p w14:paraId="13B0E31D" w14:textId="77777777" w:rsidR="007403D7" w:rsidRPr="00286395" w:rsidRDefault="007403D7" w:rsidP="009279C1">
            <w:pPr>
              <w:keepLines/>
              <w:tabs>
                <w:tab w:val="left" w:pos="709"/>
              </w:tabs>
              <w:spacing w:before="120" w:after="120"/>
              <w:ind w:right="357"/>
              <w:rPr>
                <w:rFonts w:ascii="Times New Roman" w:hAnsi="Times New Roman"/>
                <w:b/>
                <w:sz w:val="24"/>
                <w:szCs w:val="24"/>
              </w:rPr>
            </w:pPr>
            <w:r w:rsidRPr="00286395">
              <w:rPr>
                <w:rFonts w:ascii="Times New Roman" w:hAnsi="Times New Roman"/>
                <w:b/>
                <w:sz w:val="24"/>
                <w:szCs w:val="24"/>
              </w:rPr>
              <w:t>NÁKLADY</w:t>
            </w:r>
          </w:p>
        </w:tc>
      </w:tr>
      <w:tr w:rsidR="007403D7" w:rsidRPr="00286395" w14:paraId="7C9BE9C2" w14:textId="77777777" w:rsidTr="009F4E90">
        <w:trPr>
          <w:trHeight w:val="2042"/>
        </w:trPr>
        <w:tc>
          <w:tcPr>
            <w:tcW w:w="1867" w:type="dxa"/>
            <w:tcBorders>
              <w:top w:val="single" w:sz="4" w:space="0" w:color="auto"/>
              <w:left w:val="single" w:sz="4" w:space="0" w:color="auto"/>
              <w:bottom w:val="single" w:sz="4" w:space="0" w:color="auto"/>
              <w:right w:val="single" w:sz="4" w:space="0" w:color="auto"/>
            </w:tcBorders>
            <w:vAlign w:val="center"/>
          </w:tcPr>
          <w:p w14:paraId="6659CF67" w14:textId="77777777" w:rsidR="007403D7" w:rsidRPr="00286395" w:rsidRDefault="007403D7" w:rsidP="00C644EA">
            <w:pPr>
              <w:keepLines/>
              <w:tabs>
                <w:tab w:val="left" w:pos="34"/>
              </w:tabs>
              <w:spacing w:after="120" w:line="300" w:lineRule="exact"/>
              <w:rPr>
                <w:rFonts w:ascii="Times New Roman" w:hAnsi="Times New Roman"/>
                <w:sz w:val="24"/>
                <w:szCs w:val="24"/>
              </w:rPr>
            </w:pPr>
            <w:r w:rsidRPr="00286395">
              <w:rPr>
                <w:rFonts w:ascii="Times New Roman" w:hAnsi="Times New Roman"/>
                <w:b/>
                <w:sz w:val="24"/>
                <w:szCs w:val="24"/>
              </w:rPr>
              <w:t>„nulová“</w:t>
            </w:r>
          </w:p>
        </w:tc>
        <w:tc>
          <w:tcPr>
            <w:tcW w:w="3248" w:type="dxa"/>
            <w:tcBorders>
              <w:top w:val="single" w:sz="4" w:space="0" w:color="auto"/>
              <w:left w:val="single" w:sz="4" w:space="0" w:color="auto"/>
              <w:bottom w:val="single" w:sz="4" w:space="0" w:color="auto"/>
              <w:right w:val="single" w:sz="4" w:space="0" w:color="auto"/>
            </w:tcBorders>
          </w:tcPr>
          <w:p w14:paraId="1E7681BB" w14:textId="77777777" w:rsidR="007403D7" w:rsidRPr="00286395" w:rsidRDefault="007403D7" w:rsidP="00F9621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Beze změn</w:t>
            </w:r>
          </w:p>
          <w:p w14:paraId="435B9835" w14:textId="77777777" w:rsidR="007403D7" w:rsidRPr="00286395" w:rsidRDefault="007403D7" w:rsidP="00F96219">
            <w:pPr>
              <w:keepLines/>
              <w:tabs>
                <w:tab w:val="left" w:pos="709"/>
              </w:tabs>
              <w:spacing w:after="120" w:line="300" w:lineRule="exact"/>
              <w:jc w:val="both"/>
              <w:rPr>
                <w:rFonts w:ascii="Times New Roman" w:hAnsi="Times New Roman"/>
                <w:sz w:val="24"/>
                <w:szCs w:val="24"/>
              </w:rPr>
            </w:pPr>
          </w:p>
          <w:p w14:paraId="2BEB08B7" w14:textId="77777777" w:rsidR="007403D7" w:rsidRPr="00286395" w:rsidRDefault="007403D7" w:rsidP="00F96219">
            <w:pPr>
              <w:keepLines/>
              <w:tabs>
                <w:tab w:val="left" w:pos="709"/>
              </w:tabs>
              <w:spacing w:after="120" w:line="300" w:lineRule="exact"/>
              <w:jc w:val="both"/>
              <w:rPr>
                <w:rFonts w:ascii="Times New Roman" w:hAnsi="Times New Roman"/>
                <w:sz w:val="24"/>
                <w:szCs w:val="24"/>
              </w:rPr>
            </w:pPr>
          </w:p>
          <w:p w14:paraId="72BA17B0" w14:textId="77777777" w:rsidR="007403D7" w:rsidRPr="00286395" w:rsidRDefault="007403D7" w:rsidP="00F96219">
            <w:pPr>
              <w:keepLines/>
              <w:tabs>
                <w:tab w:val="left" w:pos="709"/>
              </w:tabs>
              <w:spacing w:after="120" w:line="300" w:lineRule="exact"/>
              <w:jc w:val="both"/>
              <w:rPr>
                <w:rFonts w:ascii="Times New Roman" w:hAnsi="Times New Roman"/>
                <w:sz w:val="24"/>
                <w:szCs w:val="24"/>
              </w:rPr>
            </w:pPr>
          </w:p>
          <w:p w14:paraId="682BB884" w14:textId="77777777" w:rsidR="007403D7" w:rsidRPr="00286395" w:rsidRDefault="007403D7" w:rsidP="00F96219">
            <w:pPr>
              <w:keepLines/>
              <w:tabs>
                <w:tab w:val="left" w:pos="709"/>
              </w:tabs>
              <w:spacing w:after="120" w:line="300" w:lineRule="exact"/>
              <w:jc w:val="both"/>
              <w:rPr>
                <w:rFonts w:ascii="Times New Roman" w:hAnsi="Times New Roman"/>
                <w:b/>
                <w:sz w:val="24"/>
                <w:szCs w:val="24"/>
              </w:rPr>
            </w:pPr>
          </w:p>
        </w:tc>
        <w:tc>
          <w:tcPr>
            <w:tcW w:w="3248" w:type="dxa"/>
            <w:tcBorders>
              <w:top w:val="single" w:sz="4" w:space="0" w:color="auto"/>
              <w:left w:val="single" w:sz="4" w:space="0" w:color="auto"/>
              <w:bottom w:val="single" w:sz="4" w:space="0" w:color="auto"/>
              <w:right w:val="single" w:sz="4" w:space="0" w:color="auto"/>
            </w:tcBorders>
          </w:tcPr>
          <w:p w14:paraId="70528A46" w14:textId="6C0B87E7" w:rsidR="007403D7" w:rsidRPr="00286395" w:rsidRDefault="007403D7" w:rsidP="00F9621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Náklady pro exportní pojišťovnu a exportní banku plynoucí z</w:t>
            </w:r>
            <w:r w:rsidR="00684DF6">
              <w:rPr>
                <w:rFonts w:ascii="Times New Roman" w:hAnsi="Times New Roman"/>
                <w:sz w:val="24"/>
                <w:szCs w:val="24"/>
              </w:rPr>
              <w:t> </w:t>
            </w:r>
            <w:r w:rsidRPr="00286395">
              <w:rPr>
                <w:rFonts w:ascii="Times New Roman" w:hAnsi="Times New Roman"/>
                <w:sz w:val="24"/>
                <w:szCs w:val="24"/>
              </w:rPr>
              <w:t>nee</w:t>
            </w:r>
            <w:r w:rsidR="008A492F">
              <w:rPr>
                <w:rFonts w:ascii="Times New Roman" w:hAnsi="Times New Roman"/>
                <w:sz w:val="24"/>
                <w:szCs w:val="24"/>
              </w:rPr>
              <w:t xml:space="preserve">fektivního </w:t>
            </w:r>
            <w:r w:rsidRPr="00286395">
              <w:rPr>
                <w:rFonts w:ascii="Times New Roman" w:hAnsi="Times New Roman"/>
                <w:sz w:val="24"/>
                <w:szCs w:val="24"/>
              </w:rPr>
              <w:t>vymáhání pohledávek nebo předcházení škod v důsledku omezené možnosti</w:t>
            </w:r>
            <w:r w:rsidR="00384ABA">
              <w:rPr>
                <w:rFonts w:ascii="Times New Roman" w:hAnsi="Times New Roman"/>
                <w:sz w:val="24"/>
                <w:szCs w:val="24"/>
              </w:rPr>
              <w:t xml:space="preserve"> </w:t>
            </w:r>
            <w:r w:rsidR="00384ABA">
              <w:rPr>
                <w:rFonts w:ascii="Times New Roman" w:hAnsi="Times New Roman"/>
                <w:bCs/>
                <w:iCs/>
                <w:sz w:val="24"/>
                <w:szCs w:val="24"/>
              </w:rPr>
              <w:t>zakládat právnické osoby a</w:t>
            </w:r>
            <w:r w:rsidRPr="00286395">
              <w:rPr>
                <w:rFonts w:ascii="Times New Roman" w:hAnsi="Times New Roman"/>
                <w:sz w:val="24"/>
                <w:szCs w:val="24"/>
              </w:rPr>
              <w:t xml:space="preserve"> nabývat podíly v právnických osobách</w:t>
            </w:r>
          </w:p>
          <w:p w14:paraId="298F95F8" w14:textId="77777777" w:rsidR="007403D7" w:rsidRPr="00286395" w:rsidRDefault="007403D7" w:rsidP="00F96219">
            <w:pPr>
              <w:keepLines/>
              <w:tabs>
                <w:tab w:val="left" w:pos="709"/>
              </w:tabs>
              <w:spacing w:after="120" w:line="300" w:lineRule="exact"/>
              <w:jc w:val="both"/>
              <w:rPr>
                <w:rFonts w:ascii="Times New Roman" w:hAnsi="Times New Roman"/>
                <w:sz w:val="24"/>
                <w:szCs w:val="24"/>
              </w:rPr>
            </w:pPr>
          </w:p>
          <w:p w14:paraId="04790C5C" w14:textId="77777777" w:rsidR="007403D7" w:rsidRPr="00286395" w:rsidRDefault="007403D7" w:rsidP="00F9621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Náklady plynoucí z časového omezení držby podílu (exportní pojišťovna po dobu nezbytně nutnou, exportní banka nejvýše do jednoho roku), související přímé a nepřímé náklady s nabytím a posléze pozbytím podílu</w:t>
            </w:r>
          </w:p>
          <w:p w14:paraId="32DBE0EB" w14:textId="77777777" w:rsidR="007403D7" w:rsidRPr="00286395" w:rsidRDefault="007403D7" w:rsidP="00F9621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 xml:space="preserve">Náklady pro exportní pojišťovnu a exportní banku plynoucí z neefektivního řízení </w:t>
            </w:r>
            <w:r w:rsidR="007F7BA2">
              <w:rPr>
                <w:rFonts w:ascii="Times New Roman" w:hAnsi="Times New Roman"/>
                <w:sz w:val="24"/>
                <w:szCs w:val="24"/>
              </w:rPr>
              <w:t>právnických osob</w:t>
            </w:r>
            <w:r w:rsidRPr="00286395">
              <w:rPr>
                <w:rFonts w:ascii="Times New Roman" w:hAnsi="Times New Roman"/>
                <w:sz w:val="24"/>
                <w:szCs w:val="24"/>
              </w:rPr>
              <w:t xml:space="preserve">, v nichž exportní pojišťovna a exportní banka má podíl </w:t>
            </w:r>
          </w:p>
          <w:p w14:paraId="38505364" w14:textId="77777777" w:rsidR="007403D7" w:rsidRPr="00286395" w:rsidRDefault="007403D7" w:rsidP="00F9621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 xml:space="preserve">Administrativní náklady spojené se zakládáním </w:t>
            </w:r>
            <w:r w:rsidR="007F7BA2">
              <w:rPr>
                <w:rFonts w:ascii="Times New Roman" w:hAnsi="Times New Roman"/>
                <w:sz w:val="24"/>
                <w:szCs w:val="24"/>
              </w:rPr>
              <w:t>právnických osob</w:t>
            </w:r>
            <w:r w:rsidRPr="00286395">
              <w:rPr>
                <w:rFonts w:ascii="Times New Roman" w:hAnsi="Times New Roman"/>
                <w:sz w:val="24"/>
                <w:szCs w:val="24"/>
              </w:rPr>
              <w:t>, resp.  nabytím a pozbytím ob</w:t>
            </w:r>
            <w:r w:rsidR="008A492F">
              <w:rPr>
                <w:rFonts w:ascii="Times New Roman" w:hAnsi="Times New Roman"/>
                <w:sz w:val="24"/>
                <w:szCs w:val="24"/>
              </w:rPr>
              <w:softHyphen/>
            </w:r>
            <w:r w:rsidRPr="00286395">
              <w:rPr>
                <w:rFonts w:ascii="Times New Roman" w:hAnsi="Times New Roman"/>
                <w:sz w:val="24"/>
                <w:szCs w:val="24"/>
              </w:rPr>
              <w:t>chodních podílů</w:t>
            </w:r>
          </w:p>
        </w:tc>
      </w:tr>
      <w:tr w:rsidR="007403D7" w:rsidRPr="00286395" w14:paraId="40C9CCDF" w14:textId="77777777" w:rsidTr="009F4E90">
        <w:trPr>
          <w:trHeight w:val="708"/>
        </w:trPr>
        <w:tc>
          <w:tcPr>
            <w:tcW w:w="1867" w:type="dxa"/>
            <w:tcBorders>
              <w:top w:val="single" w:sz="4" w:space="0" w:color="auto"/>
              <w:left w:val="single" w:sz="4" w:space="0" w:color="auto"/>
              <w:bottom w:val="single" w:sz="4" w:space="0" w:color="auto"/>
              <w:right w:val="single" w:sz="4" w:space="0" w:color="auto"/>
            </w:tcBorders>
            <w:vAlign w:val="center"/>
          </w:tcPr>
          <w:p w14:paraId="0463ADCB" w14:textId="77777777" w:rsidR="007403D7" w:rsidRPr="00D970B3" w:rsidRDefault="007403D7" w:rsidP="00C644EA">
            <w:pPr>
              <w:keepLines/>
              <w:tabs>
                <w:tab w:val="left" w:pos="34"/>
              </w:tabs>
              <w:spacing w:after="120" w:line="300" w:lineRule="exact"/>
              <w:rPr>
                <w:rFonts w:ascii="Times New Roman" w:hAnsi="Times New Roman"/>
                <w:b/>
                <w:sz w:val="24"/>
                <w:szCs w:val="24"/>
              </w:rPr>
            </w:pPr>
            <w:r w:rsidRPr="00D970B3">
              <w:rPr>
                <w:rFonts w:ascii="Times New Roman" w:hAnsi="Times New Roman"/>
                <w:b/>
                <w:sz w:val="24"/>
                <w:szCs w:val="24"/>
              </w:rPr>
              <w:t>1</w:t>
            </w:r>
          </w:p>
          <w:p w14:paraId="7F0EF106" w14:textId="0596B8F6" w:rsidR="007403D7" w:rsidRPr="00D970B3" w:rsidRDefault="007403D7" w:rsidP="00D970B3">
            <w:pPr>
              <w:keepLines/>
              <w:tabs>
                <w:tab w:val="left" w:pos="34"/>
              </w:tabs>
              <w:spacing w:after="120" w:line="300" w:lineRule="exact"/>
              <w:rPr>
                <w:rFonts w:ascii="Times New Roman" w:hAnsi="Times New Roman"/>
                <w:b/>
                <w:sz w:val="24"/>
                <w:szCs w:val="24"/>
              </w:rPr>
            </w:pPr>
            <w:r w:rsidRPr="00D970B3">
              <w:rPr>
                <w:rFonts w:ascii="Times New Roman" w:hAnsi="Times New Roman"/>
                <w:sz w:val="24"/>
                <w:szCs w:val="24"/>
              </w:rPr>
              <w:t>legislativní ře</w:t>
            </w:r>
            <w:r w:rsidR="007955D0" w:rsidRPr="00D970B3">
              <w:rPr>
                <w:rFonts w:ascii="Times New Roman" w:hAnsi="Times New Roman"/>
                <w:sz w:val="24"/>
                <w:szCs w:val="24"/>
              </w:rPr>
              <w:softHyphen/>
            </w:r>
            <w:r w:rsidRPr="00D970B3">
              <w:rPr>
                <w:rFonts w:ascii="Times New Roman" w:hAnsi="Times New Roman"/>
                <w:sz w:val="24"/>
                <w:szCs w:val="24"/>
              </w:rPr>
              <w:t xml:space="preserve">šení – rozšíření možnosti </w:t>
            </w:r>
            <w:r w:rsidR="00D970B3" w:rsidRPr="00D970B3">
              <w:rPr>
                <w:rFonts w:ascii="Times New Roman" w:hAnsi="Times New Roman"/>
                <w:bCs/>
                <w:sz w:val="24"/>
                <w:szCs w:val="24"/>
              </w:rPr>
              <w:t xml:space="preserve">zakládání právnických osob a </w:t>
            </w:r>
            <w:r w:rsidRPr="00D970B3">
              <w:rPr>
                <w:rFonts w:ascii="Times New Roman" w:hAnsi="Times New Roman"/>
                <w:sz w:val="24"/>
                <w:szCs w:val="24"/>
              </w:rPr>
              <w:t xml:space="preserve">nabývání </w:t>
            </w:r>
            <w:r w:rsidRPr="00D970B3">
              <w:rPr>
                <w:rFonts w:ascii="Times New Roman" w:hAnsi="Times New Roman"/>
                <w:bCs/>
                <w:sz w:val="24"/>
                <w:szCs w:val="24"/>
              </w:rPr>
              <w:t>podílů v právnických osobách</w:t>
            </w:r>
          </w:p>
        </w:tc>
        <w:tc>
          <w:tcPr>
            <w:tcW w:w="3248" w:type="dxa"/>
            <w:tcBorders>
              <w:top w:val="single" w:sz="4" w:space="0" w:color="auto"/>
              <w:left w:val="single" w:sz="4" w:space="0" w:color="auto"/>
              <w:bottom w:val="single" w:sz="4" w:space="0" w:color="auto"/>
              <w:right w:val="single" w:sz="4" w:space="0" w:color="auto"/>
            </w:tcBorders>
          </w:tcPr>
          <w:p w14:paraId="7B4180CA" w14:textId="77777777" w:rsidR="007403D7" w:rsidRPr="00286395" w:rsidRDefault="007403D7" w:rsidP="00F9621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Efektivnější vymáhání dlužných pohledávek nebo zábrana a</w:t>
            </w:r>
            <w:r w:rsidR="00684DF6">
              <w:rPr>
                <w:rFonts w:ascii="Times New Roman" w:hAnsi="Times New Roman"/>
                <w:sz w:val="24"/>
                <w:szCs w:val="24"/>
              </w:rPr>
              <w:t> </w:t>
            </w:r>
            <w:r w:rsidRPr="00286395">
              <w:rPr>
                <w:rFonts w:ascii="Times New Roman" w:hAnsi="Times New Roman"/>
                <w:sz w:val="24"/>
                <w:szCs w:val="24"/>
              </w:rPr>
              <w:t>zmírnění hrozících škod v důsledku širší možnosti nabývání podílů</w:t>
            </w:r>
          </w:p>
          <w:p w14:paraId="1AF6D147" w14:textId="77777777" w:rsidR="007403D7" w:rsidRPr="00286395" w:rsidRDefault="007403D7" w:rsidP="00F9621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Zmírnění nákladů plynoucích z  omezení držby podílu a</w:t>
            </w:r>
            <w:r w:rsidR="000702AB">
              <w:rPr>
                <w:rFonts w:ascii="Times New Roman" w:hAnsi="Times New Roman"/>
                <w:sz w:val="24"/>
                <w:szCs w:val="24"/>
              </w:rPr>
              <w:t> </w:t>
            </w:r>
            <w:r w:rsidRPr="00286395">
              <w:rPr>
                <w:rFonts w:ascii="Times New Roman" w:hAnsi="Times New Roman"/>
                <w:sz w:val="24"/>
                <w:szCs w:val="24"/>
              </w:rPr>
              <w:t>souvisejících nákladů s nabytím a posléze pozbytím podílu</w:t>
            </w:r>
          </w:p>
          <w:p w14:paraId="09C74911" w14:textId="4DC11645" w:rsidR="007403D7" w:rsidRPr="00286395" w:rsidRDefault="007403D7" w:rsidP="008B0C0B">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Zvýšení efektivity kontroly vstupu exportní pojišťovny nebo exportní banky do</w:t>
            </w:r>
            <w:r w:rsidR="00B568AC">
              <w:rPr>
                <w:rFonts w:ascii="Times New Roman" w:hAnsi="Times New Roman"/>
                <w:sz w:val="24"/>
                <w:szCs w:val="24"/>
              </w:rPr>
              <w:t> </w:t>
            </w:r>
            <w:r w:rsidRPr="00286395">
              <w:rPr>
                <w:rFonts w:ascii="Times New Roman" w:hAnsi="Times New Roman"/>
                <w:sz w:val="24"/>
                <w:szCs w:val="24"/>
              </w:rPr>
              <w:t>právnických osob formou předchozího souhlasu M</w:t>
            </w:r>
            <w:r w:rsidR="008B0C0B">
              <w:rPr>
                <w:rFonts w:ascii="Times New Roman" w:hAnsi="Times New Roman"/>
                <w:sz w:val="24"/>
                <w:szCs w:val="24"/>
              </w:rPr>
              <w:t>F</w:t>
            </w:r>
          </w:p>
        </w:tc>
        <w:tc>
          <w:tcPr>
            <w:tcW w:w="3248" w:type="dxa"/>
            <w:tcBorders>
              <w:top w:val="single" w:sz="4" w:space="0" w:color="auto"/>
              <w:left w:val="single" w:sz="4" w:space="0" w:color="auto"/>
              <w:bottom w:val="single" w:sz="4" w:space="0" w:color="auto"/>
              <w:right w:val="single" w:sz="4" w:space="0" w:color="auto"/>
            </w:tcBorders>
          </w:tcPr>
          <w:p w14:paraId="3D4AD476" w14:textId="77777777" w:rsidR="007403D7" w:rsidRPr="00286395" w:rsidRDefault="007403D7" w:rsidP="00F9621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 xml:space="preserve">Administrativní náklady spojené se zakládáním </w:t>
            </w:r>
            <w:r w:rsidR="007F7BA2">
              <w:rPr>
                <w:rFonts w:ascii="Times New Roman" w:hAnsi="Times New Roman"/>
                <w:sz w:val="24"/>
                <w:szCs w:val="24"/>
              </w:rPr>
              <w:t>právnických osob</w:t>
            </w:r>
            <w:r w:rsidRPr="00286395">
              <w:rPr>
                <w:rFonts w:ascii="Times New Roman" w:hAnsi="Times New Roman"/>
                <w:sz w:val="24"/>
                <w:szCs w:val="24"/>
              </w:rPr>
              <w:t>, resp.  nabytím a pozbytím obchodních podílů</w:t>
            </w:r>
          </w:p>
          <w:p w14:paraId="7AC5910C" w14:textId="77777777" w:rsidR="007403D7" w:rsidRPr="00286395" w:rsidRDefault="007403D7" w:rsidP="00F9621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 xml:space="preserve">Náklady pro exportní pojišťovnu a exportní banku plynoucí z neefektivního řízení </w:t>
            </w:r>
            <w:r w:rsidR="005A42EB">
              <w:rPr>
                <w:rFonts w:ascii="Times New Roman" w:hAnsi="Times New Roman"/>
                <w:sz w:val="24"/>
                <w:szCs w:val="24"/>
              </w:rPr>
              <w:t>právnických osob</w:t>
            </w:r>
            <w:r w:rsidRPr="00286395">
              <w:rPr>
                <w:rFonts w:ascii="Times New Roman" w:hAnsi="Times New Roman"/>
                <w:sz w:val="24"/>
                <w:szCs w:val="24"/>
              </w:rPr>
              <w:t xml:space="preserve">, v nichž exportní pojišťovna a exportní banka má podíl </w:t>
            </w:r>
          </w:p>
          <w:p w14:paraId="085A85EE" w14:textId="77777777" w:rsidR="007403D7" w:rsidRPr="00286395" w:rsidRDefault="007403D7" w:rsidP="00F96219">
            <w:pPr>
              <w:keepLines/>
              <w:tabs>
                <w:tab w:val="left" w:pos="709"/>
              </w:tabs>
              <w:spacing w:after="120" w:line="300" w:lineRule="exact"/>
              <w:jc w:val="both"/>
              <w:rPr>
                <w:rFonts w:ascii="Times New Roman" w:hAnsi="Times New Roman"/>
                <w:sz w:val="24"/>
                <w:szCs w:val="24"/>
              </w:rPr>
            </w:pPr>
          </w:p>
          <w:p w14:paraId="13D0A5A6" w14:textId="77777777" w:rsidR="007403D7" w:rsidRPr="00286395" w:rsidRDefault="007403D7" w:rsidP="00F96219">
            <w:pPr>
              <w:keepLines/>
              <w:tabs>
                <w:tab w:val="left" w:pos="709"/>
              </w:tabs>
              <w:spacing w:after="120" w:line="300" w:lineRule="exact"/>
              <w:jc w:val="both"/>
              <w:rPr>
                <w:rFonts w:ascii="Times New Roman" w:hAnsi="Times New Roman"/>
                <w:sz w:val="24"/>
                <w:szCs w:val="24"/>
              </w:rPr>
            </w:pPr>
          </w:p>
          <w:p w14:paraId="466F8EE5" w14:textId="77777777" w:rsidR="007403D7" w:rsidRPr="00286395" w:rsidRDefault="007403D7" w:rsidP="00F96219">
            <w:pPr>
              <w:keepLines/>
              <w:tabs>
                <w:tab w:val="left" w:pos="709"/>
              </w:tabs>
              <w:spacing w:after="120" w:line="300" w:lineRule="exact"/>
              <w:jc w:val="both"/>
              <w:rPr>
                <w:rFonts w:ascii="Times New Roman" w:hAnsi="Times New Roman"/>
                <w:sz w:val="24"/>
                <w:szCs w:val="24"/>
              </w:rPr>
            </w:pPr>
          </w:p>
        </w:tc>
      </w:tr>
    </w:tbl>
    <w:p w14:paraId="18C54D26" w14:textId="77777777" w:rsidR="00E01AEA" w:rsidRPr="00286395" w:rsidRDefault="00E01AEA" w:rsidP="009279C1">
      <w:pPr>
        <w:spacing w:before="120" w:after="120"/>
        <w:ind w:right="357"/>
        <w:contextualSpacing/>
        <w:rPr>
          <w:rFonts w:ascii="Times New Roman" w:hAnsi="Times New Roman"/>
          <w:sz w:val="24"/>
          <w:szCs w:val="24"/>
        </w:rPr>
      </w:pPr>
    </w:p>
    <w:p w14:paraId="642D5EE1" w14:textId="77777777" w:rsidR="00E01AEA" w:rsidRPr="00286395" w:rsidRDefault="00E01AEA" w:rsidP="00B568AC">
      <w:pPr>
        <w:keepNext/>
        <w:spacing w:before="120" w:after="120"/>
        <w:ind w:left="360" w:right="357"/>
        <w:contextualSpacing/>
        <w:jc w:val="both"/>
        <w:rPr>
          <w:rFonts w:ascii="Times New Roman" w:hAnsi="Times New Roman"/>
          <w:b/>
          <w:sz w:val="24"/>
          <w:szCs w:val="24"/>
        </w:rPr>
      </w:pPr>
      <w:r w:rsidRPr="00286395">
        <w:rPr>
          <w:rFonts w:ascii="Times New Roman" w:hAnsi="Times New Roman"/>
          <w:b/>
          <w:sz w:val="24"/>
          <w:szCs w:val="24"/>
        </w:rPr>
        <w:t>Náklady a přínosy (</w:t>
      </w:r>
      <w:r w:rsidR="005908DC">
        <w:rPr>
          <w:rFonts w:ascii="Times New Roman" w:hAnsi="Times New Roman"/>
          <w:b/>
          <w:sz w:val="24"/>
          <w:szCs w:val="24"/>
        </w:rPr>
        <w:t>D</w:t>
      </w:r>
      <w:r w:rsidRPr="00286395">
        <w:rPr>
          <w:rFonts w:ascii="Times New Roman" w:hAnsi="Times New Roman"/>
          <w:b/>
          <w:sz w:val="24"/>
          <w:szCs w:val="24"/>
        </w:rPr>
        <w:t>) Nastavení limitů pro schvalování obchodních případů od</w:t>
      </w:r>
      <w:r w:rsidR="00B568AC">
        <w:rPr>
          <w:rFonts w:ascii="Times New Roman" w:hAnsi="Times New Roman"/>
          <w:b/>
          <w:sz w:val="24"/>
          <w:szCs w:val="24"/>
        </w:rPr>
        <w:t> </w:t>
      </w:r>
      <w:r w:rsidRPr="00286395">
        <w:rPr>
          <w:rFonts w:ascii="Times New Roman" w:hAnsi="Times New Roman"/>
          <w:b/>
          <w:sz w:val="24"/>
          <w:szCs w:val="24"/>
        </w:rPr>
        <w:t xml:space="preserve"> určitého objemu vládou</w:t>
      </w:r>
    </w:p>
    <w:p w14:paraId="3B9DC0CB" w14:textId="77777777" w:rsidR="00E01AEA" w:rsidRPr="00286395" w:rsidRDefault="00E01AEA" w:rsidP="009279C1">
      <w:pPr>
        <w:keepNext/>
        <w:spacing w:before="120" w:after="120"/>
        <w:ind w:left="360" w:right="357"/>
        <w:contextualSpacing/>
        <w:rPr>
          <w:rFonts w:ascii="Times New Roman" w:hAnsi="Times New Roman"/>
          <w:b/>
          <w:sz w:val="24"/>
          <w:szCs w:val="24"/>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7"/>
        <w:gridCol w:w="3177"/>
        <w:gridCol w:w="3177"/>
      </w:tblGrid>
      <w:tr w:rsidR="00E01AEA" w:rsidRPr="00286395" w14:paraId="0CBB34FE" w14:textId="77777777" w:rsidTr="0072151A">
        <w:trPr>
          <w:trHeight w:val="708"/>
        </w:trPr>
        <w:tc>
          <w:tcPr>
            <w:tcW w:w="1867" w:type="dxa"/>
            <w:tcBorders>
              <w:top w:val="single" w:sz="4" w:space="0" w:color="auto"/>
              <w:left w:val="single" w:sz="4" w:space="0" w:color="auto"/>
              <w:bottom w:val="single" w:sz="4" w:space="0" w:color="auto"/>
              <w:right w:val="single" w:sz="4" w:space="0" w:color="auto"/>
            </w:tcBorders>
            <w:vAlign w:val="center"/>
          </w:tcPr>
          <w:p w14:paraId="2DFA0A88" w14:textId="77777777" w:rsidR="00E01AEA" w:rsidRPr="00286395" w:rsidRDefault="00E01AEA" w:rsidP="009279C1">
            <w:pPr>
              <w:keepLines/>
              <w:spacing w:before="120" w:after="120"/>
              <w:ind w:right="357"/>
              <w:rPr>
                <w:rFonts w:ascii="Times New Roman" w:hAnsi="Times New Roman"/>
                <w:b/>
                <w:sz w:val="24"/>
                <w:szCs w:val="24"/>
              </w:rPr>
            </w:pPr>
            <w:r w:rsidRPr="00286395">
              <w:rPr>
                <w:rFonts w:ascii="Times New Roman" w:hAnsi="Times New Roman"/>
                <w:b/>
                <w:sz w:val="24"/>
                <w:szCs w:val="24"/>
              </w:rPr>
              <w:t>VARIANTA</w:t>
            </w:r>
          </w:p>
        </w:tc>
        <w:tc>
          <w:tcPr>
            <w:tcW w:w="3177" w:type="dxa"/>
            <w:tcBorders>
              <w:top w:val="single" w:sz="4" w:space="0" w:color="auto"/>
              <w:left w:val="single" w:sz="4" w:space="0" w:color="auto"/>
              <w:bottom w:val="single" w:sz="4" w:space="0" w:color="auto"/>
              <w:right w:val="single" w:sz="4" w:space="0" w:color="auto"/>
            </w:tcBorders>
            <w:vAlign w:val="center"/>
          </w:tcPr>
          <w:p w14:paraId="6C72D4A0" w14:textId="77777777" w:rsidR="00E01AEA" w:rsidRPr="00286395" w:rsidRDefault="00E01AEA" w:rsidP="009279C1">
            <w:pPr>
              <w:keepLines/>
              <w:tabs>
                <w:tab w:val="left" w:pos="709"/>
              </w:tabs>
              <w:spacing w:before="120" w:after="120"/>
              <w:ind w:right="357"/>
              <w:rPr>
                <w:rFonts w:ascii="Times New Roman" w:hAnsi="Times New Roman"/>
                <w:b/>
                <w:sz w:val="24"/>
                <w:szCs w:val="24"/>
              </w:rPr>
            </w:pPr>
            <w:r w:rsidRPr="00286395">
              <w:rPr>
                <w:rFonts w:ascii="Times New Roman" w:hAnsi="Times New Roman"/>
                <w:b/>
                <w:sz w:val="24"/>
                <w:szCs w:val="24"/>
              </w:rPr>
              <w:t>PŘÍNOSY</w:t>
            </w:r>
          </w:p>
        </w:tc>
        <w:tc>
          <w:tcPr>
            <w:tcW w:w="3177" w:type="dxa"/>
            <w:tcBorders>
              <w:top w:val="single" w:sz="4" w:space="0" w:color="auto"/>
              <w:left w:val="single" w:sz="4" w:space="0" w:color="auto"/>
              <w:bottom w:val="single" w:sz="4" w:space="0" w:color="auto"/>
              <w:right w:val="single" w:sz="4" w:space="0" w:color="auto"/>
            </w:tcBorders>
            <w:vAlign w:val="center"/>
          </w:tcPr>
          <w:p w14:paraId="0C53FA6F" w14:textId="77777777" w:rsidR="00E01AEA" w:rsidRPr="00286395" w:rsidRDefault="00E01AEA" w:rsidP="009279C1">
            <w:pPr>
              <w:keepLines/>
              <w:tabs>
                <w:tab w:val="left" w:pos="709"/>
              </w:tabs>
              <w:spacing w:before="120" w:after="120"/>
              <w:ind w:right="357"/>
              <w:rPr>
                <w:rFonts w:ascii="Times New Roman" w:hAnsi="Times New Roman"/>
                <w:b/>
                <w:sz w:val="24"/>
                <w:szCs w:val="24"/>
              </w:rPr>
            </w:pPr>
            <w:r w:rsidRPr="00286395">
              <w:rPr>
                <w:rFonts w:ascii="Times New Roman" w:hAnsi="Times New Roman"/>
                <w:b/>
                <w:sz w:val="24"/>
                <w:szCs w:val="24"/>
              </w:rPr>
              <w:t>NÁKLADY</w:t>
            </w:r>
          </w:p>
        </w:tc>
      </w:tr>
      <w:tr w:rsidR="00E01AEA" w:rsidRPr="00286395" w14:paraId="2E8C9038" w14:textId="77777777" w:rsidTr="0072151A">
        <w:trPr>
          <w:trHeight w:val="2042"/>
        </w:trPr>
        <w:tc>
          <w:tcPr>
            <w:tcW w:w="1867" w:type="dxa"/>
            <w:tcBorders>
              <w:top w:val="single" w:sz="4" w:space="0" w:color="auto"/>
              <w:left w:val="single" w:sz="4" w:space="0" w:color="auto"/>
              <w:bottom w:val="single" w:sz="4" w:space="0" w:color="auto"/>
              <w:right w:val="single" w:sz="4" w:space="0" w:color="auto"/>
            </w:tcBorders>
            <w:vAlign w:val="center"/>
          </w:tcPr>
          <w:p w14:paraId="04EC9E63" w14:textId="77777777" w:rsidR="00E01AEA" w:rsidRPr="00286395" w:rsidRDefault="00E01AEA" w:rsidP="00C644EA">
            <w:pPr>
              <w:keepLines/>
              <w:tabs>
                <w:tab w:val="left" w:pos="34"/>
              </w:tabs>
              <w:spacing w:after="120" w:line="300" w:lineRule="exact"/>
              <w:rPr>
                <w:rFonts w:ascii="Times New Roman" w:hAnsi="Times New Roman"/>
                <w:sz w:val="24"/>
                <w:szCs w:val="24"/>
              </w:rPr>
            </w:pPr>
            <w:r w:rsidRPr="00286395">
              <w:rPr>
                <w:rFonts w:ascii="Times New Roman" w:hAnsi="Times New Roman"/>
                <w:b/>
                <w:sz w:val="24"/>
                <w:szCs w:val="24"/>
              </w:rPr>
              <w:t>„nulová“</w:t>
            </w:r>
          </w:p>
        </w:tc>
        <w:tc>
          <w:tcPr>
            <w:tcW w:w="3177" w:type="dxa"/>
            <w:tcBorders>
              <w:top w:val="single" w:sz="4" w:space="0" w:color="auto"/>
              <w:left w:val="single" w:sz="4" w:space="0" w:color="auto"/>
              <w:bottom w:val="single" w:sz="4" w:space="0" w:color="auto"/>
              <w:right w:val="single" w:sz="4" w:space="0" w:color="auto"/>
            </w:tcBorders>
          </w:tcPr>
          <w:p w14:paraId="0484F297" w14:textId="77777777" w:rsidR="00E01AEA" w:rsidRPr="00286395" w:rsidRDefault="00E01AEA" w:rsidP="00F9621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Beze změn</w:t>
            </w:r>
          </w:p>
          <w:p w14:paraId="7B5B4E4A" w14:textId="77777777" w:rsidR="00E01AEA" w:rsidRPr="00286395" w:rsidRDefault="00E01AEA" w:rsidP="00F96219">
            <w:pPr>
              <w:keepLines/>
              <w:tabs>
                <w:tab w:val="left" w:pos="709"/>
              </w:tabs>
              <w:spacing w:after="120" w:line="300" w:lineRule="exact"/>
              <w:jc w:val="both"/>
              <w:rPr>
                <w:rFonts w:ascii="Times New Roman" w:hAnsi="Times New Roman"/>
                <w:sz w:val="24"/>
                <w:szCs w:val="24"/>
              </w:rPr>
            </w:pPr>
          </w:p>
          <w:p w14:paraId="78D75900" w14:textId="77777777" w:rsidR="00E01AEA" w:rsidRPr="00286395" w:rsidRDefault="00E01AEA" w:rsidP="00F96219">
            <w:pPr>
              <w:keepLines/>
              <w:tabs>
                <w:tab w:val="left" w:pos="709"/>
              </w:tabs>
              <w:spacing w:after="120" w:line="300" w:lineRule="exact"/>
              <w:jc w:val="both"/>
              <w:rPr>
                <w:rFonts w:ascii="Times New Roman" w:hAnsi="Times New Roman"/>
                <w:sz w:val="24"/>
                <w:szCs w:val="24"/>
              </w:rPr>
            </w:pPr>
          </w:p>
          <w:p w14:paraId="787E5965" w14:textId="77777777" w:rsidR="00E01AEA" w:rsidRPr="00286395" w:rsidRDefault="00E01AEA" w:rsidP="00F96219">
            <w:pPr>
              <w:keepLines/>
              <w:tabs>
                <w:tab w:val="left" w:pos="709"/>
              </w:tabs>
              <w:spacing w:after="120" w:line="300" w:lineRule="exact"/>
              <w:jc w:val="both"/>
              <w:rPr>
                <w:rFonts w:ascii="Times New Roman" w:hAnsi="Times New Roman"/>
                <w:sz w:val="24"/>
                <w:szCs w:val="24"/>
              </w:rPr>
            </w:pPr>
          </w:p>
          <w:p w14:paraId="22387666" w14:textId="77777777" w:rsidR="00E01AEA" w:rsidRPr="00286395" w:rsidRDefault="00E01AEA" w:rsidP="00F96219">
            <w:pPr>
              <w:keepLines/>
              <w:tabs>
                <w:tab w:val="left" w:pos="709"/>
              </w:tabs>
              <w:spacing w:after="120" w:line="300" w:lineRule="exact"/>
              <w:jc w:val="both"/>
              <w:rPr>
                <w:rFonts w:ascii="Times New Roman" w:hAnsi="Times New Roman"/>
                <w:b/>
                <w:sz w:val="24"/>
                <w:szCs w:val="24"/>
              </w:rPr>
            </w:pPr>
          </w:p>
        </w:tc>
        <w:tc>
          <w:tcPr>
            <w:tcW w:w="3177" w:type="dxa"/>
            <w:tcBorders>
              <w:top w:val="single" w:sz="4" w:space="0" w:color="auto"/>
              <w:left w:val="single" w:sz="4" w:space="0" w:color="auto"/>
              <w:bottom w:val="single" w:sz="4" w:space="0" w:color="auto"/>
              <w:right w:val="single" w:sz="4" w:space="0" w:color="auto"/>
            </w:tcBorders>
          </w:tcPr>
          <w:p w14:paraId="6B22E086" w14:textId="77777777" w:rsidR="00E01AEA" w:rsidRPr="00286395" w:rsidRDefault="00E01AEA" w:rsidP="00F9621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 xml:space="preserve">Značné národohospodářské škody, náklady pro státní </w:t>
            </w:r>
            <w:r w:rsidR="00B568AC">
              <w:rPr>
                <w:rFonts w:ascii="Times New Roman" w:hAnsi="Times New Roman"/>
                <w:sz w:val="24"/>
                <w:szCs w:val="24"/>
              </w:rPr>
              <w:t>rozpočet a reputační rizika pro </w:t>
            </w:r>
            <w:r w:rsidRPr="00286395">
              <w:rPr>
                <w:rFonts w:ascii="Times New Roman" w:hAnsi="Times New Roman"/>
                <w:sz w:val="24"/>
                <w:szCs w:val="24"/>
              </w:rPr>
              <w:t>systém pojišťování a</w:t>
            </w:r>
            <w:r w:rsidR="00B568AC">
              <w:rPr>
                <w:rFonts w:ascii="Times New Roman" w:hAnsi="Times New Roman"/>
                <w:sz w:val="24"/>
                <w:szCs w:val="24"/>
              </w:rPr>
              <w:t> </w:t>
            </w:r>
            <w:r w:rsidRPr="00286395">
              <w:rPr>
                <w:rFonts w:ascii="Times New Roman" w:hAnsi="Times New Roman"/>
                <w:sz w:val="24"/>
                <w:szCs w:val="24"/>
              </w:rPr>
              <w:t>financování vývozu se státní podporou v důsledku selhání obchodních př</w:t>
            </w:r>
            <w:r w:rsidR="0072151A">
              <w:rPr>
                <w:rFonts w:ascii="Times New Roman" w:hAnsi="Times New Roman"/>
                <w:sz w:val="24"/>
                <w:szCs w:val="24"/>
              </w:rPr>
              <w:t>í</w:t>
            </w:r>
            <w:r w:rsidRPr="00286395">
              <w:rPr>
                <w:rFonts w:ascii="Times New Roman" w:hAnsi="Times New Roman"/>
                <w:sz w:val="24"/>
                <w:szCs w:val="24"/>
              </w:rPr>
              <w:t>padů způsobeného absencí schvalování vládou</w:t>
            </w:r>
          </w:p>
          <w:p w14:paraId="340C5ABC" w14:textId="1D85C69F" w:rsidR="00E01AEA" w:rsidRPr="00286395" w:rsidRDefault="00E01AEA" w:rsidP="00F9621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Náklady ze schvalování velkých expozic pouze na úrovni exportní pojišťovny a</w:t>
            </w:r>
            <w:r w:rsidR="0087638B">
              <w:rPr>
                <w:rFonts w:ascii="Times New Roman" w:hAnsi="Times New Roman"/>
                <w:sz w:val="24"/>
                <w:szCs w:val="24"/>
              </w:rPr>
              <w:t> </w:t>
            </w:r>
            <w:r w:rsidRPr="00286395">
              <w:rPr>
                <w:rFonts w:ascii="Times New Roman" w:hAnsi="Times New Roman"/>
                <w:sz w:val="24"/>
                <w:szCs w:val="24"/>
              </w:rPr>
              <w:t>exportní banky</w:t>
            </w:r>
          </w:p>
          <w:p w14:paraId="5901A10F" w14:textId="77777777" w:rsidR="00E01AEA" w:rsidRPr="00286395" w:rsidRDefault="00E01AEA" w:rsidP="0072151A">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Náklady z neúčinných zákonných mechanismů schvalování obchodních případů vládou</w:t>
            </w:r>
          </w:p>
        </w:tc>
      </w:tr>
      <w:tr w:rsidR="00E01AEA" w:rsidRPr="00286395" w14:paraId="41DF6D3B" w14:textId="77777777" w:rsidTr="0072151A">
        <w:trPr>
          <w:trHeight w:val="708"/>
        </w:trPr>
        <w:tc>
          <w:tcPr>
            <w:tcW w:w="1867" w:type="dxa"/>
            <w:tcBorders>
              <w:top w:val="single" w:sz="4" w:space="0" w:color="auto"/>
              <w:left w:val="single" w:sz="4" w:space="0" w:color="auto"/>
              <w:bottom w:val="single" w:sz="4" w:space="0" w:color="auto"/>
              <w:right w:val="single" w:sz="4" w:space="0" w:color="auto"/>
            </w:tcBorders>
            <w:vAlign w:val="center"/>
          </w:tcPr>
          <w:p w14:paraId="61859107" w14:textId="77777777" w:rsidR="009729B0" w:rsidRDefault="00E01AEA" w:rsidP="009729B0">
            <w:pPr>
              <w:tabs>
                <w:tab w:val="left" w:pos="34"/>
              </w:tabs>
              <w:spacing w:after="120" w:line="300" w:lineRule="exact"/>
              <w:rPr>
                <w:rFonts w:ascii="Times New Roman" w:hAnsi="Times New Roman"/>
                <w:b/>
                <w:sz w:val="24"/>
                <w:szCs w:val="24"/>
              </w:rPr>
            </w:pPr>
            <w:r w:rsidRPr="00286395">
              <w:rPr>
                <w:rFonts w:ascii="Times New Roman" w:hAnsi="Times New Roman"/>
                <w:b/>
                <w:sz w:val="24"/>
                <w:szCs w:val="24"/>
              </w:rPr>
              <w:t>1</w:t>
            </w:r>
          </w:p>
          <w:p w14:paraId="5C19ADD5" w14:textId="77777777" w:rsidR="00E01AEA" w:rsidRPr="00286395" w:rsidRDefault="00E01AEA" w:rsidP="007955D0">
            <w:pPr>
              <w:tabs>
                <w:tab w:val="left" w:pos="34"/>
              </w:tabs>
              <w:spacing w:after="120" w:line="300" w:lineRule="exact"/>
              <w:jc w:val="both"/>
              <w:rPr>
                <w:rFonts w:ascii="Times New Roman" w:hAnsi="Times New Roman"/>
                <w:b/>
                <w:sz w:val="24"/>
                <w:szCs w:val="24"/>
              </w:rPr>
            </w:pPr>
            <w:r w:rsidRPr="00286395">
              <w:rPr>
                <w:rFonts w:ascii="Times New Roman" w:hAnsi="Times New Roman"/>
                <w:sz w:val="24"/>
                <w:szCs w:val="24"/>
              </w:rPr>
              <w:t>legislativní řešení - novela existujícího právního předpisu – úprava procenta výše pojistné kapacity při pojištění vývoz</w:t>
            </w:r>
            <w:r w:rsidR="002F0FC2">
              <w:rPr>
                <w:rFonts w:ascii="Times New Roman" w:hAnsi="Times New Roman"/>
                <w:sz w:val="24"/>
                <w:szCs w:val="24"/>
              </w:rPr>
              <w:softHyphen/>
            </w:r>
            <w:r w:rsidRPr="00286395">
              <w:rPr>
                <w:rFonts w:ascii="Times New Roman" w:hAnsi="Times New Roman"/>
                <w:sz w:val="24"/>
                <w:szCs w:val="24"/>
              </w:rPr>
              <w:t>ního úvěrového rizika</w:t>
            </w:r>
          </w:p>
        </w:tc>
        <w:tc>
          <w:tcPr>
            <w:tcW w:w="3177" w:type="dxa"/>
            <w:tcBorders>
              <w:top w:val="single" w:sz="4" w:space="0" w:color="auto"/>
              <w:left w:val="single" w:sz="4" w:space="0" w:color="auto"/>
              <w:bottom w:val="single" w:sz="4" w:space="0" w:color="auto"/>
              <w:right w:val="single" w:sz="4" w:space="0" w:color="auto"/>
            </w:tcBorders>
          </w:tcPr>
          <w:p w14:paraId="602E9A9F" w14:textId="77777777" w:rsidR="00E01AEA" w:rsidRPr="00286395" w:rsidRDefault="00E01AEA" w:rsidP="00F9621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Částečné omezení národohospodářských škod, nákladů pro státní rozpočet a</w:t>
            </w:r>
            <w:r w:rsidR="0092418F">
              <w:rPr>
                <w:rFonts w:ascii="Times New Roman" w:hAnsi="Times New Roman"/>
                <w:sz w:val="24"/>
                <w:szCs w:val="24"/>
              </w:rPr>
              <w:t> </w:t>
            </w:r>
            <w:r w:rsidRPr="00286395">
              <w:rPr>
                <w:rFonts w:ascii="Times New Roman" w:hAnsi="Times New Roman"/>
                <w:sz w:val="24"/>
                <w:szCs w:val="24"/>
              </w:rPr>
              <w:t>reputační</w:t>
            </w:r>
            <w:r w:rsidR="00F14EB7">
              <w:rPr>
                <w:rFonts w:ascii="Times New Roman" w:hAnsi="Times New Roman"/>
                <w:sz w:val="24"/>
                <w:szCs w:val="24"/>
              </w:rPr>
              <w:t>ho</w:t>
            </w:r>
            <w:r w:rsidRPr="00286395">
              <w:rPr>
                <w:rFonts w:ascii="Times New Roman" w:hAnsi="Times New Roman"/>
                <w:sz w:val="24"/>
                <w:szCs w:val="24"/>
              </w:rPr>
              <w:t xml:space="preserve"> rizika pro systém pojišťování a financování vývozu se státní podporou v</w:t>
            </w:r>
            <w:r w:rsidR="0092418F">
              <w:rPr>
                <w:rFonts w:ascii="Times New Roman" w:hAnsi="Times New Roman"/>
                <w:sz w:val="24"/>
                <w:szCs w:val="24"/>
              </w:rPr>
              <w:t> </w:t>
            </w:r>
            <w:r w:rsidRPr="00286395">
              <w:rPr>
                <w:rFonts w:ascii="Times New Roman" w:hAnsi="Times New Roman"/>
                <w:sz w:val="24"/>
                <w:szCs w:val="24"/>
              </w:rPr>
              <w:t xml:space="preserve">důsledku selhání obchodních případů </w:t>
            </w:r>
          </w:p>
          <w:p w14:paraId="76EEA238" w14:textId="77777777" w:rsidR="00E01AEA" w:rsidRPr="00286395" w:rsidRDefault="00E01AEA" w:rsidP="00F9621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Snížení nároků na státní rozpočet v důsledku očekávaného snížení počtu obchodních případů v</w:t>
            </w:r>
            <w:r w:rsidR="00BA027E">
              <w:rPr>
                <w:rFonts w:ascii="Times New Roman" w:hAnsi="Times New Roman"/>
                <w:sz w:val="24"/>
                <w:szCs w:val="24"/>
              </w:rPr>
              <w:t> </w:t>
            </w:r>
            <w:r w:rsidRPr="00286395">
              <w:rPr>
                <w:rFonts w:ascii="Times New Roman" w:hAnsi="Times New Roman"/>
                <w:sz w:val="24"/>
                <w:szCs w:val="24"/>
              </w:rPr>
              <w:t>selhání</w:t>
            </w:r>
          </w:p>
          <w:p w14:paraId="3BD24417" w14:textId="77777777" w:rsidR="00E01AEA" w:rsidRPr="00286395" w:rsidRDefault="00E01AEA" w:rsidP="00F96219">
            <w:pPr>
              <w:keepLines/>
              <w:tabs>
                <w:tab w:val="left" w:pos="709"/>
              </w:tabs>
              <w:spacing w:after="120" w:line="300" w:lineRule="exact"/>
              <w:jc w:val="both"/>
              <w:rPr>
                <w:rFonts w:ascii="Times New Roman" w:hAnsi="Times New Roman"/>
                <w:sz w:val="24"/>
                <w:szCs w:val="24"/>
              </w:rPr>
            </w:pPr>
          </w:p>
        </w:tc>
        <w:tc>
          <w:tcPr>
            <w:tcW w:w="3177" w:type="dxa"/>
            <w:tcBorders>
              <w:top w:val="single" w:sz="4" w:space="0" w:color="auto"/>
              <w:left w:val="single" w:sz="4" w:space="0" w:color="auto"/>
              <w:bottom w:val="single" w:sz="4" w:space="0" w:color="auto"/>
              <w:right w:val="single" w:sz="4" w:space="0" w:color="auto"/>
            </w:tcBorders>
          </w:tcPr>
          <w:p w14:paraId="0C8B090A" w14:textId="77777777" w:rsidR="00E01AEA" w:rsidRPr="00286395" w:rsidRDefault="00E01AEA" w:rsidP="00F96219">
            <w:pPr>
              <w:keepLines/>
              <w:tabs>
                <w:tab w:val="left" w:pos="34"/>
              </w:tabs>
              <w:spacing w:after="120" w:line="300" w:lineRule="exact"/>
              <w:jc w:val="both"/>
              <w:rPr>
                <w:rFonts w:ascii="Times New Roman" w:hAnsi="Times New Roman"/>
                <w:sz w:val="24"/>
                <w:szCs w:val="24"/>
              </w:rPr>
            </w:pPr>
            <w:r w:rsidRPr="00286395">
              <w:rPr>
                <w:rFonts w:ascii="Times New Roman" w:hAnsi="Times New Roman"/>
                <w:sz w:val="24"/>
                <w:szCs w:val="24"/>
              </w:rPr>
              <w:t>Mikroekonomické i</w:t>
            </w:r>
            <w:r w:rsidR="00B568AC">
              <w:rPr>
                <w:rFonts w:ascii="Times New Roman" w:hAnsi="Times New Roman"/>
                <w:sz w:val="24"/>
                <w:szCs w:val="24"/>
              </w:rPr>
              <w:t> </w:t>
            </w:r>
            <w:r w:rsidRPr="00286395">
              <w:rPr>
                <w:rFonts w:ascii="Times New Roman" w:hAnsi="Times New Roman"/>
                <w:sz w:val="24"/>
                <w:szCs w:val="24"/>
              </w:rPr>
              <w:t xml:space="preserve">makroekonomické náklady vzniklé ze zabránění realizace obchodních případů v důsledku přílišné opatrnosti administrativy při schvalování obchodního případu </w:t>
            </w:r>
          </w:p>
          <w:p w14:paraId="4CE68093" w14:textId="77777777" w:rsidR="00E01AEA" w:rsidRPr="00286395" w:rsidRDefault="00E01AEA" w:rsidP="0072151A">
            <w:pPr>
              <w:keepLines/>
              <w:tabs>
                <w:tab w:val="left" w:pos="34"/>
              </w:tabs>
              <w:spacing w:after="120" w:line="300" w:lineRule="exact"/>
              <w:jc w:val="both"/>
              <w:rPr>
                <w:rFonts w:ascii="Times New Roman" w:hAnsi="Times New Roman"/>
                <w:sz w:val="24"/>
                <w:szCs w:val="24"/>
              </w:rPr>
            </w:pPr>
            <w:r w:rsidRPr="00286395">
              <w:rPr>
                <w:rFonts w:ascii="Times New Roman" w:hAnsi="Times New Roman"/>
                <w:sz w:val="24"/>
                <w:szCs w:val="24"/>
              </w:rPr>
              <w:t xml:space="preserve">Systémové náklady dané nejednoznačnými schvalovacími limity v důsledku proměnlivosti </w:t>
            </w:r>
            <w:r w:rsidR="00AB032C">
              <w:rPr>
                <w:rFonts w:ascii="Times New Roman" w:hAnsi="Times New Roman"/>
                <w:sz w:val="24"/>
                <w:szCs w:val="24"/>
              </w:rPr>
              <w:t>jejich absolutní hodnoty v čase</w:t>
            </w:r>
          </w:p>
        </w:tc>
      </w:tr>
      <w:tr w:rsidR="00E01AEA" w:rsidRPr="00286395" w14:paraId="0BEB4853" w14:textId="77777777" w:rsidTr="0072151A">
        <w:trPr>
          <w:trHeight w:val="708"/>
        </w:trPr>
        <w:tc>
          <w:tcPr>
            <w:tcW w:w="1867" w:type="dxa"/>
            <w:tcBorders>
              <w:top w:val="single" w:sz="4" w:space="0" w:color="auto"/>
              <w:left w:val="single" w:sz="4" w:space="0" w:color="auto"/>
              <w:bottom w:val="single" w:sz="4" w:space="0" w:color="auto"/>
              <w:right w:val="single" w:sz="4" w:space="0" w:color="auto"/>
            </w:tcBorders>
            <w:vAlign w:val="center"/>
          </w:tcPr>
          <w:p w14:paraId="336E4481" w14:textId="77777777" w:rsidR="00E01AEA" w:rsidRPr="00286395" w:rsidRDefault="00E01AEA" w:rsidP="00F96219">
            <w:pPr>
              <w:keepLines/>
              <w:tabs>
                <w:tab w:val="left" w:pos="34"/>
              </w:tabs>
              <w:spacing w:after="120" w:line="300" w:lineRule="exact"/>
              <w:jc w:val="both"/>
              <w:rPr>
                <w:rFonts w:ascii="Times New Roman" w:hAnsi="Times New Roman"/>
                <w:b/>
                <w:sz w:val="24"/>
                <w:szCs w:val="24"/>
              </w:rPr>
            </w:pPr>
            <w:r w:rsidRPr="00286395">
              <w:rPr>
                <w:rFonts w:ascii="Times New Roman" w:hAnsi="Times New Roman"/>
                <w:b/>
                <w:sz w:val="24"/>
                <w:szCs w:val="24"/>
              </w:rPr>
              <w:t>2</w:t>
            </w:r>
          </w:p>
          <w:p w14:paraId="2846DB10" w14:textId="77777777" w:rsidR="00E01AEA" w:rsidRPr="00286395" w:rsidRDefault="00E01AEA" w:rsidP="00FF2312">
            <w:pPr>
              <w:keepLines/>
              <w:tabs>
                <w:tab w:val="left" w:pos="34"/>
              </w:tabs>
              <w:spacing w:after="120" w:line="300" w:lineRule="exact"/>
              <w:jc w:val="both"/>
              <w:rPr>
                <w:rFonts w:ascii="Times New Roman" w:hAnsi="Times New Roman"/>
                <w:b/>
                <w:sz w:val="24"/>
                <w:szCs w:val="24"/>
              </w:rPr>
            </w:pPr>
            <w:r w:rsidRPr="00286395">
              <w:rPr>
                <w:rFonts w:ascii="Times New Roman" w:hAnsi="Times New Roman"/>
                <w:sz w:val="24"/>
                <w:szCs w:val="24"/>
              </w:rPr>
              <w:t>legislativní řešení - novela existujícího právního předpisu – stano</w:t>
            </w:r>
            <w:r w:rsidR="002F0FC2">
              <w:rPr>
                <w:rFonts w:ascii="Times New Roman" w:hAnsi="Times New Roman"/>
                <w:sz w:val="24"/>
                <w:szCs w:val="24"/>
              </w:rPr>
              <w:softHyphen/>
            </w:r>
            <w:r w:rsidRPr="00286395">
              <w:rPr>
                <w:rFonts w:ascii="Times New Roman" w:hAnsi="Times New Roman"/>
                <w:sz w:val="24"/>
                <w:szCs w:val="24"/>
              </w:rPr>
              <w:t>vení absolutní částky l</w:t>
            </w:r>
            <w:r w:rsidRPr="00286395">
              <w:rPr>
                <w:rFonts w:ascii="Times New Roman" w:hAnsi="Times New Roman"/>
                <w:bCs/>
                <w:sz w:val="24"/>
                <w:szCs w:val="24"/>
              </w:rPr>
              <w:t>imitů pro schvalování ob</w:t>
            </w:r>
            <w:r w:rsidR="002F0FC2">
              <w:rPr>
                <w:rFonts w:ascii="Times New Roman" w:hAnsi="Times New Roman"/>
                <w:bCs/>
                <w:sz w:val="24"/>
                <w:szCs w:val="24"/>
              </w:rPr>
              <w:softHyphen/>
            </w:r>
            <w:r w:rsidRPr="00286395">
              <w:rPr>
                <w:rFonts w:ascii="Times New Roman" w:hAnsi="Times New Roman"/>
                <w:bCs/>
                <w:sz w:val="24"/>
                <w:szCs w:val="24"/>
              </w:rPr>
              <w:t>chodních případů vládou</w:t>
            </w:r>
          </w:p>
        </w:tc>
        <w:tc>
          <w:tcPr>
            <w:tcW w:w="3177" w:type="dxa"/>
            <w:tcBorders>
              <w:top w:val="single" w:sz="4" w:space="0" w:color="auto"/>
              <w:left w:val="single" w:sz="4" w:space="0" w:color="auto"/>
              <w:bottom w:val="single" w:sz="4" w:space="0" w:color="auto"/>
              <w:right w:val="single" w:sz="4" w:space="0" w:color="auto"/>
            </w:tcBorders>
          </w:tcPr>
          <w:p w14:paraId="414EB241" w14:textId="77777777" w:rsidR="00E01AEA" w:rsidRPr="00286395" w:rsidRDefault="00E01AEA" w:rsidP="00F9621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Částečné omezení národohospo</w:t>
            </w:r>
            <w:r w:rsidR="002F0FC2">
              <w:rPr>
                <w:rFonts w:ascii="Times New Roman" w:hAnsi="Times New Roman"/>
                <w:sz w:val="24"/>
                <w:szCs w:val="24"/>
              </w:rPr>
              <w:softHyphen/>
            </w:r>
            <w:r w:rsidRPr="00286395">
              <w:rPr>
                <w:rFonts w:ascii="Times New Roman" w:hAnsi="Times New Roman"/>
                <w:sz w:val="24"/>
                <w:szCs w:val="24"/>
              </w:rPr>
              <w:t>dářských škod, nákladů pro státní rozpočet a</w:t>
            </w:r>
            <w:r w:rsidR="0038082E">
              <w:rPr>
                <w:rFonts w:ascii="Times New Roman" w:hAnsi="Times New Roman"/>
                <w:sz w:val="24"/>
                <w:szCs w:val="24"/>
              </w:rPr>
              <w:t> </w:t>
            </w:r>
            <w:r w:rsidRPr="00286395">
              <w:rPr>
                <w:rFonts w:ascii="Times New Roman" w:hAnsi="Times New Roman"/>
                <w:sz w:val="24"/>
                <w:szCs w:val="24"/>
              </w:rPr>
              <w:t>reputačních rizik pro systém pojišťování a financování vývozu se státní podporou v</w:t>
            </w:r>
            <w:r w:rsidR="0038082E">
              <w:rPr>
                <w:rFonts w:ascii="Times New Roman" w:hAnsi="Times New Roman"/>
                <w:sz w:val="24"/>
                <w:szCs w:val="24"/>
              </w:rPr>
              <w:t> </w:t>
            </w:r>
            <w:r w:rsidRPr="00286395">
              <w:rPr>
                <w:rFonts w:ascii="Times New Roman" w:hAnsi="Times New Roman"/>
                <w:sz w:val="24"/>
                <w:szCs w:val="24"/>
              </w:rPr>
              <w:t xml:space="preserve">důsledku selhání obchodních případů </w:t>
            </w:r>
          </w:p>
          <w:p w14:paraId="03193F5C" w14:textId="77777777" w:rsidR="00E01AEA" w:rsidRPr="00286395" w:rsidRDefault="00E01AEA" w:rsidP="00F9621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Zvýšení transparentnosti schvalování obchodních případů</w:t>
            </w:r>
            <w:r w:rsidR="00EB2241">
              <w:rPr>
                <w:rFonts w:ascii="Times New Roman" w:hAnsi="Times New Roman"/>
                <w:sz w:val="24"/>
                <w:szCs w:val="24"/>
              </w:rPr>
              <w:t xml:space="preserve"> </w:t>
            </w:r>
            <w:r w:rsidR="00EB2241" w:rsidRPr="00EB2241">
              <w:rPr>
                <w:rFonts w:ascii="Times New Roman" w:hAnsi="Times New Roman"/>
                <w:sz w:val="24"/>
                <w:szCs w:val="24"/>
              </w:rPr>
              <w:t>od stanoveného limitu vládou</w:t>
            </w:r>
          </w:p>
          <w:p w14:paraId="7AA0546E" w14:textId="77777777" w:rsidR="00E01AEA" w:rsidRPr="00286395" w:rsidRDefault="00E01AEA" w:rsidP="00F96219">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Snížení nároků na státní rozpočet v důsledku očekávaného snížení počtu obchodních případů v</w:t>
            </w:r>
            <w:r w:rsidR="00BA027E">
              <w:rPr>
                <w:rFonts w:ascii="Times New Roman" w:hAnsi="Times New Roman"/>
                <w:sz w:val="24"/>
                <w:szCs w:val="24"/>
              </w:rPr>
              <w:t> </w:t>
            </w:r>
            <w:r w:rsidRPr="00286395">
              <w:rPr>
                <w:rFonts w:ascii="Times New Roman" w:hAnsi="Times New Roman"/>
                <w:sz w:val="24"/>
                <w:szCs w:val="24"/>
              </w:rPr>
              <w:t>selhání</w:t>
            </w:r>
          </w:p>
          <w:p w14:paraId="73D40003" w14:textId="77777777" w:rsidR="00E01AEA" w:rsidRPr="00286395" w:rsidRDefault="00E01AEA" w:rsidP="00F96219">
            <w:pPr>
              <w:keepLines/>
              <w:tabs>
                <w:tab w:val="left" w:pos="709"/>
              </w:tabs>
              <w:spacing w:after="120" w:line="300" w:lineRule="exact"/>
              <w:jc w:val="both"/>
              <w:rPr>
                <w:rFonts w:ascii="Times New Roman" w:hAnsi="Times New Roman"/>
                <w:sz w:val="24"/>
                <w:szCs w:val="24"/>
              </w:rPr>
            </w:pPr>
          </w:p>
        </w:tc>
        <w:tc>
          <w:tcPr>
            <w:tcW w:w="3177" w:type="dxa"/>
            <w:tcBorders>
              <w:top w:val="single" w:sz="4" w:space="0" w:color="auto"/>
              <w:left w:val="single" w:sz="4" w:space="0" w:color="auto"/>
              <w:bottom w:val="single" w:sz="4" w:space="0" w:color="auto"/>
              <w:right w:val="single" w:sz="4" w:space="0" w:color="auto"/>
            </w:tcBorders>
          </w:tcPr>
          <w:p w14:paraId="27117431" w14:textId="67CA9EA9" w:rsidR="00E01AEA" w:rsidRPr="00286395" w:rsidRDefault="00E01AEA" w:rsidP="00F96219">
            <w:pPr>
              <w:keepLines/>
              <w:tabs>
                <w:tab w:val="left" w:pos="34"/>
              </w:tabs>
              <w:spacing w:after="120" w:line="300" w:lineRule="exact"/>
              <w:jc w:val="both"/>
              <w:rPr>
                <w:rFonts w:ascii="Times New Roman" w:hAnsi="Times New Roman"/>
                <w:sz w:val="24"/>
                <w:szCs w:val="24"/>
              </w:rPr>
            </w:pPr>
            <w:r w:rsidRPr="00286395">
              <w:rPr>
                <w:rFonts w:ascii="Times New Roman" w:hAnsi="Times New Roman"/>
                <w:sz w:val="24"/>
                <w:szCs w:val="24"/>
              </w:rPr>
              <w:t>Mikroekonomické i</w:t>
            </w:r>
            <w:r w:rsidR="0087638B">
              <w:rPr>
                <w:rFonts w:ascii="Times New Roman" w:hAnsi="Times New Roman"/>
                <w:sz w:val="24"/>
                <w:szCs w:val="24"/>
              </w:rPr>
              <w:t> </w:t>
            </w:r>
            <w:r w:rsidRPr="00286395">
              <w:rPr>
                <w:rFonts w:ascii="Times New Roman" w:hAnsi="Times New Roman"/>
                <w:sz w:val="24"/>
                <w:szCs w:val="24"/>
              </w:rPr>
              <w:t xml:space="preserve">makroekonomické náklady vzniklé ze zabránění realizace obchodních případů v důsledku přílišné opatrnosti administrativy při schvalování obchodního případu </w:t>
            </w:r>
          </w:p>
          <w:p w14:paraId="63A35470" w14:textId="77777777" w:rsidR="00E01AEA" w:rsidRPr="00286395" w:rsidRDefault="00E01AEA" w:rsidP="00F96219">
            <w:pPr>
              <w:keepLines/>
              <w:tabs>
                <w:tab w:val="left" w:pos="709"/>
              </w:tabs>
              <w:spacing w:after="120" w:line="300" w:lineRule="exact"/>
              <w:jc w:val="both"/>
              <w:rPr>
                <w:rFonts w:ascii="Times New Roman" w:hAnsi="Times New Roman"/>
                <w:sz w:val="24"/>
                <w:szCs w:val="24"/>
              </w:rPr>
            </w:pPr>
          </w:p>
        </w:tc>
      </w:tr>
    </w:tbl>
    <w:p w14:paraId="5C424063" w14:textId="77777777" w:rsidR="00F77FCF" w:rsidRPr="00286395" w:rsidRDefault="00F77FCF" w:rsidP="009279C1">
      <w:pPr>
        <w:spacing w:before="120" w:after="120"/>
        <w:ind w:right="357"/>
        <w:contextualSpacing/>
        <w:rPr>
          <w:rFonts w:ascii="Times New Roman" w:hAnsi="Times New Roman"/>
          <w:sz w:val="24"/>
          <w:szCs w:val="24"/>
        </w:rPr>
      </w:pPr>
    </w:p>
    <w:p w14:paraId="74AD048E" w14:textId="77777777" w:rsidR="009729B0" w:rsidRPr="00286395" w:rsidRDefault="009729B0" w:rsidP="009042DD">
      <w:pPr>
        <w:spacing w:before="120" w:after="120"/>
        <w:ind w:right="357"/>
        <w:contextualSpacing/>
        <w:rPr>
          <w:rFonts w:ascii="Times New Roman" w:hAnsi="Times New Roman"/>
          <w:sz w:val="24"/>
          <w:szCs w:val="24"/>
        </w:rPr>
      </w:pPr>
    </w:p>
    <w:p w14:paraId="2C94BFB0" w14:textId="77777777" w:rsidR="005104A6" w:rsidRPr="00286395" w:rsidRDefault="005104A6" w:rsidP="00BD3E0C">
      <w:pPr>
        <w:keepNext/>
        <w:spacing w:before="120" w:after="120"/>
        <w:ind w:left="360" w:right="357"/>
        <w:contextualSpacing/>
        <w:jc w:val="both"/>
        <w:rPr>
          <w:rFonts w:ascii="Times New Roman" w:hAnsi="Times New Roman"/>
          <w:b/>
          <w:sz w:val="24"/>
          <w:szCs w:val="24"/>
        </w:rPr>
      </w:pPr>
      <w:r w:rsidRPr="00286395">
        <w:rPr>
          <w:rFonts w:ascii="Times New Roman" w:hAnsi="Times New Roman"/>
          <w:b/>
          <w:sz w:val="24"/>
          <w:szCs w:val="24"/>
        </w:rPr>
        <w:t>Náklady a přínosy (</w:t>
      </w:r>
      <w:r w:rsidR="005908DC">
        <w:rPr>
          <w:rFonts w:ascii="Times New Roman" w:hAnsi="Times New Roman"/>
          <w:b/>
          <w:sz w:val="24"/>
          <w:szCs w:val="24"/>
        </w:rPr>
        <w:t>E</w:t>
      </w:r>
      <w:r w:rsidRPr="00286395">
        <w:rPr>
          <w:rFonts w:ascii="Times New Roman" w:hAnsi="Times New Roman"/>
          <w:b/>
          <w:sz w:val="24"/>
          <w:szCs w:val="24"/>
        </w:rPr>
        <w:t>) Zjednodušení rozpočtování a vyúčtování záloh na</w:t>
      </w:r>
      <w:r w:rsidR="0038082E">
        <w:rPr>
          <w:rFonts w:ascii="Times New Roman" w:hAnsi="Times New Roman"/>
          <w:b/>
          <w:sz w:val="24"/>
          <w:szCs w:val="24"/>
        </w:rPr>
        <w:t> </w:t>
      </w:r>
      <w:r w:rsidRPr="00286395">
        <w:rPr>
          <w:rFonts w:ascii="Times New Roman" w:hAnsi="Times New Roman"/>
          <w:b/>
          <w:sz w:val="24"/>
          <w:szCs w:val="24"/>
        </w:rPr>
        <w:t>dorovnávání úrokových rozdílů</w:t>
      </w:r>
    </w:p>
    <w:p w14:paraId="618A7F67" w14:textId="77777777" w:rsidR="005104A6" w:rsidRPr="00286395" w:rsidRDefault="005104A6" w:rsidP="009279C1">
      <w:pPr>
        <w:keepNext/>
        <w:spacing w:before="120" w:after="120"/>
        <w:ind w:left="360" w:right="357"/>
        <w:contextualSpacing/>
        <w:rPr>
          <w:rFonts w:ascii="Times New Roman" w:hAnsi="Times New Roman"/>
          <w:b/>
          <w:sz w:val="24"/>
          <w:szCs w:val="24"/>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3"/>
        <w:gridCol w:w="3344"/>
        <w:gridCol w:w="3344"/>
      </w:tblGrid>
      <w:tr w:rsidR="005104A6" w:rsidRPr="00286395" w14:paraId="05A89585" w14:textId="77777777" w:rsidTr="00567035">
        <w:trPr>
          <w:trHeight w:val="708"/>
        </w:trPr>
        <w:tc>
          <w:tcPr>
            <w:tcW w:w="1953" w:type="dxa"/>
            <w:tcBorders>
              <w:top w:val="single" w:sz="4" w:space="0" w:color="auto"/>
              <w:left w:val="single" w:sz="4" w:space="0" w:color="auto"/>
              <w:bottom w:val="single" w:sz="4" w:space="0" w:color="auto"/>
              <w:right w:val="single" w:sz="4" w:space="0" w:color="auto"/>
            </w:tcBorders>
            <w:vAlign w:val="center"/>
          </w:tcPr>
          <w:p w14:paraId="194682AA" w14:textId="77777777" w:rsidR="005104A6" w:rsidRPr="00286395" w:rsidRDefault="005104A6" w:rsidP="009279C1">
            <w:pPr>
              <w:keepLines/>
              <w:spacing w:before="120" w:after="120"/>
              <w:ind w:right="357"/>
              <w:rPr>
                <w:rFonts w:ascii="Times New Roman" w:hAnsi="Times New Roman"/>
                <w:b/>
                <w:sz w:val="24"/>
                <w:szCs w:val="24"/>
              </w:rPr>
            </w:pPr>
            <w:r w:rsidRPr="00286395">
              <w:rPr>
                <w:rFonts w:ascii="Times New Roman" w:hAnsi="Times New Roman"/>
                <w:b/>
                <w:sz w:val="24"/>
                <w:szCs w:val="24"/>
              </w:rPr>
              <w:t>VARIANTA</w:t>
            </w:r>
          </w:p>
        </w:tc>
        <w:tc>
          <w:tcPr>
            <w:tcW w:w="3344" w:type="dxa"/>
            <w:tcBorders>
              <w:top w:val="single" w:sz="4" w:space="0" w:color="auto"/>
              <w:left w:val="single" w:sz="4" w:space="0" w:color="auto"/>
              <w:bottom w:val="single" w:sz="4" w:space="0" w:color="auto"/>
              <w:right w:val="single" w:sz="4" w:space="0" w:color="auto"/>
            </w:tcBorders>
            <w:vAlign w:val="center"/>
          </w:tcPr>
          <w:p w14:paraId="410F6AFB" w14:textId="77777777" w:rsidR="005104A6" w:rsidRPr="00286395" w:rsidRDefault="005104A6" w:rsidP="009279C1">
            <w:pPr>
              <w:keepLines/>
              <w:tabs>
                <w:tab w:val="left" w:pos="709"/>
              </w:tabs>
              <w:spacing w:before="120" w:after="120"/>
              <w:ind w:right="357"/>
              <w:rPr>
                <w:rFonts w:ascii="Times New Roman" w:hAnsi="Times New Roman"/>
                <w:b/>
                <w:sz w:val="24"/>
                <w:szCs w:val="24"/>
              </w:rPr>
            </w:pPr>
            <w:r w:rsidRPr="00286395">
              <w:rPr>
                <w:rFonts w:ascii="Times New Roman" w:hAnsi="Times New Roman"/>
                <w:b/>
                <w:sz w:val="24"/>
                <w:szCs w:val="24"/>
              </w:rPr>
              <w:t>PŘÍNOSY</w:t>
            </w:r>
          </w:p>
        </w:tc>
        <w:tc>
          <w:tcPr>
            <w:tcW w:w="3344" w:type="dxa"/>
            <w:tcBorders>
              <w:top w:val="single" w:sz="4" w:space="0" w:color="auto"/>
              <w:left w:val="single" w:sz="4" w:space="0" w:color="auto"/>
              <w:bottom w:val="single" w:sz="4" w:space="0" w:color="auto"/>
              <w:right w:val="single" w:sz="4" w:space="0" w:color="auto"/>
            </w:tcBorders>
            <w:vAlign w:val="center"/>
          </w:tcPr>
          <w:p w14:paraId="0787F402" w14:textId="77777777" w:rsidR="005104A6" w:rsidRPr="00286395" w:rsidRDefault="005104A6" w:rsidP="009279C1">
            <w:pPr>
              <w:keepLines/>
              <w:tabs>
                <w:tab w:val="left" w:pos="709"/>
              </w:tabs>
              <w:spacing w:before="120" w:after="120"/>
              <w:ind w:right="357"/>
              <w:rPr>
                <w:rFonts w:ascii="Times New Roman" w:hAnsi="Times New Roman"/>
                <w:b/>
                <w:sz w:val="24"/>
                <w:szCs w:val="24"/>
              </w:rPr>
            </w:pPr>
            <w:r w:rsidRPr="00286395">
              <w:rPr>
                <w:rFonts w:ascii="Times New Roman" w:hAnsi="Times New Roman"/>
                <w:b/>
                <w:sz w:val="24"/>
                <w:szCs w:val="24"/>
              </w:rPr>
              <w:t>NÁKLADY</w:t>
            </w:r>
          </w:p>
        </w:tc>
      </w:tr>
      <w:tr w:rsidR="005104A6" w:rsidRPr="00286395" w14:paraId="6E89AC41" w14:textId="77777777" w:rsidTr="00567035">
        <w:trPr>
          <w:trHeight w:val="2042"/>
        </w:trPr>
        <w:tc>
          <w:tcPr>
            <w:tcW w:w="1953" w:type="dxa"/>
            <w:tcBorders>
              <w:top w:val="single" w:sz="4" w:space="0" w:color="auto"/>
              <w:left w:val="single" w:sz="4" w:space="0" w:color="auto"/>
              <w:bottom w:val="single" w:sz="4" w:space="0" w:color="auto"/>
              <w:right w:val="single" w:sz="4" w:space="0" w:color="auto"/>
            </w:tcBorders>
            <w:vAlign w:val="center"/>
          </w:tcPr>
          <w:p w14:paraId="2F7CC9E9" w14:textId="77777777" w:rsidR="005104A6" w:rsidRPr="00286395" w:rsidRDefault="005104A6" w:rsidP="00567035">
            <w:pPr>
              <w:keepLines/>
              <w:tabs>
                <w:tab w:val="left" w:pos="34"/>
              </w:tabs>
              <w:spacing w:after="120" w:line="300" w:lineRule="exact"/>
              <w:rPr>
                <w:rFonts w:ascii="Times New Roman" w:hAnsi="Times New Roman"/>
                <w:sz w:val="24"/>
                <w:szCs w:val="24"/>
              </w:rPr>
            </w:pPr>
            <w:r w:rsidRPr="00286395">
              <w:rPr>
                <w:rFonts w:ascii="Times New Roman" w:hAnsi="Times New Roman"/>
                <w:b/>
                <w:sz w:val="24"/>
                <w:szCs w:val="24"/>
              </w:rPr>
              <w:t>„nulová“</w:t>
            </w:r>
          </w:p>
        </w:tc>
        <w:tc>
          <w:tcPr>
            <w:tcW w:w="3344" w:type="dxa"/>
            <w:tcBorders>
              <w:top w:val="single" w:sz="4" w:space="0" w:color="auto"/>
              <w:left w:val="single" w:sz="4" w:space="0" w:color="auto"/>
              <w:bottom w:val="single" w:sz="4" w:space="0" w:color="auto"/>
              <w:right w:val="single" w:sz="4" w:space="0" w:color="auto"/>
            </w:tcBorders>
          </w:tcPr>
          <w:p w14:paraId="615ACB21" w14:textId="77777777" w:rsidR="005104A6" w:rsidRPr="00286395" w:rsidRDefault="005104A6" w:rsidP="002F0FC2">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Beze změn</w:t>
            </w:r>
          </w:p>
          <w:p w14:paraId="732FA8DF" w14:textId="77777777" w:rsidR="005104A6" w:rsidRPr="00286395" w:rsidRDefault="005104A6" w:rsidP="002F0FC2">
            <w:pPr>
              <w:keepLines/>
              <w:tabs>
                <w:tab w:val="left" w:pos="709"/>
              </w:tabs>
              <w:spacing w:after="120" w:line="300" w:lineRule="exact"/>
              <w:jc w:val="both"/>
              <w:rPr>
                <w:rFonts w:ascii="Times New Roman" w:hAnsi="Times New Roman"/>
                <w:sz w:val="24"/>
                <w:szCs w:val="24"/>
              </w:rPr>
            </w:pPr>
          </w:p>
          <w:p w14:paraId="066E64D5" w14:textId="77777777" w:rsidR="005104A6" w:rsidRPr="00286395" w:rsidRDefault="005104A6" w:rsidP="002F0FC2">
            <w:pPr>
              <w:keepLines/>
              <w:tabs>
                <w:tab w:val="left" w:pos="709"/>
              </w:tabs>
              <w:spacing w:after="120" w:line="300" w:lineRule="exact"/>
              <w:jc w:val="both"/>
              <w:rPr>
                <w:rFonts w:ascii="Times New Roman" w:hAnsi="Times New Roman"/>
                <w:sz w:val="24"/>
                <w:szCs w:val="24"/>
              </w:rPr>
            </w:pPr>
          </w:p>
          <w:p w14:paraId="541EEF8F" w14:textId="77777777" w:rsidR="005104A6" w:rsidRPr="00286395" w:rsidRDefault="005104A6" w:rsidP="002F0FC2">
            <w:pPr>
              <w:keepLines/>
              <w:tabs>
                <w:tab w:val="left" w:pos="709"/>
              </w:tabs>
              <w:spacing w:after="120" w:line="300" w:lineRule="exact"/>
              <w:jc w:val="both"/>
              <w:rPr>
                <w:rFonts w:ascii="Times New Roman" w:hAnsi="Times New Roman"/>
                <w:sz w:val="24"/>
                <w:szCs w:val="24"/>
              </w:rPr>
            </w:pPr>
          </w:p>
          <w:p w14:paraId="41D912EC" w14:textId="77777777" w:rsidR="005104A6" w:rsidRPr="00286395" w:rsidRDefault="005104A6" w:rsidP="002F0FC2">
            <w:pPr>
              <w:keepLines/>
              <w:tabs>
                <w:tab w:val="left" w:pos="709"/>
              </w:tabs>
              <w:spacing w:after="120" w:line="300" w:lineRule="exact"/>
              <w:jc w:val="both"/>
              <w:rPr>
                <w:rFonts w:ascii="Times New Roman" w:hAnsi="Times New Roman"/>
                <w:b/>
                <w:sz w:val="24"/>
                <w:szCs w:val="24"/>
              </w:rPr>
            </w:pPr>
          </w:p>
        </w:tc>
        <w:tc>
          <w:tcPr>
            <w:tcW w:w="3344" w:type="dxa"/>
            <w:tcBorders>
              <w:top w:val="single" w:sz="4" w:space="0" w:color="auto"/>
              <w:left w:val="single" w:sz="4" w:space="0" w:color="auto"/>
              <w:bottom w:val="single" w:sz="4" w:space="0" w:color="auto"/>
              <w:right w:val="single" w:sz="4" w:space="0" w:color="auto"/>
            </w:tcBorders>
          </w:tcPr>
          <w:p w14:paraId="3FB7B6A2" w14:textId="77777777" w:rsidR="005104A6" w:rsidRPr="00286395" w:rsidRDefault="005104A6" w:rsidP="002F0FC2">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Náklady plynoucí z nutnosti alo</w:t>
            </w:r>
            <w:r w:rsidR="002F0FC2">
              <w:rPr>
                <w:rFonts w:ascii="Times New Roman" w:hAnsi="Times New Roman"/>
                <w:sz w:val="24"/>
                <w:szCs w:val="24"/>
              </w:rPr>
              <w:softHyphen/>
            </w:r>
            <w:r w:rsidRPr="00286395">
              <w:rPr>
                <w:rFonts w:ascii="Times New Roman" w:hAnsi="Times New Roman"/>
                <w:sz w:val="24"/>
                <w:szCs w:val="24"/>
              </w:rPr>
              <w:t>kace konstantní částky ve</w:t>
            </w:r>
            <w:r w:rsidR="003E434D">
              <w:rPr>
                <w:rFonts w:ascii="Times New Roman" w:hAnsi="Times New Roman"/>
                <w:sz w:val="24"/>
                <w:szCs w:val="24"/>
              </w:rPr>
              <w:t> </w:t>
            </w:r>
            <w:r w:rsidRPr="00286395">
              <w:rPr>
                <w:rFonts w:ascii="Times New Roman" w:hAnsi="Times New Roman"/>
                <w:sz w:val="24"/>
                <w:szCs w:val="24"/>
              </w:rPr>
              <w:t>stát</w:t>
            </w:r>
            <w:r w:rsidR="002F0FC2">
              <w:rPr>
                <w:rFonts w:ascii="Times New Roman" w:hAnsi="Times New Roman"/>
                <w:sz w:val="24"/>
                <w:szCs w:val="24"/>
              </w:rPr>
              <w:softHyphen/>
            </w:r>
            <w:r w:rsidRPr="00286395">
              <w:rPr>
                <w:rFonts w:ascii="Times New Roman" w:hAnsi="Times New Roman"/>
                <w:sz w:val="24"/>
                <w:szCs w:val="24"/>
              </w:rPr>
              <w:t>ním rozpočtu a</w:t>
            </w:r>
            <w:r w:rsidR="003E434D">
              <w:rPr>
                <w:rFonts w:ascii="Times New Roman" w:hAnsi="Times New Roman"/>
                <w:sz w:val="24"/>
                <w:szCs w:val="24"/>
              </w:rPr>
              <w:t> </w:t>
            </w:r>
            <w:r w:rsidRPr="00286395">
              <w:rPr>
                <w:rFonts w:ascii="Times New Roman" w:hAnsi="Times New Roman"/>
                <w:sz w:val="24"/>
                <w:szCs w:val="24"/>
              </w:rPr>
              <w:t>související ná</w:t>
            </w:r>
            <w:r w:rsidR="002F0FC2">
              <w:rPr>
                <w:rFonts w:ascii="Times New Roman" w:hAnsi="Times New Roman"/>
                <w:sz w:val="24"/>
                <w:szCs w:val="24"/>
              </w:rPr>
              <w:softHyphen/>
            </w:r>
            <w:r w:rsidRPr="00286395">
              <w:rPr>
                <w:rFonts w:ascii="Times New Roman" w:hAnsi="Times New Roman"/>
                <w:sz w:val="24"/>
                <w:szCs w:val="24"/>
              </w:rPr>
              <w:t>klady (např. úrokové vý</w:t>
            </w:r>
            <w:r w:rsidR="005076CA">
              <w:rPr>
                <w:rFonts w:ascii="Times New Roman" w:hAnsi="Times New Roman"/>
                <w:sz w:val="24"/>
                <w:szCs w:val="24"/>
              </w:rPr>
              <w:t>daje na obsluhu státního dluhu)</w:t>
            </w:r>
          </w:p>
          <w:p w14:paraId="05E648F6" w14:textId="77777777" w:rsidR="005104A6" w:rsidRPr="00286395" w:rsidRDefault="005104A6" w:rsidP="002F0FC2">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Administrativní náklady vznika</w:t>
            </w:r>
            <w:r w:rsidR="002F0FC2">
              <w:rPr>
                <w:rFonts w:ascii="Times New Roman" w:hAnsi="Times New Roman"/>
                <w:sz w:val="24"/>
                <w:szCs w:val="24"/>
              </w:rPr>
              <w:softHyphen/>
            </w:r>
            <w:r w:rsidRPr="00286395">
              <w:rPr>
                <w:rFonts w:ascii="Times New Roman" w:hAnsi="Times New Roman"/>
                <w:sz w:val="24"/>
                <w:szCs w:val="24"/>
              </w:rPr>
              <w:t>jící z titulu opakovaných změn salda záloh systému dorovnání úrokových rozdílů</w:t>
            </w:r>
          </w:p>
        </w:tc>
      </w:tr>
      <w:tr w:rsidR="005104A6" w:rsidRPr="00286395" w14:paraId="3DCA09DB" w14:textId="77777777" w:rsidTr="00567035">
        <w:trPr>
          <w:trHeight w:val="708"/>
        </w:trPr>
        <w:tc>
          <w:tcPr>
            <w:tcW w:w="1953" w:type="dxa"/>
            <w:tcBorders>
              <w:top w:val="single" w:sz="4" w:space="0" w:color="auto"/>
              <w:left w:val="single" w:sz="4" w:space="0" w:color="auto"/>
              <w:bottom w:val="single" w:sz="4" w:space="0" w:color="auto"/>
              <w:right w:val="single" w:sz="4" w:space="0" w:color="auto"/>
            </w:tcBorders>
            <w:vAlign w:val="center"/>
          </w:tcPr>
          <w:p w14:paraId="32A21DDE" w14:textId="77777777" w:rsidR="005104A6" w:rsidRPr="00286395" w:rsidRDefault="005104A6" w:rsidP="002F0FC2">
            <w:pPr>
              <w:keepLines/>
              <w:tabs>
                <w:tab w:val="left" w:pos="34"/>
              </w:tabs>
              <w:spacing w:after="120" w:line="300" w:lineRule="exact"/>
              <w:jc w:val="both"/>
              <w:rPr>
                <w:rFonts w:ascii="Times New Roman" w:hAnsi="Times New Roman"/>
                <w:b/>
                <w:sz w:val="24"/>
                <w:szCs w:val="24"/>
              </w:rPr>
            </w:pPr>
            <w:r w:rsidRPr="00286395">
              <w:rPr>
                <w:rFonts w:ascii="Times New Roman" w:hAnsi="Times New Roman"/>
                <w:b/>
                <w:sz w:val="24"/>
                <w:szCs w:val="24"/>
              </w:rPr>
              <w:t>1</w:t>
            </w:r>
          </w:p>
          <w:p w14:paraId="1060A8FD" w14:textId="77777777" w:rsidR="005104A6" w:rsidRPr="00286395" w:rsidRDefault="005104A6" w:rsidP="002F0FC2">
            <w:pPr>
              <w:keepLines/>
              <w:tabs>
                <w:tab w:val="left" w:pos="34"/>
              </w:tabs>
              <w:spacing w:after="120" w:line="300" w:lineRule="exact"/>
              <w:jc w:val="both"/>
              <w:rPr>
                <w:rFonts w:ascii="Times New Roman" w:hAnsi="Times New Roman"/>
                <w:b/>
                <w:sz w:val="24"/>
                <w:szCs w:val="24"/>
              </w:rPr>
            </w:pPr>
            <w:r w:rsidRPr="00286395">
              <w:rPr>
                <w:rFonts w:ascii="Times New Roman" w:hAnsi="Times New Roman"/>
                <w:sz w:val="24"/>
                <w:szCs w:val="24"/>
              </w:rPr>
              <w:t>legislativní řešení - zjednodušení rozpočtování a</w:t>
            </w:r>
            <w:r w:rsidR="002F0FC2">
              <w:rPr>
                <w:rFonts w:ascii="Times New Roman" w:hAnsi="Times New Roman"/>
                <w:sz w:val="24"/>
                <w:szCs w:val="24"/>
              </w:rPr>
              <w:t> </w:t>
            </w:r>
            <w:r w:rsidRPr="00286395">
              <w:rPr>
                <w:rFonts w:ascii="Times New Roman" w:hAnsi="Times New Roman"/>
                <w:sz w:val="24"/>
                <w:szCs w:val="24"/>
              </w:rPr>
              <w:t>vyúčtování</w:t>
            </w:r>
          </w:p>
        </w:tc>
        <w:tc>
          <w:tcPr>
            <w:tcW w:w="3344" w:type="dxa"/>
            <w:tcBorders>
              <w:top w:val="single" w:sz="4" w:space="0" w:color="auto"/>
              <w:left w:val="single" w:sz="4" w:space="0" w:color="auto"/>
              <w:bottom w:val="single" w:sz="4" w:space="0" w:color="auto"/>
              <w:right w:val="single" w:sz="4" w:space="0" w:color="auto"/>
            </w:tcBorders>
          </w:tcPr>
          <w:p w14:paraId="673FB57E" w14:textId="77777777" w:rsidR="005104A6" w:rsidRPr="00286395" w:rsidRDefault="005104A6" w:rsidP="002F0FC2">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Přínosy vzniklé úsporou nákladů na řízení státního rozpočtu</w:t>
            </w:r>
          </w:p>
          <w:p w14:paraId="12229CD6" w14:textId="77777777" w:rsidR="005104A6" w:rsidRPr="00286395" w:rsidRDefault="005104A6" w:rsidP="002F0FC2">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Úspora administrativních ná</w:t>
            </w:r>
            <w:r w:rsidR="002F0FC2">
              <w:rPr>
                <w:rFonts w:ascii="Times New Roman" w:hAnsi="Times New Roman"/>
                <w:sz w:val="24"/>
                <w:szCs w:val="24"/>
              </w:rPr>
              <w:softHyphen/>
            </w:r>
            <w:r w:rsidRPr="00286395">
              <w:rPr>
                <w:rFonts w:ascii="Times New Roman" w:hAnsi="Times New Roman"/>
                <w:sz w:val="24"/>
                <w:szCs w:val="24"/>
              </w:rPr>
              <w:t>kladů po zjednodušení mecha</w:t>
            </w:r>
            <w:r w:rsidR="002F0FC2">
              <w:rPr>
                <w:rFonts w:ascii="Times New Roman" w:hAnsi="Times New Roman"/>
                <w:sz w:val="24"/>
                <w:szCs w:val="24"/>
              </w:rPr>
              <w:softHyphen/>
            </w:r>
            <w:r w:rsidRPr="00286395">
              <w:rPr>
                <w:rFonts w:ascii="Times New Roman" w:hAnsi="Times New Roman"/>
                <w:sz w:val="24"/>
                <w:szCs w:val="24"/>
              </w:rPr>
              <w:t>nismu d</w:t>
            </w:r>
            <w:r w:rsidRPr="00286395">
              <w:rPr>
                <w:rFonts w:ascii="Times New Roman" w:hAnsi="Times New Roman"/>
                <w:bCs/>
                <w:sz w:val="24"/>
                <w:szCs w:val="24"/>
              </w:rPr>
              <w:t>oplňování záloh</w:t>
            </w:r>
          </w:p>
        </w:tc>
        <w:tc>
          <w:tcPr>
            <w:tcW w:w="3344" w:type="dxa"/>
            <w:tcBorders>
              <w:top w:val="single" w:sz="4" w:space="0" w:color="auto"/>
              <w:left w:val="single" w:sz="4" w:space="0" w:color="auto"/>
              <w:bottom w:val="single" w:sz="4" w:space="0" w:color="auto"/>
              <w:right w:val="single" w:sz="4" w:space="0" w:color="auto"/>
            </w:tcBorders>
          </w:tcPr>
          <w:p w14:paraId="54E76D19" w14:textId="77777777" w:rsidR="005104A6" w:rsidRPr="00286395" w:rsidRDefault="005104A6" w:rsidP="002F0FC2">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Žádné dodatečné náklady</w:t>
            </w:r>
          </w:p>
          <w:p w14:paraId="4D512A21" w14:textId="77777777" w:rsidR="005104A6" w:rsidRPr="00286395" w:rsidRDefault="005104A6" w:rsidP="002F0FC2">
            <w:pPr>
              <w:keepLines/>
              <w:tabs>
                <w:tab w:val="left" w:pos="709"/>
              </w:tabs>
              <w:spacing w:after="120" w:line="300" w:lineRule="exact"/>
              <w:jc w:val="both"/>
              <w:rPr>
                <w:rFonts w:ascii="Times New Roman" w:hAnsi="Times New Roman"/>
                <w:sz w:val="24"/>
                <w:szCs w:val="24"/>
              </w:rPr>
            </w:pPr>
          </w:p>
        </w:tc>
      </w:tr>
    </w:tbl>
    <w:p w14:paraId="0AE8F68C" w14:textId="77777777" w:rsidR="00474AE7" w:rsidRDefault="00474AE7">
      <w:pPr>
        <w:overflowPunct/>
        <w:autoSpaceDE/>
        <w:autoSpaceDN/>
        <w:adjustRightInd/>
        <w:spacing w:after="0" w:line="240" w:lineRule="auto"/>
        <w:textAlignment w:val="auto"/>
        <w:rPr>
          <w:rFonts w:ascii="Times New Roman" w:hAnsi="Times New Roman"/>
          <w:b/>
          <w:sz w:val="24"/>
          <w:szCs w:val="24"/>
        </w:rPr>
      </w:pPr>
    </w:p>
    <w:p w14:paraId="26470020" w14:textId="7294E887" w:rsidR="0019329A" w:rsidRPr="00286395" w:rsidRDefault="0019329A" w:rsidP="00BD3E0C">
      <w:pPr>
        <w:keepNext/>
        <w:spacing w:before="120" w:after="120"/>
        <w:ind w:left="360" w:right="357"/>
        <w:contextualSpacing/>
        <w:jc w:val="both"/>
        <w:rPr>
          <w:rFonts w:ascii="Times New Roman" w:hAnsi="Times New Roman"/>
          <w:b/>
          <w:sz w:val="24"/>
          <w:szCs w:val="24"/>
        </w:rPr>
      </w:pPr>
      <w:r w:rsidRPr="00286395">
        <w:rPr>
          <w:rFonts w:ascii="Times New Roman" w:hAnsi="Times New Roman"/>
          <w:b/>
          <w:sz w:val="24"/>
          <w:szCs w:val="24"/>
        </w:rPr>
        <w:t>N</w:t>
      </w:r>
      <w:r w:rsidR="000603D9" w:rsidRPr="00286395">
        <w:rPr>
          <w:rFonts w:ascii="Times New Roman" w:hAnsi="Times New Roman"/>
          <w:b/>
          <w:sz w:val="24"/>
          <w:szCs w:val="24"/>
        </w:rPr>
        <w:t>áklady</w:t>
      </w:r>
      <w:r w:rsidRPr="00286395">
        <w:rPr>
          <w:rFonts w:ascii="Times New Roman" w:hAnsi="Times New Roman"/>
          <w:b/>
          <w:sz w:val="24"/>
          <w:szCs w:val="24"/>
        </w:rPr>
        <w:t xml:space="preserve"> a přínosy (</w:t>
      </w:r>
      <w:r w:rsidR="005908DC">
        <w:rPr>
          <w:rFonts w:ascii="Times New Roman" w:hAnsi="Times New Roman"/>
          <w:b/>
          <w:sz w:val="24"/>
          <w:szCs w:val="24"/>
        </w:rPr>
        <w:t>F</w:t>
      </w:r>
      <w:r w:rsidRPr="00286395">
        <w:rPr>
          <w:rFonts w:ascii="Times New Roman" w:hAnsi="Times New Roman"/>
          <w:b/>
          <w:sz w:val="24"/>
          <w:szCs w:val="24"/>
        </w:rPr>
        <w:t>) Rozšíření kontrolní pravomoci M</w:t>
      </w:r>
      <w:r w:rsidR="008B0C0B">
        <w:rPr>
          <w:rFonts w:ascii="Times New Roman" w:hAnsi="Times New Roman"/>
          <w:b/>
          <w:sz w:val="24"/>
          <w:szCs w:val="24"/>
        </w:rPr>
        <w:t>F</w:t>
      </w:r>
      <w:r w:rsidRPr="00286395">
        <w:rPr>
          <w:rFonts w:ascii="Times New Roman" w:hAnsi="Times New Roman"/>
          <w:b/>
          <w:sz w:val="24"/>
          <w:szCs w:val="24"/>
        </w:rPr>
        <w:t xml:space="preserve"> vůči exportní pojišťovně</w:t>
      </w:r>
    </w:p>
    <w:p w14:paraId="0CDC85FF" w14:textId="77777777" w:rsidR="0019329A" w:rsidRPr="00286395" w:rsidRDefault="0019329A" w:rsidP="009279C1">
      <w:pPr>
        <w:keepNext/>
        <w:spacing w:before="120" w:after="120"/>
        <w:ind w:left="360" w:right="357"/>
        <w:contextualSpacing/>
        <w:rPr>
          <w:rFonts w:ascii="Times New Roman" w:hAnsi="Times New Roman"/>
          <w:b/>
          <w:sz w:val="24"/>
          <w:szCs w:val="24"/>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3"/>
        <w:gridCol w:w="3344"/>
        <w:gridCol w:w="3344"/>
      </w:tblGrid>
      <w:tr w:rsidR="0019329A" w:rsidRPr="00286395" w14:paraId="198905E1" w14:textId="77777777" w:rsidTr="00916086">
        <w:trPr>
          <w:trHeight w:val="708"/>
        </w:trPr>
        <w:tc>
          <w:tcPr>
            <w:tcW w:w="1953" w:type="dxa"/>
            <w:tcBorders>
              <w:top w:val="single" w:sz="4" w:space="0" w:color="auto"/>
              <w:left w:val="single" w:sz="4" w:space="0" w:color="auto"/>
              <w:bottom w:val="single" w:sz="4" w:space="0" w:color="auto"/>
              <w:right w:val="single" w:sz="4" w:space="0" w:color="auto"/>
            </w:tcBorders>
            <w:vAlign w:val="center"/>
          </w:tcPr>
          <w:p w14:paraId="030D4E39" w14:textId="77777777" w:rsidR="0019329A" w:rsidRPr="00286395" w:rsidRDefault="0019329A" w:rsidP="009279C1">
            <w:pPr>
              <w:keepLines/>
              <w:spacing w:before="120" w:after="120"/>
              <w:ind w:right="357"/>
              <w:rPr>
                <w:rFonts w:ascii="Times New Roman" w:hAnsi="Times New Roman"/>
                <w:b/>
                <w:sz w:val="24"/>
                <w:szCs w:val="24"/>
              </w:rPr>
            </w:pPr>
            <w:r w:rsidRPr="00286395">
              <w:rPr>
                <w:rFonts w:ascii="Times New Roman" w:hAnsi="Times New Roman"/>
                <w:b/>
                <w:sz w:val="24"/>
                <w:szCs w:val="24"/>
              </w:rPr>
              <w:t>VARIANTA</w:t>
            </w:r>
          </w:p>
        </w:tc>
        <w:tc>
          <w:tcPr>
            <w:tcW w:w="3344" w:type="dxa"/>
            <w:tcBorders>
              <w:top w:val="single" w:sz="4" w:space="0" w:color="auto"/>
              <w:left w:val="single" w:sz="4" w:space="0" w:color="auto"/>
              <w:bottom w:val="single" w:sz="4" w:space="0" w:color="auto"/>
              <w:right w:val="single" w:sz="4" w:space="0" w:color="auto"/>
            </w:tcBorders>
            <w:vAlign w:val="center"/>
          </w:tcPr>
          <w:p w14:paraId="307E983B" w14:textId="77777777" w:rsidR="0019329A" w:rsidRPr="00286395" w:rsidRDefault="0019329A" w:rsidP="009279C1">
            <w:pPr>
              <w:keepLines/>
              <w:tabs>
                <w:tab w:val="left" w:pos="709"/>
              </w:tabs>
              <w:spacing w:before="120" w:after="120"/>
              <w:ind w:right="357"/>
              <w:rPr>
                <w:rFonts w:ascii="Times New Roman" w:hAnsi="Times New Roman"/>
                <w:b/>
                <w:sz w:val="24"/>
                <w:szCs w:val="24"/>
              </w:rPr>
            </w:pPr>
            <w:r w:rsidRPr="00286395">
              <w:rPr>
                <w:rFonts w:ascii="Times New Roman" w:hAnsi="Times New Roman"/>
                <w:b/>
                <w:sz w:val="24"/>
                <w:szCs w:val="24"/>
              </w:rPr>
              <w:t>PŘÍNOSY</w:t>
            </w:r>
          </w:p>
        </w:tc>
        <w:tc>
          <w:tcPr>
            <w:tcW w:w="3344" w:type="dxa"/>
            <w:tcBorders>
              <w:top w:val="single" w:sz="4" w:space="0" w:color="auto"/>
              <w:left w:val="single" w:sz="4" w:space="0" w:color="auto"/>
              <w:bottom w:val="single" w:sz="4" w:space="0" w:color="auto"/>
              <w:right w:val="single" w:sz="4" w:space="0" w:color="auto"/>
            </w:tcBorders>
            <w:vAlign w:val="center"/>
          </w:tcPr>
          <w:p w14:paraId="03A2D9C5" w14:textId="77777777" w:rsidR="0019329A" w:rsidRPr="00286395" w:rsidRDefault="0019329A" w:rsidP="009279C1">
            <w:pPr>
              <w:keepLines/>
              <w:tabs>
                <w:tab w:val="left" w:pos="709"/>
              </w:tabs>
              <w:spacing w:before="120" w:after="120"/>
              <w:ind w:right="357"/>
              <w:rPr>
                <w:rFonts w:ascii="Times New Roman" w:hAnsi="Times New Roman"/>
                <w:b/>
                <w:sz w:val="24"/>
                <w:szCs w:val="24"/>
              </w:rPr>
            </w:pPr>
            <w:r w:rsidRPr="00286395">
              <w:rPr>
                <w:rFonts w:ascii="Times New Roman" w:hAnsi="Times New Roman"/>
                <w:b/>
                <w:sz w:val="24"/>
                <w:szCs w:val="24"/>
              </w:rPr>
              <w:t>N</w:t>
            </w:r>
            <w:r w:rsidR="000603D9" w:rsidRPr="00286395">
              <w:rPr>
                <w:rFonts w:ascii="Times New Roman" w:hAnsi="Times New Roman"/>
                <w:b/>
                <w:sz w:val="24"/>
                <w:szCs w:val="24"/>
              </w:rPr>
              <w:t>ÁKLAD</w:t>
            </w:r>
            <w:r w:rsidRPr="00286395">
              <w:rPr>
                <w:rFonts w:ascii="Times New Roman" w:hAnsi="Times New Roman"/>
                <w:b/>
                <w:sz w:val="24"/>
                <w:szCs w:val="24"/>
              </w:rPr>
              <w:t>Y</w:t>
            </w:r>
          </w:p>
        </w:tc>
      </w:tr>
      <w:tr w:rsidR="0019329A" w:rsidRPr="00286395" w14:paraId="2D7F867C" w14:textId="77777777" w:rsidTr="00916086">
        <w:trPr>
          <w:trHeight w:val="2042"/>
        </w:trPr>
        <w:tc>
          <w:tcPr>
            <w:tcW w:w="1953" w:type="dxa"/>
            <w:tcBorders>
              <w:top w:val="single" w:sz="4" w:space="0" w:color="auto"/>
              <w:left w:val="single" w:sz="4" w:space="0" w:color="auto"/>
              <w:bottom w:val="single" w:sz="4" w:space="0" w:color="auto"/>
              <w:right w:val="single" w:sz="4" w:space="0" w:color="auto"/>
            </w:tcBorders>
            <w:vAlign w:val="center"/>
          </w:tcPr>
          <w:p w14:paraId="38B33BC4" w14:textId="77777777" w:rsidR="0019329A" w:rsidRPr="00286395" w:rsidRDefault="0019329A" w:rsidP="00916086">
            <w:pPr>
              <w:keepLines/>
              <w:tabs>
                <w:tab w:val="left" w:pos="34"/>
              </w:tabs>
              <w:spacing w:after="120" w:line="300" w:lineRule="exact"/>
              <w:rPr>
                <w:rFonts w:ascii="Times New Roman" w:hAnsi="Times New Roman"/>
                <w:sz w:val="24"/>
                <w:szCs w:val="24"/>
              </w:rPr>
            </w:pPr>
            <w:r w:rsidRPr="00286395">
              <w:rPr>
                <w:rFonts w:ascii="Times New Roman" w:hAnsi="Times New Roman"/>
                <w:b/>
                <w:sz w:val="24"/>
                <w:szCs w:val="24"/>
              </w:rPr>
              <w:t>„nulová“</w:t>
            </w:r>
          </w:p>
        </w:tc>
        <w:tc>
          <w:tcPr>
            <w:tcW w:w="3344" w:type="dxa"/>
            <w:tcBorders>
              <w:top w:val="single" w:sz="4" w:space="0" w:color="auto"/>
              <w:left w:val="single" w:sz="4" w:space="0" w:color="auto"/>
              <w:bottom w:val="single" w:sz="4" w:space="0" w:color="auto"/>
              <w:right w:val="single" w:sz="4" w:space="0" w:color="auto"/>
            </w:tcBorders>
          </w:tcPr>
          <w:p w14:paraId="4F089C6D" w14:textId="77777777" w:rsidR="0019329A" w:rsidRPr="00286395" w:rsidRDefault="0019329A" w:rsidP="002F0FC2">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Beze změn</w:t>
            </w:r>
          </w:p>
          <w:p w14:paraId="1865F3B7" w14:textId="77777777" w:rsidR="0019329A" w:rsidRPr="00286395" w:rsidRDefault="0019329A" w:rsidP="002F0FC2">
            <w:pPr>
              <w:keepLines/>
              <w:tabs>
                <w:tab w:val="left" w:pos="709"/>
              </w:tabs>
              <w:spacing w:after="120" w:line="300" w:lineRule="exact"/>
              <w:jc w:val="both"/>
              <w:rPr>
                <w:rFonts w:ascii="Times New Roman" w:hAnsi="Times New Roman"/>
                <w:b/>
                <w:sz w:val="24"/>
                <w:szCs w:val="24"/>
              </w:rPr>
            </w:pPr>
          </w:p>
        </w:tc>
        <w:tc>
          <w:tcPr>
            <w:tcW w:w="3344" w:type="dxa"/>
            <w:tcBorders>
              <w:top w:val="single" w:sz="4" w:space="0" w:color="auto"/>
              <w:left w:val="single" w:sz="4" w:space="0" w:color="auto"/>
              <w:bottom w:val="single" w:sz="4" w:space="0" w:color="auto"/>
              <w:right w:val="single" w:sz="4" w:space="0" w:color="auto"/>
            </w:tcBorders>
          </w:tcPr>
          <w:p w14:paraId="1A437F76" w14:textId="588EF682" w:rsidR="0019329A" w:rsidRPr="00286395" w:rsidRDefault="0019329A" w:rsidP="002F0FC2">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Nejednoznačné zákonné vyme</w:t>
            </w:r>
            <w:r w:rsidR="002F0FC2">
              <w:rPr>
                <w:rFonts w:ascii="Times New Roman" w:hAnsi="Times New Roman"/>
                <w:sz w:val="24"/>
                <w:szCs w:val="24"/>
              </w:rPr>
              <w:softHyphen/>
            </w:r>
            <w:r w:rsidRPr="00286395">
              <w:rPr>
                <w:rFonts w:ascii="Times New Roman" w:hAnsi="Times New Roman"/>
                <w:sz w:val="24"/>
                <w:szCs w:val="24"/>
              </w:rPr>
              <w:t>zení kontrolní pravomoci M</w:t>
            </w:r>
            <w:r w:rsidR="008B0C0B">
              <w:rPr>
                <w:rFonts w:ascii="Times New Roman" w:hAnsi="Times New Roman"/>
                <w:sz w:val="24"/>
                <w:szCs w:val="24"/>
              </w:rPr>
              <w:t>F</w:t>
            </w:r>
            <w:r w:rsidRPr="00286395">
              <w:rPr>
                <w:rFonts w:ascii="Times New Roman" w:hAnsi="Times New Roman"/>
                <w:sz w:val="24"/>
                <w:szCs w:val="24"/>
              </w:rPr>
              <w:t xml:space="preserve"> vůči exportní po</w:t>
            </w:r>
            <w:r w:rsidR="002F0FC2">
              <w:rPr>
                <w:rFonts w:ascii="Times New Roman" w:hAnsi="Times New Roman"/>
                <w:sz w:val="24"/>
                <w:szCs w:val="24"/>
              </w:rPr>
              <w:softHyphen/>
            </w:r>
            <w:r w:rsidRPr="00286395">
              <w:rPr>
                <w:rFonts w:ascii="Times New Roman" w:hAnsi="Times New Roman"/>
                <w:sz w:val="24"/>
                <w:szCs w:val="24"/>
              </w:rPr>
              <w:t>jišťovně</w:t>
            </w:r>
          </w:p>
          <w:p w14:paraId="2A7D8C63" w14:textId="77777777" w:rsidR="0019329A" w:rsidRPr="00286395" w:rsidRDefault="0019329A" w:rsidP="002F0FC2">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Hrozba zpochybnění průběhu a</w:t>
            </w:r>
            <w:r w:rsidR="0025206A">
              <w:rPr>
                <w:rFonts w:ascii="Times New Roman" w:hAnsi="Times New Roman"/>
                <w:sz w:val="24"/>
                <w:szCs w:val="24"/>
              </w:rPr>
              <w:t> </w:t>
            </w:r>
            <w:r w:rsidRPr="00286395">
              <w:rPr>
                <w:rFonts w:ascii="Times New Roman" w:hAnsi="Times New Roman"/>
                <w:sz w:val="24"/>
                <w:szCs w:val="24"/>
              </w:rPr>
              <w:t>závěrů kontroly v exportní po</w:t>
            </w:r>
            <w:r w:rsidR="002F0FC2">
              <w:rPr>
                <w:rFonts w:ascii="Times New Roman" w:hAnsi="Times New Roman"/>
                <w:sz w:val="24"/>
                <w:szCs w:val="24"/>
              </w:rPr>
              <w:softHyphen/>
            </w:r>
            <w:r w:rsidRPr="00286395">
              <w:rPr>
                <w:rFonts w:ascii="Times New Roman" w:hAnsi="Times New Roman"/>
                <w:sz w:val="24"/>
                <w:szCs w:val="24"/>
              </w:rPr>
              <w:t>jišťovně z důvodu jejího nejed</w:t>
            </w:r>
            <w:r w:rsidR="002F0FC2">
              <w:rPr>
                <w:rFonts w:ascii="Times New Roman" w:hAnsi="Times New Roman"/>
                <w:sz w:val="24"/>
                <w:szCs w:val="24"/>
              </w:rPr>
              <w:softHyphen/>
            </w:r>
            <w:r w:rsidRPr="00286395">
              <w:rPr>
                <w:rFonts w:ascii="Times New Roman" w:hAnsi="Times New Roman"/>
                <w:sz w:val="24"/>
                <w:szCs w:val="24"/>
              </w:rPr>
              <w:t>noznačného vymezení</w:t>
            </w:r>
          </w:p>
        </w:tc>
      </w:tr>
      <w:tr w:rsidR="0019329A" w:rsidRPr="00286395" w14:paraId="087E91F8" w14:textId="77777777" w:rsidTr="00916086">
        <w:trPr>
          <w:trHeight w:val="708"/>
        </w:trPr>
        <w:tc>
          <w:tcPr>
            <w:tcW w:w="1953" w:type="dxa"/>
            <w:tcBorders>
              <w:top w:val="single" w:sz="4" w:space="0" w:color="auto"/>
              <w:left w:val="single" w:sz="4" w:space="0" w:color="auto"/>
              <w:bottom w:val="single" w:sz="4" w:space="0" w:color="auto"/>
              <w:right w:val="single" w:sz="4" w:space="0" w:color="auto"/>
            </w:tcBorders>
            <w:vAlign w:val="center"/>
          </w:tcPr>
          <w:p w14:paraId="105718B1" w14:textId="77777777" w:rsidR="0019329A" w:rsidRPr="00286395" w:rsidRDefault="0019329A" w:rsidP="00916086">
            <w:pPr>
              <w:keepLines/>
              <w:tabs>
                <w:tab w:val="left" w:pos="34"/>
              </w:tabs>
              <w:spacing w:after="120" w:line="300" w:lineRule="exact"/>
              <w:rPr>
                <w:rFonts w:ascii="Times New Roman" w:hAnsi="Times New Roman"/>
                <w:b/>
                <w:sz w:val="24"/>
                <w:szCs w:val="24"/>
              </w:rPr>
            </w:pPr>
            <w:r w:rsidRPr="00286395">
              <w:rPr>
                <w:rFonts w:ascii="Times New Roman" w:hAnsi="Times New Roman"/>
                <w:b/>
                <w:sz w:val="24"/>
                <w:szCs w:val="24"/>
              </w:rPr>
              <w:t>1</w:t>
            </w:r>
          </w:p>
          <w:p w14:paraId="785B0960" w14:textId="77777777" w:rsidR="0019329A" w:rsidRPr="00286395" w:rsidRDefault="0019329A" w:rsidP="002F0FC2">
            <w:pPr>
              <w:keepLines/>
              <w:tabs>
                <w:tab w:val="left" w:pos="34"/>
              </w:tabs>
              <w:spacing w:after="120" w:line="300" w:lineRule="exact"/>
              <w:jc w:val="both"/>
              <w:rPr>
                <w:rFonts w:ascii="Times New Roman" w:hAnsi="Times New Roman"/>
                <w:b/>
                <w:sz w:val="24"/>
                <w:szCs w:val="24"/>
              </w:rPr>
            </w:pPr>
            <w:r w:rsidRPr="00286395">
              <w:rPr>
                <w:rFonts w:ascii="Times New Roman" w:hAnsi="Times New Roman"/>
                <w:sz w:val="24"/>
                <w:szCs w:val="24"/>
              </w:rPr>
              <w:t>legislativní řešení - novela existují</w:t>
            </w:r>
            <w:r w:rsidR="002F0FC2">
              <w:rPr>
                <w:rFonts w:ascii="Times New Roman" w:hAnsi="Times New Roman"/>
                <w:sz w:val="24"/>
                <w:szCs w:val="24"/>
              </w:rPr>
              <w:softHyphen/>
            </w:r>
            <w:r w:rsidRPr="00286395">
              <w:rPr>
                <w:rFonts w:ascii="Times New Roman" w:hAnsi="Times New Roman"/>
                <w:sz w:val="24"/>
                <w:szCs w:val="24"/>
              </w:rPr>
              <w:t>cího právního předpisu</w:t>
            </w:r>
          </w:p>
        </w:tc>
        <w:tc>
          <w:tcPr>
            <w:tcW w:w="3344" w:type="dxa"/>
            <w:tcBorders>
              <w:top w:val="single" w:sz="4" w:space="0" w:color="auto"/>
              <w:left w:val="single" w:sz="4" w:space="0" w:color="auto"/>
              <w:bottom w:val="single" w:sz="4" w:space="0" w:color="auto"/>
              <w:right w:val="single" w:sz="4" w:space="0" w:color="auto"/>
            </w:tcBorders>
          </w:tcPr>
          <w:p w14:paraId="5783A83A" w14:textId="33718B06" w:rsidR="0019329A" w:rsidRPr="00286395" w:rsidRDefault="0019329A" w:rsidP="002F0FC2">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Jednoznačné zákonné vymezení kontrolní pravomoci M</w:t>
            </w:r>
            <w:r w:rsidR="008B0C0B">
              <w:rPr>
                <w:rFonts w:ascii="Times New Roman" w:hAnsi="Times New Roman"/>
                <w:sz w:val="24"/>
                <w:szCs w:val="24"/>
              </w:rPr>
              <w:t>F</w:t>
            </w:r>
            <w:r w:rsidRPr="00286395">
              <w:rPr>
                <w:rFonts w:ascii="Times New Roman" w:hAnsi="Times New Roman"/>
                <w:sz w:val="24"/>
                <w:szCs w:val="24"/>
              </w:rPr>
              <w:t xml:space="preserve"> vůči exportní pojiš</w:t>
            </w:r>
            <w:r w:rsidR="002F0FC2">
              <w:rPr>
                <w:rFonts w:ascii="Times New Roman" w:hAnsi="Times New Roman"/>
                <w:sz w:val="24"/>
                <w:szCs w:val="24"/>
              </w:rPr>
              <w:softHyphen/>
            </w:r>
            <w:r w:rsidRPr="00286395">
              <w:rPr>
                <w:rFonts w:ascii="Times New Roman" w:hAnsi="Times New Roman"/>
                <w:sz w:val="24"/>
                <w:szCs w:val="24"/>
              </w:rPr>
              <w:t>ťovně</w:t>
            </w:r>
          </w:p>
          <w:p w14:paraId="70D998C0" w14:textId="77777777" w:rsidR="0019329A" w:rsidRPr="00286395" w:rsidRDefault="0019329A" w:rsidP="002F0FC2">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Odstranění hrozby zpochybnění průběhu a závěrů kontroly v</w:t>
            </w:r>
            <w:r w:rsidR="00F44785">
              <w:rPr>
                <w:rFonts w:ascii="Times New Roman" w:hAnsi="Times New Roman"/>
                <w:sz w:val="24"/>
                <w:szCs w:val="24"/>
              </w:rPr>
              <w:t> </w:t>
            </w:r>
            <w:r w:rsidRPr="00286395">
              <w:rPr>
                <w:rFonts w:ascii="Times New Roman" w:hAnsi="Times New Roman"/>
                <w:sz w:val="24"/>
                <w:szCs w:val="24"/>
              </w:rPr>
              <w:t>ex</w:t>
            </w:r>
            <w:r w:rsidR="002F0FC2">
              <w:rPr>
                <w:rFonts w:ascii="Times New Roman" w:hAnsi="Times New Roman"/>
                <w:sz w:val="24"/>
                <w:szCs w:val="24"/>
              </w:rPr>
              <w:softHyphen/>
            </w:r>
            <w:r w:rsidRPr="00286395">
              <w:rPr>
                <w:rFonts w:ascii="Times New Roman" w:hAnsi="Times New Roman"/>
                <w:sz w:val="24"/>
                <w:szCs w:val="24"/>
              </w:rPr>
              <w:t>portní pojišťovně z důvodu je</w:t>
            </w:r>
            <w:r w:rsidR="002F0FC2">
              <w:rPr>
                <w:rFonts w:ascii="Times New Roman" w:hAnsi="Times New Roman"/>
                <w:sz w:val="24"/>
                <w:szCs w:val="24"/>
              </w:rPr>
              <w:softHyphen/>
            </w:r>
            <w:r w:rsidRPr="00286395">
              <w:rPr>
                <w:rFonts w:ascii="Times New Roman" w:hAnsi="Times New Roman"/>
                <w:sz w:val="24"/>
                <w:szCs w:val="24"/>
              </w:rPr>
              <w:t>jího nejednoznačného vymezení</w:t>
            </w:r>
          </w:p>
          <w:p w14:paraId="66C5FC3A" w14:textId="77777777" w:rsidR="0019329A" w:rsidRPr="00286395" w:rsidRDefault="0019329A" w:rsidP="002F0FC2">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Zvýšení transparentnosti posky</w:t>
            </w:r>
            <w:r w:rsidR="002F0FC2">
              <w:rPr>
                <w:rFonts w:ascii="Times New Roman" w:hAnsi="Times New Roman"/>
                <w:sz w:val="24"/>
                <w:szCs w:val="24"/>
              </w:rPr>
              <w:softHyphen/>
            </w:r>
            <w:r w:rsidRPr="00286395">
              <w:rPr>
                <w:rFonts w:ascii="Times New Roman" w:hAnsi="Times New Roman"/>
                <w:sz w:val="24"/>
                <w:szCs w:val="24"/>
              </w:rPr>
              <w:t>tovaných dotací v důsledku efektivního kontrolního mecha</w:t>
            </w:r>
            <w:r w:rsidR="002F0FC2">
              <w:rPr>
                <w:rFonts w:ascii="Times New Roman" w:hAnsi="Times New Roman"/>
                <w:sz w:val="24"/>
                <w:szCs w:val="24"/>
              </w:rPr>
              <w:softHyphen/>
            </w:r>
            <w:r w:rsidRPr="00286395">
              <w:rPr>
                <w:rFonts w:ascii="Times New Roman" w:hAnsi="Times New Roman"/>
                <w:sz w:val="24"/>
                <w:szCs w:val="24"/>
              </w:rPr>
              <w:t>nismu</w:t>
            </w:r>
          </w:p>
        </w:tc>
        <w:tc>
          <w:tcPr>
            <w:tcW w:w="3344" w:type="dxa"/>
            <w:tcBorders>
              <w:top w:val="single" w:sz="4" w:space="0" w:color="auto"/>
              <w:left w:val="single" w:sz="4" w:space="0" w:color="auto"/>
              <w:bottom w:val="single" w:sz="4" w:space="0" w:color="auto"/>
              <w:right w:val="single" w:sz="4" w:space="0" w:color="auto"/>
            </w:tcBorders>
          </w:tcPr>
          <w:p w14:paraId="546A2E49" w14:textId="77777777" w:rsidR="0019329A" w:rsidRPr="00286395" w:rsidRDefault="0019329A" w:rsidP="002F0FC2">
            <w:pPr>
              <w:keepLines/>
              <w:tabs>
                <w:tab w:val="left" w:pos="709"/>
              </w:tabs>
              <w:spacing w:after="120" w:line="300" w:lineRule="exact"/>
              <w:jc w:val="both"/>
              <w:rPr>
                <w:rFonts w:ascii="Times New Roman" w:hAnsi="Times New Roman"/>
                <w:sz w:val="24"/>
                <w:szCs w:val="24"/>
              </w:rPr>
            </w:pPr>
            <w:r w:rsidRPr="00286395">
              <w:rPr>
                <w:rFonts w:ascii="Times New Roman" w:hAnsi="Times New Roman"/>
                <w:sz w:val="24"/>
                <w:szCs w:val="24"/>
              </w:rPr>
              <w:t>Žádné dodatečné náklady</w:t>
            </w:r>
          </w:p>
        </w:tc>
      </w:tr>
    </w:tbl>
    <w:p w14:paraId="7AB29CB3" w14:textId="77777777" w:rsidR="00FF1599" w:rsidRDefault="00FF1599" w:rsidP="000F6C37">
      <w:pPr>
        <w:spacing w:before="120" w:after="120"/>
        <w:ind w:firstLine="357"/>
        <w:rPr>
          <w:rFonts w:ascii="Times New Roman" w:hAnsi="Times New Roman"/>
          <w:b/>
          <w:sz w:val="24"/>
          <w:szCs w:val="24"/>
        </w:rPr>
      </w:pPr>
    </w:p>
    <w:p w14:paraId="3132756A" w14:textId="77777777" w:rsidR="00F50815" w:rsidRPr="00C97CFB" w:rsidRDefault="00F50815" w:rsidP="000F6C37">
      <w:pPr>
        <w:spacing w:before="120" w:after="120"/>
        <w:ind w:firstLine="357"/>
        <w:rPr>
          <w:rFonts w:ascii="Times New Roman" w:hAnsi="Times New Roman"/>
          <w:b/>
          <w:sz w:val="24"/>
          <w:szCs w:val="24"/>
        </w:rPr>
      </w:pPr>
      <w:r w:rsidRPr="00C97CFB">
        <w:rPr>
          <w:rFonts w:ascii="Times New Roman" w:hAnsi="Times New Roman"/>
          <w:b/>
          <w:sz w:val="24"/>
          <w:szCs w:val="24"/>
        </w:rPr>
        <w:t>4. Stanovení pořadí variant a výběr nejvhodnějšího řešení</w:t>
      </w:r>
    </w:p>
    <w:p w14:paraId="77CF3D0B" w14:textId="57007595" w:rsidR="00F50815" w:rsidRPr="00C97CFB" w:rsidRDefault="00F50815" w:rsidP="00EB147E">
      <w:pPr>
        <w:spacing w:before="120" w:after="120"/>
        <w:ind w:left="360"/>
        <w:jc w:val="both"/>
        <w:rPr>
          <w:rFonts w:ascii="Times New Roman" w:hAnsi="Times New Roman"/>
          <w:sz w:val="24"/>
          <w:szCs w:val="24"/>
        </w:rPr>
      </w:pPr>
      <w:r w:rsidRPr="00C97CFB">
        <w:rPr>
          <w:rFonts w:ascii="Times New Roman" w:hAnsi="Times New Roman"/>
          <w:sz w:val="24"/>
          <w:szCs w:val="24"/>
        </w:rPr>
        <w:t>Jak vyplývá z  návrhu variant a identifikace nákladů a přínosů, dosažení cílového stavu není prvoplánově cíleno například na fiskální ukazatele, odbourávání administrativní zátěže a</w:t>
      </w:r>
      <w:r w:rsidR="00994CD6">
        <w:rPr>
          <w:rFonts w:ascii="Times New Roman" w:hAnsi="Times New Roman"/>
          <w:sz w:val="24"/>
          <w:szCs w:val="24"/>
        </w:rPr>
        <w:t> </w:t>
      </w:r>
      <w:r w:rsidRPr="00C97CFB">
        <w:rPr>
          <w:rFonts w:ascii="Times New Roman" w:hAnsi="Times New Roman"/>
          <w:sz w:val="24"/>
          <w:szCs w:val="24"/>
        </w:rPr>
        <w:t>podobně, ačkoli jednotlivá opatření často tyto pozitivní dopady mají. Také při eliminaci rizik identifikovaných v průběhu konzultací se zástupci exportní pojišťovny a</w:t>
      </w:r>
      <w:r w:rsidR="0086648F">
        <w:rPr>
          <w:rFonts w:ascii="Times New Roman" w:hAnsi="Times New Roman"/>
          <w:sz w:val="24"/>
          <w:szCs w:val="24"/>
        </w:rPr>
        <w:t> </w:t>
      </w:r>
      <w:r w:rsidRPr="00C97CFB">
        <w:rPr>
          <w:rFonts w:ascii="Times New Roman" w:hAnsi="Times New Roman"/>
          <w:sz w:val="24"/>
          <w:szCs w:val="24"/>
        </w:rPr>
        <w:t>exportní banky, privátní i státní sféry není základní prioritou úspora přímých nákladů či</w:t>
      </w:r>
      <w:r w:rsidR="0086648F">
        <w:rPr>
          <w:rFonts w:ascii="Times New Roman" w:hAnsi="Times New Roman"/>
          <w:sz w:val="24"/>
          <w:szCs w:val="24"/>
        </w:rPr>
        <w:t> </w:t>
      </w:r>
      <w:r w:rsidRPr="00C97CFB">
        <w:rPr>
          <w:rFonts w:ascii="Times New Roman" w:hAnsi="Times New Roman"/>
          <w:sz w:val="24"/>
          <w:szCs w:val="24"/>
        </w:rPr>
        <w:t>získání kvantifikovatelných přínosů nad rámec současného stavu. Charakter navrhovaných opatření je především v získání větší právní jistoty v oboru činnosti exportní pojišťovny a exportní banky se zřetelem na efektivitu jejich služeb s cílem přispět ke zvýšení konkurenceschopnosti podpořeného vývozu.</w:t>
      </w:r>
    </w:p>
    <w:p w14:paraId="6465D185" w14:textId="77777777" w:rsidR="00F50815" w:rsidRPr="00C97CFB" w:rsidRDefault="00F50815" w:rsidP="00EB147E">
      <w:pPr>
        <w:spacing w:before="120" w:after="120"/>
        <w:ind w:left="360"/>
        <w:jc w:val="both"/>
        <w:rPr>
          <w:rFonts w:ascii="Times New Roman" w:hAnsi="Times New Roman"/>
          <w:sz w:val="24"/>
          <w:szCs w:val="24"/>
        </w:rPr>
      </w:pPr>
      <w:r w:rsidRPr="00C97CFB">
        <w:rPr>
          <w:rFonts w:ascii="Times New Roman" w:hAnsi="Times New Roman"/>
          <w:sz w:val="24"/>
          <w:szCs w:val="24"/>
        </w:rPr>
        <w:t xml:space="preserve">Vyhodnocení jednotlivých možných variant se tedy soustředí na to, jakým způsobem jsou schopné eliminovat celý rozsah identifikovaných rizik a zda vedou k naplnění cílů, stanovených zejména konzultacemi se zástupci širokého okruhu dotčených subjektů. </w:t>
      </w:r>
    </w:p>
    <w:p w14:paraId="3123C557" w14:textId="2C92EC05" w:rsidR="00F50815" w:rsidRPr="00C97CFB" w:rsidRDefault="00F50815" w:rsidP="00EB147E">
      <w:pPr>
        <w:spacing w:before="120" w:after="120"/>
        <w:ind w:left="360"/>
        <w:rPr>
          <w:rFonts w:ascii="Times New Roman" w:hAnsi="Times New Roman"/>
          <w:bCs/>
          <w:sz w:val="24"/>
          <w:szCs w:val="24"/>
          <w:u w:val="single"/>
        </w:rPr>
      </w:pPr>
      <w:r w:rsidRPr="00C97CFB">
        <w:rPr>
          <w:rFonts w:ascii="Times New Roman" w:hAnsi="Times New Roman"/>
          <w:bCs/>
          <w:sz w:val="24"/>
          <w:szCs w:val="24"/>
          <w:u w:val="single"/>
        </w:rPr>
        <w:t>A. Flexibilnější nabídka exportní pojišťovny a exportní banky</w:t>
      </w:r>
    </w:p>
    <w:p w14:paraId="44567545" w14:textId="77777777" w:rsidR="00F50815" w:rsidRPr="00C97CFB" w:rsidRDefault="00F50815" w:rsidP="00EB147E">
      <w:pPr>
        <w:spacing w:before="120" w:after="120"/>
        <w:ind w:left="360"/>
        <w:rPr>
          <w:rFonts w:ascii="Times New Roman" w:hAnsi="Times New Roman"/>
          <w:sz w:val="24"/>
          <w:szCs w:val="24"/>
        </w:rPr>
      </w:pPr>
      <w:r w:rsidRPr="00C97CFB">
        <w:rPr>
          <w:rFonts w:ascii="Times New Roman" w:hAnsi="Times New Roman"/>
          <w:sz w:val="24"/>
          <w:szCs w:val="24"/>
        </w:rPr>
        <w:t xml:space="preserve">a) </w:t>
      </w:r>
      <w:r w:rsidRPr="00C97CFB">
        <w:rPr>
          <w:rFonts w:ascii="Times New Roman" w:hAnsi="Times New Roman"/>
          <w:i/>
          <w:sz w:val="24"/>
          <w:szCs w:val="24"/>
        </w:rPr>
        <w:t>Nulová varianta</w:t>
      </w:r>
    </w:p>
    <w:p w14:paraId="43DDA9AA" w14:textId="77777777" w:rsidR="00F50815" w:rsidRPr="00C97CFB" w:rsidRDefault="00F50815" w:rsidP="00EB147E">
      <w:pPr>
        <w:spacing w:before="120" w:after="120"/>
        <w:ind w:left="360"/>
        <w:jc w:val="both"/>
        <w:rPr>
          <w:rFonts w:ascii="Times New Roman" w:hAnsi="Times New Roman"/>
          <w:sz w:val="24"/>
          <w:szCs w:val="24"/>
        </w:rPr>
      </w:pPr>
      <w:r w:rsidRPr="00C97CFB">
        <w:rPr>
          <w:rFonts w:ascii="Times New Roman" w:hAnsi="Times New Roman"/>
          <w:sz w:val="24"/>
          <w:szCs w:val="24"/>
        </w:rPr>
        <w:t xml:space="preserve">Nulová varianta, tedy zachování současného stavu, byla v rámci konzultací s exportní pojišťovnou i exportní bankou vyhodnocena jako zcela nežádoucí, neboť neřeší odstranění či snížení identifikovaných rizik, zejména </w:t>
      </w:r>
      <w:r w:rsidRPr="00C97CFB">
        <w:rPr>
          <w:rFonts w:ascii="Times New Roman" w:hAnsi="Times New Roman"/>
          <w:bCs/>
          <w:iCs/>
          <w:sz w:val="24"/>
          <w:szCs w:val="24"/>
        </w:rPr>
        <w:t>dopadu na konkurenceschopnost domácí ekonomiky</w:t>
      </w:r>
      <w:r w:rsidR="00C91E18">
        <w:rPr>
          <w:rFonts w:ascii="Times New Roman" w:hAnsi="Times New Roman"/>
          <w:bCs/>
          <w:iCs/>
          <w:sz w:val="24"/>
          <w:szCs w:val="24"/>
        </w:rPr>
        <w:t>,</w:t>
      </w:r>
      <w:r w:rsidRPr="00C97CFB">
        <w:rPr>
          <w:rFonts w:ascii="Times New Roman" w:hAnsi="Times New Roman"/>
          <w:bCs/>
          <w:iCs/>
          <w:sz w:val="24"/>
          <w:szCs w:val="24"/>
        </w:rPr>
        <w:t xml:space="preserve"> dopadu na akceschopnost a konkurenceschopnost exportní pojišťovny a</w:t>
      </w:r>
      <w:r w:rsidR="00C91E18">
        <w:rPr>
          <w:rFonts w:ascii="Times New Roman" w:hAnsi="Times New Roman"/>
          <w:bCs/>
          <w:iCs/>
          <w:sz w:val="24"/>
          <w:szCs w:val="24"/>
        </w:rPr>
        <w:t> </w:t>
      </w:r>
      <w:r w:rsidRPr="00C97CFB">
        <w:rPr>
          <w:rFonts w:ascii="Times New Roman" w:hAnsi="Times New Roman"/>
          <w:bCs/>
          <w:iCs/>
          <w:sz w:val="24"/>
          <w:szCs w:val="24"/>
        </w:rPr>
        <w:t>exportní banky spočívající v ne</w:t>
      </w:r>
      <w:r w:rsidRPr="00C97CFB">
        <w:rPr>
          <w:rFonts w:ascii="Times New Roman" w:hAnsi="Times New Roman"/>
          <w:sz w:val="24"/>
          <w:szCs w:val="24"/>
        </w:rPr>
        <w:t>možnosti flexibilní reakce na aktuální potřeby trhu</w:t>
      </w:r>
      <w:r w:rsidR="00C91E18">
        <w:rPr>
          <w:rFonts w:ascii="Times New Roman" w:hAnsi="Times New Roman"/>
          <w:sz w:val="24"/>
          <w:szCs w:val="24"/>
        </w:rPr>
        <w:t>,</w:t>
      </w:r>
      <w:r w:rsidRPr="00C97CFB">
        <w:rPr>
          <w:rFonts w:ascii="Times New Roman" w:hAnsi="Times New Roman"/>
          <w:sz w:val="24"/>
          <w:szCs w:val="24"/>
        </w:rPr>
        <w:t xml:space="preserve"> a nezajišťuje naplnění cílů pro žádoucí změnu aktuální situace.</w:t>
      </w:r>
    </w:p>
    <w:p w14:paraId="29C2B12E" w14:textId="77777777" w:rsidR="00F50815" w:rsidRPr="00C97CFB" w:rsidRDefault="00F50815" w:rsidP="00994CD6">
      <w:pPr>
        <w:spacing w:before="120" w:after="120"/>
        <w:ind w:left="360"/>
        <w:jc w:val="both"/>
        <w:rPr>
          <w:rFonts w:ascii="Times New Roman" w:hAnsi="Times New Roman"/>
          <w:sz w:val="24"/>
          <w:szCs w:val="24"/>
        </w:rPr>
      </w:pPr>
      <w:r w:rsidRPr="00C97CFB">
        <w:rPr>
          <w:rFonts w:ascii="Times New Roman" w:hAnsi="Times New Roman"/>
          <w:sz w:val="24"/>
          <w:szCs w:val="24"/>
        </w:rPr>
        <w:t xml:space="preserve">b) </w:t>
      </w:r>
      <w:r w:rsidRPr="00C97CFB">
        <w:rPr>
          <w:rFonts w:ascii="Times New Roman" w:hAnsi="Times New Roman"/>
          <w:i/>
          <w:sz w:val="24"/>
          <w:szCs w:val="24"/>
        </w:rPr>
        <w:t>Varianta 1</w:t>
      </w:r>
      <w:r w:rsidRPr="00C97CFB">
        <w:rPr>
          <w:rFonts w:ascii="Times New Roman" w:hAnsi="Times New Roman"/>
          <w:sz w:val="24"/>
          <w:szCs w:val="24"/>
        </w:rPr>
        <w:t xml:space="preserve"> – legislativní řešení v podobě úpravy (rozšíření) taxativního výčtu nástrojů pojištění vývozních úvěrových rizik a podpořeného financování</w:t>
      </w:r>
    </w:p>
    <w:p w14:paraId="2D14040F" w14:textId="77777777" w:rsidR="00F50815" w:rsidRPr="00C97CFB" w:rsidRDefault="00F50815" w:rsidP="00EB147E">
      <w:pPr>
        <w:spacing w:before="120" w:after="120"/>
        <w:ind w:left="360"/>
        <w:jc w:val="both"/>
        <w:rPr>
          <w:rFonts w:ascii="Times New Roman" w:hAnsi="Times New Roman"/>
          <w:sz w:val="24"/>
          <w:szCs w:val="24"/>
        </w:rPr>
      </w:pPr>
      <w:r w:rsidRPr="00C97CFB">
        <w:rPr>
          <w:rFonts w:ascii="Times New Roman" w:hAnsi="Times New Roman"/>
          <w:sz w:val="24"/>
          <w:szCs w:val="24"/>
        </w:rPr>
        <w:t>Při vyhodnocení varianty 1 byl učiněn závěr, že i případná důkladná novelizace zahrnující aplikaci taxativního výčtu nástrojů pojištění vývozních úvěrových rizik a podpořeného financování může vést k zastarání, kdy by v řádu jednotek let bylo nutno opět přistoupit k další novelizaci textu zákona</w:t>
      </w:r>
      <w:r w:rsidR="00001690">
        <w:rPr>
          <w:rFonts w:ascii="Times New Roman" w:hAnsi="Times New Roman"/>
          <w:sz w:val="24"/>
          <w:szCs w:val="24"/>
        </w:rPr>
        <w:t xml:space="preserve"> </w:t>
      </w:r>
      <w:r w:rsidR="00001690" w:rsidRPr="0073392D">
        <w:rPr>
          <w:rFonts w:ascii="Times New Roman" w:hAnsi="Times New Roman"/>
          <w:sz w:val="24"/>
          <w:szCs w:val="24"/>
        </w:rPr>
        <w:t>č.</w:t>
      </w:r>
      <w:r w:rsidR="00546BFC">
        <w:rPr>
          <w:rFonts w:ascii="Times New Roman" w:hAnsi="Times New Roman"/>
          <w:sz w:val="24"/>
          <w:szCs w:val="24"/>
        </w:rPr>
        <w:t> </w:t>
      </w:r>
      <w:r w:rsidR="00001690" w:rsidRPr="0073392D">
        <w:rPr>
          <w:rFonts w:ascii="Times New Roman" w:hAnsi="Times New Roman"/>
          <w:sz w:val="24"/>
          <w:szCs w:val="24"/>
        </w:rPr>
        <w:t>58/1995 Sb.</w:t>
      </w:r>
      <w:r w:rsidRPr="00C97CFB">
        <w:rPr>
          <w:rFonts w:ascii="Times New Roman" w:hAnsi="Times New Roman"/>
          <w:sz w:val="24"/>
          <w:szCs w:val="24"/>
        </w:rPr>
        <w:t xml:space="preserve"> Tento postup byl vyhodnocen jako neefektivní a nedostatečný, mj. s ohledem na časové zpoždění vzniklé samotnými legislativními pracemi spojenými s novelizací.</w:t>
      </w:r>
    </w:p>
    <w:p w14:paraId="73EC7ED3" w14:textId="77777777" w:rsidR="00F50815" w:rsidRPr="00C97CFB" w:rsidRDefault="00F50815" w:rsidP="00EB147E">
      <w:pPr>
        <w:spacing w:before="120" w:after="120"/>
        <w:ind w:left="360"/>
        <w:jc w:val="both"/>
        <w:rPr>
          <w:rFonts w:ascii="Times New Roman" w:hAnsi="Times New Roman"/>
          <w:sz w:val="24"/>
          <w:szCs w:val="24"/>
        </w:rPr>
      </w:pPr>
      <w:r w:rsidRPr="00C97CFB">
        <w:rPr>
          <w:rFonts w:ascii="Times New Roman" w:hAnsi="Times New Roman"/>
          <w:sz w:val="24"/>
          <w:szCs w:val="24"/>
        </w:rPr>
        <w:t xml:space="preserve">c) </w:t>
      </w:r>
      <w:r w:rsidRPr="00C97CFB">
        <w:rPr>
          <w:rFonts w:ascii="Times New Roman" w:hAnsi="Times New Roman"/>
          <w:i/>
          <w:sz w:val="24"/>
          <w:szCs w:val="24"/>
        </w:rPr>
        <w:t>Varianta 2</w:t>
      </w:r>
      <w:r w:rsidRPr="00C97CFB">
        <w:rPr>
          <w:rFonts w:ascii="Times New Roman" w:hAnsi="Times New Roman"/>
          <w:sz w:val="24"/>
          <w:szCs w:val="24"/>
        </w:rPr>
        <w:t xml:space="preserve"> – legislativní řešení v podobě demonstrativního výčtu nástrojů pojištění vývozních úvěrových rizik a podpořeného financování</w:t>
      </w:r>
    </w:p>
    <w:p w14:paraId="52CA5A84" w14:textId="1FE5B775" w:rsidR="00F50815" w:rsidRPr="00C97CFB" w:rsidRDefault="00F50815" w:rsidP="00EB147E">
      <w:pPr>
        <w:spacing w:before="120" w:after="120"/>
        <w:ind w:left="360"/>
        <w:jc w:val="both"/>
        <w:rPr>
          <w:rFonts w:ascii="Times New Roman" w:hAnsi="Times New Roman"/>
          <w:sz w:val="24"/>
          <w:szCs w:val="24"/>
        </w:rPr>
      </w:pPr>
      <w:r w:rsidRPr="00C97CFB">
        <w:rPr>
          <w:rFonts w:ascii="Times New Roman" w:hAnsi="Times New Roman"/>
          <w:sz w:val="24"/>
          <w:szCs w:val="24"/>
        </w:rPr>
        <w:t xml:space="preserve">Při vyhodnocení varianty 2 bylo shledáno, že pouze demonstrativní výčet neumožňuje dostatečně efektivní kontrolu exportní pojišťovny a exportní banky jako nástrojů státní politiky podpory vývozu, což by mohlo mít za následek vznik situací, kdy rozsah nástrojů exportní pojišťovny a exportní banky by přímo konkuroval službám, které je schopen exportérům poskytnout komerční finanční sektor. Pouze demonstrativně vymezené </w:t>
      </w:r>
      <w:r w:rsidR="0056716A">
        <w:rPr>
          <w:rFonts w:ascii="Times New Roman" w:hAnsi="Times New Roman"/>
          <w:sz w:val="24"/>
          <w:szCs w:val="24"/>
        </w:rPr>
        <w:t>nástroje</w:t>
      </w:r>
      <w:r w:rsidRPr="00C97CFB">
        <w:rPr>
          <w:rFonts w:ascii="Times New Roman" w:hAnsi="Times New Roman"/>
          <w:sz w:val="24"/>
          <w:szCs w:val="24"/>
        </w:rPr>
        <w:t xml:space="preserve"> by rovněž vedly k nejistotě ve vztahu k rozsahu podpořeného pojišťování a</w:t>
      </w:r>
      <w:r w:rsidR="0086648F">
        <w:rPr>
          <w:rFonts w:ascii="Times New Roman" w:hAnsi="Times New Roman"/>
          <w:sz w:val="24"/>
          <w:szCs w:val="24"/>
        </w:rPr>
        <w:t> </w:t>
      </w:r>
      <w:r w:rsidRPr="00C97CFB">
        <w:rPr>
          <w:rFonts w:ascii="Times New Roman" w:hAnsi="Times New Roman"/>
          <w:sz w:val="24"/>
          <w:szCs w:val="24"/>
        </w:rPr>
        <w:t>financování, který si stát jako konečný vlastník exportní pojišťovny a exportní banky přeje poskytovat a</w:t>
      </w:r>
      <w:r w:rsidR="00994CD6">
        <w:rPr>
          <w:rFonts w:ascii="Times New Roman" w:hAnsi="Times New Roman"/>
          <w:sz w:val="24"/>
          <w:szCs w:val="24"/>
        </w:rPr>
        <w:t> </w:t>
      </w:r>
      <w:r w:rsidRPr="00C97CFB">
        <w:rPr>
          <w:rFonts w:ascii="Times New Roman" w:hAnsi="Times New Roman"/>
          <w:sz w:val="24"/>
          <w:szCs w:val="24"/>
        </w:rPr>
        <w:t>rovněž se zavazuje financovat, a to zejména v situaci, kdy by aplikace některého nástroje vedla k dodatečným nárokům na státní rozpočet. Z uvedeného důvodu se jeví přínosy této varianty jako nedostatečné.</w:t>
      </w:r>
    </w:p>
    <w:p w14:paraId="37FF4927" w14:textId="77777777" w:rsidR="00F50815" w:rsidRPr="00C97CFB" w:rsidRDefault="00F50815" w:rsidP="00EB147E">
      <w:pPr>
        <w:spacing w:before="120" w:after="120"/>
        <w:ind w:left="360"/>
        <w:jc w:val="both"/>
        <w:rPr>
          <w:rFonts w:ascii="Times New Roman" w:hAnsi="Times New Roman"/>
          <w:sz w:val="24"/>
          <w:szCs w:val="24"/>
        </w:rPr>
      </w:pPr>
      <w:r w:rsidRPr="00C97CFB">
        <w:rPr>
          <w:rFonts w:ascii="Times New Roman" w:hAnsi="Times New Roman"/>
          <w:sz w:val="24"/>
          <w:szCs w:val="24"/>
        </w:rPr>
        <w:t xml:space="preserve">d) </w:t>
      </w:r>
      <w:r w:rsidRPr="00C97CFB">
        <w:rPr>
          <w:rFonts w:ascii="Times New Roman" w:hAnsi="Times New Roman"/>
          <w:i/>
          <w:sz w:val="24"/>
          <w:szCs w:val="24"/>
        </w:rPr>
        <w:t>Varianta 3 –</w:t>
      </w:r>
      <w:r w:rsidRPr="00C97CFB">
        <w:rPr>
          <w:rFonts w:ascii="Times New Roman" w:hAnsi="Times New Roman"/>
          <w:sz w:val="24"/>
          <w:szCs w:val="24"/>
        </w:rPr>
        <w:t xml:space="preserve"> legislati</w:t>
      </w:r>
      <w:r w:rsidR="00E22734">
        <w:rPr>
          <w:rFonts w:ascii="Times New Roman" w:hAnsi="Times New Roman"/>
          <w:sz w:val="24"/>
          <w:szCs w:val="24"/>
        </w:rPr>
        <w:t>vní řešení v podobě obecného vymezení</w:t>
      </w:r>
      <w:r w:rsidRPr="00C97CFB">
        <w:rPr>
          <w:rFonts w:ascii="Times New Roman" w:hAnsi="Times New Roman"/>
          <w:sz w:val="24"/>
          <w:szCs w:val="24"/>
        </w:rPr>
        <w:t xml:space="preserve"> nástrojů pojištění vývozních úvěrových rizik a podpořeného financování s odkazem na prováděcí právní předpis</w:t>
      </w:r>
    </w:p>
    <w:p w14:paraId="57A636C8" w14:textId="4FC49E1E" w:rsidR="00F50815" w:rsidRPr="00C97CFB" w:rsidRDefault="00F50815" w:rsidP="00EB147E">
      <w:pPr>
        <w:spacing w:before="120" w:after="120"/>
        <w:ind w:left="360"/>
        <w:jc w:val="both"/>
        <w:rPr>
          <w:rFonts w:ascii="Times New Roman" w:hAnsi="Times New Roman"/>
          <w:sz w:val="24"/>
          <w:szCs w:val="24"/>
        </w:rPr>
      </w:pPr>
      <w:r w:rsidRPr="00C97CFB">
        <w:rPr>
          <w:rFonts w:ascii="Times New Roman" w:hAnsi="Times New Roman"/>
          <w:bCs/>
          <w:iCs/>
          <w:sz w:val="24"/>
          <w:szCs w:val="24"/>
        </w:rPr>
        <w:t xml:space="preserve">V návaznosti na vyhodnocení nulové varianty spočívající v zachování stávajícího taxativního </w:t>
      </w:r>
      <w:r w:rsidRPr="00C97CFB">
        <w:rPr>
          <w:rFonts w:ascii="Times New Roman" w:hAnsi="Times New Roman"/>
          <w:sz w:val="24"/>
          <w:szCs w:val="24"/>
        </w:rPr>
        <w:t xml:space="preserve">výčtu nástrojů pojištění vývozních úvěrových rizik a podpořeného financování, varianty 1, tedy novelizovaného </w:t>
      </w:r>
      <w:r w:rsidRPr="00C97CFB">
        <w:rPr>
          <w:rFonts w:ascii="Times New Roman" w:hAnsi="Times New Roman"/>
          <w:bCs/>
          <w:iCs/>
          <w:sz w:val="24"/>
          <w:szCs w:val="24"/>
        </w:rPr>
        <w:t xml:space="preserve">taxativního </w:t>
      </w:r>
      <w:r w:rsidRPr="00C97CFB">
        <w:rPr>
          <w:rFonts w:ascii="Times New Roman" w:hAnsi="Times New Roman"/>
          <w:sz w:val="24"/>
          <w:szCs w:val="24"/>
        </w:rPr>
        <w:t>výčtu nástrojů</w:t>
      </w:r>
      <w:r w:rsidR="00DC7E9F">
        <w:rPr>
          <w:rFonts w:ascii="Times New Roman" w:hAnsi="Times New Roman"/>
          <w:sz w:val="24"/>
          <w:szCs w:val="24"/>
        </w:rPr>
        <w:t>,</w:t>
      </w:r>
      <w:r w:rsidRPr="00C97CFB">
        <w:rPr>
          <w:rFonts w:ascii="Times New Roman" w:hAnsi="Times New Roman"/>
          <w:sz w:val="24"/>
          <w:szCs w:val="24"/>
        </w:rPr>
        <w:t xml:space="preserve"> a varianty 2, tedy demonstrativního výčtu nástrojů, byla varianta 3 vyhodnocena jako řešení, které umožní jak flexibilitu v </w:t>
      </w:r>
      <w:r w:rsidR="00DC77ED">
        <w:rPr>
          <w:rFonts w:ascii="Times New Roman" w:hAnsi="Times New Roman"/>
          <w:sz w:val="24"/>
          <w:szCs w:val="24"/>
        </w:rPr>
        <w:t>nabídce</w:t>
      </w:r>
      <w:r w:rsidRPr="00C97CFB">
        <w:rPr>
          <w:rFonts w:ascii="Times New Roman" w:hAnsi="Times New Roman"/>
          <w:sz w:val="24"/>
          <w:szCs w:val="24"/>
        </w:rPr>
        <w:t xml:space="preserve"> exportní pojišťovny a exportní banky na potřeby trhu i strategické zájmy exportní politiky, tak i efektivní a akceschopný dohled státu jako vlastníka obou institucí. Jde o řešení, které eliminuje nedostatky jiných variant a bylo vyhodnoceno jako nejvhodnějš</w:t>
      </w:r>
      <w:r w:rsidRPr="00946832">
        <w:rPr>
          <w:rFonts w:ascii="Times New Roman" w:hAnsi="Times New Roman"/>
          <w:sz w:val="24"/>
          <w:szCs w:val="24"/>
        </w:rPr>
        <w:t>í.</w:t>
      </w:r>
      <w:r w:rsidR="00BA0C89" w:rsidRPr="00946832">
        <w:rPr>
          <w:rFonts w:ascii="Times New Roman" w:hAnsi="Times New Roman"/>
          <w:sz w:val="24"/>
          <w:szCs w:val="24"/>
        </w:rPr>
        <w:t xml:space="preserve"> </w:t>
      </w:r>
    </w:p>
    <w:p w14:paraId="1E9079CA" w14:textId="77777777" w:rsidR="00F50815" w:rsidRPr="00C97CFB" w:rsidRDefault="00F50815" w:rsidP="00EB147E">
      <w:pPr>
        <w:spacing w:before="120" w:after="120"/>
        <w:ind w:left="360"/>
        <w:rPr>
          <w:rFonts w:ascii="Times New Roman" w:hAnsi="Times New Roman"/>
          <w:bCs/>
          <w:sz w:val="24"/>
          <w:szCs w:val="24"/>
          <w:u w:val="single"/>
        </w:rPr>
      </w:pPr>
      <w:r w:rsidRPr="00C97CFB">
        <w:rPr>
          <w:rFonts w:ascii="Times New Roman" w:hAnsi="Times New Roman"/>
          <w:bCs/>
          <w:sz w:val="24"/>
          <w:szCs w:val="24"/>
          <w:u w:val="single"/>
        </w:rPr>
        <w:t>Pořadí variant:</w:t>
      </w:r>
    </w:p>
    <w:p w14:paraId="279CF9C6" w14:textId="77777777" w:rsidR="00F50815" w:rsidRPr="00C97CFB" w:rsidRDefault="00F50815" w:rsidP="00EB147E">
      <w:pPr>
        <w:spacing w:before="120" w:after="120"/>
        <w:ind w:left="357"/>
        <w:rPr>
          <w:rFonts w:ascii="Times New Roman" w:hAnsi="Times New Roman"/>
          <w:bCs/>
          <w:sz w:val="24"/>
          <w:szCs w:val="24"/>
        </w:rPr>
      </w:pPr>
      <w:r w:rsidRPr="00C97CFB">
        <w:rPr>
          <w:rFonts w:ascii="Times New Roman" w:hAnsi="Times New Roman"/>
          <w:bCs/>
          <w:sz w:val="24"/>
          <w:szCs w:val="24"/>
        </w:rPr>
        <w:t>První pořadí: Varianta 3</w:t>
      </w:r>
    </w:p>
    <w:p w14:paraId="4C26EE08" w14:textId="77777777" w:rsidR="00F50815" w:rsidRPr="00C97CFB" w:rsidRDefault="00F50815" w:rsidP="00EB147E">
      <w:pPr>
        <w:spacing w:before="120" w:after="120"/>
        <w:ind w:left="357"/>
        <w:rPr>
          <w:rFonts w:ascii="Times New Roman" w:hAnsi="Times New Roman"/>
          <w:bCs/>
          <w:sz w:val="24"/>
          <w:szCs w:val="24"/>
        </w:rPr>
      </w:pPr>
      <w:r w:rsidRPr="00C97CFB">
        <w:rPr>
          <w:rFonts w:ascii="Times New Roman" w:hAnsi="Times New Roman"/>
          <w:bCs/>
          <w:sz w:val="24"/>
          <w:szCs w:val="24"/>
        </w:rPr>
        <w:t>Druhé pořadí: Varianta 2</w:t>
      </w:r>
    </w:p>
    <w:p w14:paraId="0C867F3A" w14:textId="77777777" w:rsidR="00F50815" w:rsidRPr="00C97CFB" w:rsidRDefault="00F50815" w:rsidP="00EB147E">
      <w:pPr>
        <w:spacing w:before="120" w:after="120"/>
        <w:ind w:left="357"/>
        <w:rPr>
          <w:rFonts w:ascii="Times New Roman" w:hAnsi="Times New Roman"/>
          <w:bCs/>
          <w:sz w:val="24"/>
          <w:szCs w:val="24"/>
        </w:rPr>
      </w:pPr>
      <w:r w:rsidRPr="00C97CFB">
        <w:rPr>
          <w:rFonts w:ascii="Times New Roman" w:hAnsi="Times New Roman"/>
          <w:bCs/>
          <w:sz w:val="24"/>
          <w:szCs w:val="24"/>
        </w:rPr>
        <w:t>Třetí pořadí: Varianta 1</w:t>
      </w:r>
    </w:p>
    <w:p w14:paraId="1ECB9124" w14:textId="77777777" w:rsidR="00F50815" w:rsidRPr="00C97CFB" w:rsidRDefault="00F50815" w:rsidP="00EB147E">
      <w:pPr>
        <w:spacing w:before="120" w:after="120"/>
        <w:ind w:left="357"/>
        <w:rPr>
          <w:rFonts w:ascii="Times New Roman" w:hAnsi="Times New Roman"/>
          <w:bCs/>
          <w:sz w:val="24"/>
          <w:szCs w:val="24"/>
        </w:rPr>
      </w:pPr>
      <w:r w:rsidRPr="00C97CFB">
        <w:rPr>
          <w:rFonts w:ascii="Times New Roman" w:hAnsi="Times New Roman"/>
          <w:bCs/>
          <w:sz w:val="24"/>
          <w:szCs w:val="24"/>
        </w:rPr>
        <w:t>Čtvrté pořadí: Nulová varianta</w:t>
      </w:r>
    </w:p>
    <w:p w14:paraId="028BC6FB" w14:textId="1B754B65" w:rsidR="00F50815" w:rsidRPr="00C97CFB" w:rsidRDefault="00F50815" w:rsidP="00FF1599">
      <w:pPr>
        <w:spacing w:before="120" w:after="120"/>
        <w:ind w:left="360"/>
        <w:jc w:val="both"/>
        <w:rPr>
          <w:rFonts w:ascii="Times New Roman" w:hAnsi="Times New Roman"/>
          <w:bCs/>
          <w:sz w:val="24"/>
          <w:szCs w:val="24"/>
          <w:u w:val="single"/>
        </w:rPr>
      </w:pPr>
      <w:r w:rsidRPr="00C97CFB">
        <w:rPr>
          <w:rFonts w:ascii="Times New Roman" w:hAnsi="Times New Roman"/>
          <w:bCs/>
          <w:sz w:val="24"/>
          <w:szCs w:val="24"/>
          <w:u w:val="single"/>
        </w:rPr>
        <w:t>B. Vede</w:t>
      </w:r>
      <w:r w:rsidRPr="00FE1075">
        <w:rPr>
          <w:rFonts w:ascii="Times New Roman" w:hAnsi="Times New Roman"/>
          <w:bCs/>
          <w:sz w:val="24"/>
          <w:szCs w:val="24"/>
          <w:u w:val="single"/>
        </w:rPr>
        <w:t xml:space="preserve">ní </w:t>
      </w:r>
      <w:r w:rsidR="00FE1075" w:rsidRPr="00FE1075">
        <w:rPr>
          <w:rFonts w:ascii="Times New Roman" w:hAnsi="Times New Roman"/>
          <w:sz w:val="24"/>
          <w:szCs w:val="24"/>
          <w:u w:val="single"/>
        </w:rPr>
        <w:t>peněžní</w:t>
      </w:r>
      <w:r w:rsidRPr="00FE1075">
        <w:rPr>
          <w:rFonts w:ascii="Times New Roman" w:hAnsi="Times New Roman"/>
          <w:bCs/>
          <w:sz w:val="24"/>
          <w:szCs w:val="24"/>
          <w:u w:val="single"/>
        </w:rPr>
        <w:t>ch</w:t>
      </w:r>
      <w:r w:rsidRPr="00C97CFB">
        <w:rPr>
          <w:rFonts w:ascii="Times New Roman" w:hAnsi="Times New Roman"/>
          <w:bCs/>
          <w:sz w:val="24"/>
          <w:szCs w:val="24"/>
          <w:u w:val="single"/>
        </w:rPr>
        <w:t xml:space="preserve"> prostředků exportní pojišťovny a exportní banky poskytnutých ze</w:t>
      </w:r>
      <w:r w:rsidR="00FF1599">
        <w:rPr>
          <w:rFonts w:ascii="Times New Roman" w:hAnsi="Times New Roman"/>
          <w:bCs/>
          <w:sz w:val="24"/>
          <w:szCs w:val="24"/>
          <w:u w:val="single"/>
        </w:rPr>
        <w:t> </w:t>
      </w:r>
      <w:r w:rsidRPr="00C97CFB">
        <w:rPr>
          <w:rFonts w:ascii="Times New Roman" w:hAnsi="Times New Roman"/>
          <w:bCs/>
          <w:sz w:val="24"/>
          <w:szCs w:val="24"/>
          <w:u w:val="single"/>
        </w:rPr>
        <w:t>státního rozpočtu na účtech vedených u centrální banky</w:t>
      </w:r>
    </w:p>
    <w:p w14:paraId="475D47CD" w14:textId="77777777" w:rsidR="00F50815" w:rsidRPr="00C97CFB" w:rsidRDefault="00F50815" w:rsidP="00EB147E">
      <w:pPr>
        <w:spacing w:before="120" w:after="120"/>
        <w:ind w:left="360"/>
        <w:rPr>
          <w:rFonts w:ascii="Times New Roman" w:hAnsi="Times New Roman"/>
          <w:sz w:val="24"/>
          <w:szCs w:val="24"/>
        </w:rPr>
      </w:pPr>
      <w:r w:rsidRPr="00C97CFB">
        <w:rPr>
          <w:rFonts w:ascii="Times New Roman" w:hAnsi="Times New Roman"/>
          <w:sz w:val="24"/>
          <w:szCs w:val="24"/>
        </w:rPr>
        <w:t xml:space="preserve">a) </w:t>
      </w:r>
      <w:r w:rsidRPr="00C97CFB">
        <w:rPr>
          <w:rFonts w:ascii="Times New Roman" w:hAnsi="Times New Roman"/>
          <w:i/>
          <w:sz w:val="24"/>
          <w:szCs w:val="24"/>
        </w:rPr>
        <w:t>Nulová varianta</w:t>
      </w:r>
    </w:p>
    <w:p w14:paraId="60985B4A" w14:textId="77777777" w:rsidR="00F50815" w:rsidRPr="00C97CFB" w:rsidRDefault="00F50815" w:rsidP="00EB147E">
      <w:pPr>
        <w:spacing w:before="120" w:after="120"/>
        <w:ind w:left="360"/>
        <w:jc w:val="both"/>
        <w:rPr>
          <w:rFonts w:ascii="Times New Roman" w:hAnsi="Times New Roman"/>
          <w:sz w:val="24"/>
          <w:szCs w:val="24"/>
        </w:rPr>
      </w:pPr>
      <w:r w:rsidRPr="00C97CFB">
        <w:rPr>
          <w:rFonts w:ascii="Times New Roman" w:hAnsi="Times New Roman"/>
          <w:sz w:val="24"/>
          <w:szCs w:val="24"/>
        </w:rPr>
        <w:t>Nulová varianta, tedy zachování současného stavu, vede k dodatečným nákladům státního rozpočtu, nadužívání dotačního mechanismu k doplňkovým výdělkům exportní pojišťovny a exportní banky jinou činností, než ke které byly zřízeny. Z tohoto důvodu byla nulová varianta vyhodnocena jako nevhodná.</w:t>
      </w:r>
    </w:p>
    <w:p w14:paraId="4FF3123A" w14:textId="77777777" w:rsidR="00F50815" w:rsidRPr="00C97CFB" w:rsidRDefault="00F50815" w:rsidP="006C4D8B">
      <w:pPr>
        <w:spacing w:before="120" w:after="120"/>
        <w:ind w:left="360"/>
        <w:jc w:val="both"/>
        <w:rPr>
          <w:rFonts w:ascii="Times New Roman" w:hAnsi="Times New Roman"/>
          <w:sz w:val="24"/>
          <w:szCs w:val="24"/>
        </w:rPr>
      </w:pPr>
      <w:r w:rsidRPr="00C97CFB">
        <w:rPr>
          <w:rFonts w:ascii="Times New Roman" w:hAnsi="Times New Roman"/>
          <w:sz w:val="24"/>
          <w:szCs w:val="24"/>
        </w:rPr>
        <w:t xml:space="preserve">b) </w:t>
      </w:r>
      <w:r w:rsidRPr="00C97CFB">
        <w:rPr>
          <w:rFonts w:ascii="Times New Roman" w:hAnsi="Times New Roman"/>
          <w:i/>
          <w:sz w:val="24"/>
          <w:szCs w:val="24"/>
        </w:rPr>
        <w:t>Varianta 1</w:t>
      </w:r>
      <w:r w:rsidRPr="00C97CFB">
        <w:rPr>
          <w:rFonts w:ascii="Times New Roman" w:hAnsi="Times New Roman"/>
          <w:sz w:val="24"/>
          <w:szCs w:val="24"/>
        </w:rPr>
        <w:t xml:space="preserve"> – legislativní řešení – podřízení exportní pojišťovny a exportní banky režimu státní pokladny</w:t>
      </w:r>
    </w:p>
    <w:p w14:paraId="3B0F2DF0" w14:textId="22839D86" w:rsidR="00E410D8" w:rsidRDefault="00F50815" w:rsidP="00EB147E">
      <w:pPr>
        <w:spacing w:before="120" w:after="120"/>
        <w:ind w:left="360"/>
        <w:jc w:val="both"/>
        <w:rPr>
          <w:rFonts w:ascii="Times New Roman" w:hAnsi="Times New Roman"/>
          <w:sz w:val="24"/>
          <w:szCs w:val="24"/>
        </w:rPr>
      </w:pPr>
      <w:r w:rsidRPr="00C97CFB">
        <w:rPr>
          <w:rFonts w:ascii="Times New Roman" w:hAnsi="Times New Roman"/>
          <w:sz w:val="24"/>
          <w:szCs w:val="24"/>
        </w:rPr>
        <w:t xml:space="preserve">Při posuzování varianty 1, zejména při porovnání s nulovou variantou, bylo vyhodnoceno, že výsledný ekonomický dopad rozšíření souhrnných účtů státní pokladny o účty exportní pojišťovny a exportní banky převýší případné nároky exportní pojišťovny a exportní banky na státu v rámci dotačního vztahu z titulu výpadku příjmů plynoucích z nemožnosti ukládat nebo investovat </w:t>
      </w:r>
      <w:r w:rsidR="00FE1075" w:rsidRPr="004D2804">
        <w:rPr>
          <w:rFonts w:ascii="Times New Roman" w:hAnsi="Times New Roman"/>
          <w:sz w:val="24"/>
          <w:szCs w:val="24"/>
        </w:rPr>
        <w:t>peněžní</w:t>
      </w:r>
      <w:r w:rsidR="00FE1075" w:rsidRPr="00C97CFB">
        <w:rPr>
          <w:rFonts w:ascii="Times New Roman" w:hAnsi="Times New Roman"/>
          <w:sz w:val="24"/>
          <w:szCs w:val="24"/>
        </w:rPr>
        <w:t xml:space="preserve"> </w:t>
      </w:r>
      <w:r w:rsidRPr="00C97CFB">
        <w:rPr>
          <w:rFonts w:ascii="Times New Roman" w:hAnsi="Times New Roman"/>
          <w:sz w:val="24"/>
          <w:szCs w:val="24"/>
        </w:rPr>
        <w:t>prostředky poskytované ze státního rozpočtu do</w:t>
      </w:r>
      <w:r w:rsidR="0086648F">
        <w:rPr>
          <w:rFonts w:ascii="Times New Roman" w:hAnsi="Times New Roman"/>
          <w:sz w:val="24"/>
          <w:szCs w:val="24"/>
        </w:rPr>
        <w:t> </w:t>
      </w:r>
      <w:r w:rsidRPr="00C97CFB">
        <w:rPr>
          <w:rFonts w:ascii="Times New Roman" w:hAnsi="Times New Roman"/>
          <w:sz w:val="24"/>
          <w:szCs w:val="24"/>
        </w:rPr>
        <w:t>investičních nástrojů na finančním trhu. Z uvedeného důvodu byla jednoznačně vyhodnocena jako výhodnější navrhovaná varianta 1.</w:t>
      </w:r>
      <w:r w:rsidR="009C0C2F">
        <w:rPr>
          <w:rFonts w:ascii="Times New Roman" w:hAnsi="Times New Roman"/>
          <w:sz w:val="24"/>
          <w:szCs w:val="24"/>
        </w:rPr>
        <w:t xml:space="preserve"> </w:t>
      </w:r>
    </w:p>
    <w:p w14:paraId="5DD1244C" w14:textId="77777777" w:rsidR="00F50815" w:rsidRPr="00C97CFB" w:rsidRDefault="00F50815" w:rsidP="00EB147E">
      <w:pPr>
        <w:spacing w:before="120" w:after="120"/>
        <w:ind w:left="360"/>
        <w:rPr>
          <w:rFonts w:ascii="Times New Roman" w:hAnsi="Times New Roman"/>
          <w:bCs/>
          <w:sz w:val="24"/>
          <w:szCs w:val="24"/>
          <w:u w:val="single"/>
        </w:rPr>
      </w:pPr>
      <w:r w:rsidRPr="00C97CFB">
        <w:rPr>
          <w:rFonts w:ascii="Times New Roman" w:hAnsi="Times New Roman"/>
          <w:bCs/>
          <w:sz w:val="24"/>
          <w:szCs w:val="24"/>
          <w:u w:val="single"/>
        </w:rPr>
        <w:t>Pořadí variant:</w:t>
      </w:r>
    </w:p>
    <w:p w14:paraId="3B6A4FE0" w14:textId="77777777" w:rsidR="00F50815" w:rsidRPr="00C97CFB" w:rsidRDefault="00F50815" w:rsidP="00EB147E">
      <w:pPr>
        <w:spacing w:before="120" w:after="120"/>
        <w:ind w:left="357"/>
        <w:rPr>
          <w:rFonts w:ascii="Times New Roman" w:hAnsi="Times New Roman"/>
          <w:bCs/>
          <w:sz w:val="24"/>
          <w:szCs w:val="24"/>
        </w:rPr>
      </w:pPr>
      <w:r w:rsidRPr="00C97CFB">
        <w:rPr>
          <w:rFonts w:ascii="Times New Roman" w:hAnsi="Times New Roman"/>
          <w:bCs/>
          <w:sz w:val="24"/>
          <w:szCs w:val="24"/>
        </w:rPr>
        <w:t>První pořadí: Varianta 1</w:t>
      </w:r>
    </w:p>
    <w:p w14:paraId="78871D29" w14:textId="77777777" w:rsidR="00474AE7" w:rsidRDefault="00F50815" w:rsidP="00EB147E">
      <w:pPr>
        <w:spacing w:before="120" w:after="120"/>
        <w:ind w:left="357"/>
        <w:rPr>
          <w:rFonts w:ascii="Times New Roman" w:hAnsi="Times New Roman"/>
          <w:bCs/>
          <w:sz w:val="24"/>
          <w:szCs w:val="24"/>
        </w:rPr>
      </w:pPr>
      <w:r w:rsidRPr="00C97CFB">
        <w:rPr>
          <w:rFonts w:ascii="Times New Roman" w:hAnsi="Times New Roman"/>
          <w:bCs/>
          <w:sz w:val="24"/>
          <w:szCs w:val="24"/>
        </w:rPr>
        <w:t>Druhé pořadí: Nulová varianta</w:t>
      </w:r>
    </w:p>
    <w:p w14:paraId="7276B776" w14:textId="02425C7C" w:rsidR="00F50815" w:rsidRPr="00C97CFB" w:rsidRDefault="005908DC" w:rsidP="00C163DE">
      <w:pPr>
        <w:spacing w:before="120" w:after="120"/>
        <w:ind w:left="360"/>
        <w:jc w:val="both"/>
        <w:rPr>
          <w:rFonts w:ascii="Times New Roman" w:hAnsi="Times New Roman"/>
          <w:bCs/>
          <w:sz w:val="24"/>
          <w:szCs w:val="24"/>
          <w:u w:val="single"/>
        </w:rPr>
      </w:pPr>
      <w:r>
        <w:rPr>
          <w:rFonts w:ascii="Times New Roman" w:hAnsi="Times New Roman"/>
          <w:bCs/>
          <w:sz w:val="24"/>
          <w:szCs w:val="24"/>
          <w:u w:val="single"/>
        </w:rPr>
        <w:t>C</w:t>
      </w:r>
      <w:r w:rsidR="00F50815" w:rsidRPr="00C97CFB">
        <w:rPr>
          <w:rFonts w:ascii="Times New Roman" w:hAnsi="Times New Roman"/>
          <w:bCs/>
          <w:sz w:val="24"/>
          <w:szCs w:val="24"/>
          <w:u w:val="single"/>
        </w:rPr>
        <w:t xml:space="preserve">. Rozšíření možností </w:t>
      </w:r>
      <w:r w:rsidR="00D970B3">
        <w:rPr>
          <w:rFonts w:ascii="Times New Roman" w:hAnsi="Times New Roman"/>
          <w:bCs/>
          <w:sz w:val="24"/>
          <w:szCs w:val="24"/>
          <w:u w:val="single"/>
        </w:rPr>
        <w:t xml:space="preserve">zakládání právnických osob a </w:t>
      </w:r>
      <w:r w:rsidR="00F50815" w:rsidRPr="00C97CFB">
        <w:rPr>
          <w:rFonts w:ascii="Times New Roman" w:hAnsi="Times New Roman"/>
          <w:bCs/>
          <w:sz w:val="24"/>
          <w:szCs w:val="24"/>
          <w:u w:val="single"/>
        </w:rPr>
        <w:t>nabývání podílů v právnických osobách exportní pojišťovnou a</w:t>
      </w:r>
      <w:r w:rsidR="00C163DE">
        <w:rPr>
          <w:rFonts w:ascii="Times New Roman" w:hAnsi="Times New Roman"/>
          <w:bCs/>
          <w:sz w:val="24"/>
          <w:szCs w:val="24"/>
          <w:u w:val="single"/>
        </w:rPr>
        <w:t> </w:t>
      </w:r>
      <w:r w:rsidR="00F50815" w:rsidRPr="00C97CFB">
        <w:rPr>
          <w:rFonts w:ascii="Times New Roman" w:hAnsi="Times New Roman"/>
          <w:bCs/>
          <w:sz w:val="24"/>
          <w:szCs w:val="24"/>
          <w:u w:val="single"/>
        </w:rPr>
        <w:t>exportní bankou</w:t>
      </w:r>
    </w:p>
    <w:p w14:paraId="4F691696" w14:textId="77777777" w:rsidR="00F50815" w:rsidRPr="00C97CFB" w:rsidRDefault="00F50815" w:rsidP="00EB147E">
      <w:pPr>
        <w:spacing w:before="120" w:after="120"/>
        <w:ind w:left="360"/>
        <w:rPr>
          <w:rFonts w:ascii="Times New Roman" w:hAnsi="Times New Roman"/>
          <w:sz w:val="24"/>
          <w:szCs w:val="24"/>
        </w:rPr>
      </w:pPr>
      <w:r w:rsidRPr="00C97CFB">
        <w:rPr>
          <w:rFonts w:ascii="Times New Roman" w:hAnsi="Times New Roman"/>
          <w:sz w:val="24"/>
          <w:szCs w:val="24"/>
        </w:rPr>
        <w:t xml:space="preserve">a) </w:t>
      </w:r>
      <w:r w:rsidRPr="00C97CFB">
        <w:rPr>
          <w:rFonts w:ascii="Times New Roman" w:hAnsi="Times New Roman"/>
          <w:i/>
          <w:sz w:val="24"/>
          <w:szCs w:val="24"/>
        </w:rPr>
        <w:t>Nulová varianta</w:t>
      </w:r>
    </w:p>
    <w:p w14:paraId="0D9467EA" w14:textId="25D44926" w:rsidR="00F50815" w:rsidRPr="00C97CFB" w:rsidRDefault="00F50815" w:rsidP="00EB147E">
      <w:pPr>
        <w:spacing w:before="120" w:after="120"/>
        <w:ind w:left="360"/>
        <w:jc w:val="both"/>
        <w:rPr>
          <w:rFonts w:ascii="Times New Roman" w:hAnsi="Times New Roman"/>
          <w:sz w:val="24"/>
          <w:szCs w:val="24"/>
        </w:rPr>
      </w:pPr>
      <w:r w:rsidRPr="00C97CFB">
        <w:rPr>
          <w:rFonts w:ascii="Times New Roman" w:hAnsi="Times New Roman"/>
          <w:bCs/>
          <w:iCs/>
          <w:sz w:val="24"/>
          <w:szCs w:val="24"/>
        </w:rPr>
        <w:t xml:space="preserve">Nulová varianta znamená významně omezené možnosti </w:t>
      </w:r>
      <w:r w:rsidRPr="00C97CFB">
        <w:rPr>
          <w:rFonts w:ascii="Times New Roman" w:hAnsi="Times New Roman"/>
          <w:sz w:val="24"/>
          <w:szCs w:val="24"/>
        </w:rPr>
        <w:t xml:space="preserve">exportní pojišťovny a exportní banky </w:t>
      </w:r>
      <w:r w:rsidR="00384ABA">
        <w:rPr>
          <w:rFonts w:ascii="Times New Roman" w:hAnsi="Times New Roman"/>
          <w:bCs/>
          <w:iCs/>
          <w:sz w:val="24"/>
          <w:szCs w:val="24"/>
        </w:rPr>
        <w:t>zakládat právnické osoby a</w:t>
      </w:r>
      <w:r w:rsidR="00384ABA" w:rsidRPr="00C97CFB">
        <w:rPr>
          <w:rFonts w:ascii="Times New Roman" w:hAnsi="Times New Roman"/>
          <w:sz w:val="24"/>
          <w:szCs w:val="24"/>
        </w:rPr>
        <w:t xml:space="preserve"> </w:t>
      </w:r>
      <w:r w:rsidRPr="00C97CFB">
        <w:rPr>
          <w:rFonts w:ascii="Times New Roman" w:hAnsi="Times New Roman"/>
          <w:sz w:val="24"/>
          <w:szCs w:val="24"/>
        </w:rPr>
        <w:t>nabývat podíly v právnických osobách, ačkoli by to v konkrétních situacích napomohlo vymáhání pohledávek nebo předcházení škod. Z uvedeného důvodu byla vyhodnocena jako nevýhodná.</w:t>
      </w:r>
    </w:p>
    <w:p w14:paraId="1163334F" w14:textId="3EC790B7" w:rsidR="00F50815" w:rsidRPr="00C97CFB" w:rsidRDefault="00F50815" w:rsidP="006C4D8B">
      <w:pPr>
        <w:spacing w:before="120" w:after="120"/>
        <w:ind w:left="360"/>
        <w:jc w:val="both"/>
        <w:rPr>
          <w:rFonts w:ascii="Times New Roman" w:hAnsi="Times New Roman"/>
          <w:sz w:val="24"/>
          <w:szCs w:val="24"/>
        </w:rPr>
      </w:pPr>
      <w:r w:rsidRPr="00C97CFB">
        <w:rPr>
          <w:rFonts w:ascii="Times New Roman" w:hAnsi="Times New Roman"/>
          <w:sz w:val="24"/>
          <w:szCs w:val="24"/>
        </w:rPr>
        <w:t xml:space="preserve">b) </w:t>
      </w:r>
      <w:r w:rsidRPr="00C97CFB">
        <w:rPr>
          <w:rFonts w:ascii="Times New Roman" w:hAnsi="Times New Roman"/>
          <w:i/>
          <w:sz w:val="24"/>
          <w:szCs w:val="24"/>
        </w:rPr>
        <w:t>Varianta 1</w:t>
      </w:r>
      <w:r w:rsidRPr="00C97CFB">
        <w:rPr>
          <w:rFonts w:ascii="Times New Roman" w:hAnsi="Times New Roman"/>
          <w:sz w:val="24"/>
          <w:szCs w:val="24"/>
        </w:rPr>
        <w:t xml:space="preserve"> – legislativní řešení – rozšíření možnosti </w:t>
      </w:r>
      <w:r w:rsidR="00D970B3" w:rsidRPr="00D970B3">
        <w:rPr>
          <w:rFonts w:ascii="Times New Roman" w:hAnsi="Times New Roman"/>
          <w:bCs/>
          <w:sz w:val="24"/>
          <w:szCs w:val="24"/>
        </w:rPr>
        <w:t>zakládání právnických osob a</w:t>
      </w:r>
      <w:r w:rsidR="0086648F">
        <w:rPr>
          <w:rFonts w:ascii="Times New Roman" w:hAnsi="Times New Roman"/>
          <w:bCs/>
          <w:sz w:val="24"/>
          <w:szCs w:val="24"/>
        </w:rPr>
        <w:t> </w:t>
      </w:r>
      <w:r w:rsidRPr="00C97CFB">
        <w:rPr>
          <w:rFonts w:ascii="Times New Roman" w:hAnsi="Times New Roman"/>
          <w:sz w:val="24"/>
          <w:szCs w:val="24"/>
        </w:rPr>
        <w:t xml:space="preserve">nabývání </w:t>
      </w:r>
      <w:r w:rsidRPr="00C97CFB">
        <w:rPr>
          <w:rFonts w:ascii="Times New Roman" w:hAnsi="Times New Roman"/>
          <w:bCs/>
          <w:sz w:val="24"/>
          <w:szCs w:val="24"/>
        </w:rPr>
        <w:t>podílů v právnických osobách</w:t>
      </w:r>
    </w:p>
    <w:p w14:paraId="25B41320" w14:textId="77777777" w:rsidR="00F50815" w:rsidRPr="00C97CFB" w:rsidRDefault="00F50815" w:rsidP="00EB147E">
      <w:pPr>
        <w:spacing w:before="120" w:after="120"/>
        <w:ind w:left="360"/>
        <w:jc w:val="both"/>
        <w:rPr>
          <w:rFonts w:ascii="Times New Roman" w:hAnsi="Times New Roman"/>
          <w:sz w:val="24"/>
          <w:szCs w:val="24"/>
        </w:rPr>
      </w:pPr>
      <w:r w:rsidRPr="00C97CFB">
        <w:rPr>
          <w:rFonts w:ascii="Times New Roman" w:hAnsi="Times New Roman"/>
          <w:sz w:val="24"/>
          <w:szCs w:val="24"/>
        </w:rPr>
        <w:t>Varianta 1 se jeví jako vhodnější, protože umožňuje exportní pojišťovně i exportní bance efektivněji vymáhat dlužné pohledávky a bránit hrozícím škodám.</w:t>
      </w:r>
    </w:p>
    <w:p w14:paraId="084E79A9" w14:textId="77777777" w:rsidR="00F50815" w:rsidRPr="00C97CFB" w:rsidRDefault="00F50815" w:rsidP="00EB147E">
      <w:pPr>
        <w:spacing w:before="120" w:after="120"/>
        <w:ind w:left="360"/>
        <w:rPr>
          <w:rFonts w:ascii="Times New Roman" w:hAnsi="Times New Roman"/>
          <w:bCs/>
          <w:sz w:val="24"/>
          <w:szCs w:val="24"/>
          <w:u w:val="single"/>
        </w:rPr>
      </w:pPr>
      <w:r w:rsidRPr="00C97CFB">
        <w:rPr>
          <w:rFonts w:ascii="Times New Roman" w:hAnsi="Times New Roman"/>
          <w:bCs/>
          <w:sz w:val="24"/>
          <w:szCs w:val="24"/>
          <w:u w:val="single"/>
        </w:rPr>
        <w:t>Pořadí variant:</w:t>
      </w:r>
    </w:p>
    <w:p w14:paraId="459E035D" w14:textId="77777777" w:rsidR="00F50815" w:rsidRPr="00C97CFB" w:rsidRDefault="00F50815" w:rsidP="00EB147E">
      <w:pPr>
        <w:spacing w:before="120" w:after="120"/>
        <w:ind w:left="357"/>
        <w:rPr>
          <w:rFonts w:ascii="Times New Roman" w:hAnsi="Times New Roman"/>
          <w:bCs/>
          <w:sz w:val="24"/>
          <w:szCs w:val="24"/>
        </w:rPr>
      </w:pPr>
      <w:r w:rsidRPr="00C97CFB">
        <w:rPr>
          <w:rFonts w:ascii="Times New Roman" w:hAnsi="Times New Roman"/>
          <w:bCs/>
          <w:sz w:val="24"/>
          <w:szCs w:val="24"/>
        </w:rPr>
        <w:t>První pořadí: Varianta 1</w:t>
      </w:r>
    </w:p>
    <w:p w14:paraId="59F3DEC0" w14:textId="77777777" w:rsidR="00FF1599" w:rsidRDefault="00F50815" w:rsidP="00EB147E">
      <w:pPr>
        <w:spacing w:before="120" w:after="120"/>
        <w:ind w:left="357"/>
        <w:rPr>
          <w:rFonts w:ascii="Times New Roman" w:hAnsi="Times New Roman"/>
          <w:bCs/>
          <w:sz w:val="24"/>
          <w:szCs w:val="24"/>
        </w:rPr>
      </w:pPr>
      <w:r w:rsidRPr="00C97CFB">
        <w:rPr>
          <w:rFonts w:ascii="Times New Roman" w:hAnsi="Times New Roman"/>
          <w:bCs/>
          <w:sz w:val="24"/>
          <w:szCs w:val="24"/>
        </w:rPr>
        <w:t>Druhé pořadí: Nulová varianta</w:t>
      </w:r>
    </w:p>
    <w:p w14:paraId="7BB54F07" w14:textId="31DB2AC3" w:rsidR="00F50815" w:rsidRPr="00C97CFB" w:rsidRDefault="005908DC" w:rsidP="00820ABE">
      <w:pPr>
        <w:keepNext/>
        <w:spacing w:before="120" w:after="120"/>
        <w:ind w:left="357"/>
        <w:jc w:val="both"/>
        <w:rPr>
          <w:rFonts w:ascii="Times New Roman" w:hAnsi="Times New Roman"/>
          <w:bCs/>
          <w:sz w:val="24"/>
          <w:szCs w:val="24"/>
          <w:u w:val="single"/>
        </w:rPr>
      </w:pPr>
      <w:r>
        <w:rPr>
          <w:rFonts w:ascii="Times New Roman" w:hAnsi="Times New Roman"/>
          <w:bCs/>
          <w:sz w:val="24"/>
          <w:szCs w:val="24"/>
          <w:u w:val="single"/>
        </w:rPr>
        <w:t>D</w:t>
      </w:r>
      <w:r w:rsidR="00F50815" w:rsidRPr="00C97CFB">
        <w:rPr>
          <w:rFonts w:ascii="Times New Roman" w:hAnsi="Times New Roman"/>
          <w:bCs/>
          <w:sz w:val="24"/>
          <w:szCs w:val="24"/>
          <w:u w:val="single"/>
        </w:rPr>
        <w:t>. Nastavení limitů pro schvalování obchodních případů od určitého objemu vládou</w:t>
      </w:r>
    </w:p>
    <w:p w14:paraId="75A5B33B" w14:textId="77777777" w:rsidR="00F50815" w:rsidRPr="00C97CFB" w:rsidRDefault="00F50815" w:rsidP="00820ABE">
      <w:pPr>
        <w:keepNext/>
        <w:spacing w:before="120" w:after="120"/>
        <w:ind w:left="357"/>
        <w:rPr>
          <w:rFonts w:ascii="Times New Roman" w:hAnsi="Times New Roman"/>
          <w:sz w:val="24"/>
          <w:szCs w:val="24"/>
        </w:rPr>
      </w:pPr>
      <w:r w:rsidRPr="00C97CFB">
        <w:rPr>
          <w:rFonts w:ascii="Times New Roman" w:hAnsi="Times New Roman"/>
          <w:sz w:val="24"/>
          <w:szCs w:val="24"/>
        </w:rPr>
        <w:t xml:space="preserve">a) </w:t>
      </w:r>
      <w:r w:rsidRPr="00C97CFB">
        <w:rPr>
          <w:rFonts w:ascii="Times New Roman" w:hAnsi="Times New Roman"/>
          <w:i/>
          <w:sz w:val="24"/>
          <w:szCs w:val="24"/>
        </w:rPr>
        <w:t>Nulová varianta</w:t>
      </w:r>
    </w:p>
    <w:p w14:paraId="70D9C9A7" w14:textId="77777777" w:rsidR="00F50815" w:rsidRPr="00C97CFB" w:rsidRDefault="00F50815" w:rsidP="00EB147E">
      <w:pPr>
        <w:spacing w:before="120" w:after="120"/>
        <w:ind w:left="360"/>
        <w:jc w:val="both"/>
        <w:rPr>
          <w:rFonts w:ascii="Times New Roman" w:hAnsi="Times New Roman"/>
          <w:sz w:val="24"/>
          <w:szCs w:val="24"/>
        </w:rPr>
      </w:pPr>
      <w:r w:rsidRPr="00C97CFB">
        <w:rPr>
          <w:rFonts w:ascii="Times New Roman" w:hAnsi="Times New Roman"/>
          <w:sz w:val="24"/>
          <w:szCs w:val="24"/>
        </w:rPr>
        <w:t>Nulová varianta, tedy zachování současného stavu, fakticky neposkytuje možnost schvalování obchodních případů od jisté expozice na úrovni vlády, potažmo ministrů financí a průmyslu a obchodu.</w:t>
      </w:r>
    </w:p>
    <w:p w14:paraId="6E1A092C" w14:textId="77777777" w:rsidR="00F50815" w:rsidRPr="00C97CFB" w:rsidRDefault="00F50815" w:rsidP="00EB147E">
      <w:pPr>
        <w:spacing w:before="120" w:after="120"/>
        <w:ind w:left="360"/>
        <w:jc w:val="both"/>
        <w:rPr>
          <w:rFonts w:ascii="Times New Roman" w:hAnsi="Times New Roman"/>
          <w:sz w:val="24"/>
          <w:szCs w:val="24"/>
        </w:rPr>
      </w:pPr>
      <w:r>
        <w:rPr>
          <w:rFonts w:ascii="Times New Roman" w:hAnsi="Times New Roman"/>
          <w:sz w:val="24"/>
          <w:szCs w:val="24"/>
        </w:rPr>
        <w:t xml:space="preserve">Tato </w:t>
      </w:r>
      <w:r w:rsidRPr="00C97CFB">
        <w:rPr>
          <w:rFonts w:ascii="Times New Roman" w:hAnsi="Times New Roman"/>
          <w:sz w:val="24"/>
          <w:szCs w:val="24"/>
        </w:rPr>
        <w:t>varianta se tak ukazuje jako zcela nevyhovující, kdy rizika schvalování jednotlivých případů s vysokou mírou angažovanosti exportní pojišťovny nebo exportní banky nejsou nijak omezena na úrovni vlády.</w:t>
      </w:r>
    </w:p>
    <w:p w14:paraId="77DEC069" w14:textId="77777777" w:rsidR="00F50815" w:rsidRDefault="00F50815" w:rsidP="00EB147E">
      <w:pPr>
        <w:spacing w:before="120" w:after="120"/>
        <w:ind w:left="360"/>
        <w:jc w:val="both"/>
        <w:rPr>
          <w:rFonts w:ascii="Times New Roman" w:hAnsi="Times New Roman"/>
          <w:sz w:val="24"/>
          <w:szCs w:val="24"/>
        </w:rPr>
      </w:pPr>
      <w:r w:rsidRPr="00C97CFB">
        <w:rPr>
          <w:rFonts w:ascii="Times New Roman" w:hAnsi="Times New Roman"/>
          <w:sz w:val="24"/>
          <w:szCs w:val="24"/>
        </w:rPr>
        <w:t>b)</w:t>
      </w:r>
      <w:r w:rsidRPr="00C97CFB">
        <w:rPr>
          <w:rFonts w:ascii="Times New Roman" w:hAnsi="Times New Roman"/>
          <w:i/>
          <w:sz w:val="24"/>
          <w:szCs w:val="24"/>
        </w:rPr>
        <w:t xml:space="preserve"> Varianta 1 – </w:t>
      </w:r>
      <w:r w:rsidRPr="00C97CFB">
        <w:rPr>
          <w:rFonts w:ascii="Times New Roman" w:hAnsi="Times New Roman"/>
          <w:sz w:val="24"/>
          <w:szCs w:val="24"/>
        </w:rPr>
        <w:t>legislativní řešení - novela existujícího právního předpisu – úprava procenta výše pojistné kapacity při pojištění vývozního úvěrového rizika</w:t>
      </w:r>
    </w:p>
    <w:p w14:paraId="37887DD9" w14:textId="03525723" w:rsidR="00F50815" w:rsidRPr="00C97CFB" w:rsidRDefault="00F50815" w:rsidP="00EB147E">
      <w:pPr>
        <w:spacing w:before="120" w:after="120"/>
        <w:ind w:left="360"/>
        <w:jc w:val="both"/>
        <w:rPr>
          <w:rFonts w:ascii="Times New Roman" w:hAnsi="Times New Roman"/>
          <w:sz w:val="24"/>
          <w:szCs w:val="24"/>
        </w:rPr>
      </w:pPr>
      <w:r>
        <w:rPr>
          <w:rFonts w:ascii="Times New Roman" w:hAnsi="Times New Roman"/>
          <w:sz w:val="24"/>
          <w:szCs w:val="24"/>
        </w:rPr>
        <w:t>V</w:t>
      </w:r>
      <w:r w:rsidRPr="00C97CFB">
        <w:rPr>
          <w:rFonts w:ascii="Times New Roman" w:hAnsi="Times New Roman"/>
          <w:sz w:val="24"/>
          <w:szCs w:val="24"/>
        </w:rPr>
        <w:t xml:space="preserve">arianta </w:t>
      </w:r>
      <w:r>
        <w:rPr>
          <w:rFonts w:ascii="Times New Roman" w:hAnsi="Times New Roman"/>
          <w:sz w:val="24"/>
          <w:szCs w:val="24"/>
        </w:rPr>
        <w:t xml:space="preserve">1 </w:t>
      </w:r>
      <w:r w:rsidRPr="00C97CFB">
        <w:rPr>
          <w:rFonts w:ascii="Times New Roman" w:hAnsi="Times New Roman"/>
          <w:sz w:val="24"/>
          <w:szCs w:val="24"/>
        </w:rPr>
        <w:t xml:space="preserve">se </w:t>
      </w:r>
      <w:r>
        <w:rPr>
          <w:rFonts w:ascii="Times New Roman" w:hAnsi="Times New Roman"/>
          <w:sz w:val="24"/>
          <w:szCs w:val="24"/>
        </w:rPr>
        <w:t>po vyhodnocení</w:t>
      </w:r>
      <w:r w:rsidRPr="00C97CFB">
        <w:rPr>
          <w:rFonts w:ascii="Times New Roman" w:hAnsi="Times New Roman"/>
          <w:sz w:val="24"/>
          <w:szCs w:val="24"/>
        </w:rPr>
        <w:t xml:space="preserve"> nejeví jako vhodná.</w:t>
      </w:r>
      <w:r>
        <w:rPr>
          <w:rFonts w:ascii="Times New Roman" w:hAnsi="Times New Roman"/>
          <w:sz w:val="24"/>
          <w:szCs w:val="24"/>
        </w:rPr>
        <w:t xml:space="preserve"> </w:t>
      </w:r>
      <w:r w:rsidRPr="00C97CFB">
        <w:rPr>
          <w:rFonts w:ascii="Times New Roman" w:hAnsi="Times New Roman"/>
          <w:sz w:val="24"/>
          <w:szCs w:val="24"/>
        </w:rPr>
        <w:t xml:space="preserve">Kritérium procenta výše pojistné kapacity </w:t>
      </w:r>
      <w:r w:rsidR="005A4C1A">
        <w:rPr>
          <w:rFonts w:ascii="Times New Roman" w:hAnsi="Times New Roman"/>
          <w:sz w:val="24"/>
          <w:szCs w:val="24"/>
        </w:rPr>
        <w:t xml:space="preserve">exportní pojišťovny </w:t>
      </w:r>
      <w:r w:rsidRPr="00C97CFB">
        <w:rPr>
          <w:rFonts w:ascii="Times New Roman" w:hAnsi="Times New Roman"/>
          <w:sz w:val="24"/>
          <w:szCs w:val="24"/>
        </w:rPr>
        <w:t>při pojištění vývozního úvěrového rizika se jeví jako nesystémové, netransparentní (částka musí být každoročně znovu upravována) a přežité.</w:t>
      </w:r>
      <w:r>
        <w:rPr>
          <w:rFonts w:ascii="Times New Roman" w:hAnsi="Times New Roman"/>
          <w:sz w:val="24"/>
          <w:szCs w:val="24"/>
        </w:rPr>
        <w:t xml:space="preserve"> </w:t>
      </w:r>
      <w:r w:rsidRPr="00286395">
        <w:rPr>
          <w:rFonts w:ascii="Times New Roman" w:hAnsi="Times New Roman"/>
          <w:sz w:val="24"/>
          <w:szCs w:val="24"/>
        </w:rPr>
        <w:t xml:space="preserve">Přestože by bylo možné </w:t>
      </w:r>
      <w:r>
        <w:rPr>
          <w:rFonts w:ascii="Times New Roman" w:hAnsi="Times New Roman"/>
          <w:sz w:val="24"/>
          <w:szCs w:val="24"/>
        </w:rPr>
        <w:t xml:space="preserve">rovněž pro potřeby podpořeného financování </w:t>
      </w:r>
      <w:r w:rsidRPr="00286395">
        <w:rPr>
          <w:rFonts w:ascii="Times New Roman" w:hAnsi="Times New Roman"/>
          <w:sz w:val="24"/>
          <w:szCs w:val="24"/>
        </w:rPr>
        <w:t>nalézt použitelné kritérium srovnatelné s procentem výše pojistné kapacity exportní pojišťovny, a to například procento bilanční sumy exportní banky, i zde by trval problém výše popsaný, tj.</w:t>
      </w:r>
      <w:r w:rsidR="0086648F">
        <w:rPr>
          <w:rFonts w:ascii="Times New Roman" w:hAnsi="Times New Roman"/>
          <w:sz w:val="24"/>
          <w:szCs w:val="24"/>
        </w:rPr>
        <w:t> </w:t>
      </w:r>
      <w:r w:rsidRPr="00286395">
        <w:rPr>
          <w:rFonts w:ascii="Times New Roman" w:hAnsi="Times New Roman"/>
          <w:sz w:val="24"/>
          <w:szCs w:val="24"/>
        </w:rPr>
        <w:t>proměnlivost absolutní hodnoty tohoto ukazatele v čase.</w:t>
      </w:r>
      <w:r>
        <w:rPr>
          <w:rFonts w:ascii="Times New Roman" w:hAnsi="Times New Roman"/>
          <w:sz w:val="24"/>
          <w:szCs w:val="24"/>
        </w:rPr>
        <w:t xml:space="preserve"> </w:t>
      </w:r>
    </w:p>
    <w:p w14:paraId="0A50B17F" w14:textId="77777777" w:rsidR="00F50815" w:rsidRPr="00C97CFB" w:rsidRDefault="00F50815" w:rsidP="00C163DE">
      <w:pPr>
        <w:spacing w:before="120" w:after="120"/>
        <w:ind w:left="360"/>
        <w:jc w:val="both"/>
        <w:rPr>
          <w:rFonts w:ascii="Times New Roman" w:hAnsi="Times New Roman"/>
          <w:sz w:val="24"/>
          <w:szCs w:val="24"/>
        </w:rPr>
      </w:pPr>
      <w:r w:rsidRPr="00C97CFB">
        <w:rPr>
          <w:rFonts w:ascii="Times New Roman" w:hAnsi="Times New Roman"/>
          <w:sz w:val="24"/>
          <w:szCs w:val="24"/>
        </w:rPr>
        <w:t xml:space="preserve">c) </w:t>
      </w:r>
      <w:r w:rsidRPr="00C97CFB">
        <w:rPr>
          <w:rFonts w:ascii="Times New Roman" w:hAnsi="Times New Roman"/>
          <w:i/>
          <w:sz w:val="24"/>
          <w:szCs w:val="24"/>
        </w:rPr>
        <w:t xml:space="preserve">Varianta 2 </w:t>
      </w:r>
      <w:r w:rsidRPr="00C97CFB">
        <w:rPr>
          <w:rFonts w:ascii="Times New Roman" w:hAnsi="Times New Roman"/>
          <w:sz w:val="24"/>
          <w:szCs w:val="24"/>
        </w:rPr>
        <w:t>– legislativní řešení - novela existujícího právního předpisu – stanovení absolutní částky limitů pro schvalování obchodních případů vládou</w:t>
      </w:r>
    </w:p>
    <w:p w14:paraId="54B60970" w14:textId="05492BCE" w:rsidR="00F50815" w:rsidRDefault="00F50815" w:rsidP="00EB147E">
      <w:pPr>
        <w:spacing w:before="120" w:after="120"/>
        <w:ind w:left="360"/>
        <w:jc w:val="both"/>
        <w:rPr>
          <w:rFonts w:ascii="Times New Roman" w:hAnsi="Times New Roman"/>
          <w:bCs/>
          <w:sz w:val="24"/>
          <w:szCs w:val="24"/>
        </w:rPr>
      </w:pPr>
      <w:r w:rsidRPr="00C97CFB">
        <w:rPr>
          <w:rFonts w:ascii="Times New Roman" w:hAnsi="Times New Roman"/>
          <w:bCs/>
          <w:sz w:val="24"/>
          <w:szCs w:val="24"/>
        </w:rPr>
        <w:t>Varianta č.</w:t>
      </w:r>
      <w:r w:rsidR="00546BFC">
        <w:rPr>
          <w:rFonts w:ascii="Times New Roman" w:hAnsi="Times New Roman"/>
          <w:bCs/>
          <w:sz w:val="24"/>
          <w:szCs w:val="24"/>
        </w:rPr>
        <w:t> </w:t>
      </w:r>
      <w:r w:rsidRPr="00C97CFB">
        <w:rPr>
          <w:rFonts w:ascii="Times New Roman" w:hAnsi="Times New Roman"/>
          <w:bCs/>
          <w:sz w:val="24"/>
          <w:szCs w:val="24"/>
        </w:rPr>
        <w:t>2 byla vzhledem k</w:t>
      </w:r>
      <w:r>
        <w:rPr>
          <w:rFonts w:ascii="Times New Roman" w:hAnsi="Times New Roman"/>
          <w:bCs/>
          <w:sz w:val="24"/>
          <w:szCs w:val="24"/>
        </w:rPr>
        <w:t xml:space="preserve"> tomu, že stanovuje </w:t>
      </w:r>
      <w:r w:rsidRPr="00286395">
        <w:rPr>
          <w:rFonts w:ascii="Times New Roman" w:hAnsi="Times New Roman"/>
          <w:sz w:val="24"/>
          <w:szCs w:val="24"/>
        </w:rPr>
        <w:t>analogický proces schvalování obchodních případů od jisté výše v případě exportní pojišťovny i exportní banky na</w:t>
      </w:r>
      <w:r w:rsidR="00EC7633">
        <w:rPr>
          <w:rFonts w:ascii="Times New Roman" w:hAnsi="Times New Roman"/>
          <w:sz w:val="24"/>
          <w:szCs w:val="24"/>
        </w:rPr>
        <w:t> </w:t>
      </w:r>
      <w:r w:rsidRPr="00286395">
        <w:rPr>
          <w:rFonts w:ascii="Times New Roman" w:hAnsi="Times New Roman"/>
          <w:sz w:val="24"/>
          <w:szCs w:val="24"/>
        </w:rPr>
        <w:t>základě jednotného a transparentního systémového postupu</w:t>
      </w:r>
      <w:r>
        <w:rPr>
          <w:rFonts w:ascii="Times New Roman" w:hAnsi="Times New Roman"/>
          <w:sz w:val="24"/>
          <w:szCs w:val="24"/>
        </w:rPr>
        <w:t>,</w:t>
      </w:r>
      <w:r w:rsidRPr="00C97CFB">
        <w:rPr>
          <w:rFonts w:ascii="Times New Roman" w:hAnsi="Times New Roman"/>
          <w:bCs/>
          <w:sz w:val="24"/>
          <w:szCs w:val="24"/>
        </w:rPr>
        <w:t xml:space="preserve"> vyhodnocena jako nejvýhodnější.</w:t>
      </w:r>
    </w:p>
    <w:p w14:paraId="6694DF48" w14:textId="77777777" w:rsidR="00F50815" w:rsidRPr="00C97CFB" w:rsidRDefault="00F50815" w:rsidP="00EB147E">
      <w:pPr>
        <w:spacing w:before="120" w:after="120"/>
        <w:ind w:left="360"/>
        <w:rPr>
          <w:rFonts w:ascii="Times New Roman" w:hAnsi="Times New Roman"/>
          <w:bCs/>
          <w:sz w:val="24"/>
          <w:szCs w:val="24"/>
          <w:u w:val="single"/>
        </w:rPr>
      </w:pPr>
      <w:r w:rsidRPr="00C97CFB">
        <w:rPr>
          <w:rFonts w:ascii="Times New Roman" w:hAnsi="Times New Roman"/>
          <w:bCs/>
          <w:sz w:val="24"/>
          <w:szCs w:val="24"/>
          <w:u w:val="single"/>
        </w:rPr>
        <w:t>Pořadí variant:</w:t>
      </w:r>
    </w:p>
    <w:p w14:paraId="7846C5F0" w14:textId="77777777" w:rsidR="00F50815" w:rsidRPr="00C97CFB" w:rsidRDefault="00F50815" w:rsidP="00EB147E">
      <w:pPr>
        <w:spacing w:before="120" w:after="120"/>
        <w:ind w:left="357"/>
        <w:rPr>
          <w:rFonts w:ascii="Times New Roman" w:hAnsi="Times New Roman"/>
          <w:bCs/>
          <w:sz w:val="24"/>
          <w:szCs w:val="24"/>
        </w:rPr>
      </w:pPr>
      <w:r w:rsidRPr="00C97CFB">
        <w:rPr>
          <w:rFonts w:ascii="Times New Roman" w:hAnsi="Times New Roman"/>
          <w:bCs/>
          <w:sz w:val="24"/>
          <w:szCs w:val="24"/>
        </w:rPr>
        <w:t>První pořadí: Varianta 2</w:t>
      </w:r>
    </w:p>
    <w:p w14:paraId="4E2480E5" w14:textId="77777777" w:rsidR="00F50815" w:rsidRPr="00C97CFB" w:rsidRDefault="00F50815" w:rsidP="00EB147E">
      <w:pPr>
        <w:spacing w:before="120" w:after="120"/>
        <w:ind w:left="357"/>
        <w:rPr>
          <w:rFonts w:ascii="Times New Roman" w:hAnsi="Times New Roman"/>
          <w:bCs/>
          <w:sz w:val="24"/>
          <w:szCs w:val="24"/>
        </w:rPr>
      </w:pPr>
      <w:r w:rsidRPr="00C97CFB">
        <w:rPr>
          <w:rFonts w:ascii="Times New Roman" w:hAnsi="Times New Roman"/>
          <w:bCs/>
          <w:sz w:val="24"/>
          <w:szCs w:val="24"/>
        </w:rPr>
        <w:t>Druhé pořadí: Varianta 1</w:t>
      </w:r>
      <w:r>
        <w:rPr>
          <w:rFonts w:ascii="Times New Roman" w:hAnsi="Times New Roman"/>
          <w:bCs/>
          <w:sz w:val="24"/>
          <w:szCs w:val="24"/>
        </w:rPr>
        <w:t xml:space="preserve"> </w:t>
      </w:r>
    </w:p>
    <w:p w14:paraId="6971C301" w14:textId="77777777" w:rsidR="00FF1599" w:rsidRDefault="00F50815" w:rsidP="00EB147E">
      <w:pPr>
        <w:spacing w:before="120" w:after="120"/>
        <w:ind w:left="357"/>
        <w:rPr>
          <w:rFonts w:ascii="Times New Roman" w:hAnsi="Times New Roman"/>
          <w:bCs/>
          <w:sz w:val="24"/>
          <w:szCs w:val="24"/>
        </w:rPr>
      </w:pPr>
      <w:r w:rsidRPr="00C97CFB">
        <w:rPr>
          <w:rFonts w:ascii="Times New Roman" w:hAnsi="Times New Roman"/>
          <w:bCs/>
          <w:sz w:val="24"/>
          <w:szCs w:val="24"/>
        </w:rPr>
        <w:t>Třetí pořadí: Nulová varianta</w:t>
      </w:r>
    </w:p>
    <w:p w14:paraId="26551B2B" w14:textId="40043C1A" w:rsidR="00F50815" w:rsidRPr="00C97CFB" w:rsidRDefault="005908DC" w:rsidP="00820ABE">
      <w:pPr>
        <w:keepNext/>
        <w:spacing w:before="120" w:after="120"/>
        <w:ind w:left="357"/>
        <w:rPr>
          <w:rFonts w:ascii="Times New Roman" w:hAnsi="Times New Roman"/>
          <w:bCs/>
          <w:sz w:val="24"/>
          <w:szCs w:val="24"/>
          <w:u w:val="single"/>
        </w:rPr>
      </w:pPr>
      <w:r>
        <w:rPr>
          <w:rFonts w:ascii="Times New Roman" w:hAnsi="Times New Roman"/>
          <w:bCs/>
          <w:sz w:val="24"/>
          <w:szCs w:val="24"/>
          <w:u w:val="single"/>
        </w:rPr>
        <w:t>E</w:t>
      </w:r>
      <w:r w:rsidR="00F50815" w:rsidRPr="00C97CFB">
        <w:rPr>
          <w:rFonts w:ascii="Times New Roman" w:hAnsi="Times New Roman"/>
          <w:bCs/>
          <w:sz w:val="24"/>
          <w:szCs w:val="24"/>
          <w:u w:val="single"/>
        </w:rPr>
        <w:t>. Zjednodušení rozpočtování a vyúčtování záloh na dorovnávání úrokových rozdílů</w:t>
      </w:r>
    </w:p>
    <w:p w14:paraId="2A0013A5" w14:textId="77777777" w:rsidR="00F50815" w:rsidRPr="00C97CFB" w:rsidRDefault="00F50815" w:rsidP="00820ABE">
      <w:pPr>
        <w:keepNext/>
        <w:spacing w:before="120" w:after="120"/>
        <w:ind w:left="357"/>
        <w:rPr>
          <w:rFonts w:ascii="Times New Roman" w:hAnsi="Times New Roman"/>
          <w:sz w:val="24"/>
          <w:szCs w:val="24"/>
        </w:rPr>
      </w:pPr>
      <w:r w:rsidRPr="00C97CFB">
        <w:rPr>
          <w:rFonts w:ascii="Times New Roman" w:hAnsi="Times New Roman"/>
          <w:sz w:val="24"/>
          <w:szCs w:val="24"/>
        </w:rPr>
        <w:t xml:space="preserve">a) </w:t>
      </w:r>
      <w:r w:rsidRPr="00C97CFB">
        <w:rPr>
          <w:rFonts w:ascii="Times New Roman" w:hAnsi="Times New Roman"/>
          <w:i/>
          <w:sz w:val="24"/>
          <w:szCs w:val="24"/>
        </w:rPr>
        <w:t>Nulová varianta</w:t>
      </w:r>
      <w:r w:rsidRPr="00C97CFB">
        <w:rPr>
          <w:rFonts w:ascii="Times New Roman" w:hAnsi="Times New Roman"/>
          <w:sz w:val="24"/>
          <w:szCs w:val="24"/>
        </w:rPr>
        <w:br/>
        <w:t xml:space="preserve">b) </w:t>
      </w:r>
      <w:r w:rsidRPr="00C97CFB">
        <w:rPr>
          <w:rFonts w:ascii="Times New Roman" w:hAnsi="Times New Roman"/>
          <w:i/>
          <w:sz w:val="24"/>
          <w:szCs w:val="24"/>
        </w:rPr>
        <w:t>Varianta 1</w:t>
      </w:r>
      <w:r w:rsidRPr="00C97CFB">
        <w:rPr>
          <w:rFonts w:ascii="Times New Roman" w:hAnsi="Times New Roman"/>
          <w:sz w:val="24"/>
          <w:szCs w:val="24"/>
        </w:rPr>
        <w:t xml:space="preserve"> – legislativní řešení – zjednodušení rozpočtování a vyúčtování </w:t>
      </w:r>
    </w:p>
    <w:p w14:paraId="5FFE5E4E" w14:textId="77777777" w:rsidR="00F50815" w:rsidRPr="00C97CFB" w:rsidRDefault="00F50815" w:rsidP="00EB147E">
      <w:pPr>
        <w:spacing w:before="120" w:after="120"/>
        <w:ind w:left="360"/>
        <w:rPr>
          <w:rFonts w:ascii="Times New Roman" w:hAnsi="Times New Roman"/>
          <w:sz w:val="24"/>
          <w:szCs w:val="24"/>
        </w:rPr>
      </w:pPr>
      <w:r w:rsidRPr="00C97CFB">
        <w:rPr>
          <w:rFonts w:ascii="Times New Roman" w:hAnsi="Times New Roman"/>
          <w:sz w:val="24"/>
          <w:szCs w:val="24"/>
        </w:rPr>
        <w:t xml:space="preserve">a) </w:t>
      </w:r>
      <w:r w:rsidRPr="00C97CFB">
        <w:rPr>
          <w:rFonts w:ascii="Times New Roman" w:hAnsi="Times New Roman"/>
          <w:i/>
          <w:sz w:val="24"/>
          <w:szCs w:val="24"/>
        </w:rPr>
        <w:t>Nulová varianta</w:t>
      </w:r>
    </w:p>
    <w:p w14:paraId="3C74CD79" w14:textId="30CAC73F" w:rsidR="00F50815" w:rsidRPr="00286395" w:rsidRDefault="00F50815" w:rsidP="00EB147E">
      <w:pPr>
        <w:spacing w:before="120" w:after="120"/>
        <w:ind w:left="360"/>
        <w:jc w:val="both"/>
        <w:rPr>
          <w:rFonts w:ascii="Times New Roman" w:hAnsi="Times New Roman"/>
          <w:sz w:val="24"/>
          <w:szCs w:val="24"/>
        </w:rPr>
      </w:pPr>
      <w:r w:rsidRPr="00286395">
        <w:rPr>
          <w:rFonts w:ascii="Times New Roman" w:hAnsi="Times New Roman"/>
          <w:sz w:val="24"/>
          <w:szCs w:val="24"/>
        </w:rPr>
        <w:t xml:space="preserve">Vzhledem k faktu, že ustanovení zákona </w:t>
      </w:r>
      <w:r w:rsidR="006A19A6" w:rsidRPr="0073392D">
        <w:rPr>
          <w:rFonts w:ascii="Times New Roman" w:hAnsi="Times New Roman"/>
          <w:sz w:val="24"/>
          <w:szCs w:val="24"/>
        </w:rPr>
        <w:t>č.</w:t>
      </w:r>
      <w:r w:rsidR="00546BFC">
        <w:rPr>
          <w:rFonts w:ascii="Times New Roman" w:hAnsi="Times New Roman"/>
          <w:sz w:val="24"/>
          <w:szCs w:val="24"/>
        </w:rPr>
        <w:t> </w:t>
      </w:r>
      <w:r w:rsidR="006A19A6" w:rsidRPr="0073392D">
        <w:rPr>
          <w:rFonts w:ascii="Times New Roman" w:hAnsi="Times New Roman"/>
          <w:sz w:val="24"/>
          <w:szCs w:val="24"/>
        </w:rPr>
        <w:t>58/1995 Sb.</w:t>
      </w:r>
      <w:r w:rsidR="006A19A6">
        <w:rPr>
          <w:rFonts w:ascii="Times New Roman" w:hAnsi="Times New Roman"/>
          <w:sz w:val="24"/>
          <w:szCs w:val="24"/>
        </w:rPr>
        <w:t xml:space="preserve"> </w:t>
      </w:r>
      <w:r w:rsidR="00B96862" w:rsidRPr="00B96862">
        <w:rPr>
          <w:rFonts w:ascii="Times New Roman" w:hAnsi="Times New Roman"/>
          <w:sz w:val="24"/>
          <w:szCs w:val="24"/>
        </w:rPr>
        <w:t>upravující dorovnávání úrokových rozdílů</w:t>
      </w:r>
      <w:r w:rsidR="00B96862" w:rsidRPr="00286395">
        <w:rPr>
          <w:rFonts w:ascii="Times New Roman" w:hAnsi="Times New Roman"/>
          <w:sz w:val="24"/>
          <w:szCs w:val="24"/>
        </w:rPr>
        <w:t xml:space="preserve"> </w:t>
      </w:r>
      <w:r w:rsidR="00B96862">
        <w:rPr>
          <w:rFonts w:ascii="Times New Roman" w:hAnsi="Times New Roman"/>
          <w:sz w:val="24"/>
          <w:szCs w:val="24"/>
        </w:rPr>
        <w:t>nebyla</w:t>
      </w:r>
      <w:r w:rsidRPr="00286395">
        <w:rPr>
          <w:rFonts w:ascii="Times New Roman" w:hAnsi="Times New Roman"/>
          <w:sz w:val="24"/>
          <w:szCs w:val="24"/>
        </w:rPr>
        <w:t xml:space="preserve"> dosud v praxi využit</w:t>
      </w:r>
      <w:r w:rsidR="00B96862">
        <w:rPr>
          <w:rFonts w:ascii="Times New Roman" w:hAnsi="Times New Roman"/>
          <w:sz w:val="24"/>
          <w:szCs w:val="24"/>
        </w:rPr>
        <w:t>a</w:t>
      </w:r>
      <w:r w:rsidRPr="00286395">
        <w:rPr>
          <w:rFonts w:ascii="Times New Roman" w:hAnsi="Times New Roman"/>
          <w:sz w:val="24"/>
          <w:szCs w:val="24"/>
        </w:rPr>
        <w:t>, ukazuj</w:t>
      </w:r>
      <w:r w:rsidR="00B96862">
        <w:rPr>
          <w:rFonts w:ascii="Times New Roman" w:hAnsi="Times New Roman"/>
          <w:sz w:val="24"/>
          <w:szCs w:val="24"/>
        </w:rPr>
        <w:t>í</w:t>
      </w:r>
      <w:r w:rsidRPr="00286395">
        <w:rPr>
          <w:rFonts w:ascii="Times New Roman" w:hAnsi="Times New Roman"/>
          <w:sz w:val="24"/>
          <w:szCs w:val="24"/>
        </w:rPr>
        <w:t xml:space="preserve"> se velmi komplikovaným</w:t>
      </w:r>
      <w:r w:rsidR="003C37E8">
        <w:rPr>
          <w:rFonts w:ascii="Times New Roman" w:hAnsi="Times New Roman"/>
          <w:sz w:val="24"/>
          <w:szCs w:val="24"/>
        </w:rPr>
        <w:t>i</w:t>
      </w:r>
      <w:r w:rsidRPr="00286395">
        <w:rPr>
          <w:rFonts w:ascii="Times New Roman" w:hAnsi="Times New Roman"/>
          <w:sz w:val="24"/>
          <w:szCs w:val="24"/>
        </w:rPr>
        <w:t xml:space="preserve"> a</w:t>
      </w:r>
      <w:r w:rsidR="00EC7633">
        <w:rPr>
          <w:rFonts w:ascii="Times New Roman" w:hAnsi="Times New Roman"/>
          <w:sz w:val="24"/>
          <w:szCs w:val="24"/>
        </w:rPr>
        <w:t> </w:t>
      </w:r>
      <w:r w:rsidRPr="00286395">
        <w:rPr>
          <w:rFonts w:ascii="Times New Roman" w:hAnsi="Times New Roman"/>
          <w:sz w:val="24"/>
          <w:szCs w:val="24"/>
        </w:rPr>
        <w:t>zároveň klad</w:t>
      </w:r>
      <w:r w:rsidR="003C37E8">
        <w:rPr>
          <w:rFonts w:ascii="Times New Roman" w:hAnsi="Times New Roman"/>
          <w:sz w:val="24"/>
          <w:szCs w:val="24"/>
        </w:rPr>
        <w:t>ou</w:t>
      </w:r>
      <w:r w:rsidRPr="00286395">
        <w:rPr>
          <w:rFonts w:ascii="Times New Roman" w:hAnsi="Times New Roman"/>
          <w:sz w:val="24"/>
          <w:szCs w:val="24"/>
        </w:rPr>
        <w:t xml:space="preserve"> nároky na státní rozpočet, </w:t>
      </w:r>
      <w:r w:rsidR="003C37E8">
        <w:rPr>
          <w:rFonts w:ascii="Times New Roman" w:hAnsi="Times New Roman"/>
          <w:sz w:val="24"/>
          <w:szCs w:val="24"/>
        </w:rPr>
        <w:t xml:space="preserve">proto se </w:t>
      </w:r>
      <w:r w:rsidRPr="00286395">
        <w:rPr>
          <w:rFonts w:ascii="Times New Roman" w:hAnsi="Times New Roman"/>
          <w:sz w:val="24"/>
          <w:szCs w:val="24"/>
        </w:rPr>
        <w:t>jeví jako žádoucí je</w:t>
      </w:r>
      <w:r w:rsidR="003C37E8">
        <w:rPr>
          <w:rFonts w:ascii="Times New Roman" w:hAnsi="Times New Roman"/>
          <w:sz w:val="24"/>
          <w:szCs w:val="24"/>
        </w:rPr>
        <w:t>jich</w:t>
      </w:r>
      <w:r w:rsidRPr="00286395">
        <w:rPr>
          <w:rFonts w:ascii="Times New Roman" w:hAnsi="Times New Roman"/>
          <w:sz w:val="24"/>
          <w:szCs w:val="24"/>
        </w:rPr>
        <w:t xml:space="preserve"> přehodnocení.</w:t>
      </w:r>
    </w:p>
    <w:p w14:paraId="67FB6D73" w14:textId="77777777" w:rsidR="00F50815" w:rsidRPr="00C97CFB" w:rsidRDefault="00F50815" w:rsidP="00EB147E">
      <w:pPr>
        <w:spacing w:before="120" w:after="120"/>
        <w:ind w:left="360"/>
        <w:jc w:val="both"/>
        <w:rPr>
          <w:rFonts w:ascii="Times New Roman" w:hAnsi="Times New Roman"/>
          <w:sz w:val="24"/>
          <w:szCs w:val="24"/>
        </w:rPr>
      </w:pPr>
      <w:r w:rsidRPr="00C97CFB">
        <w:rPr>
          <w:rFonts w:ascii="Times New Roman" w:hAnsi="Times New Roman"/>
          <w:sz w:val="24"/>
          <w:szCs w:val="24"/>
        </w:rPr>
        <w:t xml:space="preserve">b) </w:t>
      </w:r>
      <w:r w:rsidRPr="00C97CFB">
        <w:rPr>
          <w:rFonts w:ascii="Times New Roman" w:hAnsi="Times New Roman"/>
          <w:i/>
          <w:sz w:val="24"/>
          <w:szCs w:val="24"/>
        </w:rPr>
        <w:t>Varianta 1</w:t>
      </w:r>
      <w:r w:rsidRPr="00C97CFB">
        <w:rPr>
          <w:rFonts w:ascii="Times New Roman" w:hAnsi="Times New Roman"/>
          <w:sz w:val="24"/>
          <w:szCs w:val="24"/>
        </w:rPr>
        <w:t xml:space="preserve"> – legislativní řešení – zjednodušení rozpočtování a vyúčtování</w:t>
      </w:r>
    </w:p>
    <w:p w14:paraId="33A2D475" w14:textId="3BC6D01E" w:rsidR="00F50815" w:rsidRDefault="00F50815" w:rsidP="00EB147E">
      <w:pPr>
        <w:spacing w:before="120" w:after="120"/>
        <w:ind w:left="360"/>
        <w:jc w:val="both"/>
        <w:rPr>
          <w:rFonts w:ascii="Times New Roman" w:hAnsi="Times New Roman"/>
          <w:sz w:val="24"/>
          <w:szCs w:val="24"/>
        </w:rPr>
      </w:pPr>
      <w:r>
        <w:rPr>
          <w:rFonts w:ascii="Times New Roman" w:hAnsi="Times New Roman"/>
          <w:sz w:val="24"/>
          <w:szCs w:val="24"/>
        </w:rPr>
        <w:t>Bylo vyhodnoceno, že p</w:t>
      </w:r>
      <w:r w:rsidRPr="00C97CFB">
        <w:rPr>
          <w:rFonts w:ascii="Times New Roman" w:hAnsi="Times New Roman"/>
          <w:sz w:val="24"/>
          <w:szCs w:val="24"/>
        </w:rPr>
        <w:t>řínosy vzniklé úsporou nákladů na řízení státního rozpočtu výrazně převýší důsledky vzniklého potenciálního rizika. Proto se varianta 1 jeví ve</w:t>
      </w:r>
      <w:r w:rsidR="00EC7633">
        <w:rPr>
          <w:rFonts w:ascii="Times New Roman" w:hAnsi="Times New Roman"/>
          <w:sz w:val="24"/>
          <w:szCs w:val="24"/>
        </w:rPr>
        <w:t> </w:t>
      </w:r>
      <w:r w:rsidRPr="00C97CFB">
        <w:rPr>
          <w:rFonts w:ascii="Times New Roman" w:hAnsi="Times New Roman"/>
          <w:sz w:val="24"/>
          <w:szCs w:val="24"/>
        </w:rPr>
        <w:t>srovnání s dosavadním stavem jako výhodnější pro stát i exportní banku a nesníží kvalitu systému dorovnávání úrokových rozdílů z hlediska jeho uživatelů.</w:t>
      </w:r>
      <w:r w:rsidR="005D7375">
        <w:rPr>
          <w:rFonts w:ascii="Times New Roman" w:hAnsi="Times New Roman"/>
          <w:sz w:val="24"/>
          <w:szCs w:val="24"/>
        </w:rPr>
        <w:t xml:space="preserve"> </w:t>
      </w:r>
    </w:p>
    <w:p w14:paraId="08BD53C4" w14:textId="77777777" w:rsidR="00F50815" w:rsidRPr="00C97CFB" w:rsidRDefault="00F50815" w:rsidP="00EB147E">
      <w:pPr>
        <w:spacing w:before="120" w:after="120"/>
        <w:ind w:left="360"/>
        <w:rPr>
          <w:rFonts w:ascii="Times New Roman" w:hAnsi="Times New Roman"/>
          <w:bCs/>
          <w:sz w:val="24"/>
          <w:szCs w:val="24"/>
          <w:u w:val="single"/>
        </w:rPr>
      </w:pPr>
      <w:r w:rsidRPr="00C97CFB">
        <w:rPr>
          <w:rFonts w:ascii="Times New Roman" w:hAnsi="Times New Roman"/>
          <w:bCs/>
          <w:sz w:val="24"/>
          <w:szCs w:val="24"/>
          <w:u w:val="single"/>
        </w:rPr>
        <w:t>Pořadí variant:</w:t>
      </w:r>
    </w:p>
    <w:p w14:paraId="62432FB6" w14:textId="77777777" w:rsidR="00F50815" w:rsidRPr="00C97CFB" w:rsidRDefault="00F50815" w:rsidP="00EB147E">
      <w:pPr>
        <w:spacing w:before="120" w:after="120"/>
        <w:ind w:left="357"/>
        <w:rPr>
          <w:rFonts w:ascii="Times New Roman" w:hAnsi="Times New Roman"/>
          <w:bCs/>
          <w:sz w:val="24"/>
          <w:szCs w:val="24"/>
        </w:rPr>
      </w:pPr>
      <w:r w:rsidRPr="00C97CFB">
        <w:rPr>
          <w:rFonts w:ascii="Times New Roman" w:hAnsi="Times New Roman"/>
          <w:bCs/>
          <w:sz w:val="24"/>
          <w:szCs w:val="24"/>
        </w:rPr>
        <w:t xml:space="preserve">První pořadí: Varianta </w:t>
      </w:r>
      <w:r>
        <w:rPr>
          <w:rFonts w:ascii="Times New Roman" w:hAnsi="Times New Roman"/>
          <w:bCs/>
          <w:sz w:val="24"/>
          <w:szCs w:val="24"/>
        </w:rPr>
        <w:t>1</w:t>
      </w:r>
    </w:p>
    <w:p w14:paraId="468A4B15" w14:textId="77777777" w:rsidR="00F50815" w:rsidRPr="00C97CFB" w:rsidRDefault="00F50815" w:rsidP="00EB147E">
      <w:pPr>
        <w:spacing w:before="120" w:after="120"/>
        <w:ind w:left="357"/>
        <w:rPr>
          <w:rFonts w:ascii="Times New Roman" w:hAnsi="Times New Roman"/>
          <w:bCs/>
          <w:sz w:val="24"/>
          <w:szCs w:val="24"/>
        </w:rPr>
      </w:pPr>
      <w:r w:rsidRPr="00C97CFB">
        <w:rPr>
          <w:rFonts w:ascii="Times New Roman" w:hAnsi="Times New Roman"/>
          <w:bCs/>
          <w:sz w:val="24"/>
          <w:szCs w:val="24"/>
        </w:rPr>
        <w:t>Druhé pořadí: Nulová varianta</w:t>
      </w:r>
    </w:p>
    <w:p w14:paraId="426F4908" w14:textId="4D27B198" w:rsidR="00F50815" w:rsidRPr="00C97CFB" w:rsidRDefault="005908DC" w:rsidP="00CE5438">
      <w:pPr>
        <w:spacing w:before="120" w:after="120"/>
        <w:ind w:left="360"/>
        <w:jc w:val="both"/>
        <w:rPr>
          <w:rFonts w:ascii="Times New Roman" w:hAnsi="Times New Roman"/>
          <w:bCs/>
          <w:sz w:val="24"/>
          <w:szCs w:val="24"/>
          <w:u w:val="single"/>
        </w:rPr>
      </w:pPr>
      <w:r>
        <w:rPr>
          <w:rFonts w:ascii="Times New Roman" w:hAnsi="Times New Roman"/>
          <w:bCs/>
          <w:sz w:val="24"/>
          <w:szCs w:val="24"/>
          <w:u w:val="single"/>
        </w:rPr>
        <w:t>F</w:t>
      </w:r>
      <w:r w:rsidR="00F50815" w:rsidRPr="00C97CFB">
        <w:rPr>
          <w:rFonts w:ascii="Times New Roman" w:hAnsi="Times New Roman"/>
          <w:bCs/>
          <w:sz w:val="24"/>
          <w:szCs w:val="24"/>
          <w:u w:val="single"/>
        </w:rPr>
        <w:t>. Rozšíření kontrolní pravomoci M</w:t>
      </w:r>
      <w:r w:rsidR="008B0C0B">
        <w:rPr>
          <w:rFonts w:ascii="Times New Roman" w:hAnsi="Times New Roman"/>
          <w:bCs/>
          <w:sz w:val="24"/>
          <w:szCs w:val="24"/>
          <w:u w:val="single"/>
        </w:rPr>
        <w:t>F</w:t>
      </w:r>
      <w:r w:rsidR="00F50815" w:rsidRPr="00C97CFB">
        <w:rPr>
          <w:rFonts w:ascii="Times New Roman" w:hAnsi="Times New Roman"/>
          <w:bCs/>
          <w:sz w:val="24"/>
          <w:szCs w:val="24"/>
          <w:u w:val="single"/>
        </w:rPr>
        <w:t xml:space="preserve"> vůči exportní pojišťovně</w:t>
      </w:r>
    </w:p>
    <w:p w14:paraId="4251A108" w14:textId="77777777" w:rsidR="00F50815" w:rsidRPr="00C97CFB" w:rsidRDefault="00F50815" w:rsidP="00CE5438">
      <w:pPr>
        <w:spacing w:before="120" w:after="120"/>
        <w:ind w:left="360"/>
        <w:jc w:val="both"/>
        <w:rPr>
          <w:rFonts w:ascii="Times New Roman" w:hAnsi="Times New Roman"/>
          <w:sz w:val="24"/>
          <w:szCs w:val="24"/>
        </w:rPr>
      </w:pPr>
      <w:r w:rsidRPr="00C97CFB">
        <w:rPr>
          <w:rFonts w:ascii="Times New Roman" w:hAnsi="Times New Roman"/>
          <w:sz w:val="24"/>
          <w:szCs w:val="24"/>
        </w:rPr>
        <w:t xml:space="preserve">a) </w:t>
      </w:r>
      <w:r w:rsidRPr="00C97CFB">
        <w:rPr>
          <w:rFonts w:ascii="Times New Roman" w:hAnsi="Times New Roman"/>
          <w:i/>
          <w:sz w:val="24"/>
          <w:szCs w:val="24"/>
        </w:rPr>
        <w:t>Nulová varianta</w:t>
      </w:r>
      <w:r w:rsidRPr="00C97CFB">
        <w:rPr>
          <w:rFonts w:ascii="Times New Roman" w:hAnsi="Times New Roman"/>
          <w:sz w:val="24"/>
          <w:szCs w:val="24"/>
        </w:rPr>
        <w:br/>
        <w:t xml:space="preserve">b) </w:t>
      </w:r>
      <w:r w:rsidRPr="00C97CFB">
        <w:rPr>
          <w:rFonts w:ascii="Times New Roman" w:hAnsi="Times New Roman"/>
          <w:i/>
          <w:sz w:val="24"/>
          <w:szCs w:val="24"/>
        </w:rPr>
        <w:t>Varianta 1</w:t>
      </w:r>
      <w:r w:rsidRPr="00C97CFB">
        <w:rPr>
          <w:rFonts w:ascii="Times New Roman" w:hAnsi="Times New Roman"/>
          <w:sz w:val="24"/>
          <w:szCs w:val="24"/>
        </w:rPr>
        <w:t xml:space="preserve"> – legislativní řešení - novela existujícího právního předpisu </w:t>
      </w:r>
    </w:p>
    <w:p w14:paraId="509B83AD" w14:textId="77777777" w:rsidR="00F50815" w:rsidRPr="00C97CFB" w:rsidRDefault="00F50815" w:rsidP="00EB147E">
      <w:pPr>
        <w:spacing w:before="120" w:after="120"/>
        <w:ind w:left="360"/>
        <w:rPr>
          <w:rFonts w:ascii="Times New Roman" w:hAnsi="Times New Roman"/>
          <w:sz w:val="24"/>
          <w:szCs w:val="24"/>
        </w:rPr>
      </w:pPr>
      <w:r w:rsidRPr="00C97CFB">
        <w:rPr>
          <w:rFonts w:ascii="Times New Roman" w:hAnsi="Times New Roman"/>
          <w:sz w:val="24"/>
          <w:szCs w:val="24"/>
        </w:rPr>
        <w:t xml:space="preserve">a) </w:t>
      </w:r>
      <w:r w:rsidRPr="00C97CFB">
        <w:rPr>
          <w:rFonts w:ascii="Times New Roman" w:hAnsi="Times New Roman"/>
          <w:i/>
          <w:sz w:val="24"/>
          <w:szCs w:val="24"/>
        </w:rPr>
        <w:t>Nulová varianta</w:t>
      </w:r>
    </w:p>
    <w:p w14:paraId="79176088" w14:textId="37E691BA" w:rsidR="00F50815" w:rsidRPr="00C97CFB" w:rsidRDefault="00F50815" w:rsidP="00EB147E">
      <w:pPr>
        <w:spacing w:before="120" w:after="120"/>
        <w:ind w:left="360"/>
        <w:jc w:val="both"/>
        <w:rPr>
          <w:rFonts w:ascii="Times New Roman" w:hAnsi="Times New Roman"/>
          <w:sz w:val="24"/>
          <w:szCs w:val="24"/>
        </w:rPr>
      </w:pPr>
      <w:r>
        <w:rPr>
          <w:rFonts w:ascii="Times New Roman" w:hAnsi="Times New Roman"/>
          <w:sz w:val="24"/>
          <w:szCs w:val="24"/>
        </w:rPr>
        <w:t>Vzhledem k tomu, že z</w:t>
      </w:r>
      <w:r w:rsidRPr="00C97CFB">
        <w:rPr>
          <w:rFonts w:ascii="Times New Roman" w:hAnsi="Times New Roman"/>
          <w:sz w:val="24"/>
          <w:szCs w:val="24"/>
        </w:rPr>
        <w:t xml:space="preserve">ákon </w:t>
      </w:r>
      <w:r w:rsidR="006A19A6" w:rsidRPr="0073392D">
        <w:rPr>
          <w:rFonts w:ascii="Times New Roman" w:hAnsi="Times New Roman"/>
          <w:sz w:val="24"/>
          <w:szCs w:val="24"/>
        </w:rPr>
        <w:t>č.</w:t>
      </w:r>
      <w:r w:rsidR="00546BFC">
        <w:rPr>
          <w:rFonts w:ascii="Times New Roman" w:hAnsi="Times New Roman"/>
          <w:sz w:val="24"/>
          <w:szCs w:val="24"/>
        </w:rPr>
        <w:t> </w:t>
      </w:r>
      <w:r w:rsidR="006A19A6" w:rsidRPr="0073392D">
        <w:rPr>
          <w:rFonts w:ascii="Times New Roman" w:hAnsi="Times New Roman"/>
          <w:sz w:val="24"/>
          <w:szCs w:val="24"/>
        </w:rPr>
        <w:t>58/1995 Sb.</w:t>
      </w:r>
      <w:r w:rsidR="006A19A6">
        <w:rPr>
          <w:rFonts w:ascii="Times New Roman" w:hAnsi="Times New Roman"/>
          <w:sz w:val="24"/>
          <w:szCs w:val="24"/>
        </w:rPr>
        <w:t xml:space="preserve"> </w:t>
      </w:r>
      <w:r w:rsidRPr="00C97CFB">
        <w:rPr>
          <w:rFonts w:ascii="Times New Roman" w:hAnsi="Times New Roman"/>
          <w:sz w:val="24"/>
          <w:szCs w:val="24"/>
        </w:rPr>
        <w:t>explicitně nestanoví odpovídající kontrolní pravomoci M</w:t>
      </w:r>
      <w:r w:rsidR="00317D89">
        <w:rPr>
          <w:rFonts w:ascii="Times New Roman" w:hAnsi="Times New Roman"/>
          <w:sz w:val="24"/>
          <w:szCs w:val="24"/>
        </w:rPr>
        <w:t>F</w:t>
      </w:r>
      <w:r w:rsidRPr="00C97CFB">
        <w:rPr>
          <w:rFonts w:ascii="Times New Roman" w:hAnsi="Times New Roman"/>
          <w:sz w:val="24"/>
          <w:szCs w:val="24"/>
        </w:rPr>
        <w:t xml:space="preserve"> </w:t>
      </w:r>
      <w:r w:rsidR="00B02174">
        <w:rPr>
          <w:rFonts w:ascii="Times New Roman" w:hAnsi="Times New Roman"/>
          <w:sz w:val="24"/>
          <w:szCs w:val="24"/>
        </w:rPr>
        <w:t>ve vztahu k exportní pojišťovně,</w:t>
      </w:r>
      <w:r w:rsidRPr="00C97CFB">
        <w:rPr>
          <w:rFonts w:ascii="Times New Roman" w:hAnsi="Times New Roman"/>
          <w:sz w:val="24"/>
          <w:szCs w:val="24"/>
        </w:rPr>
        <w:t xml:space="preserve"> vzniká </w:t>
      </w:r>
      <w:r w:rsidR="00B02174" w:rsidRPr="00C97CFB">
        <w:rPr>
          <w:rFonts w:ascii="Times New Roman" w:hAnsi="Times New Roman"/>
          <w:sz w:val="24"/>
          <w:szCs w:val="24"/>
        </w:rPr>
        <w:t xml:space="preserve">tak </w:t>
      </w:r>
      <w:r w:rsidRPr="00C97CFB">
        <w:rPr>
          <w:rFonts w:ascii="Times New Roman" w:hAnsi="Times New Roman"/>
          <w:sz w:val="24"/>
          <w:szCs w:val="24"/>
        </w:rPr>
        <w:t>hrozba, že tyto kontrolní pravomoci jsou vymezeny</w:t>
      </w:r>
      <w:r>
        <w:rPr>
          <w:rFonts w:ascii="Times New Roman" w:hAnsi="Times New Roman"/>
          <w:sz w:val="24"/>
          <w:szCs w:val="24"/>
        </w:rPr>
        <w:t xml:space="preserve"> nejednoznačně</w:t>
      </w:r>
      <w:r w:rsidR="00926948">
        <w:rPr>
          <w:rFonts w:ascii="Times New Roman" w:hAnsi="Times New Roman"/>
          <w:sz w:val="24"/>
          <w:szCs w:val="24"/>
        </w:rPr>
        <w:t>. N</w:t>
      </w:r>
      <w:r w:rsidRPr="00C97CFB">
        <w:rPr>
          <w:rFonts w:ascii="Times New Roman" w:hAnsi="Times New Roman"/>
          <w:sz w:val="24"/>
          <w:szCs w:val="24"/>
        </w:rPr>
        <w:t>ulová varianta</w:t>
      </w:r>
      <w:r>
        <w:rPr>
          <w:rFonts w:ascii="Times New Roman" w:hAnsi="Times New Roman"/>
          <w:sz w:val="24"/>
          <w:szCs w:val="24"/>
        </w:rPr>
        <w:t xml:space="preserve"> se</w:t>
      </w:r>
      <w:r w:rsidRPr="00C97CFB">
        <w:rPr>
          <w:rFonts w:ascii="Times New Roman" w:hAnsi="Times New Roman"/>
          <w:sz w:val="24"/>
          <w:szCs w:val="24"/>
        </w:rPr>
        <w:t xml:space="preserve"> jeví jako nedostatečná.</w:t>
      </w:r>
    </w:p>
    <w:p w14:paraId="10DF35B3" w14:textId="77777777" w:rsidR="00F50815" w:rsidRPr="00C97CFB" w:rsidRDefault="00F50815" w:rsidP="00EB147E">
      <w:pPr>
        <w:spacing w:before="120" w:after="120"/>
        <w:ind w:left="360"/>
        <w:rPr>
          <w:rFonts w:ascii="Times New Roman" w:hAnsi="Times New Roman"/>
          <w:sz w:val="24"/>
          <w:szCs w:val="24"/>
        </w:rPr>
      </w:pPr>
      <w:r w:rsidRPr="00C97CFB">
        <w:rPr>
          <w:rFonts w:ascii="Times New Roman" w:hAnsi="Times New Roman"/>
          <w:sz w:val="24"/>
          <w:szCs w:val="24"/>
        </w:rPr>
        <w:t xml:space="preserve">b) </w:t>
      </w:r>
      <w:r w:rsidRPr="00C97CFB">
        <w:rPr>
          <w:rFonts w:ascii="Times New Roman" w:hAnsi="Times New Roman"/>
          <w:i/>
          <w:sz w:val="24"/>
          <w:szCs w:val="24"/>
        </w:rPr>
        <w:t>Varianta 1</w:t>
      </w:r>
      <w:r w:rsidRPr="00C97CFB">
        <w:rPr>
          <w:rFonts w:ascii="Times New Roman" w:hAnsi="Times New Roman"/>
          <w:sz w:val="24"/>
          <w:szCs w:val="24"/>
        </w:rPr>
        <w:t xml:space="preserve"> – legislativní řešení - novela existujícího právního předpisu </w:t>
      </w:r>
    </w:p>
    <w:p w14:paraId="5E1BC3E8" w14:textId="52B3C993" w:rsidR="00F50815" w:rsidRPr="00C97CFB" w:rsidRDefault="00F50815" w:rsidP="00EB147E">
      <w:pPr>
        <w:spacing w:before="120" w:after="120"/>
        <w:ind w:left="360"/>
        <w:jc w:val="both"/>
        <w:rPr>
          <w:rFonts w:ascii="Times New Roman" w:hAnsi="Times New Roman"/>
          <w:sz w:val="24"/>
          <w:szCs w:val="24"/>
        </w:rPr>
      </w:pPr>
      <w:r>
        <w:rPr>
          <w:rFonts w:ascii="Times New Roman" w:hAnsi="Times New Roman"/>
          <w:sz w:val="24"/>
          <w:szCs w:val="24"/>
        </w:rPr>
        <w:t xml:space="preserve">Bylo vyhodnoceno, že </w:t>
      </w:r>
      <w:r w:rsidRPr="00C97CFB">
        <w:rPr>
          <w:rFonts w:ascii="Times New Roman" w:hAnsi="Times New Roman"/>
          <w:sz w:val="24"/>
          <w:szCs w:val="24"/>
        </w:rPr>
        <w:t xml:space="preserve">řešení </w:t>
      </w:r>
      <w:r>
        <w:rPr>
          <w:rFonts w:ascii="Times New Roman" w:hAnsi="Times New Roman"/>
          <w:sz w:val="24"/>
          <w:szCs w:val="24"/>
        </w:rPr>
        <w:t xml:space="preserve">navrhované ve variantě 1 </w:t>
      </w:r>
      <w:r w:rsidRPr="00C97CFB">
        <w:rPr>
          <w:rFonts w:ascii="Times New Roman" w:hAnsi="Times New Roman"/>
          <w:sz w:val="24"/>
          <w:szCs w:val="24"/>
        </w:rPr>
        <w:t>eliminuje možné riziko vyplývající z absence explicitního ustanovení o kontrole poskytovaných dotací.</w:t>
      </w:r>
      <w:r>
        <w:rPr>
          <w:rFonts w:ascii="Times New Roman" w:hAnsi="Times New Roman"/>
          <w:sz w:val="24"/>
          <w:szCs w:val="24"/>
        </w:rPr>
        <w:t xml:space="preserve"> V</w:t>
      </w:r>
      <w:r w:rsidRPr="00C97CFB">
        <w:rPr>
          <w:rFonts w:ascii="Times New Roman" w:hAnsi="Times New Roman"/>
          <w:sz w:val="24"/>
          <w:szCs w:val="24"/>
        </w:rPr>
        <w:t>arianta 1 se s ohledem na větší právní jistotu jak M</w:t>
      </w:r>
      <w:r w:rsidR="00317D89">
        <w:rPr>
          <w:rFonts w:ascii="Times New Roman" w:hAnsi="Times New Roman"/>
          <w:sz w:val="24"/>
          <w:szCs w:val="24"/>
        </w:rPr>
        <w:t>F</w:t>
      </w:r>
      <w:r w:rsidRPr="00C97CFB">
        <w:rPr>
          <w:rFonts w:ascii="Times New Roman" w:hAnsi="Times New Roman"/>
          <w:sz w:val="24"/>
          <w:szCs w:val="24"/>
        </w:rPr>
        <w:t>, tak i exportní pojišťovny jeví jako vhodnější.</w:t>
      </w:r>
      <w:r w:rsidR="00A20B4F">
        <w:rPr>
          <w:rFonts w:ascii="Times New Roman" w:hAnsi="Times New Roman"/>
          <w:sz w:val="24"/>
          <w:szCs w:val="24"/>
        </w:rPr>
        <w:t xml:space="preserve"> </w:t>
      </w:r>
    </w:p>
    <w:p w14:paraId="6A3777BE" w14:textId="77777777" w:rsidR="00F50815" w:rsidRPr="00C97CFB" w:rsidRDefault="00F50815" w:rsidP="00EB147E">
      <w:pPr>
        <w:spacing w:before="120" w:after="120"/>
        <w:ind w:left="360"/>
        <w:rPr>
          <w:rFonts w:ascii="Times New Roman" w:hAnsi="Times New Roman"/>
          <w:bCs/>
          <w:sz w:val="24"/>
          <w:szCs w:val="24"/>
          <w:u w:val="single"/>
        </w:rPr>
      </w:pPr>
      <w:r w:rsidRPr="00C97CFB">
        <w:rPr>
          <w:rFonts w:ascii="Times New Roman" w:hAnsi="Times New Roman"/>
          <w:bCs/>
          <w:sz w:val="24"/>
          <w:szCs w:val="24"/>
          <w:u w:val="single"/>
        </w:rPr>
        <w:t>Pořadí variant:</w:t>
      </w:r>
    </w:p>
    <w:p w14:paraId="6CF99368" w14:textId="77777777" w:rsidR="00F50815" w:rsidRPr="00C97CFB" w:rsidRDefault="00F50815" w:rsidP="00EB147E">
      <w:pPr>
        <w:spacing w:before="120" w:after="120"/>
        <w:ind w:left="357"/>
        <w:rPr>
          <w:rFonts w:ascii="Times New Roman" w:hAnsi="Times New Roman"/>
          <w:bCs/>
          <w:sz w:val="24"/>
          <w:szCs w:val="24"/>
        </w:rPr>
      </w:pPr>
      <w:r w:rsidRPr="00C97CFB">
        <w:rPr>
          <w:rFonts w:ascii="Times New Roman" w:hAnsi="Times New Roman"/>
          <w:bCs/>
          <w:sz w:val="24"/>
          <w:szCs w:val="24"/>
        </w:rPr>
        <w:t xml:space="preserve">První pořadí: Varianta </w:t>
      </w:r>
      <w:r>
        <w:rPr>
          <w:rFonts w:ascii="Times New Roman" w:hAnsi="Times New Roman"/>
          <w:bCs/>
          <w:sz w:val="24"/>
          <w:szCs w:val="24"/>
        </w:rPr>
        <w:t>1</w:t>
      </w:r>
    </w:p>
    <w:p w14:paraId="3D98DF63" w14:textId="77777777" w:rsidR="00F50815" w:rsidRDefault="00F50815" w:rsidP="00EB147E">
      <w:pPr>
        <w:spacing w:before="120" w:after="120"/>
        <w:ind w:left="357"/>
        <w:rPr>
          <w:rFonts w:ascii="Times New Roman" w:hAnsi="Times New Roman"/>
          <w:bCs/>
          <w:sz w:val="24"/>
          <w:szCs w:val="24"/>
        </w:rPr>
      </w:pPr>
      <w:r w:rsidRPr="00C97CFB">
        <w:rPr>
          <w:rFonts w:ascii="Times New Roman" w:hAnsi="Times New Roman"/>
          <w:bCs/>
          <w:sz w:val="24"/>
          <w:szCs w:val="24"/>
        </w:rPr>
        <w:t>Druhé pořadí: Nulová varianta</w:t>
      </w:r>
    </w:p>
    <w:p w14:paraId="3B3CBA8F" w14:textId="77777777" w:rsidR="006F7E1F" w:rsidRDefault="006F7E1F" w:rsidP="000F6C37">
      <w:pPr>
        <w:spacing w:before="120" w:after="120"/>
        <w:ind w:firstLine="357"/>
        <w:rPr>
          <w:rFonts w:ascii="Times New Roman" w:hAnsi="Times New Roman"/>
          <w:b/>
          <w:sz w:val="24"/>
          <w:szCs w:val="24"/>
        </w:rPr>
      </w:pPr>
    </w:p>
    <w:p w14:paraId="2B17D7EC" w14:textId="77777777" w:rsidR="00F051FD" w:rsidRPr="00286395" w:rsidRDefault="00F051FD" w:rsidP="000F6C37">
      <w:pPr>
        <w:spacing w:before="120" w:after="120"/>
        <w:ind w:firstLine="357"/>
        <w:rPr>
          <w:rFonts w:ascii="Times New Roman" w:hAnsi="Times New Roman"/>
          <w:b/>
          <w:sz w:val="24"/>
          <w:szCs w:val="24"/>
        </w:rPr>
      </w:pPr>
      <w:r w:rsidRPr="00286395">
        <w:rPr>
          <w:rFonts w:ascii="Times New Roman" w:hAnsi="Times New Roman"/>
          <w:b/>
          <w:sz w:val="24"/>
          <w:szCs w:val="24"/>
        </w:rPr>
        <w:t>5. Implementace doporučené varianty a vynucování</w:t>
      </w:r>
    </w:p>
    <w:p w14:paraId="4CC34C6E" w14:textId="5E3BEA41" w:rsidR="000156F1" w:rsidRDefault="00443CF3" w:rsidP="000F6C37">
      <w:pPr>
        <w:spacing w:before="120" w:after="120"/>
        <w:ind w:left="357"/>
        <w:jc w:val="both"/>
        <w:rPr>
          <w:rFonts w:ascii="Times New Roman" w:hAnsi="Times New Roman"/>
          <w:sz w:val="24"/>
          <w:szCs w:val="24"/>
        </w:rPr>
      </w:pPr>
      <w:r w:rsidRPr="008C65F0">
        <w:rPr>
          <w:rFonts w:ascii="Times New Roman" w:hAnsi="Times New Roman"/>
          <w:sz w:val="24"/>
          <w:szCs w:val="24"/>
        </w:rPr>
        <w:t>Za implementaci navrhované právní úpravy bude odpovědn</w:t>
      </w:r>
      <w:r w:rsidR="00FF4842" w:rsidRPr="008C65F0">
        <w:rPr>
          <w:rFonts w:ascii="Times New Roman" w:hAnsi="Times New Roman"/>
          <w:sz w:val="24"/>
          <w:szCs w:val="24"/>
        </w:rPr>
        <w:t>é</w:t>
      </w:r>
      <w:r w:rsidRPr="008C65F0">
        <w:rPr>
          <w:rFonts w:ascii="Times New Roman" w:hAnsi="Times New Roman"/>
          <w:sz w:val="24"/>
          <w:szCs w:val="24"/>
        </w:rPr>
        <w:t xml:space="preserve"> M</w:t>
      </w:r>
      <w:r w:rsidR="00317D89">
        <w:rPr>
          <w:rFonts w:ascii="Times New Roman" w:hAnsi="Times New Roman"/>
          <w:sz w:val="24"/>
          <w:szCs w:val="24"/>
        </w:rPr>
        <w:t>F</w:t>
      </w:r>
      <w:r w:rsidR="00A850A2">
        <w:rPr>
          <w:rFonts w:ascii="Times New Roman" w:hAnsi="Times New Roman"/>
          <w:sz w:val="24"/>
          <w:szCs w:val="24"/>
        </w:rPr>
        <w:t xml:space="preserve"> a </w:t>
      </w:r>
      <w:r w:rsidR="00FF4842" w:rsidRPr="008C65F0">
        <w:rPr>
          <w:rFonts w:ascii="Times New Roman" w:hAnsi="Times New Roman"/>
          <w:sz w:val="24"/>
          <w:szCs w:val="24"/>
        </w:rPr>
        <w:t>M</w:t>
      </w:r>
      <w:r w:rsidR="00317D89">
        <w:rPr>
          <w:rFonts w:ascii="Times New Roman" w:hAnsi="Times New Roman"/>
          <w:sz w:val="24"/>
          <w:szCs w:val="24"/>
        </w:rPr>
        <w:t>PO</w:t>
      </w:r>
      <w:r w:rsidR="008C65F0" w:rsidRPr="008C65F0">
        <w:rPr>
          <w:rFonts w:ascii="Times New Roman" w:hAnsi="Times New Roman"/>
          <w:sz w:val="24"/>
          <w:szCs w:val="24"/>
        </w:rPr>
        <w:t xml:space="preserve">. </w:t>
      </w:r>
      <w:r w:rsidR="008C65F0" w:rsidRPr="0063370E">
        <w:rPr>
          <w:rFonts w:ascii="Times New Roman" w:hAnsi="Times New Roman"/>
          <w:sz w:val="24"/>
          <w:szCs w:val="24"/>
        </w:rPr>
        <w:t>Implementace navržené právní úpravy bude zajišťována standardními prostředk</w:t>
      </w:r>
      <w:r w:rsidR="008C65F0" w:rsidRPr="00844D2A">
        <w:rPr>
          <w:rFonts w:ascii="Times New Roman" w:hAnsi="Times New Roman"/>
          <w:sz w:val="24"/>
          <w:szCs w:val="24"/>
        </w:rPr>
        <w:t>y výkonu státní správy a</w:t>
      </w:r>
      <w:r w:rsidR="00820ABE">
        <w:rPr>
          <w:rFonts w:ascii="Times New Roman" w:hAnsi="Times New Roman"/>
          <w:sz w:val="24"/>
          <w:szCs w:val="24"/>
        </w:rPr>
        <w:t> </w:t>
      </w:r>
      <w:r w:rsidR="008C65F0" w:rsidRPr="00844D2A">
        <w:rPr>
          <w:rFonts w:ascii="Times New Roman" w:hAnsi="Times New Roman"/>
          <w:sz w:val="24"/>
          <w:szCs w:val="24"/>
        </w:rPr>
        <w:t>dozoru</w:t>
      </w:r>
      <w:r w:rsidR="008C65F0" w:rsidRPr="0063370E">
        <w:rPr>
          <w:rFonts w:ascii="Times New Roman" w:hAnsi="Times New Roman"/>
          <w:sz w:val="24"/>
          <w:szCs w:val="24"/>
        </w:rPr>
        <w:t>.</w:t>
      </w:r>
      <w:r w:rsidR="008C65F0" w:rsidRPr="00844D2A">
        <w:rPr>
          <w:rFonts w:ascii="Times New Roman" w:hAnsi="Times New Roman"/>
          <w:sz w:val="24"/>
          <w:szCs w:val="24"/>
        </w:rPr>
        <w:t xml:space="preserve"> </w:t>
      </w:r>
      <w:r w:rsidR="000156F1" w:rsidRPr="008C65F0">
        <w:rPr>
          <w:rFonts w:ascii="Times New Roman" w:hAnsi="Times New Roman"/>
          <w:sz w:val="24"/>
          <w:szCs w:val="24"/>
        </w:rPr>
        <w:t xml:space="preserve">Implementovat povinnosti ze zákona </w:t>
      </w:r>
      <w:r w:rsidR="006A19A6" w:rsidRPr="0073392D">
        <w:rPr>
          <w:rFonts w:ascii="Times New Roman" w:hAnsi="Times New Roman"/>
          <w:sz w:val="24"/>
          <w:szCs w:val="24"/>
        </w:rPr>
        <w:t>č.</w:t>
      </w:r>
      <w:r w:rsidR="00546BFC">
        <w:rPr>
          <w:rFonts w:ascii="Times New Roman" w:hAnsi="Times New Roman"/>
          <w:sz w:val="24"/>
          <w:szCs w:val="24"/>
        </w:rPr>
        <w:t> </w:t>
      </w:r>
      <w:r w:rsidR="006A19A6" w:rsidRPr="0073392D">
        <w:rPr>
          <w:rFonts w:ascii="Times New Roman" w:hAnsi="Times New Roman"/>
          <w:sz w:val="24"/>
          <w:szCs w:val="24"/>
        </w:rPr>
        <w:t>58/1995 Sb.</w:t>
      </w:r>
      <w:r w:rsidR="006A19A6">
        <w:rPr>
          <w:rFonts w:ascii="Times New Roman" w:hAnsi="Times New Roman"/>
          <w:sz w:val="24"/>
          <w:szCs w:val="24"/>
        </w:rPr>
        <w:t xml:space="preserve"> </w:t>
      </w:r>
      <w:r w:rsidR="000156F1" w:rsidRPr="008C65F0">
        <w:rPr>
          <w:rFonts w:ascii="Times New Roman" w:hAnsi="Times New Roman"/>
          <w:sz w:val="24"/>
          <w:szCs w:val="24"/>
        </w:rPr>
        <w:t>budou obecně dotčené subjekty, viz identifikace a</w:t>
      </w:r>
      <w:r w:rsidR="00766458">
        <w:rPr>
          <w:rFonts w:ascii="Times New Roman" w:hAnsi="Times New Roman"/>
          <w:sz w:val="24"/>
          <w:szCs w:val="24"/>
        </w:rPr>
        <w:t> </w:t>
      </w:r>
      <w:r w:rsidR="000156F1" w:rsidRPr="008C65F0">
        <w:rPr>
          <w:rFonts w:ascii="Times New Roman" w:hAnsi="Times New Roman"/>
          <w:sz w:val="24"/>
          <w:szCs w:val="24"/>
        </w:rPr>
        <w:t>rozbor v části 1.4.</w:t>
      </w:r>
    </w:p>
    <w:p w14:paraId="57C98F07" w14:textId="77777777" w:rsidR="00CD2C8A" w:rsidRDefault="00CD2C8A" w:rsidP="000F6C37">
      <w:pPr>
        <w:spacing w:before="120" w:after="120"/>
        <w:ind w:firstLine="357"/>
        <w:rPr>
          <w:rFonts w:ascii="Times New Roman" w:hAnsi="Times New Roman"/>
          <w:b/>
          <w:sz w:val="24"/>
          <w:szCs w:val="24"/>
        </w:rPr>
      </w:pPr>
    </w:p>
    <w:p w14:paraId="7745FE41" w14:textId="77777777" w:rsidR="00C7626C" w:rsidRDefault="00F051FD" w:rsidP="000F6C37">
      <w:pPr>
        <w:spacing w:before="120" w:after="120"/>
        <w:ind w:firstLine="357"/>
        <w:rPr>
          <w:rFonts w:ascii="Times New Roman" w:hAnsi="Times New Roman"/>
          <w:b/>
          <w:sz w:val="24"/>
          <w:szCs w:val="24"/>
        </w:rPr>
      </w:pPr>
      <w:r w:rsidRPr="00286395">
        <w:rPr>
          <w:rFonts w:ascii="Times New Roman" w:hAnsi="Times New Roman"/>
          <w:b/>
          <w:sz w:val="24"/>
          <w:szCs w:val="24"/>
        </w:rPr>
        <w:t>6. Přezkum účinnosti regulace</w:t>
      </w:r>
    </w:p>
    <w:p w14:paraId="5337FFEB" w14:textId="45E259AF" w:rsidR="00F051FD" w:rsidRDefault="00F051FD" w:rsidP="000F6C37">
      <w:pPr>
        <w:spacing w:before="120" w:after="120"/>
        <w:ind w:left="357"/>
        <w:jc w:val="both"/>
        <w:rPr>
          <w:rFonts w:ascii="Times New Roman" w:hAnsi="Times New Roman"/>
          <w:sz w:val="24"/>
          <w:szCs w:val="24"/>
        </w:rPr>
      </w:pPr>
      <w:r w:rsidRPr="00286395">
        <w:rPr>
          <w:rFonts w:ascii="Times New Roman" w:hAnsi="Times New Roman"/>
          <w:sz w:val="24"/>
          <w:szCs w:val="24"/>
        </w:rPr>
        <w:t>Jako perioda přiměřená pro přezkum účinnosti implementovaných opatření a pro</w:t>
      </w:r>
      <w:r w:rsidR="00EC7633">
        <w:rPr>
          <w:rFonts w:ascii="Times New Roman" w:hAnsi="Times New Roman"/>
          <w:sz w:val="24"/>
          <w:szCs w:val="24"/>
        </w:rPr>
        <w:t> </w:t>
      </w:r>
      <w:r w:rsidRPr="00286395">
        <w:rPr>
          <w:rFonts w:ascii="Times New Roman" w:hAnsi="Times New Roman"/>
          <w:sz w:val="24"/>
          <w:szCs w:val="24"/>
        </w:rPr>
        <w:t xml:space="preserve">zhodnocení pokroku při dosahování cílů se doporučuje doba </w:t>
      </w:r>
      <w:r w:rsidR="00954842">
        <w:rPr>
          <w:rFonts w:ascii="Times New Roman" w:hAnsi="Times New Roman"/>
          <w:sz w:val="24"/>
          <w:szCs w:val="24"/>
        </w:rPr>
        <w:t>5</w:t>
      </w:r>
      <w:r w:rsidRPr="00286395">
        <w:rPr>
          <w:rFonts w:ascii="Times New Roman" w:hAnsi="Times New Roman"/>
          <w:sz w:val="24"/>
          <w:szCs w:val="24"/>
        </w:rPr>
        <w:t xml:space="preserve"> let. Tato perioda je dostatečná pro shromáždění potřebného objemu dat relevantních pro přezkum účinnosti a podnětů od dotčených subjektů a zároveň </w:t>
      </w:r>
      <w:r w:rsidR="00C7639E">
        <w:rPr>
          <w:rFonts w:ascii="Times New Roman" w:hAnsi="Times New Roman"/>
          <w:sz w:val="24"/>
          <w:szCs w:val="24"/>
        </w:rPr>
        <w:t>přiměřeně dlouhá</w:t>
      </w:r>
      <w:r w:rsidRPr="00286395">
        <w:rPr>
          <w:rFonts w:ascii="Times New Roman" w:hAnsi="Times New Roman"/>
          <w:sz w:val="24"/>
          <w:szCs w:val="24"/>
        </w:rPr>
        <w:t xml:space="preserve"> na to, aby nedošlo k přehlcení systému velkým objemem nových podnětů a navrhovaných změn. </w:t>
      </w:r>
    </w:p>
    <w:p w14:paraId="2661C166" w14:textId="77777777" w:rsidR="00E2159A" w:rsidRDefault="002B676E" w:rsidP="000F6C37">
      <w:pPr>
        <w:spacing w:before="120" w:after="120"/>
        <w:ind w:left="357"/>
        <w:jc w:val="both"/>
        <w:rPr>
          <w:rFonts w:ascii="Times New Roman" w:hAnsi="Times New Roman"/>
          <w:sz w:val="24"/>
          <w:szCs w:val="24"/>
        </w:rPr>
      </w:pPr>
      <w:r w:rsidRPr="00B87455">
        <w:rPr>
          <w:rFonts w:ascii="Times New Roman" w:hAnsi="Times New Roman"/>
          <w:sz w:val="24"/>
          <w:szCs w:val="24"/>
        </w:rPr>
        <w:t xml:space="preserve">Délka přezkumné doby bere rovněž v úvahu skutečnost, že obsahem úprav je nové a dynamické </w:t>
      </w:r>
      <w:r>
        <w:rPr>
          <w:rFonts w:ascii="Times New Roman" w:hAnsi="Times New Roman"/>
          <w:sz w:val="24"/>
          <w:szCs w:val="24"/>
        </w:rPr>
        <w:t>nastavení některých aspektů systému</w:t>
      </w:r>
      <w:r w:rsidRPr="00B87455">
        <w:rPr>
          <w:rFonts w:ascii="Times New Roman" w:hAnsi="Times New Roman"/>
          <w:sz w:val="24"/>
          <w:szCs w:val="24"/>
        </w:rPr>
        <w:t>, kde lze v tomto časovém horizontu předpokládat nashromáždění většího objemu dat z denní praxe.</w:t>
      </w:r>
    </w:p>
    <w:p w14:paraId="0F453688" w14:textId="48530A2B" w:rsidR="00552E17" w:rsidRDefault="00552E17" w:rsidP="002B676E">
      <w:pPr>
        <w:spacing w:before="120" w:after="120"/>
        <w:ind w:left="357"/>
        <w:jc w:val="both"/>
        <w:rPr>
          <w:rFonts w:ascii="Times New Roman" w:hAnsi="Times New Roman"/>
          <w:sz w:val="24"/>
          <w:szCs w:val="24"/>
        </w:rPr>
      </w:pPr>
      <w:r w:rsidRPr="002B676E">
        <w:rPr>
          <w:rFonts w:ascii="Times New Roman" w:hAnsi="Times New Roman"/>
          <w:sz w:val="24"/>
          <w:szCs w:val="24"/>
        </w:rPr>
        <w:t xml:space="preserve">Lze </w:t>
      </w:r>
      <w:r w:rsidR="002B676E">
        <w:rPr>
          <w:rFonts w:ascii="Times New Roman" w:hAnsi="Times New Roman"/>
          <w:sz w:val="24"/>
          <w:szCs w:val="24"/>
        </w:rPr>
        <w:t>jen obtížně</w:t>
      </w:r>
      <w:r w:rsidRPr="002B676E">
        <w:rPr>
          <w:rFonts w:ascii="Times New Roman" w:hAnsi="Times New Roman"/>
          <w:sz w:val="24"/>
          <w:szCs w:val="24"/>
        </w:rPr>
        <w:t xml:space="preserve"> stanovit měřitelné indikátory, na jejichž základě by bylo možné jednoznačně měřit naplňování vytčených cílů </w:t>
      </w:r>
      <w:r w:rsidR="00AF68D5">
        <w:rPr>
          <w:rFonts w:ascii="Times New Roman" w:hAnsi="Times New Roman"/>
          <w:sz w:val="24"/>
          <w:szCs w:val="24"/>
        </w:rPr>
        <w:t>navrhovaných změn</w:t>
      </w:r>
      <w:r w:rsidRPr="002B676E">
        <w:rPr>
          <w:rFonts w:ascii="Times New Roman" w:hAnsi="Times New Roman"/>
          <w:sz w:val="24"/>
          <w:szCs w:val="24"/>
        </w:rPr>
        <w:t>, případně zjišťovat přesnost jejich nastavení. Nicméně dílčí plnění nastavených cílů lze průběžně ověřovat ze</w:t>
      </w:r>
      <w:r w:rsidR="00766458">
        <w:rPr>
          <w:rFonts w:ascii="Times New Roman" w:hAnsi="Times New Roman"/>
          <w:sz w:val="24"/>
          <w:szCs w:val="24"/>
        </w:rPr>
        <w:t> </w:t>
      </w:r>
      <w:r w:rsidRPr="002B676E">
        <w:rPr>
          <w:rFonts w:ascii="Times New Roman" w:hAnsi="Times New Roman"/>
          <w:sz w:val="24"/>
          <w:szCs w:val="24"/>
        </w:rPr>
        <w:t xml:space="preserve">statistik vedených v rámci systému </w:t>
      </w:r>
      <w:r w:rsidR="00EB67FF">
        <w:rPr>
          <w:rFonts w:ascii="Times New Roman" w:hAnsi="Times New Roman"/>
          <w:sz w:val="24"/>
          <w:szCs w:val="24"/>
        </w:rPr>
        <w:t>podpory exportu</w:t>
      </w:r>
      <w:r w:rsidRPr="002B676E">
        <w:rPr>
          <w:rFonts w:ascii="Times New Roman" w:hAnsi="Times New Roman"/>
          <w:sz w:val="24"/>
          <w:szCs w:val="24"/>
        </w:rPr>
        <w:t xml:space="preserve">, ze kterých je možné vysledovat počty podpořených </w:t>
      </w:r>
      <w:r w:rsidR="00EB67FF">
        <w:rPr>
          <w:rFonts w:ascii="Times New Roman" w:hAnsi="Times New Roman"/>
          <w:sz w:val="24"/>
          <w:szCs w:val="24"/>
        </w:rPr>
        <w:t>obchodních případů</w:t>
      </w:r>
      <w:r w:rsidRPr="002B676E">
        <w:rPr>
          <w:rFonts w:ascii="Times New Roman" w:hAnsi="Times New Roman"/>
          <w:sz w:val="24"/>
          <w:szCs w:val="24"/>
        </w:rPr>
        <w:t xml:space="preserve"> i</w:t>
      </w:r>
      <w:r w:rsidR="00EB67FF">
        <w:rPr>
          <w:rFonts w:ascii="Times New Roman" w:hAnsi="Times New Roman"/>
          <w:sz w:val="24"/>
          <w:szCs w:val="24"/>
        </w:rPr>
        <w:t xml:space="preserve"> jejich </w:t>
      </w:r>
      <w:r w:rsidRPr="002B676E">
        <w:rPr>
          <w:rFonts w:ascii="Times New Roman" w:hAnsi="Times New Roman"/>
          <w:sz w:val="24"/>
          <w:szCs w:val="24"/>
        </w:rPr>
        <w:t>hlavní parametry.</w:t>
      </w:r>
      <w:r w:rsidR="00485460">
        <w:rPr>
          <w:rFonts w:ascii="Times New Roman" w:hAnsi="Times New Roman"/>
          <w:sz w:val="24"/>
          <w:szCs w:val="24"/>
        </w:rPr>
        <w:t xml:space="preserve"> V jednotlivých oblastech lze sledovat účinnost regulace</w:t>
      </w:r>
      <w:r w:rsidR="00D32E68">
        <w:rPr>
          <w:rFonts w:ascii="Times New Roman" w:hAnsi="Times New Roman"/>
          <w:sz w:val="24"/>
          <w:szCs w:val="24"/>
        </w:rPr>
        <w:t xml:space="preserve"> podle následujících indikátorů</w:t>
      </w:r>
      <w:r w:rsidR="00485460">
        <w:rPr>
          <w:rFonts w:ascii="Times New Roman" w:hAnsi="Times New Roman"/>
          <w:sz w:val="24"/>
          <w:szCs w:val="24"/>
        </w:rPr>
        <w:t>:</w:t>
      </w:r>
    </w:p>
    <w:p w14:paraId="208D1E47" w14:textId="082EF992" w:rsidR="007F4CDB" w:rsidRPr="00CD2C8A" w:rsidRDefault="007C5471" w:rsidP="00CD2C8A">
      <w:pPr>
        <w:pStyle w:val="Odstavecseseznamem"/>
        <w:numPr>
          <w:ilvl w:val="0"/>
          <w:numId w:val="29"/>
        </w:numPr>
        <w:spacing w:before="120" w:after="120"/>
        <w:jc w:val="both"/>
        <w:rPr>
          <w:rFonts w:ascii="Times New Roman" w:hAnsi="Times New Roman"/>
          <w:sz w:val="24"/>
          <w:szCs w:val="24"/>
        </w:rPr>
      </w:pPr>
      <w:r>
        <w:rPr>
          <w:rFonts w:ascii="Times New Roman" w:hAnsi="Times New Roman"/>
          <w:sz w:val="24"/>
          <w:szCs w:val="24"/>
        </w:rPr>
        <w:t>p</w:t>
      </w:r>
      <w:bookmarkStart w:id="0" w:name="_GoBack"/>
      <w:bookmarkEnd w:id="0"/>
      <w:r w:rsidR="007F4CDB" w:rsidRPr="00CD2C8A">
        <w:rPr>
          <w:rFonts w:ascii="Times New Roman" w:hAnsi="Times New Roman"/>
          <w:sz w:val="24"/>
          <w:szCs w:val="24"/>
        </w:rPr>
        <w:t>očet nov</w:t>
      </w:r>
      <w:r w:rsidR="00217DEA" w:rsidRPr="00CD2C8A">
        <w:rPr>
          <w:rFonts w:ascii="Times New Roman" w:hAnsi="Times New Roman"/>
          <w:sz w:val="24"/>
          <w:szCs w:val="24"/>
        </w:rPr>
        <w:t>ě zavedený</w:t>
      </w:r>
      <w:r w:rsidR="007F4CDB" w:rsidRPr="00CD2C8A">
        <w:rPr>
          <w:rFonts w:ascii="Times New Roman" w:hAnsi="Times New Roman"/>
          <w:sz w:val="24"/>
          <w:szCs w:val="24"/>
        </w:rPr>
        <w:t>ch nástrojů</w:t>
      </w:r>
      <w:r w:rsidR="00217DEA" w:rsidRPr="00CD2C8A">
        <w:rPr>
          <w:rFonts w:ascii="Times New Roman" w:hAnsi="Times New Roman"/>
          <w:sz w:val="24"/>
          <w:szCs w:val="24"/>
        </w:rPr>
        <w:t xml:space="preserve"> a </w:t>
      </w:r>
      <w:r w:rsidR="00CD2C8A">
        <w:rPr>
          <w:rFonts w:ascii="Times New Roman" w:hAnsi="Times New Roman"/>
          <w:sz w:val="24"/>
          <w:szCs w:val="24"/>
        </w:rPr>
        <w:t xml:space="preserve">dále pak </w:t>
      </w:r>
      <w:r w:rsidR="00217DEA" w:rsidRPr="00CD2C8A">
        <w:rPr>
          <w:rFonts w:ascii="Times New Roman" w:hAnsi="Times New Roman"/>
          <w:sz w:val="24"/>
          <w:szCs w:val="24"/>
        </w:rPr>
        <w:t>počet schválených a zamítnutých žádostí o</w:t>
      </w:r>
      <w:r w:rsidR="00CD2C8A">
        <w:rPr>
          <w:rFonts w:ascii="Times New Roman" w:hAnsi="Times New Roman"/>
          <w:sz w:val="24"/>
          <w:szCs w:val="24"/>
        </w:rPr>
        <w:t> </w:t>
      </w:r>
      <w:r w:rsidR="00217DEA" w:rsidRPr="00CD2C8A">
        <w:rPr>
          <w:rFonts w:ascii="Times New Roman" w:hAnsi="Times New Roman"/>
          <w:sz w:val="24"/>
          <w:szCs w:val="24"/>
        </w:rPr>
        <w:t>zavedení nového nástroje</w:t>
      </w:r>
      <w:r w:rsidR="007F4CDB" w:rsidRPr="00CD2C8A">
        <w:rPr>
          <w:rFonts w:ascii="Times New Roman" w:hAnsi="Times New Roman"/>
          <w:sz w:val="24"/>
          <w:szCs w:val="24"/>
        </w:rPr>
        <w:t>, a to jak u exportní banky, tak u exportní pojišťovny</w:t>
      </w:r>
      <w:r w:rsidR="00CD2C8A">
        <w:rPr>
          <w:rFonts w:ascii="Times New Roman" w:hAnsi="Times New Roman"/>
          <w:sz w:val="24"/>
          <w:szCs w:val="24"/>
        </w:rPr>
        <w:t>,</w:t>
      </w:r>
      <w:r w:rsidR="007F4CDB" w:rsidRPr="00CD2C8A">
        <w:rPr>
          <w:rFonts w:ascii="Times New Roman" w:hAnsi="Times New Roman"/>
          <w:sz w:val="24"/>
          <w:szCs w:val="24"/>
        </w:rPr>
        <w:t xml:space="preserve"> vzhledem k zavedení počtu nových nástrojů v období pěti let před nabytím účinnosti novely zákona č. 58/1995 Sb.</w:t>
      </w:r>
      <w:r w:rsidR="00CD2C8A">
        <w:rPr>
          <w:rFonts w:ascii="Times New Roman" w:hAnsi="Times New Roman"/>
          <w:sz w:val="24"/>
          <w:szCs w:val="24"/>
        </w:rPr>
        <w:t>;</w:t>
      </w:r>
    </w:p>
    <w:p w14:paraId="00D21FB4" w14:textId="47F78FC7" w:rsidR="007F4CDB" w:rsidRPr="00CD2C8A" w:rsidRDefault="007F4CDB" w:rsidP="00CD2C8A">
      <w:pPr>
        <w:pStyle w:val="Odstavecseseznamem"/>
        <w:numPr>
          <w:ilvl w:val="0"/>
          <w:numId w:val="29"/>
        </w:numPr>
        <w:spacing w:before="120" w:after="120"/>
        <w:jc w:val="both"/>
        <w:rPr>
          <w:rFonts w:ascii="Times New Roman" w:hAnsi="Times New Roman"/>
          <w:sz w:val="24"/>
          <w:szCs w:val="24"/>
        </w:rPr>
      </w:pPr>
      <w:r w:rsidRPr="00CD2C8A">
        <w:rPr>
          <w:rFonts w:ascii="Times New Roman" w:hAnsi="Times New Roman"/>
          <w:sz w:val="24"/>
          <w:szCs w:val="24"/>
        </w:rPr>
        <w:t>náklady</w:t>
      </w:r>
      <w:r w:rsidR="00812324" w:rsidRPr="00CD2C8A">
        <w:rPr>
          <w:rFonts w:ascii="Times New Roman" w:hAnsi="Times New Roman"/>
          <w:sz w:val="24"/>
          <w:szCs w:val="24"/>
        </w:rPr>
        <w:t xml:space="preserve"> exportní banky</w:t>
      </w:r>
      <w:r w:rsidRPr="00CD2C8A">
        <w:rPr>
          <w:rFonts w:ascii="Times New Roman" w:hAnsi="Times New Roman"/>
          <w:sz w:val="24"/>
          <w:szCs w:val="24"/>
        </w:rPr>
        <w:t xml:space="preserve"> na dluhopisy po skončení období pěti let od nabytí účinnosti novely zákona č.</w:t>
      </w:r>
      <w:r w:rsidR="00820ABE" w:rsidRPr="00CD2C8A">
        <w:rPr>
          <w:rFonts w:ascii="Times New Roman" w:hAnsi="Times New Roman"/>
          <w:sz w:val="24"/>
          <w:szCs w:val="24"/>
        </w:rPr>
        <w:t> </w:t>
      </w:r>
      <w:r w:rsidRPr="00CD2C8A">
        <w:rPr>
          <w:rFonts w:ascii="Times New Roman" w:hAnsi="Times New Roman"/>
          <w:sz w:val="24"/>
          <w:szCs w:val="24"/>
        </w:rPr>
        <w:t>58/1995 Sb. vzhledem k výši indikátoru za období pěti let před nabytím účinnosti novely zákona č. 58/1995 Sb.</w:t>
      </w:r>
      <w:r w:rsidR="00CD2C8A">
        <w:rPr>
          <w:rFonts w:ascii="Times New Roman" w:hAnsi="Times New Roman"/>
          <w:sz w:val="24"/>
          <w:szCs w:val="24"/>
        </w:rPr>
        <w:t>;</w:t>
      </w:r>
      <w:r w:rsidRPr="00CD2C8A">
        <w:rPr>
          <w:rFonts w:ascii="Times New Roman" w:hAnsi="Times New Roman"/>
          <w:sz w:val="24"/>
          <w:szCs w:val="24"/>
        </w:rPr>
        <w:t xml:space="preserve"> </w:t>
      </w:r>
    </w:p>
    <w:p w14:paraId="1816EEE5" w14:textId="4693C6F2" w:rsidR="007F4CDB" w:rsidRPr="00CD2C8A" w:rsidRDefault="007F4CDB" w:rsidP="00CD2C8A">
      <w:pPr>
        <w:pStyle w:val="Odstavecseseznamem"/>
        <w:numPr>
          <w:ilvl w:val="0"/>
          <w:numId w:val="29"/>
        </w:numPr>
        <w:spacing w:before="120" w:after="120"/>
        <w:jc w:val="both"/>
        <w:rPr>
          <w:rFonts w:ascii="Times New Roman" w:hAnsi="Times New Roman"/>
          <w:sz w:val="24"/>
          <w:szCs w:val="24"/>
        </w:rPr>
      </w:pPr>
      <w:r w:rsidRPr="00CD2C8A">
        <w:rPr>
          <w:rFonts w:ascii="Times New Roman" w:hAnsi="Times New Roman"/>
          <w:sz w:val="24"/>
          <w:szCs w:val="24"/>
        </w:rPr>
        <w:t>nároky na dotace ze</w:t>
      </w:r>
      <w:r w:rsidR="00820ABE" w:rsidRPr="00CD2C8A">
        <w:rPr>
          <w:rFonts w:ascii="Times New Roman" w:hAnsi="Times New Roman"/>
          <w:sz w:val="24"/>
          <w:szCs w:val="24"/>
        </w:rPr>
        <w:t> </w:t>
      </w:r>
      <w:r w:rsidRPr="00CD2C8A">
        <w:rPr>
          <w:rFonts w:ascii="Times New Roman" w:hAnsi="Times New Roman"/>
          <w:sz w:val="24"/>
          <w:szCs w:val="24"/>
        </w:rPr>
        <w:t>státního rozpočtu uplatněné ze strany exportní banky a exportní pojišťovny na obchodní případy uzavřené po nabytí účinnosti této navrhované novely zákona č.</w:t>
      </w:r>
      <w:r w:rsidR="00820ABE" w:rsidRPr="00CD2C8A">
        <w:rPr>
          <w:rFonts w:ascii="Times New Roman" w:hAnsi="Times New Roman"/>
          <w:sz w:val="24"/>
          <w:szCs w:val="24"/>
        </w:rPr>
        <w:t> </w:t>
      </w:r>
      <w:r w:rsidRPr="00CD2C8A">
        <w:rPr>
          <w:rFonts w:ascii="Times New Roman" w:hAnsi="Times New Roman"/>
          <w:sz w:val="24"/>
          <w:szCs w:val="24"/>
        </w:rPr>
        <w:t>58/1995 Sb., které se budou v dlouhodobém měřítku snižovat oproti dosavadní úrovni nároků uplatněných vůči státnímu rozpočtu ze strany expor</w:t>
      </w:r>
      <w:r w:rsidR="00CD2C8A">
        <w:rPr>
          <w:rFonts w:ascii="Times New Roman" w:hAnsi="Times New Roman"/>
          <w:sz w:val="24"/>
          <w:szCs w:val="24"/>
        </w:rPr>
        <w:t>tní banky a exportní pojišťovny;</w:t>
      </w:r>
    </w:p>
    <w:p w14:paraId="596D01AC" w14:textId="424578AB" w:rsidR="008A13F2" w:rsidRPr="00CD2C8A" w:rsidRDefault="008A13F2" w:rsidP="00CD2C8A">
      <w:pPr>
        <w:pStyle w:val="Odstavecseseznamem"/>
        <w:numPr>
          <w:ilvl w:val="0"/>
          <w:numId w:val="29"/>
        </w:numPr>
        <w:spacing w:before="120" w:after="120"/>
        <w:jc w:val="both"/>
        <w:rPr>
          <w:rFonts w:ascii="Times New Roman" w:hAnsi="Times New Roman"/>
          <w:sz w:val="24"/>
          <w:szCs w:val="24"/>
        </w:rPr>
      </w:pPr>
      <w:r w:rsidRPr="00CD2C8A">
        <w:rPr>
          <w:rFonts w:ascii="Times New Roman" w:hAnsi="Times New Roman"/>
          <w:sz w:val="24"/>
          <w:szCs w:val="24"/>
        </w:rPr>
        <w:t>počet nově nabytých právnických osob, a to jak u exportní banky, tak u exportní pojišťovny</w:t>
      </w:r>
      <w:r w:rsidR="00CD2C8A">
        <w:rPr>
          <w:rFonts w:ascii="Times New Roman" w:hAnsi="Times New Roman"/>
          <w:sz w:val="24"/>
          <w:szCs w:val="24"/>
        </w:rPr>
        <w:t>,</w:t>
      </w:r>
      <w:r w:rsidRPr="00CD2C8A">
        <w:rPr>
          <w:rFonts w:ascii="Times New Roman" w:hAnsi="Times New Roman"/>
          <w:sz w:val="24"/>
          <w:szCs w:val="24"/>
        </w:rPr>
        <w:t xml:space="preserve"> vzhledem k zavedení počtu nových nástrojů v období pěti let před nabytím účinnosti novely zákona č. 58/1995 Sb.</w:t>
      </w:r>
      <w:r w:rsidR="00CD2C8A">
        <w:rPr>
          <w:rFonts w:ascii="Times New Roman" w:hAnsi="Times New Roman"/>
          <w:sz w:val="24"/>
          <w:szCs w:val="24"/>
        </w:rPr>
        <w:t>;</w:t>
      </w:r>
    </w:p>
    <w:p w14:paraId="210F59EE" w14:textId="05B299A9" w:rsidR="007F4CDB" w:rsidRPr="00CD2C8A" w:rsidRDefault="007F4CDB" w:rsidP="00CD2C8A">
      <w:pPr>
        <w:pStyle w:val="Odstavecseseznamem"/>
        <w:numPr>
          <w:ilvl w:val="0"/>
          <w:numId w:val="29"/>
        </w:numPr>
        <w:spacing w:before="120" w:after="120"/>
        <w:jc w:val="both"/>
        <w:rPr>
          <w:rFonts w:ascii="Times New Roman" w:hAnsi="Times New Roman"/>
          <w:sz w:val="24"/>
          <w:szCs w:val="24"/>
        </w:rPr>
      </w:pPr>
      <w:r w:rsidRPr="00CD2C8A">
        <w:rPr>
          <w:rFonts w:ascii="Times New Roman" w:hAnsi="Times New Roman"/>
          <w:sz w:val="24"/>
          <w:szCs w:val="24"/>
        </w:rPr>
        <w:t xml:space="preserve">počet </w:t>
      </w:r>
      <w:r w:rsidR="00A32FD5" w:rsidRPr="00CD2C8A">
        <w:rPr>
          <w:rFonts w:ascii="Times New Roman" w:hAnsi="Times New Roman"/>
          <w:sz w:val="24"/>
          <w:szCs w:val="24"/>
        </w:rPr>
        <w:t>obchodních případů předložených ke schválení vládou a podíl vládou schválených obchodních případů z počtu obchodních případů předložených ke schválení vládou</w:t>
      </w:r>
      <w:r w:rsidRPr="00CD2C8A">
        <w:rPr>
          <w:rFonts w:ascii="Times New Roman" w:hAnsi="Times New Roman"/>
          <w:sz w:val="24"/>
          <w:szCs w:val="24"/>
        </w:rPr>
        <w:t>, a to jak u exportní banky, tak u exportní pojišťovny</w:t>
      </w:r>
      <w:r w:rsidR="00CD2C8A">
        <w:rPr>
          <w:rFonts w:ascii="Times New Roman" w:hAnsi="Times New Roman"/>
          <w:sz w:val="24"/>
          <w:szCs w:val="24"/>
        </w:rPr>
        <w:t>,</w:t>
      </w:r>
      <w:r w:rsidRPr="00CD2C8A">
        <w:rPr>
          <w:rFonts w:ascii="Times New Roman" w:hAnsi="Times New Roman"/>
          <w:sz w:val="24"/>
          <w:szCs w:val="24"/>
        </w:rPr>
        <w:t xml:space="preserve"> vzhledem k zavedení počtu nových nástrojů v období pěti let před nabytím účinnosti novely zákona č. 58/1995 Sb</w:t>
      </w:r>
      <w:r w:rsidR="001764EC" w:rsidRPr="00CD2C8A">
        <w:rPr>
          <w:rFonts w:ascii="Times New Roman" w:hAnsi="Times New Roman"/>
          <w:sz w:val="24"/>
          <w:szCs w:val="24"/>
        </w:rPr>
        <w:t>.</w:t>
      </w:r>
      <w:r w:rsidR="00CD2C8A">
        <w:rPr>
          <w:rFonts w:ascii="Times New Roman" w:hAnsi="Times New Roman"/>
          <w:sz w:val="24"/>
          <w:szCs w:val="24"/>
        </w:rPr>
        <w:t>;</w:t>
      </w:r>
    </w:p>
    <w:p w14:paraId="6719C947" w14:textId="3FD1D84A" w:rsidR="007F4CDB" w:rsidRPr="00CD2C8A" w:rsidRDefault="007F4CDB" w:rsidP="00CD2C8A">
      <w:pPr>
        <w:pStyle w:val="Odstavecseseznamem"/>
        <w:numPr>
          <w:ilvl w:val="0"/>
          <w:numId w:val="29"/>
        </w:numPr>
        <w:spacing w:before="120" w:after="120"/>
        <w:jc w:val="both"/>
        <w:rPr>
          <w:rFonts w:ascii="Times New Roman" w:hAnsi="Times New Roman"/>
          <w:sz w:val="24"/>
          <w:szCs w:val="24"/>
        </w:rPr>
      </w:pPr>
      <w:r w:rsidRPr="00CD2C8A">
        <w:rPr>
          <w:rFonts w:ascii="Times New Roman" w:hAnsi="Times New Roman"/>
          <w:sz w:val="24"/>
          <w:szCs w:val="24"/>
        </w:rPr>
        <w:t>roční alokovaná výše peněžních prostředků na dorovnávání úrokových rozdílů ve státním rozpočtu, která nebyla čerpána z důvodu nepotřebnosti</w:t>
      </w:r>
      <w:r w:rsidR="00CD2C8A">
        <w:rPr>
          <w:rFonts w:ascii="Times New Roman" w:hAnsi="Times New Roman"/>
          <w:sz w:val="24"/>
          <w:szCs w:val="24"/>
        </w:rPr>
        <w:t>,</w:t>
      </w:r>
      <w:r w:rsidRPr="00CD2C8A">
        <w:rPr>
          <w:rFonts w:ascii="Times New Roman" w:hAnsi="Times New Roman"/>
          <w:sz w:val="24"/>
          <w:szCs w:val="24"/>
        </w:rPr>
        <w:t xml:space="preserve"> a to vzhledem ke stavu indikátoru v období pěti let po nabytí účinnosti novely zákona č. 58/1995 Sb.</w:t>
      </w:r>
      <w:r w:rsidR="00CD2C8A">
        <w:rPr>
          <w:rFonts w:ascii="Times New Roman" w:hAnsi="Times New Roman"/>
          <w:sz w:val="24"/>
          <w:szCs w:val="24"/>
        </w:rPr>
        <w:t>;</w:t>
      </w:r>
    </w:p>
    <w:p w14:paraId="634B96A3" w14:textId="30A0D7C6" w:rsidR="007F4CDB" w:rsidRPr="00CD2C8A" w:rsidRDefault="007F4CDB" w:rsidP="00CD2C8A">
      <w:pPr>
        <w:pStyle w:val="Odstavecseseznamem"/>
        <w:numPr>
          <w:ilvl w:val="0"/>
          <w:numId w:val="29"/>
        </w:numPr>
        <w:spacing w:before="120" w:after="120"/>
        <w:jc w:val="both"/>
        <w:rPr>
          <w:rFonts w:ascii="Times New Roman" w:hAnsi="Times New Roman"/>
          <w:sz w:val="24"/>
          <w:szCs w:val="24"/>
        </w:rPr>
      </w:pPr>
      <w:r w:rsidRPr="00CD2C8A">
        <w:rPr>
          <w:rFonts w:ascii="Times New Roman" w:hAnsi="Times New Roman"/>
          <w:sz w:val="24"/>
          <w:szCs w:val="24"/>
        </w:rPr>
        <w:t>odstranění každoroční fixní částky ve výši 250 mil. Kč alokované ve státním rozpočtu na jediný účel, ačkoliv takový účel v rozpočtovém období nenastal</w:t>
      </w:r>
      <w:r w:rsidR="00CD2C8A">
        <w:rPr>
          <w:rFonts w:ascii="Times New Roman" w:hAnsi="Times New Roman"/>
          <w:sz w:val="24"/>
          <w:szCs w:val="24"/>
        </w:rPr>
        <w:t>;</w:t>
      </w:r>
    </w:p>
    <w:p w14:paraId="78D2FEE6" w14:textId="17928971" w:rsidR="007F4CDB" w:rsidRPr="00CD2C8A" w:rsidRDefault="007F4CDB" w:rsidP="00CD2C8A">
      <w:pPr>
        <w:pStyle w:val="Odstavecseseznamem"/>
        <w:numPr>
          <w:ilvl w:val="0"/>
          <w:numId w:val="29"/>
        </w:numPr>
        <w:spacing w:before="120" w:after="120"/>
        <w:jc w:val="both"/>
        <w:rPr>
          <w:rFonts w:ascii="Times New Roman" w:hAnsi="Times New Roman"/>
          <w:sz w:val="24"/>
          <w:szCs w:val="24"/>
        </w:rPr>
      </w:pPr>
      <w:r w:rsidRPr="00CD2C8A">
        <w:rPr>
          <w:rFonts w:ascii="Times New Roman" w:hAnsi="Times New Roman"/>
          <w:sz w:val="24"/>
          <w:szCs w:val="24"/>
        </w:rPr>
        <w:t>počet provedených kontrol v exportní pojišťovně vzhle</w:t>
      </w:r>
      <w:r w:rsidR="00CD2C8A">
        <w:rPr>
          <w:rFonts w:ascii="Times New Roman" w:hAnsi="Times New Roman"/>
          <w:sz w:val="24"/>
          <w:szCs w:val="24"/>
        </w:rPr>
        <w:t>dem k počtu poskytnutých dotací</w:t>
      </w:r>
      <w:r w:rsidR="00E95D77" w:rsidRPr="00CD2C8A">
        <w:rPr>
          <w:rFonts w:ascii="Times New Roman" w:hAnsi="Times New Roman"/>
          <w:sz w:val="24"/>
          <w:szCs w:val="24"/>
        </w:rPr>
        <w:t>,</w:t>
      </w:r>
      <w:r w:rsidRPr="00CD2C8A">
        <w:rPr>
          <w:rFonts w:ascii="Times New Roman" w:hAnsi="Times New Roman"/>
          <w:sz w:val="24"/>
          <w:szCs w:val="24"/>
        </w:rPr>
        <w:t xml:space="preserve"> a to ke stavu indikátoru v období pěti let před nabytím účinnosti novely zákona</w:t>
      </w:r>
      <w:r w:rsidR="00CD2C8A" w:rsidRPr="00CD2C8A">
        <w:rPr>
          <w:rFonts w:ascii="Times New Roman" w:hAnsi="Times New Roman"/>
          <w:sz w:val="24"/>
          <w:szCs w:val="24"/>
        </w:rPr>
        <w:t> </w:t>
      </w:r>
      <w:r w:rsidRPr="00CD2C8A">
        <w:rPr>
          <w:rFonts w:ascii="Times New Roman" w:hAnsi="Times New Roman"/>
          <w:sz w:val="24"/>
          <w:szCs w:val="24"/>
        </w:rPr>
        <w:t>č.</w:t>
      </w:r>
      <w:r w:rsidR="00CD2C8A" w:rsidRPr="00CD2C8A">
        <w:rPr>
          <w:rFonts w:ascii="Times New Roman" w:hAnsi="Times New Roman"/>
          <w:sz w:val="24"/>
          <w:szCs w:val="24"/>
        </w:rPr>
        <w:t> </w:t>
      </w:r>
      <w:r w:rsidRPr="00CD2C8A">
        <w:rPr>
          <w:rFonts w:ascii="Times New Roman" w:hAnsi="Times New Roman"/>
          <w:sz w:val="24"/>
          <w:szCs w:val="24"/>
        </w:rPr>
        <w:t>58/1995 Sb.</w:t>
      </w:r>
    </w:p>
    <w:p w14:paraId="6D49B607" w14:textId="78AEC531" w:rsidR="00552E17" w:rsidRPr="00EB67FF" w:rsidRDefault="00552E17" w:rsidP="00EB67FF">
      <w:pPr>
        <w:spacing w:before="120" w:after="120"/>
        <w:ind w:left="357"/>
        <w:jc w:val="both"/>
        <w:rPr>
          <w:rFonts w:ascii="Times New Roman" w:hAnsi="Times New Roman"/>
          <w:sz w:val="24"/>
          <w:szCs w:val="24"/>
        </w:rPr>
      </w:pPr>
      <w:r w:rsidRPr="00B87455">
        <w:rPr>
          <w:rFonts w:ascii="Times New Roman" w:hAnsi="Times New Roman"/>
          <w:sz w:val="24"/>
          <w:szCs w:val="24"/>
        </w:rPr>
        <w:t>Zavádění navrhovaných úprav do praxe bude pak následně monitorováno v rámci přezkumu účinnosti. Odpovědným orgánem je M</w:t>
      </w:r>
      <w:r w:rsidR="0072379A">
        <w:rPr>
          <w:rFonts w:ascii="Times New Roman" w:hAnsi="Times New Roman"/>
          <w:sz w:val="24"/>
          <w:szCs w:val="24"/>
        </w:rPr>
        <w:t>PO</w:t>
      </w:r>
      <w:r w:rsidRPr="00B87455">
        <w:rPr>
          <w:rFonts w:ascii="Times New Roman" w:hAnsi="Times New Roman"/>
          <w:sz w:val="24"/>
          <w:szCs w:val="24"/>
        </w:rPr>
        <w:t xml:space="preserve">, přičemž využije zkušenosti i jiných spolupracujících </w:t>
      </w:r>
      <w:r w:rsidR="00954842">
        <w:rPr>
          <w:rFonts w:ascii="Times New Roman" w:hAnsi="Times New Roman"/>
          <w:sz w:val="24"/>
          <w:szCs w:val="24"/>
        </w:rPr>
        <w:t>orgánů a institucí</w:t>
      </w:r>
      <w:r w:rsidRPr="00B87455">
        <w:rPr>
          <w:rFonts w:ascii="Times New Roman" w:hAnsi="Times New Roman"/>
          <w:sz w:val="24"/>
          <w:szCs w:val="24"/>
        </w:rPr>
        <w:t>, zejména M</w:t>
      </w:r>
      <w:r w:rsidR="0072379A">
        <w:rPr>
          <w:rFonts w:ascii="Times New Roman" w:hAnsi="Times New Roman"/>
          <w:sz w:val="24"/>
          <w:szCs w:val="24"/>
        </w:rPr>
        <w:t>F</w:t>
      </w:r>
      <w:r w:rsidR="006D6D6A">
        <w:rPr>
          <w:rFonts w:ascii="Times New Roman" w:hAnsi="Times New Roman"/>
          <w:sz w:val="24"/>
          <w:szCs w:val="24"/>
        </w:rPr>
        <w:t>, ČEB a EGAP</w:t>
      </w:r>
      <w:r w:rsidRPr="00B87455">
        <w:rPr>
          <w:rFonts w:ascii="Times New Roman" w:hAnsi="Times New Roman"/>
          <w:sz w:val="24"/>
          <w:szCs w:val="24"/>
        </w:rPr>
        <w:t>.</w:t>
      </w:r>
    </w:p>
    <w:p w14:paraId="124F8A0E" w14:textId="77777777" w:rsidR="00820ABE" w:rsidRDefault="00820ABE" w:rsidP="000F6C37">
      <w:pPr>
        <w:spacing w:before="120" w:after="120"/>
        <w:ind w:firstLine="357"/>
        <w:rPr>
          <w:rFonts w:ascii="Times New Roman" w:hAnsi="Times New Roman"/>
          <w:b/>
          <w:sz w:val="24"/>
          <w:szCs w:val="24"/>
        </w:rPr>
      </w:pPr>
    </w:p>
    <w:p w14:paraId="05EE39BB" w14:textId="77777777" w:rsidR="00F051FD" w:rsidRPr="00286395" w:rsidRDefault="00F051FD" w:rsidP="000F6C37">
      <w:pPr>
        <w:spacing w:before="120" w:after="120"/>
        <w:ind w:firstLine="357"/>
        <w:rPr>
          <w:rFonts w:ascii="Times New Roman" w:hAnsi="Times New Roman"/>
          <w:b/>
          <w:sz w:val="24"/>
          <w:szCs w:val="24"/>
        </w:rPr>
      </w:pPr>
      <w:r w:rsidRPr="00286395">
        <w:rPr>
          <w:rFonts w:ascii="Times New Roman" w:hAnsi="Times New Roman"/>
          <w:b/>
          <w:sz w:val="24"/>
          <w:szCs w:val="24"/>
        </w:rPr>
        <w:t>7. Konzultace a zdroje dat</w:t>
      </w:r>
    </w:p>
    <w:p w14:paraId="1F297288" w14:textId="77777777" w:rsidR="00F051FD" w:rsidRPr="00286395" w:rsidRDefault="00F051FD" w:rsidP="000F6C37">
      <w:pPr>
        <w:spacing w:before="120" w:after="120"/>
        <w:ind w:left="357"/>
        <w:jc w:val="both"/>
        <w:rPr>
          <w:rFonts w:ascii="Times New Roman" w:hAnsi="Times New Roman"/>
          <w:sz w:val="24"/>
          <w:szCs w:val="24"/>
        </w:rPr>
      </w:pPr>
      <w:r w:rsidRPr="00286395">
        <w:rPr>
          <w:rFonts w:ascii="Times New Roman" w:hAnsi="Times New Roman"/>
          <w:sz w:val="24"/>
          <w:szCs w:val="24"/>
        </w:rPr>
        <w:t xml:space="preserve">Uvažované změny a zejména cíle návrhu byly konzultovány s následujícími </w:t>
      </w:r>
      <w:r w:rsidR="00C23893">
        <w:rPr>
          <w:rFonts w:ascii="Times New Roman" w:hAnsi="Times New Roman"/>
          <w:sz w:val="24"/>
          <w:szCs w:val="24"/>
        </w:rPr>
        <w:t>subjekty</w:t>
      </w:r>
      <w:r w:rsidRPr="00286395">
        <w:rPr>
          <w:rFonts w:ascii="Times New Roman" w:hAnsi="Times New Roman"/>
          <w:sz w:val="24"/>
          <w:szCs w:val="24"/>
        </w:rPr>
        <w:t>:</w:t>
      </w:r>
    </w:p>
    <w:p w14:paraId="141B9CB5" w14:textId="77777777" w:rsidR="00F051FD" w:rsidRPr="00286395" w:rsidRDefault="00F051FD" w:rsidP="0072379A">
      <w:pPr>
        <w:spacing w:before="120" w:after="0" w:line="240" w:lineRule="auto"/>
        <w:ind w:left="357"/>
        <w:jc w:val="both"/>
        <w:rPr>
          <w:rFonts w:ascii="Times New Roman" w:hAnsi="Times New Roman"/>
          <w:sz w:val="24"/>
          <w:szCs w:val="24"/>
        </w:rPr>
      </w:pPr>
      <w:r w:rsidRPr="00286395">
        <w:rPr>
          <w:rFonts w:ascii="Times New Roman" w:hAnsi="Times New Roman"/>
          <w:sz w:val="24"/>
          <w:szCs w:val="24"/>
        </w:rPr>
        <w:t>Ministerstvo financí</w:t>
      </w:r>
    </w:p>
    <w:p w14:paraId="0257824E" w14:textId="77777777" w:rsidR="00F051FD" w:rsidRPr="00286395" w:rsidRDefault="00F051FD" w:rsidP="0072379A">
      <w:pPr>
        <w:spacing w:before="120" w:after="0" w:line="240" w:lineRule="auto"/>
        <w:ind w:left="357"/>
        <w:jc w:val="both"/>
        <w:rPr>
          <w:rFonts w:ascii="Times New Roman" w:hAnsi="Times New Roman"/>
          <w:sz w:val="24"/>
          <w:szCs w:val="24"/>
        </w:rPr>
      </w:pPr>
      <w:r w:rsidRPr="00286395">
        <w:rPr>
          <w:rFonts w:ascii="Times New Roman" w:hAnsi="Times New Roman"/>
          <w:sz w:val="24"/>
          <w:szCs w:val="24"/>
        </w:rPr>
        <w:t>Ministerstvo</w:t>
      </w:r>
      <w:r w:rsidR="00AE091D" w:rsidRPr="00286395">
        <w:rPr>
          <w:rFonts w:ascii="Times New Roman" w:hAnsi="Times New Roman"/>
          <w:sz w:val="24"/>
          <w:szCs w:val="24"/>
        </w:rPr>
        <w:t xml:space="preserve"> zahraničních věcí</w:t>
      </w:r>
    </w:p>
    <w:p w14:paraId="722EA6CD" w14:textId="77777777" w:rsidR="00AE091D" w:rsidRPr="00286395" w:rsidRDefault="00AE091D" w:rsidP="0072379A">
      <w:pPr>
        <w:spacing w:before="120" w:after="0" w:line="240" w:lineRule="auto"/>
        <w:ind w:left="357"/>
        <w:jc w:val="both"/>
        <w:rPr>
          <w:rFonts w:ascii="Times New Roman" w:hAnsi="Times New Roman"/>
          <w:sz w:val="24"/>
          <w:szCs w:val="24"/>
        </w:rPr>
      </w:pPr>
      <w:r w:rsidRPr="00286395">
        <w:rPr>
          <w:rFonts w:ascii="Times New Roman" w:hAnsi="Times New Roman"/>
          <w:sz w:val="24"/>
          <w:szCs w:val="24"/>
        </w:rPr>
        <w:t>Exportní garanční a pojišťovací společnost, a.s.</w:t>
      </w:r>
    </w:p>
    <w:p w14:paraId="02C1F6B9" w14:textId="77777777" w:rsidR="00AE091D" w:rsidRPr="00286395" w:rsidRDefault="00AE091D" w:rsidP="0072379A">
      <w:pPr>
        <w:spacing w:before="120" w:after="0" w:line="240" w:lineRule="auto"/>
        <w:ind w:left="357"/>
        <w:jc w:val="both"/>
        <w:rPr>
          <w:rFonts w:ascii="Times New Roman" w:hAnsi="Times New Roman"/>
          <w:sz w:val="24"/>
          <w:szCs w:val="24"/>
        </w:rPr>
      </w:pPr>
      <w:r w:rsidRPr="00286395">
        <w:rPr>
          <w:rFonts w:ascii="Times New Roman" w:hAnsi="Times New Roman"/>
          <w:sz w:val="24"/>
          <w:szCs w:val="24"/>
        </w:rPr>
        <w:t>Česká exportní banka, a.s.</w:t>
      </w:r>
    </w:p>
    <w:p w14:paraId="6622BF24" w14:textId="77777777" w:rsidR="00F051FD" w:rsidRPr="00286395" w:rsidRDefault="00F051FD" w:rsidP="0072379A">
      <w:pPr>
        <w:spacing w:before="120" w:after="0" w:line="240" w:lineRule="auto"/>
        <w:ind w:left="357"/>
        <w:jc w:val="both"/>
        <w:rPr>
          <w:rFonts w:ascii="Times New Roman" w:hAnsi="Times New Roman"/>
          <w:sz w:val="24"/>
          <w:szCs w:val="24"/>
        </w:rPr>
      </w:pPr>
      <w:r w:rsidRPr="00286395">
        <w:rPr>
          <w:rFonts w:ascii="Times New Roman" w:hAnsi="Times New Roman"/>
          <w:sz w:val="24"/>
          <w:szCs w:val="24"/>
        </w:rPr>
        <w:t xml:space="preserve">Česká </w:t>
      </w:r>
      <w:r w:rsidR="00AE091D" w:rsidRPr="00286395">
        <w:rPr>
          <w:rFonts w:ascii="Times New Roman" w:hAnsi="Times New Roman"/>
          <w:sz w:val="24"/>
          <w:szCs w:val="24"/>
        </w:rPr>
        <w:t>bankovní asociace</w:t>
      </w:r>
    </w:p>
    <w:p w14:paraId="5E0BC12A" w14:textId="77777777" w:rsidR="00F051FD" w:rsidRPr="00286395" w:rsidRDefault="00AE091D" w:rsidP="0072379A">
      <w:pPr>
        <w:spacing w:before="120" w:after="0" w:line="240" w:lineRule="auto"/>
        <w:ind w:left="357"/>
        <w:jc w:val="both"/>
        <w:rPr>
          <w:rFonts w:ascii="Times New Roman" w:hAnsi="Times New Roman"/>
          <w:sz w:val="24"/>
          <w:szCs w:val="24"/>
        </w:rPr>
      </w:pPr>
      <w:r w:rsidRPr="00286395">
        <w:rPr>
          <w:rFonts w:ascii="Times New Roman" w:hAnsi="Times New Roman"/>
          <w:sz w:val="24"/>
          <w:szCs w:val="24"/>
        </w:rPr>
        <w:t>Svaz průmyslu a dopravy</w:t>
      </w:r>
    </w:p>
    <w:p w14:paraId="03FE471F" w14:textId="77777777" w:rsidR="00AE091D" w:rsidRDefault="00AE091D" w:rsidP="0072379A">
      <w:pPr>
        <w:spacing w:before="120" w:after="0" w:line="240" w:lineRule="auto"/>
        <w:ind w:left="357"/>
        <w:jc w:val="both"/>
        <w:rPr>
          <w:rFonts w:ascii="Times New Roman" w:hAnsi="Times New Roman"/>
          <w:sz w:val="24"/>
          <w:szCs w:val="24"/>
        </w:rPr>
      </w:pPr>
      <w:r w:rsidRPr="00286395">
        <w:rPr>
          <w:rFonts w:ascii="Times New Roman" w:hAnsi="Times New Roman"/>
          <w:sz w:val="24"/>
          <w:szCs w:val="24"/>
        </w:rPr>
        <w:t>Hospodářská komora ČR</w:t>
      </w:r>
    </w:p>
    <w:p w14:paraId="3E033EE9" w14:textId="77777777" w:rsidR="0072379A" w:rsidRPr="00286395" w:rsidRDefault="0072379A" w:rsidP="0072379A">
      <w:pPr>
        <w:spacing w:before="120" w:after="0" w:line="240" w:lineRule="auto"/>
        <w:ind w:left="357"/>
        <w:jc w:val="both"/>
        <w:rPr>
          <w:rFonts w:ascii="Times New Roman" w:hAnsi="Times New Roman"/>
          <w:sz w:val="24"/>
          <w:szCs w:val="24"/>
        </w:rPr>
      </w:pPr>
    </w:p>
    <w:p w14:paraId="4CFB2217" w14:textId="7CA84227" w:rsidR="00AE091D" w:rsidRPr="00286395" w:rsidRDefault="00F051FD" w:rsidP="000F6C37">
      <w:pPr>
        <w:spacing w:before="120" w:after="120"/>
        <w:ind w:left="357"/>
        <w:jc w:val="both"/>
        <w:rPr>
          <w:rFonts w:ascii="Times New Roman" w:hAnsi="Times New Roman"/>
          <w:sz w:val="24"/>
          <w:szCs w:val="24"/>
        </w:rPr>
      </w:pPr>
      <w:r w:rsidRPr="00286395">
        <w:rPr>
          <w:rFonts w:ascii="Times New Roman" w:hAnsi="Times New Roman"/>
          <w:sz w:val="24"/>
          <w:szCs w:val="24"/>
        </w:rPr>
        <w:t xml:space="preserve">Konzultace s profesními svazy a asociacemi předcházela vlastní přípravu návrhu novely zákona </w:t>
      </w:r>
      <w:r w:rsidR="006A19A6" w:rsidRPr="0073392D">
        <w:rPr>
          <w:rFonts w:ascii="Times New Roman" w:hAnsi="Times New Roman"/>
          <w:sz w:val="24"/>
          <w:szCs w:val="24"/>
        </w:rPr>
        <w:t>č.</w:t>
      </w:r>
      <w:r w:rsidR="009F6FAE">
        <w:rPr>
          <w:rFonts w:ascii="Times New Roman" w:hAnsi="Times New Roman"/>
          <w:sz w:val="24"/>
          <w:szCs w:val="24"/>
        </w:rPr>
        <w:t> </w:t>
      </w:r>
      <w:r w:rsidR="006A19A6" w:rsidRPr="0073392D">
        <w:rPr>
          <w:rFonts w:ascii="Times New Roman" w:hAnsi="Times New Roman"/>
          <w:sz w:val="24"/>
          <w:szCs w:val="24"/>
        </w:rPr>
        <w:t>58/1995 Sb.</w:t>
      </w:r>
      <w:r w:rsidR="006A19A6">
        <w:rPr>
          <w:rFonts w:ascii="Times New Roman" w:hAnsi="Times New Roman"/>
          <w:sz w:val="24"/>
          <w:szCs w:val="24"/>
        </w:rPr>
        <w:t xml:space="preserve"> </w:t>
      </w:r>
      <w:r w:rsidRPr="00286395">
        <w:rPr>
          <w:rFonts w:ascii="Times New Roman" w:hAnsi="Times New Roman"/>
          <w:sz w:val="24"/>
          <w:szCs w:val="24"/>
        </w:rPr>
        <w:t xml:space="preserve">a v jejich rámci byly diskutovány zejména ty oblasti, které považovaly profesní svazy za vhodné se jim v rámci přípravy novely zákona </w:t>
      </w:r>
      <w:r w:rsidR="006A19A6" w:rsidRPr="0073392D">
        <w:rPr>
          <w:rFonts w:ascii="Times New Roman" w:hAnsi="Times New Roman"/>
          <w:sz w:val="24"/>
          <w:szCs w:val="24"/>
        </w:rPr>
        <w:t>č.</w:t>
      </w:r>
      <w:r w:rsidR="009F6FAE">
        <w:rPr>
          <w:rFonts w:ascii="Times New Roman" w:hAnsi="Times New Roman"/>
          <w:sz w:val="24"/>
          <w:szCs w:val="24"/>
        </w:rPr>
        <w:t> </w:t>
      </w:r>
      <w:r w:rsidR="006A19A6" w:rsidRPr="0073392D">
        <w:rPr>
          <w:rFonts w:ascii="Times New Roman" w:hAnsi="Times New Roman"/>
          <w:sz w:val="24"/>
          <w:szCs w:val="24"/>
        </w:rPr>
        <w:t>58/1995</w:t>
      </w:r>
      <w:r w:rsidR="00820ABE">
        <w:rPr>
          <w:rFonts w:ascii="Times New Roman" w:hAnsi="Times New Roman"/>
          <w:sz w:val="24"/>
          <w:szCs w:val="24"/>
        </w:rPr>
        <w:t> </w:t>
      </w:r>
      <w:r w:rsidR="006A19A6" w:rsidRPr="0073392D">
        <w:rPr>
          <w:rFonts w:ascii="Times New Roman" w:hAnsi="Times New Roman"/>
          <w:sz w:val="24"/>
          <w:szCs w:val="24"/>
        </w:rPr>
        <w:t>Sb.</w:t>
      </w:r>
      <w:r w:rsidR="006A19A6">
        <w:rPr>
          <w:rFonts w:ascii="Times New Roman" w:hAnsi="Times New Roman"/>
          <w:sz w:val="24"/>
          <w:szCs w:val="24"/>
        </w:rPr>
        <w:t xml:space="preserve"> </w:t>
      </w:r>
      <w:r w:rsidRPr="00286395">
        <w:rPr>
          <w:rFonts w:ascii="Times New Roman" w:hAnsi="Times New Roman"/>
          <w:sz w:val="24"/>
          <w:szCs w:val="24"/>
        </w:rPr>
        <w:t xml:space="preserve">věnovat. </w:t>
      </w:r>
    </w:p>
    <w:p w14:paraId="59579E2D" w14:textId="77777777" w:rsidR="00F051FD" w:rsidRPr="00286395" w:rsidRDefault="00F051FD" w:rsidP="000F6C37">
      <w:pPr>
        <w:spacing w:before="120" w:after="120"/>
        <w:ind w:left="357"/>
        <w:jc w:val="both"/>
        <w:rPr>
          <w:rFonts w:ascii="Times New Roman" w:hAnsi="Times New Roman"/>
          <w:sz w:val="24"/>
          <w:szCs w:val="24"/>
        </w:rPr>
      </w:pPr>
      <w:r w:rsidRPr="00275C84">
        <w:rPr>
          <w:rFonts w:ascii="Times New Roman" w:hAnsi="Times New Roman"/>
          <w:sz w:val="24"/>
          <w:szCs w:val="24"/>
        </w:rPr>
        <w:t xml:space="preserve">Konzultace s profesními svazy a asociacemi probíhaly </w:t>
      </w:r>
      <w:r w:rsidR="00140818" w:rsidRPr="00275C84">
        <w:rPr>
          <w:rFonts w:ascii="Times New Roman" w:hAnsi="Times New Roman"/>
          <w:sz w:val="24"/>
          <w:szCs w:val="24"/>
        </w:rPr>
        <w:t xml:space="preserve">od přípravné fáze </w:t>
      </w:r>
      <w:r w:rsidRPr="00275C84">
        <w:rPr>
          <w:rFonts w:ascii="Times New Roman" w:hAnsi="Times New Roman"/>
          <w:sz w:val="24"/>
          <w:szCs w:val="24"/>
        </w:rPr>
        <w:t>až do samotného konce přípravy textu novely zákona</w:t>
      </w:r>
      <w:r w:rsidR="006A19A6">
        <w:rPr>
          <w:rFonts w:ascii="Times New Roman" w:hAnsi="Times New Roman"/>
          <w:sz w:val="24"/>
          <w:szCs w:val="24"/>
        </w:rPr>
        <w:t xml:space="preserve"> </w:t>
      </w:r>
      <w:r w:rsidR="006A19A6" w:rsidRPr="0073392D">
        <w:rPr>
          <w:rFonts w:ascii="Times New Roman" w:hAnsi="Times New Roman"/>
          <w:sz w:val="24"/>
          <w:szCs w:val="24"/>
        </w:rPr>
        <w:t>č.</w:t>
      </w:r>
      <w:r w:rsidR="009F6FAE">
        <w:rPr>
          <w:rFonts w:ascii="Times New Roman" w:hAnsi="Times New Roman"/>
          <w:sz w:val="24"/>
          <w:szCs w:val="24"/>
        </w:rPr>
        <w:t> </w:t>
      </w:r>
      <w:r w:rsidR="006A19A6" w:rsidRPr="0073392D">
        <w:rPr>
          <w:rFonts w:ascii="Times New Roman" w:hAnsi="Times New Roman"/>
          <w:sz w:val="24"/>
          <w:szCs w:val="24"/>
        </w:rPr>
        <w:t>58/1995 Sb.</w:t>
      </w:r>
      <w:r w:rsidRPr="00275C84">
        <w:rPr>
          <w:rFonts w:ascii="Times New Roman" w:hAnsi="Times New Roman"/>
          <w:sz w:val="24"/>
          <w:szCs w:val="24"/>
        </w:rPr>
        <w:t xml:space="preserve"> </w:t>
      </w:r>
      <w:r w:rsidRPr="000F6C37">
        <w:rPr>
          <w:rFonts w:ascii="Times New Roman" w:hAnsi="Times New Roman"/>
          <w:sz w:val="24"/>
          <w:szCs w:val="24"/>
        </w:rPr>
        <w:t>Ve své závěrečné fázi pak byl konzultační proces zaměřen pouze na řešení některých specifických</w:t>
      </w:r>
      <w:r w:rsidR="00AE091D" w:rsidRPr="000F6C37">
        <w:rPr>
          <w:rFonts w:ascii="Times New Roman" w:hAnsi="Times New Roman"/>
          <w:sz w:val="24"/>
          <w:szCs w:val="24"/>
        </w:rPr>
        <w:t xml:space="preserve"> problémů souvisejících s praxí. </w:t>
      </w:r>
      <w:r w:rsidRPr="00275C84">
        <w:rPr>
          <w:rFonts w:ascii="Times New Roman" w:hAnsi="Times New Roman"/>
          <w:sz w:val="24"/>
          <w:szCs w:val="24"/>
        </w:rPr>
        <w:t xml:space="preserve">Současně byly profesní svazy vyzvány k předložení připomínek k materiálu vloženého do </w:t>
      </w:r>
      <w:r w:rsidR="003C6AC0" w:rsidRPr="00735C98">
        <w:rPr>
          <w:rFonts w:ascii="Times New Roman" w:hAnsi="Times New Roman"/>
          <w:sz w:val="24"/>
          <w:szCs w:val="24"/>
        </w:rPr>
        <w:t>Elektronické knihovny Úřadu vlády České republiky (</w:t>
      </w:r>
      <w:proofErr w:type="spellStart"/>
      <w:r w:rsidR="003C6AC0" w:rsidRPr="00735C98">
        <w:rPr>
          <w:rFonts w:ascii="Times New Roman" w:hAnsi="Times New Roman"/>
          <w:sz w:val="24"/>
          <w:szCs w:val="24"/>
        </w:rPr>
        <w:t>eKLEPu</w:t>
      </w:r>
      <w:proofErr w:type="spellEnd"/>
      <w:r w:rsidR="003C6AC0" w:rsidRPr="00735C98">
        <w:rPr>
          <w:rFonts w:ascii="Times New Roman" w:hAnsi="Times New Roman"/>
          <w:sz w:val="24"/>
          <w:szCs w:val="24"/>
        </w:rPr>
        <w:t>)</w:t>
      </w:r>
      <w:r w:rsidRPr="00275C84">
        <w:rPr>
          <w:rFonts w:ascii="Times New Roman" w:hAnsi="Times New Roman"/>
          <w:sz w:val="24"/>
          <w:szCs w:val="24"/>
        </w:rPr>
        <w:t>, jakkoli se jedná o </w:t>
      </w:r>
      <w:r w:rsidR="00F62A7A">
        <w:rPr>
          <w:rFonts w:ascii="Times New Roman" w:hAnsi="Times New Roman"/>
          <w:sz w:val="24"/>
          <w:szCs w:val="24"/>
        </w:rPr>
        <w:t>nepovin</w:t>
      </w:r>
      <w:r w:rsidRPr="00275C84">
        <w:rPr>
          <w:rFonts w:ascii="Times New Roman" w:hAnsi="Times New Roman"/>
          <w:sz w:val="24"/>
          <w:szCs w:val="24"/>
        </w:rPr>
        <w:t>ná připomínková místa.</w:t>
      </w:r>
    </w:p>
    <w:p w14:paraId="115C0BAD" w14:textId="23EE532B" w:rsidR="00881867" w:rsidRDefault="00881867" w:rsidP="000F6C37">
      <w:pPr>
        <w:spacing w:before="120" w:after="120"/>
        <w:ind w:left="357"/>
        <w:jc w:val="both"/>
        <w:rPr>
          <w:rFonts w:ascii="Times New Roman" w:hAnsi="Times New Roman"/>
          <w:sz w:val="24"/>
          <w:szCs w:val="24"/>
        </w:rPr>
      </w:pPr>
      <w:r w:rsidRPr="00286395">
        <w:rPr>
          <w:rFonts w:ascii="Times New Roman" w:hAnsi="Times New Roman"/>
          <w:sz w:val="24"/>
          <w:szCs w:val="24"/>
        </w:rPr>
        <w:t>Při přípravě navrhované právní úpravy byly využity poznatky z aplikační praxe, zejména pak ze zkušeností</w:t>
      </w:r>
      <w:r w:rsidR="00140818" w:rsidRPr="00286395">
        <w:rPr>
          <w:rFonts w:ascii="Times New Roman" w:hAnsi="Times New Roman"/>
          <w:sz w:val="24"/>
          <w:szCs w:val="24"/>
        </w:rPr>
        <w:t xml:space="preserve"> exportní pojišťovny a exportní banky</w:t>
      </w:r>
      <w:r w:rsidR="00E44B7C">
        <w:rPr>
          <w:rFonts w:ascii="Times New Roman" w:hAnsi="Times New Roman"/>
          <w:sz w:val="24"/>
          <w:szCs w:val="24"/>
        </w:rPr>
        <w:t>.</w:t>
      </w:r>
      <w:r w:rsidRPr="00286395">
        <w:rPr>
          <w:rFonts w:ascii="Times New Roman" w:hAnsi="Times New Roman"/>
          <w:sz w:val="24"/>
          <w:szCs w:val="24"/>
        </w:rPr>
        <w:t xml:space="preserve"> Zjištěné poznatky byly postupně shromažďovány, diskutovány a následně zpracovány do podoby předkládaného právního předpisu.</w:t>
      </w:r>
      <w:r w:rsidR="00915A41">
        <w:rPr>
          <w:rFonts w:ascii="Times New Roman" w:hAnsi="Times New Roman"/>
          <w:sz w:val="24"/>
          <w:szCs w:val="24"/>
        </w:rPr>
        <w:t xml:space="preserve"> Vzhledem k tomu, že exportní pojišťovna a exportní banka jsou nástroji systému státem podpořeného exportního pojišťování a financování, resp. širšího rámce exportní politiky státu v makroekonomickém kontextu, </w:t>
      </w:r>
      <w:r w:rsidR="00AA10E8">
        <w:rPr>
          <w:rFonts w:ascii="Times New Roman" w:hAnsi="Times New Roman"/>
          <w:sz w:val="24"/>
          <w:szCs w:val="24"/>
        </w:rPr>
        <w:t xml:space="preserve">nebylo možné zohlednit veškeré </w:t>
      </w:r>
      <w:r w:rsidR="006D6D6A">
        <w:rPr>
          <w:rFonts w:ascii="Times New Roman" w:hAnsi="Times New Roman"/>
          <w:sz w:val="24"/>
          <w:szCs w:val="24"/>
        </w:rPr>
        <w:t xml:space="preserve">jejich </w:t>
      </w:r>
      <w:r w:rsidR="00AA10E8">
        <w:rPr>
          <w:rFonts w:ascii="Times New Roman" w:hAnsi="Times New Roman"/>
          <w:sz w:val="24"/>
          <w:szCs w:val="24"/>
        </w:rPr>
        <w:t xml:space="preserve">návrhy a připomínky, </w:t>
      </w:r>
      <w:r w:rsidR="006D6D6A">
        <w:rPr>
          <w:rFonts w:ascii="Times New Roman" w:hAnsi="Times New Roman"/>
          <w:sz w:val="24"/>
          <w:szCs w:val="24"/>
        </w:rPr>
        <w:t>ale bylo nutné zohlednit i další aspekty z pohledu zájmů státu v oblasti podpory exportu.</w:t>
      </w:r>
    </w:p>
    <w:sectPr w:rsidR="00881867" w:rsidSect="00386D94">
      <w:footerReference w:type="default" r:id="rId1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491F5E" w14:textId="77777777" w:rsidR="006F7E1F" w:rsidRDefault="006F7E1F">
      <w:pPr>
        <w:spacing w:after="0" w:line="240" w:lineRule="auto"/>
      </w:pPr>
      <w:r>
        <w:separator/>
      </w:r>
    </w:p>
  </w:endnote>
  <w:endnote w:type="continuationSeparator" w:id="0">
    <w:p w14:paraId="0A6AFB6D" w14:textId="77777777" w:rsidR="006F7E1F" w:rsidRDefault="006F7E1F">
      <w:pPr>
        <w:spacing w:after="0" w:line="240" w:lineRule="auto"/>
      </w:pPr>
      <w:r>
        <w:continuationSeparator/>
      </w:r>
    </w:p>
  </w:endnote>
  <w:endnote w:type="continuationNotice" w:id="1">
    <w:p w14:paraId="321204A5" w14:textId="77777777" w:rsidR="006F7E1F" w:rsidRDefault="006F7E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1221343"/>
      <w:docPartObj>
        <w:docPartGallery w:val="Page Numbers (Bottom of Page)"/>
        <w:docPartUnique/>
      </w:docPartObj>
    </w:sdtPr>
    <w:sdtEndPr/>
    <w:sdtContent>
      <w:p w14:paraId="18CFA418" w14:textId="77777777" w:rsidR="006F7E1F" w:rsidRDefault="006F7E1F">
        <w:pPr>
          <w:pStyle w:val="Zpat"/>
          <w:jc w:val="center"/>
        </w:pPr>
        <w:r>
          <w:fldChar w:fldCharType="begin"/>
        </w:r>
        <w:r>
          <w:instrText>PAGE   \* MERGEFORMAT</w:instrText>
        </w:r>
        <w:r>
          <w:fldChar w:fldCharType="separate"/>
        </w:r>
        <w:r w:rsidR="007C5471">
          <w:rPr>
            <w:noProof/>
          </w:rPr>
          <w:t>1</w:t>
        </w:r>
        <w:r>
          <w:fldChar w:fldCharType="end"/>
        </w:r>
      </w:p>
    </w:sdtContent>
  </w:sdt>
  <w:p w14:paraId="70D6EFA1" w14:textId="77777777" w:rsidR="006F7E1F" w:rsidRDefault="006F7E1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6B39D" w14:textId="77777777" w:rsidR="006F7E1F" w:rsidRDefault="006F7E1F">
    <w:pPr>
      <w:pStyle w:val="Zpat"/>
      <w:jc w:val="center"/>
    </w:pPr>
    <w:r>
      <w:fldChar w:fldCharType="begin"/>
    </w:r>
    <w:r>
      <w:instrText>PAGE   \* MERGEFORMAT</w:instrText>
    </w:r>
    <w:r>
      <w:fldChar w:fldCharType="separate"/>
    </w:r>
    <w:r w:rsidR="007C5471">
      <w:rPr>
        <w:noProof/>
      </w:rPr>
      <w:t>57</w:t>
    </w:r>
    <w:r>
      <w:fldChar w:fldCharType="end"/>
    </w:r>
  </w:p>
  <w:p w14:paraId="32253659" w14:textId="77777777" w:rsidR="006F7E1F" w:rsidRDefault="006F7E1F" w:rsidP="00386D94">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611B54" w14:textId="77777777" w:rsidR="006F7E1F" w:rsidRDefault="006F7E1F">
      <w:pPr>
        <w:spacing w:after="0" w:line="240" w:lineRule="auto"/>
      </w:pPr>
      <w:r>
        <w:separator/>
      </w:r>
    </w:p>
  </w:footnote>
  <w:footnote w:type="continuationSeparator" w:id="0">
    <w:p w14:paraId="199EC057" w14:textId="77777777" w:rsidR="006F7E1F" w:rsidRDefault="006F7E1F">
      <w:pPr>
        <w:spacing w:after="0" w:line="240" w:lineRule="auto"/>
      </w:pPr>
      <w:r>
        <w:continuationSeparator/>
      </w:r>
    </w:p>
  </w:footnote>
  <w:footnote w:type="continuationNotice" w:id="1">
    <w:p w14:paraId="5AFE30B5" w14:textId="77777777" w:rsidR="006F7E1F" w:rsidRDefault="006F7E1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D28BB" w14:textId="77777777" w:rsidR="006F7E1F" w:rsidRDefault="006F7E1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810F314"/>
    <w:multiLevelType w:val="hybridMultilevel"/>
    <w:tmpl w:val="BAEDC74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EC4FB7E"/>
    <w:multiLevelType w:val="hybridMultilevel"/>
    <w:tmpl w:val="30AA164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200671"/>
    <w:multiLevelType w:val="hybridMultilevel"/>
    <w:tmpl w:val="A3928A9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415401C"/>
    <w:multiLevelType w:val="hybridMultilevel"/>
    <w:tmpl w:val="5BFEA3B8"/>
    <w:lvl w:ilvl="0" w:tplc="4A588EA8">
      <w:start w:val="1"/>
      <w:numFmt w:val="lowerLetter"/>
      <w:lvlText w:val="%1)"/>
      <w:lvlJc w:val="left"/>
      <w:pPr>
        <w:ind w:left="720" w:hanging="360"/>
      </w:pPr>
      <w:rPr>
        <w:rFonts w:asciiTheme="minorHAnsi" w:hAnsiTheme="minorHAnsi" w:hint="default"/>
        <w:b/>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734BC7"/>
    <w:multiLevelType w:val="hybridMultilevel"/>
    <w:tmpl w:val="5C2EBA3A"/>
    <w:lvl w:ilvl="0" w:tplc="2A9AB034">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9D72D8E"/>
    <w:multiLevelType w:val="hybridMultilevel"/>
    <w:tmpl w:val="28186B3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EE3748"/>
    <w:multiLevelType w:val="hybridMultilevel"/>
    <w:tmpl w:val="CFFC9BE8"/>
    <w:lvl w:ilvl="0" w:tplc="04050013">
      <w:start w:val="1"/>
      <w:numFmt w:val="upperRoman"/>
      <w:lvlText w:val="%1."/>
      <w:lvlJc w:val="right"/>
      <w:pPr>
        <w:ind w:left="720" w:hanging="360"/>
      </w:pPr>
    </w:lvl>
    <w:lvl w:ilvl="1" w:tplc="A8D8DB2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DC74B37"/>
    <w:multiLevelType w:val="hybridMultilevel"/>
    <w:tmpl w:val="7F6AAE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F235A0B"/>
    <w:multiLevelType w:val="hybridMultilevel"/>
    <w:tmpl w:val="DA84BC4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4F1612"/>
    <w:multiLevelType w:val="multilevel"/>
    <w:tmpl w:val="7188C6F0"/>
    <w:lvl w:ilvl="0">
      <w:start w:val="1"/>
      <w:numFmt w:val="low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68E7A98"/>
    <w:multiLevelType w:val="hybridMultilevel"/>
    <w:tmpl w:val="D61A58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6921792"/>
    <w:multiLevelType w:val="hybridMultilevel"/>
    <w:tmpl w:val="F84E68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71F448E"/>
    <w:multiLevelType w:val="hybridMultilevel"/>
    <w:tmpl w:val="5D82C4A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18982F1C"/>
    <w:multiLevelType w:val="hybridMultilevel"/>
    <w:tmpl w:val="341A1A54"/>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4" w15:restartNumberingAfterBreak="0">
    <w:nsid w:val="20D54436"/>
    <w:multiLevelType w:val="hybridMultilevel"/>
    <w:tmpl w:val="233E81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2A425A5"/>
    <w:multiLevelType w:val="multilevel"/>
    <w:tmpl w:val="358810A4"/>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43952D8"/>
    <w:multiLevelType w:val="hybridMultilevel"/>
    <w:tmpl w:val="D8F0EC84"/>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7" w15:restartNumberingAfterBreak="0">
    <w:nsid w:val="25BB2F25"/>
    <w:multiLevelType w:val="hybridMultilevel"/>
    <w:tmpl w:val="D8D274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8783DA8"/>
    <w:multiLevelType w:val="hybridMultilevel"/>
    <w:tmpl w:val="9DD8048C"/>
    <w:lvl w:ilvl="0" w:tplc="04050019">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88A5E26"/>
    <w:multiLevelType w:val="hybridMultilevel"/>
    <w:tmpl w:val="03948378"/>
    <w:lvl w:ilvl="0" w:tplc="21507DF8">
      <w:start w:val="1"/>
      <w:numFmt w:val="lowerLetter"/>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0" w15:restartNumberingAfterBreak="0">
    <w:nsid w:val="29F6083F"/>
    <w:multiLevelType w:val="hybridMultilevel"/>
    <w:tmpl w:val="377853CC"/>
    <w:lvl w:ilvl="0" w:tplc="0660FE6E">
      <w:start w:val="1"/>
      <w:numFmt w:val="bullet"/>
      <w:lvlText w:val="-"/>
      <w:lvlJc w:val="left"/>
      <w:pPr>
        <w:ind w:left="1080" w:hanging="360"/>
      </w:pPr>
      <w:rPr>
        <w:rFonts w:ascii="Courier New" w:hAnsi="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304C03C6"/>
    <w:multiLevelType w:val="hybridMultilevel"/>
    <w:tmpl w:val="DA3E0354"/>
    <w:lvl w:ilvl="0" w:tplc="0660FE6E">
      <w:start w:val="1"/>
      <w:numFmt w:val="bullet"/>
      <w:lvlText w:val="-"/>
      <w:lvlJc w:val="left"/>
      <w:pPr>
        <w:ind w:left="786" w:hanging="360"/>
      </w:pPr>
      <w:rPr>
        <w:rFonts w:ascii="Courier New" w:hAnsi="Courier New"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2" w15:restartNumberingAfterBreak="0">
    <w:nsid w:val="309158FB"/>
    <w:multiLevelType w:val="hybridMultilevel"/>
    <w:tmpl w:val="B56EAE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30D879A9"/>
    <w:multiLevelType w:val="hybridMultilevel"/>
    <w:tmpl w:val="45A2C39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4" w15:restartNumberingAfterBreak="0">
    <w:nsid w:val="3196738D"/>
    <w:multiLevelType w:val="hybridMultilevel"/>
    <w:tmpl w:val="4C2CBBA0"/>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325B7D7F"/>
    <w:multiLevelType w:val="multilevel"/>
    <w:tmpl w:val="9E5A84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color w:val="000000" w:themeColor="text1"/>
        <w:sz w:val="24"/>
      </w:rPr>
    </w:lvl>
    <w:lvl w:ilvl="2">
      <w:start w:val="1"/>
      <w:numFmt w:val="decimal"/>
      <w:isLgl/>
      <w:lvlText w:val="%1.%2.%3."/>
      <w:lvlJc w:val="left"/>
      <w:pPr>
        <w:ind w:left="1080" w:hanging="720"/>
      </w:pPr>
      <w:rPr>
        <w:rFonts w:hint="default"/>
        <w:color w:val="000000" w:themeColor="text1"/>
        <w:sz w:val="24"/>
      </w:rPr>
    </w:lvl>
    <w:lvl w:ilvl="3">
      <w:start w:val="1"/>
      <w:numFmt w:val="decimal"/>
      <w:isLgl/>
      <w:lvlText w:val="%1.%2.%3.%4."/>
      <w:lvlJc w:val="left"/>
      <w:pPr>
        <w:ind w:left="1080" w:hanging="720"/>
      </w:pPr>
      <w:rPr>
        <w:rFonts w:hint="default"/>
        <w:color w:val="000000" w:themeColor="text1"/>
        <w:sz w:val="24"/>
      </w:rPr>
    </w:lvl>
    <w:lvl w:ilvl="4">
      <w:start w:val="1"/>
      <w:numFmt w:val="decimal"/>
      <w:isLgl/>
      <w:lvlText w:val="%1.%2.%3.%4.%5."/>
      <w:lvlJc w:val="left"/>
      <w:pPr>
        <w:ind w:left="1440" w:hanging="1080"/>
      </w:pPr>
      <w:rPr>
        <w:rFonts w:hint="default"/>
        <w:color w:val="000000" w:themeColor="text1"/>
        <w:sz w:val="24"/>
      </w:rPr>
    </w:lvl>
    <w:lvl w:ilvl="5">
      <w:start w:val="1"/>
      <w:numFmt w:val="decimal"/>
      <w:isLgl/>
      <w:lvlText w:val="%1.%2.%3.%4.%5.%6."/>
      <w:lvlJc w:val="left"/>
      <w:pPr>
        <w:ind w:left="1440" w:hanging="1080"/>
      </w:pPr>
      <w:rPr>
        <w:rFonts w:hint="default"/>
        <w:color w:val="000000" w:themeColor="text1"/>
        <w:sz w:val="24"/>
      </w:rPr>
    </w:lvl>
    <w:lvl w:ilvl="6">
      <w:start w:val="1"/>
      <w:numFmt w:val="decimal"/>
      <w:isLgl/>
      <w:lvlText w:val="%1.%2.%3.%4.%5.%6.%7."/>
      <w:lvlJc w:val="left"/>
      <w:pPr>
        <w:ind w:left="1800" w:hanging="1440"/>
      </w:pPr>
      <w:rPr>
        <w:rFonts w:hint="default"/>
        <w:color w:val="000000" w:themeColor="text1"/>
        <w:sz w:val="24"/>
      </w:rPr>
    </w:lvl>
    <w:lvl w:ilvl="7">
      <w:start w:val="1"/>
      <w:numFmt w:val="decimal"/>
      <w:isLgl/>
      <w:lvlText w:val="%1.%2.%3.%4.%5.%6.%7.%8."/>
      <w:lvlJc w:val="left"/>
      <w:pPr>
        <w:ind w:left="1800" w:hanging="1440"/>
      </w:pPr>
      <w:rPr>
        <w:rFonts w:hint="default"/>
        <w:color w:val="000000" w:themeColor="text1"/>
        <w:sz w:val="24"/>
      </w:rPr>
    </w:lvl>
    <w:lvl w:ilvl="8">
      <w:start w:val="1"/>
      <w:numFmt w:val="decimal"/>
      <w:isLgl/>
      <w:lvlText w:val="%1.%2.%3.%4.%5.%6.%7.%8.%9."/>
      <w:lvlJc w:val="left"/>
      <w:pPr>
        <w:ind w:left="2160" w:hanging="1800"/>
      </w:pPr>
      <w:rPr>
        <w:rFonts w:hint="default"/>
        <w:color w:val="000000" w:themeColor="text1"/>
        <w:sz w:val="24"/>
      </w:rPr>
    </w:lvl>
  </w:abstractNum>
  <w:abstractNum w:abstractNumId="26" w15:restartNumberingAfterBreak="0">
    <w:nsid w:val="32703F65"/>
    <w:multiLevelType w:val="hybridMultilevel"/>
    <w:tmpl w:val="0B4839F0"/>
    <w:lvl w:ilvl="0" w:tplc="1FBCEACC">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2DD0891"/>
    <w:multiLevelType w:val="multilevel"/>
    <w:tmpl w:val="01125B56"/>
    <w:lvl w:ilvl="0">
      <w:start w:val="1"/>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3.2.1"/>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349903D3"/>
    <w:multiLevelType w:val="hybridMultilevel"/>
    <w:tmpl w:val="D89A3FA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34A3211C"/>
    <w:multiLevelType w:val="hybridMultilevel"/>
    <w:tmpl w:val="18FCD9E0"/>
    <w:lvl w:ilvl="0" w:tplc="A142CE8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50249F6"/>
    <w:multiLevelType w:val="hybridMultilevel"/>
    <w:tmpl w:val="3C3E77A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A4651D2"/>
    <w:multiLevelType w:val="hybridMultilevel"/>
    <w:tmpl w:val="6F8024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D202879"/>
    <w:multiLevelType w:val="hybridMultilevel"/>
    <w:tmpl w:val="1DF6DC46"/>
    <w:lvl w:ilvl="0" w:tplc="F6F6CCEE">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5336FF9"/>
    <w:multiLevelType w:val="hybridMultilevel"/>
    <w:tmpl w:val="4E988E1A"/>
    <w:lvl w:ilvl="0" w:tplc="0D6A0334">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9CF52C2"/>
    <w:multiLevelType w:val="hybridMultilevel"/>
    <w:tmpl w:val="16F65CEA"/>
    <w:lvl w:ilvl="0" w:tplc="95C04DB2">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DF456C2"/>
    <w:multiLevelType w:val="hybridMultilevel"/>
    <w:tmpl w:val="06682180"/>
    <w:lvl w:ilvl="0" w:tplc="04050017">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E1838B0"/>
    <w:multiLevelType w:val="hybridMultilevel"/>
    <w:tmpl w:val="3946A346"/>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F3C7F21"/>
    <w:multiLevelType w:val="hybridMultilevel"/>
    <w:tmpl w:val="CFEE984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15:restartNumberingAfterBreak="0">
    <w:nsid w:val="54B61D18"/>
    <w:multiLevelType w:val="hybridMultilevel"/>
    <w:tmpl w:val="15026D2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58AD311C"/>
    <w:multiLevelType w:val="hybridMultilevel"/>
    <w:tmpl w:val="A83807AA"/>
    <w:lvl w:ilvl="0" w:tplc="F6860456">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B981040"/>
    <w:multiLevelType w:val="hybridMultilevel"/>
    <w:tmpl w:val="4142FA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F0053C1"/>
    <w:multiLevelType w:val="hybridMultilevel"/>
    <w:tmpl w:val="C42AFBCE"/>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42" w15:restartNumberingAfterBreak="0">
    <w:nsid w:val="62D96681"/>
    <w:multiLevelType w:val="hybridMultilevel"/>
    <w:tmpl w:val="08A86FC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0F705C"/>
    <w:multiLevelType w:val="multilevel"/>
    <w:tmpl w:val="7EE0E59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502462E"/>
    <w:multiLevelType w:val="hybridMultilevel"/>
    <w:tmpl w:val="22465C5E"/>
    <w:lvl w:ilvl="0" w:tplc="A4445B08">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5" w15:restartNumberingAfterBreak="0">
    <w:nsid w:val="672F3E1F"/>
    <w:multiLevelType w:val="multilevel"/>
    <w:tmpl w:val="8A9637D4"/>
    <w:lvl w:ilvl="0">
      <w:start w:val="1"/>
      <w:numFmt w:val="bullet"/>
      <w:lvlText w:val=""/>
      <w:lvlJc w:val="left"/>
      <w:pPr>
        <w:ind w:left="360" w:hanging="360"/>
      </w:pPr>
      <w:rPr>
        <w:rFonts w:ascii="Symbol" w:hAnsi="Symbol" w:hint="default"/>
      </w:rPr>
    </w:lvl>
    <w:lvl w:ilvl="1">
      <w:start w:val="2"/>
      <w:numFmt w:val="decimal"/>
      <w:lvlText w:val="%1.3"/>
      <w:lvlJc w:val="left"/>
      <w:pPr>
        <w:ind w:left="360" w:hanging="360"/>
      </w:pPr>
      <w:rPr>
        <w:rFonts w:cs="Times New Roman" w:hint="default"/>
      </w:rPr>
    </w:lvl>
    <w:lvl w:ilvl="2">
      <w:start w:val="1"/>
      <w:numFmt w:val="none"/>
      <w:lvlText w:val="1.3.1"/>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682D5FA1"/>
    <w:multiLevelType w:val="hybridMultilevel"/>
    <w:tmpl w:val="D80E3DFA"/>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98E3086"/>
    <w:multiLevelType w:val="hybridMultilevel"/>
    <w:tmpl w:val="90E087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6BE87854"/>
    <w:multiLevelType w:val="hybridMultilevel"/>
    <w:tmpl w:val="EB560A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C9E46CB"/>
    <w:multiLevelType w:val="hybridMultilevel"/>
    <w:tmpl w:val="366C4B06"/>
    <w:lvl w:ilvl="0" w:tplc="A0A8CC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F7A7456"/>
    <w:multiLevelType w:val="hybridMultilevel"/>
    <w:tmpl w:val="D694776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87736AF"/>
    <w:multiLevelType w:val="hybridMultilevel"/>
    <w:tmpl w:val="F976AE84"/>
    <w:lvl w:ilvl="0" w:tplc="0660FE6E">
      <w:start w:val="1"/>
      <w:numFmt w:val="bullet"/>
      <w:lvlText w:val="-"/>
      <w:lvlJc w:val="left"/>
      <w:pPr>
        <w:ind w:left="786" w:hanging="360"/>
      </w:pPr>
      <w:rPr>
        <w:rFonts w:ascii="Courier New" w:hAnsi="Courier New"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2" w15:restartNumberingAfterBreak="0">
    <w:nsid w:val="7A304AAA"/>
    <w:multiLevelType w:val="multilevel"/>
    <w:tmpl w:val="6978BEA2"/>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7FD151CD"/>
    <w:multiLevelType w:val="hybridMultilevel"/>
    <w:tmpl w:val="000C2EF6"/>
    <w:lvl w:ilvl="0" w:tplc="0660FE6E">
      <w:start w:val="1"/>
      <w:numFmt w:val="bullet"/>
      <w:lvlText w:val="-"/>
      <w:lvlJc w:val="left"/>
      <w:pPr>
        <w:ind w:left="720" w:hanging="360"/>
      </w:pPr>
      <w:rPr>
        <w:rFonts w:ascii="Courier New" w:hAnsi="Courier New" w:hint="default"/>
      </w:rPr>
    </w:lvl>
    <w:lvl w:ilvl="1" w:tplc="0848F61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2"/>
  </w:num>
  <w:num w:numId="2">
    <w:abstractNumId w:val="27"/>
  </w:num>
  <w:num w:numId="3">
    <w:abstractNumId w:val="5"/>
  </w:num>
  <w:num w:numId="4">
    <w:abstractNumId w:val="19"/>
  </w:num>
  <w:num w:numId="5">
    <w:abstractNumId w:val="45"/>
  </w:num>
  <w:num w:numId="6">
    <w:abstractNumId w:val="39"/>
  </w:num>
  <w:num w:numId="7">
    <w:abstractNumId w:val="32"/>
  </w:num>
  <w:num w:numId="8">
    <w:abstractNumId w:val="34"/>
  </w:num>
  <w:num w:numId="9">
    <w:abstractNumId w:val="8"/>
  </w:num>
  <w:num w:numId="10">
    <w:abstractNumId w:val="26"/>
  </w:num>
  <w:num w:numId="11">
    <w:abstractNumId w:val="14"/>
  </w:num>
  <w:num w:numId="12">
    <w:abstractNumId w:val="42"/>
  </w:num>
  <w:num w:numId="13">
    <w:abstractNumId w:val="11"/>
  </w:num>
  <w:num w:numId="14">
    <w:abstractNumId w:val="47"/>
  </w:num>
  <w:num w:numId="15">
    <w:abstractNumId w:val="4"/>
  </w:num>
  <w:num w:numId="16">
    <w:abstractNumId w:val="3"/>
  </w:num>
  <w:num w:numId="17">
    <w:abstractNumId w:val="9"/>
  </w:num>
  <w:num w:numId="18">
    <w:abstractNumId w:val="31"/>
  </w:num>
  <w:num w:numId="19">
    <w:abstractNumId w:val="6"/>
  </w:num>
  <w:num w:numId="20">
    <w:abstractNumId w:val="30"/>
  </w:num>
  <w:num w:numId="21">
    <w:abstractNumId w:val="2"/>
  </w:num>
  <w:num w:numId="22">
    <w:abstractNumId w:val="44"/>
  </w:num>
  <w:num w:numId="23">
    <w:abstractNumId w:val="7"/>
  </w:num>
  <w:num w:numId="24">
    <w:abstractNumId w:val="36"/>
  </w:num>
  <w:num w:numId="25">
    <w:abstractNumId w:val="48"/>
  </w:num>
  <w:num w:numId="26">
    <w:abstractNumId w:val="25"/>
  </w:num>
  <w:num w:numId="27">
    <w:abstractNumId w:val="33"/>
  </w:num>
  <w:num w:numId="28">
    <w:abstractNumId w:val="15"/>
  </w:num>
  <w:num w:numId="29">
    <w:abstractNumId w:val="53"/>
  </w:num>
  <w:num w:numId="30">
    <w:abstractNumId w:val="37"/>
  </w:num>
  <w:num w:numId="31">
    <w:abstractNumId w:val="21"/>
  </w:num>
  <w:num w:numId="32">
    <w:abstractNumId w:val="51"/>
  </w:num>
  <w:num w:numId="33">
    <w:abstractNumId w:val="35"/>
  </w:num>
  <w:num w:numId="34">
    <w:abstractNumId w:val="22"/>
  </w:num>
  <w:num w:numId="35">
    <w:abstractNumId w:val="46"/>
  </w:num>
  <w:num w:numId="36">
    <w:abstractNumId w:val="43"/>
  </w:num>
  <w:num w:numId="37">
    <w:abstractNumId w:val="18"/>
  </w:num>
  <w:num w:numId="38">
    <w:abstractNumId w:val="0"/>
  </w:num>
  <w:num w:numId="39">
    <w:abstractNumId w:val="12"/>
  </w:num>
  <w:num w:numId="40">
    <w:abstractNumId w:val="29"/>
  </w:num>
  <w:num w:numId="41">
    <w:abstractNumId w:val="50"/>
  </w:num>
  <w:num w:numId="42">
    <w:abstractNumId w:val="40"/>
  </w:num>
  <w:num w:numId="43">
    <w:abstractNumId w:val="1"/>
  </w:num>
  <w:num w:numId="44">
    <w:abstractNumId w:val="23"/>
  </w:num>
  <w:num w:numId="45">
    <w:abstractNumId w:val="28"/>
  </w:num>
  <w:num w:numId="46">
    <w:abstractNumId w:val="49"/>
  </w:num>
  <w:num w:numId="47">
    <w:abstractNumId w:val="24"/>
  </w:num>
  <w:num w:numId="48">
    <w:abstractNumId w:val="17"/>
  </w:num>
  <w:num w:numId="49">
    <w:abstractNumId w:val="38"/>
  </w:num>
  <w:num w:numId="50">
    <w:abstractNumId w:val="20"/>
  </w:num>
  <w:num w:numId="51">
    <w:abstractNumId w:val="10"/>
  </w:num>
  <w:num w:numId="52">
    <w:abstractNumId w:val="13"/>
  </w:num>
  <w:num w:numId="53">
    <w:abstractNumId w:val="41"/>
  </w:num>
  <w:num w:numId="54">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1FD"/>
    <w:rsid w:val="000001F2"/>
    <w:rsid w:val="00001690"/>
    <w:rsid w:val="000035A9"/>
    <w:rsid w:val="00004F03"/>
    <w:rsid w:val="00005303"/>
    <w:rsid w:val="00012765"/>
    <w:rsid w:val="00012C4B"/>
    <w:rsid w:val="000146D2"/>
    <w:rsid w:val="00014D0D"/>
    <w:rsid w:val="000154FB"/>
    <w:rsid w:val="000156F1"/>
    <w:rsid w:val="00016E04"/>
    <w:rsid w:val="00020636"/>
    <w:rsid w:val="00021D87"/>
    <w:rsid w:val="00022C33"/>
    <w:rsid w:val="000250F2"/>
    <w:rsid w:val="00026B99"/>
    <w:rsid w:val="000275AD"/>
    <w:rsid w:val="00031308"/>
    <w:rsid w:val="0003162B"/>
    <w:rsid w:val="00033149"/>
    <w:rsid w:val="00035213"/>
    <w:rsid w:val="000360A9"/>
    <w:rsid w:val="00036905"/>
    <w:rsid w:val="000420B9"/>
    <w:rsid w:val="00042F00"/>
    <w:rsid w:val="000454BF"/>
    <w:rsid w:val="00046E09"/>
    <w:rsid w:val="00047ED8"/>
    <w:rsid w:val="00050C46"/>
    <w:rsid w:val="000518F2"/>
    <w:rsid w:val="00052759"/>
    <w:rsid w:val="00054019"/>
    <w:rsid w:val="00054F6D"/>
    <w:rsid w:val="000603D9"/>
    <w:rsid w:val="00067EB6"/>
    <w:rsid w:val="000702AB"/>
    <w:rsid w:val="000727A2"/>
    <w:rsid w:val="00073270"/>
    <w:rsid w:val="000734F2"/>
    <w:rsid w:val="00073DF2"/>
    <w:rsid w:val="00075EE9"/>
    <w:rsid w:val="0008356B"/>
    <w:rsid w:val="00085BC5"/>
    <w:rsid w:val="00087D0A"/>
    <w:rsid w:val="0009254D"/>
    <w:rsid w:val="000948BA"/>
    <w:rsid w:val="00097075"/>
    <w:rsid w:val="00097181"/>
    <w:rsid w:val="000A6B28"/>
    <w:rsid w:val="000A7597"/>
    <w:rsid w:val="000B21E2"/>
    <w:rsid w:val="000B71C9"/>
    <w:rsid w:val="000D26CB"/>
    <w:rsid w:val="000D2F98"/>
    <w:rsid w:val="000D490F"/>
    <w:rsid w:val="000D6595"/>
    <w:rsid w:val="000D76E8"/>
    <w:rsid w:val="000D7C4F"/>
    <w:rsid w:val="000E3863"/>
    <w:rsid w:val="000E5FF6"/>
    <w:rsid w:val="000E6687"/>
    <w:rsid w:val="000F1802"/>
    <w:rsid w:val="000F2BA9"/>
    <w:rsid w:val="000F38ED"/>
    <w:rsid w:val="000F50F3"/>
    <w:rsid w:val="000F537F"/>
    <w:rsid w:val="000F6C37"/>
    <w:rsid w:val="000F6E46"/>
    <w:rsid w:val="000F7697"/>
    <w:rsid w:val="00101110"/>
    <w:rsid w:val="00101F5B"/>
    <w:rsid w:val="00106077"/>
    <w:rsid w:val="00107635"/>
    <w:rsid w:val="00111200"/>
    <w:rsid w:val="0011141D"/>
    <w:rsid w:val="0011224F"/>
    <w:rsid w:val="00112F2E"/>
    <w:rsid w:val="00112F81"/>
    <w:rsid w:val="001139DF"/>
    <w:rsid w:val="00114F26"/>
    <w:rsid w:val="001163EE"/>
    <w:rsid w:val="0012019B"/>
    <w:rsid w:val="00121071"/>
    <w:rsid w:val="001220D4"/>
    <w:rsid w:val="0012494D"/>
    <w:rsid w:val="00125154"/>
    <w:rsid w:val="0013012F"/>
    <w:rsid w:val="00131020"/>
    <w:rsid w:val="00133446"/>
    <w:rsid w:val="00140453"/>
    <w:rsid w:val="00140818"/>
    <w:rsid w:val="00141DD0"/>
    <w:rsid w:val="00144E59"/>
    <w:rsid w:val="00144F09"/>
    <w:rsid w:val="00154826"/>
    <w:rsid w:val="00155D29"/>
    <w:rsid w:val="00162BA3"/>
    <w:rsid w:val="001641FA"/>
    <w:rsid w:val="00164C7C"/>
    <w:rsid w:val="001655BE"/>
    <w:rsid w:val="00167FFD"/>
    <w:rsid w:val="00171499"/>
    <w:rsid w:val="00172F89"/>
    <w:rsid w:val="001764B6"/>
    <w:rsid w:val="001764EC"/>
    <w:rsid w:val="001812DB"/>
    <w:rsid w:val="001813BC"/>
    <w:rsid w:val="00182552"/>
    <w:rsid w:val="001826E8"/>
    <w:rsid w:val="00185748"/>
    <w:rsid w:val="00187034"/>
    <w:rsid w:val="00190D8E"/>
    <w:rsid w:val="0019329A"/>
    <w:rsid w:val="00195CAE"/>
    <w:rsid w:val="001A1090"/>
    <w:rsid w:val="001A1418"/>
    <w:rsid w:val="001A1851"/>
    <w:rsid w:val="001A3913"/>
    <w:rsid w:val="001A574F"/>
    <w:rsid w:val="001A764F"/>
    <w:rsid w:val="001A78D9"/>
    <w:rsid w:val="001B07F1"/>
    <w:rsid w:val="001B36F1"/>
    <w:rsid w:val="001B5108"/>
    <w:rsid w:val="001B7EC5"/>
    <w:rsid w:val="001C0519"/>
    <w:rsid w:val="001C0727"/>
    <w:rsid w:val="001C4A83"/>
    <w:rsid w:val="001C6521"/>
    <w:rsid w:val="001C6F84"/>
    <w:rsid w:val="001C76A0"/>
    <w:rsid w:val="001D0B28"/>
    <w:rsid w:val="001D1A24"/>
    <w:rsid w:val="001D344D"/>
    <w:rsid w:val="001D356A"/>
    <w:rsid w:val="001D3A20"/>
    <w:rsid w:val="001D592F"/>
    <w:rsid w:val="001D693A"/>
    <w:rsid w:val="001E0392"/>
    <w:rsid w:val="001E0748"/>
    <w:rsid w:val="001E1167"/>
    <w:rsid w:val="001E31AA"/>
    <w:rsid w:val="001E3F58"/>
    <w:rsid w:val="001E4EF9"/>
    <w:rsid w:val="001F0CB8"/>
    <w:rsid w:val="001F1844"/>
    <w:rsid w:val="001F32EA"/>
    <w:rsid w:val="001F4521"/>
    <w:rsid w:val="001F6B38"/>
    <w:rsid w:val="001F6E8B"/>
    <w:rsid w:val="00200413"/>
    <w:rsid w:val="0020406B"/>
    <w:rsid w:val="00211506"/>
    <w:rsid w:val="00217B9C"/>
    <w:rsid w:val="00217DEA"/>
    <w:rsid w:val="00221B1B"/>
    <w:rsid w:val="00221BFF"/>
    <w:rsid w:val="0022246E"/>
    <w:rsid w:val="00222C1C"/>
    <w:rsid w:val="00226C26"/>
    <w:rsid w:val="002308DE"/>
    <w:rsid w:val="00230A91"/>
    <w:rsid w:val="0023294A"/>
    <w:rsid w:val="00234B5B"/>
    <w:rsid w:val="00234E89"/>
    <w:rsid w:val="00237A4E"/>
    <w:rsid w:val="00241744"/>
    <w:rsid w:val="00241F55"/>
    <w:rsid w:val="00245163"/>
    <w:rsid w:val="00250575"/>
    <w:rsid w:val="002516AC"/>
    <w:rsid w:val="0025206A"/>
    <w:rsid w:val="00252512"/>
    <w:rsid w:val="002527C8"/>
    <w:rsid w:val="0025527F"/>
    <w:rsid w:val="0025552E"/>
    <w:rsid w:val="00260378"/>
    <w:rsid w:val="0026449E"/>
    <w:rsid w:val="002645A2"/>
    <w:rsid w:val="002669B8"/>
    <w:rsid w:val="002701E8"/>
    <w:rsid w:val="00275C84"/>
    <w:rsid w:val="00276C82"/>
    <w:rsid w:val="00277280"/>
    <w:rsid w:val="00277FAE"/>
    <w:rsid w:val="00281E2C"/>
    <w:rsid w:val="00282638"/>
    <w:rsid w:val="0028351C"/>
    <w:rsid w:val="002861AA"/>
    <w:rsid w:val="00286395"/>
    <w:rsid w:val="00291941"/>
    <w:rsid w:val="00291B92"/>
    <w:rsid w:val="0029490C"/>
    <w:rsid w:val="002A3312"/>
    <w:rsid w:val="002A606F"/>
    <w:rsid w:val="002A692E"/>
    <w:rsid w:val="002A72DA"/>
    <w:rsid w:val="002B07E0"/>
    <w:rsid w:val="002B676E"/>
    <w:rsid w:val="002B6C9A"/>
    <w:rsid w:val="002C37CB"/>
    <w:rsid w:val="002C52EC"/>
    <w:rsid w:val="002C5E14"/>
    <w:rsid w:val="002C6F09"/>
    <w:rsid w:val="002D0565"/>
    <w:rsid w:val="002D416F"/>
    <w:rsid w:val="002D523D"/>
    <w:rsid w:val="002D66BD"/>
    <w:rsid w:val="002D6762"/>
    <w:rsid w:val="002D6815"/>
    <w:rsid w:val="002E0472"/>
    <w:rsid w:val="002E16A2"/>
    <w:rsid w:val="002E5392"/>
    <w:rsid w:val="002E57AE"/>
    <w:rsid w:val="002E5888"/>
    <w:rsid w:val="002F0FC2"/>
    <w:rsid w:val="002F151D"/>
    <w:rsid w:val="002F3D48"/>
    <w:rsid w:val="002F43B2"/>
    <w:rsid w:val="002F55F9"/>
    <w:rsid w:val="002F5F96"/>
    <w:rsid w:val="002F665F"/>
    <w:rsid w:val="002F676E"/>
    <w:rsid w:val="00303A3D"/>
    <w:rsid w:val="00304F09"/>
    <w:rsid w:val="00311C66"/>
    <w:rsid w:val="003135D7"/>
    <w:rsid w:val="00314BFC"/>
    <w:rsid w:val="003157B3"/>
    <w:rsid w:val="00317D89"/>
    <w:rsid w:val="00323EDB"/>
    <w:rsid w:val="00325568"/>
    <w:rsid w:val="0032587D"/>
    <w:rsid w:val="0032592D"/>
    <w:rsid w:val="00325DA2"/>
    <w:rsid w:val="00327BD6"/>
    <w:rsid w:val="00327F71"/>
    <w:rsid w:val="00330072"/>
    <w:rsid w:val="003331DE"/>
    <w:rsid w:val="0033533E"/>
    <w:rsid w:val="00336454"/>
    <w:rsid w:val="003373C3"/>
    <w:rsid w:val="00340080"/>
    <w:rsid w:val="0034071B"/>
    <w:rsid w:val="0034075F"/>
    <w:rsid w:val="00340C51"/>
    <w:rsid w:val="003429F6"/>
    <w:rsid w:val="003432D3"/>
    <w:rsid w:val="003438B2"/>
    <w:rsid w:val="003464AA"/>
    <w:rsid w:val="00346C81"/>
    <w:rsid w:val="00350EF6"/>
    <w:rsid w:val="00352054"/>
    <w:rsid w:val="003549D9"/>
    <w:rsid w:val="00355087"/>
    <w:rsid w:val="00362832"/>
    <w:rsid w:val="00364527"/>
    <w:rsid w:val="00364D0B"/>
    <w:rsid w:val="00366B8B"/>
    <w:rsid w:val="00370520"/>
    <w:rsid w:val="00371DE3"/>
    <w:rsid w:val="00372A02"/>
    <w:rsid w:val="00373CEB"/>
    <w:rsid w:val="00374A13"/>
    <w:rsid w:val="00377E85"/>
    <w:rsid w:val="0038082E"/>
    <w:rsid w:val="00381768"/>
    <w:rsid w:val="003831C4"/>
    <w:rsid w:val="00384ABA"/>
    <w:rsid w:val="0038553A"/>
    <w:rsid w:val="0038568C"/>
    <w:rsid w:val="00386D94"/>
    <w:rsid w:val="003871D4"/>
    <w:rsid w:val="00390A0D"/>
    <w:rsid w:val="003A363C"/>
    <w:rsid w:val="003A4FE0"/>
    <w:rsid w:val="003A78BA"/>
    <w:rsid w:val="003A78FA"/>
    <w:rsid w:val="003B0E25"/>
    <w:rsid w:val="003B2DF4"/>
    <w:rsid w:val="003B5604"/>
    <w:rsid w:val="003B5820"/>
    <w:rsid w:val="003C13D9"/>
    <w:rsid w:val="003C31C6"/>
    <w:rsid w:val="003C37E8"/>
    <w:rsid w:val="003C6AC0"/>
    <w:rsid w:val="003D0E84"/>
    <w:rsid w:val="003D442A"/>
    <w:rsid w:val="003D5AB2"/>
    <w:rsid w:val="003E01A3"/>
    <w:rsid w:val="003E0B56"/>
    <w:rsid w:val="003E30DB"/>
    <w:rsid w:val="003E4314"/>
    <w:rsid w:val="003E4344"/>
    <w:rsid w:val="003E434D"/>
    <w:rsid w:val="003E4F38"/>
    <w:rsid w:val="003E5F17"/>
    <w:rsid w:val="003F205E"/>
    <w:rsid w:val="003F4B90"/>
    <w:rsid w:val="003F4DFB"/>
    <w:rsid w:val="00400CDF"/>
    <w:rsid w:val="00402EA1"/>
    <w:rsid w:val="00403154"/>
    <w:rsid w:val="0040459E"/>
    <w:rsid w:val="0040577E"/>
    <w:rsid w:val="00407A7C"/>
    <w:rsid w:val="00407BCA"/>
    <w:rsid w:val="00410EED"/>
    <w:rsid w:val="00411A6C"/>
    <w:rsid w:val="0041279F"/>
    <w:rsid w:val="00412ECE"/>
    <w:rsid w:val="0041490C"/>
    <w:rsid w:val="00416AD3"/>
    <w:rsid w:val="00417B91"/>
    <w:rsid w:val="0042213D"/>
    <w:rsid w:val="00426C48"/>
    <w:rsid w:val="0042758B"/>
    <w:rsid w:val="00427D08"/>
    <w:rsid w:val="00435856"/>
    <w:rsid w:val="00442575"/>
    <w:rsid w:val="0044285F"/>
    <w:rsid w:val="00443CF3"/>
    <w:rsid w:val="00444348"/>
    <w:rsid w:val="00444E43"/>
    <w:rsid w:val="004451DB"/>
    <w:rsid w:val="00445B34"/>
    <w:rsid w:val="00446F86"/>
    <w:rsid w:val="004519F1"/>
    <w:rsid w:val="00460A46"/>
    <w:rsid w:val="00462832"/>
    <w:rsid w:val="0046337F"/>
    <w:rsid w:val="0046671D"/>
    <w:rsid w:val="00467118"/>
    <w:rsid w:val="00467AB4"/>
    <w:rsid w:val="00467D3F"/>
    <w:rsid w:val="00470A0E"/>
    <w:rsid w:val="004730B1"/>
    <w:rsid w:val="00473588"/>
    <w:rsid w:val="00474AE7"/>
    <w:rsid w:val="00476620"/>
    <w:rsid w:val="00476D9B"/>
    <w:rsid w:val="0047713B"/>
    <w:rsid w:val="0047751D"/>
    <w:rsid w:val="00484027"/>
    <w:rsid w:val="00485460"/>
    <w:rsid w:val="00486AE0"/>
    <w:rsid w:val="004936F7"/>
    <w:rsid w:val="00493FF7"/>
    <w:rsid w:val="0049579C"/>
    <w:rsid w:val="004A09C5"/>
    <w:rsid w:val="004A2CA4"/>
    <w:rsid w:val="004A3013"/>
    <w:rsid w:val="004A549F"/>
    <w:rsid w:val="004A7222"/>
    <w:rsid w:val="004B119A"/>
    <w:rsid w:val="004B30FA"/>
    <w:rsid w:val="004B4BCE"/>
    <w:rsid w:val="004B4C10"/>
    <w:rsid w:val="004C1241"/>
    <w:rsid w:val="004C4766"/>
    <w:rsid w:val="004C6CDB"/>
    <w:rsid w:val="004C7143"/>
    <w:rsid w:val="004D2804"/>
    <w:rsid w:val="004D2F74"/>
    <w:rsid w:val="004D2FC5"/>
    <w:rsid w:val="004D4948"/>
    <w:rsid w:val="004D6A9A"/>
    <w:rsid w:val="004D6C17"/>
    <w:rsid w:val="004D7950"/>
    <w:rsid w:val="004E2A22"/>
    <w:rsid w:val="004E2CA3"/>
    <w:rsid w:val="004E3233"/>
    <w:rsid w:val="004E3637"/>
    <w:rsid w:val="004F021B"/>
    <w:rsid w:val="004F03C7"/>
    <w:rsid w:val="004F1259"/>
    <w:rsid w:val="004F512B"/>
    <w:rsid w:val="004F5827"/>
    <w:rsid w:val="004F7166"/>
    <w:rsid w:val="00500C68"/>
    <w:rsid w:val="00502145"/>
    <w:rsid w:val="00502229"/>
    <w:rsid w:val="00504472"/>
    <w:rsid w:val="00504A17"/>
    <w:rsid w:val="00504F08"/>
    <w:rsid w:val="005050B7"/>
    <w:rsid w:val="0050518B"/>
    <w:rsid w:val="0050613A"/>
    <w:rsid w:val="00507625"/>
    <w:rsid w:val="00507688"/>
    <w:rsid w:val="005076CA"/>
    <w:rsid w:val="005104A6"/>
    <w:rsid w:val="00511F2F"/>
    <w:rsid w:val="00512690"/>
    <w:rsid w:val="005137D8"/>
    <w:rsid w:val="00513BA1"/>
    <w:rsid w:val="005142E3"/>
    <w:rsid w:val="00517479"/>
    <w:rsid w:val="00523340"/>
    <w:rsid w:val="00526A82"/>
    <w:rsid w:val="00527CC1"/>
    <w:rsid w:val="00531DFC"/>
    <w:rsid w:val="00532B72"/>
    <w:rsid w:val="005343A9"/>
    <w:rsid w:val="0053512C"/>
    <w:rsid w:val="00541D0B"/>
    <w:rsid w:val="005435E7"/>
    <w:rsid w:val="00544AD9"/>
    <w:rsid w:val="005450F3"/>
    <w:rsid w:val="0054678A"/>
    <w:rsid w:val="00546BFC"/>
    <w:rsid w:val="00547D25"/>
    <w:rsid w:val="00552DED"/>
    <w:rsid w:val="00552E17"/>
    <w:rsid w:val="00556B61"/>
    <w:rsid w:val="00557DFD"/>
    <w:rsid w:val="00561928"/>
    <w:rsid w:val="00562033"/>
    <w:rsid w:val="00563E70"/>
    <w:rsid w:val="005644EC"/>
    <w:rsid w:val="00564BE9"/>
    <w:rsid w:val="005651D7"/>
    <w:rsid w:val="00566BA6"/>
    <w:rsid w:val="00567035"/>
    <w:rsid w:val="0056716A"/>
    <w:rsid w:val="00567999"/>
    <w:rsid w:val="005739C6"/>
    <w:rsid w:val="005744EA"/>
    <w:rsid w:val="005779E0"/>
    <w:rsid w:val="00577EF2"/>
    <w:rsid w:val="0058082A"/>
    <w:rsid w:val="005867EE"/>
    <w:rsid w:val="005908DC"/>
    <w:rsid w:val="005916A1"/>
    <w:rsid w:val="00591C79"/>
    <w:rsid w:val="00591EF8"/>
    <w:rsid w:val="00591FC9"/>
    <w:rsid w:val="00593A1E"/>
    <w:rsid w:val="0059498A"/>
    <w:rsid w:val="005A42EB"/>
    <w:rsid w:val="005A4C1A"/>
    <w:rsid w:val="005A4F6C"/>
    <w:rsid w:val="005A5387"/>
    <w:rsid w:val="005B0161"/>
    <w:rsid w:val="005B2C02"/>
    <w:rsid w:val="005B72D2"/>
    <w:rsid w:val="005C28FB"/>
    <w:rsid w:val="005C2E4C"/>
    <w:rsid w:val="005C376B"/>
    <w:rsid w:val="005C3B48"/>
    <w:rsid w:val="005D0AEE"/>
    <w:rsid w:val="005D5790"/>
    <w:rsid w:val="005D5F3A"/>
    <w:rsid w:val="005D6413"/>
    <w:rsid w:val="005D678E"/>
    <w:rsid w:val="005D7375"/>
    <w:rsid w:val="005E07D1"/>
    <w:rsid w:val="005E1190"/>
    <w:rsid w:val="005E1F58"/>
    <w:rsid w:val="005E4365"/>
    <w:rsid w:val="005E577E"/>
    <w:rsid w:val="005E5BCB"/>
    <w:rsid w:val="005E5FC6"/>
    <w:rsid w:val="005E62C5"/>
    <w:rsid w:val="005F1CF4"/>
    <w:rsid w:val="005F3783"/>
    <w:rsid w:val="005F4486"/>
    <w:rsid w:val="005F7371"/>
    <w:rsid w:val="00602F63"/>
    <w:rsid w:val="0060397C"/>
    <w:rsid w:val="00610BCD"/>
    <w:rsid w:val="00611C34"/>
    <w:rsid w:val="0061219A"/>
    <w:rsid w:val="00612277"/>
    <w:rsid w:val="006220F6"/>
    <w:rsid w:val="006254C5"/>
    <w:rsid w:val="006303FD"/>
    <w:rsid w:val="00630B41"/>
    <w:rsid w:val="00630D4C"/>
    <w:rsid w:val="006317BC"/>
    <w:rsid w:val="0063296D"/>
    <w:rsid w:val="00633262"/>
    <w:rsid w:val="0063370E"/>
    <w:rsid w:val="006343AA"/>
    <w:rsid w:val="00635320"/>
    <w:rsid w:val="00635484"/>
    <w:rsid w:val="00636FA7"/>
    <w:rsid w:val="00637E55"/>
    <w:rsid w:val="00641AD5"/>
    <w:rsid w:val="006457F2"/>
    <w:rsid w:val="00645B5F"/>
    <w:rsid w:val="0065339D"/>
    <w:rsid w:val="006548C4"/>
    <w:rsid w:val="00657BFE"/>
    <w:rsid w:val="0066182C"/>
    <w:rsid w:val="00662781"/>
    <w:rsid w:val="00663023"/>
    <w:rsid w:val="00664270"/>
    <w:rsid w:val="0067013E"/>
    <w:rsid w:val="0067089F"/>
    <w:rsid w:val="00674A72"/>
    <w:rsid w:val="00680A8B"/>
    <w:rsid w:val="00681902"/>
    <w:rsid w:val="00684DF6"/>
    <w:rsid w:val="00685E05"/>
    <w:rsid w:val="00690856"/>
    <w:rsid w:val="006931E3"/>
    <w:rsid w:val="00693808"/>
    <w:rsid w:val="0069442B"/>
    <w:rsid w:val="00696A77"/>
    <w:rsid w:val="00696D02"/>
    <w:rsid w:val="006A0704"/>
    <w:rsid w:val="006A0864"/>
    <w:rsid w:val="006A0DFF"/>
    <w:rsid w:val="006A19A6"/>
    <w:rsid w:val="006A348C"/>
    <w:rsid w:val="006A7E5D"/>
    <w:rsid w:val="006B059F"/>
    <w:rsid w:val="006B079D"/>
    <w:rsid w:val="006B3B1C"/>
    <w:rsid w:val="006B4652"/>
    <w:rsid w:val="006B65A0"/>
    <w:rsid w:val="006B67E3"/>
    <w:rsid w:val="006B799C"/>
    <w:rsid w:val="006C2335"/>
    <w:rsid w:val="006C3587"/>
    <w:rsid w:val="006C3B1C"/>
    <w:rsid w:val="006C4D8B"/>
    <w:rsid w:val="006C5DA4"/>
    <w:rsid w:val="006C6E16"/>
    <w:rsid w:val="006C78B6"/>
    <w:rsid w:val="006D01C2"/>
    <w:rsid w:val="006D0AEB"/>
    <w:rsid w:val="006D1747"/>
    <w:rsid w:val="006D1B24"/>
    <w:rsid w:val="006D1BC5"/>
    <w:rsid w:val="006D1DCF"/>
    <w:rsid w:val="006D1DD6"/>
    <w:rsid w:val="006D3A1F"/>
    <w:rsid w:val="006D3AFF"/>
    <w:rsid w:val="006D4F02"/>
    <w:rsid w:val="006D502C"/>
    <w:rsid w:val="006D5D53"/>
    <w:rsid w:val="006D6D6A"/>
    <w:rsid w:val="006D7F30"/>
    <w:rsid w:val="006E067E"/>
    <w:rsid w:val="006E250C"/>
    <w:rsid w:val="006E71A9"/>
    <w:rsid w:val="006F0857"/>
    <w:rsid w:val="006F1A95"/>
    <w:rsid w:val="006F31AC"/>
    <w:rsid w:val="006F3447"/>
    <w:rsid w:val="006F3593"/>
    <w:rsid w:val="006F5BC1"/>
    <w:rsid w:val="006F6F98"/>
    <w:rsid w:val="006F7E1F"/>
    <w:rsid w:val="007027C0"/>
    <w:rsid w:val="00706EEF"/>
    <w:rsid w:val="00707156"/>
    <w:rsid w:val="00710BF8"/>
    <w:rsid w:val="00711BAB"/>
    <w:rsid w:val="00711CE3"/>
    <w:rsid w:val="007124BB"/>
    <w:rsid w:val="007136EE"/>
    <w:rsid w:val="0071438D"/>
    <w:rsid w:val="00714A3A"/>
    <w:rsid w:val="00716524"/>
    <w:rsid w:val="0072151A"/>
    <w:rsid w:val="00721EE7"/>
    <w:rsid w:val="0072379A"/>
    <w:rsid w:val="00723E8B"/>
    <w:rsid w:val="00725EDE"/>
    <w:rsid w:val="0072746D"/>
    <w:rsid w:val="007305E1"/>
    <w:rsid w:val="00731CC1"/>
    <w:rsid w:val="007325FD"/>
    <w:rsid w:val="0073392D"/>
    <w:rsid w:val="00733D7F"/>
    <w:rsid w:val="00734882"/>
    <w:rsid w:val="00734CA3"/>
    <w:rsid w:val="00735076"/>
    <w:rsid w:val="007359C4"/>
    <w:rsid w:val="00735C98"/>
    <w:rsid w:val="007379DE"/>
    <w:rsid w:val="00737C30"/>
    <w:rsid w:val="007403D7"/>
    <w:rsid w:val="00741A46"/>
    <w:rsid w:val="007432DC"/>
    <w:rsid w:val="0074491C"/>
    <w:rsid w:val="00744F77"/>
    <w:rsid w:val="00745834"/>
    <w:rsid w:val="00745F99"/>
    <w:rsid w:val="00746CB2"/>
    <w:rsid w:val="00747A1D"/>
    <w:rsid w:val="00750613"/>
    <w:rsid w:val="00751B75"/>
    <w:rsid w:val="00752DDE"/>
    <w:rsid w:val="007555B9"/>
    <w:rsid w:val="00755BCC"/>
    <w:rsid w:val="00755F1B"/>
    <w:rsid w:val="0075630E"/>
    <w:rsid w:val="00756C43"/>
    <w:rsid w:val="0076192D"/>
    <w:rsid w:val="00761F85"/>
    <w:rsid w:val="0076210F"/>
    <w:rsid w:val="007631CA"/>
    <w:rsid w:val="007643CB"/>
    <w:rsid w:val="00765C15"/>
    <w:rsid w:val="00766458"/>
    <w:rsid w:val="0076695B"/>
    <w:rsid w:val="00770274"/>
    <w:rsid w:val="0077156B"/>
    <w:rsid w:val="00773CB1"/>
    <w:rsid w:val="0077451A"/>
    <w:rsid w:val="00774CCA"/>
    <w:rsid w:val="00774FD5"/>
    <w:rsid w:val="0077726D"/>
    <w:rsid w:val="00780489"/>
    <w:rsid w:val="007810D2"/>
    <w:rsid w:val="00782287"/>
    <w:rsid w:val="0078332A"/>
    <w:rsid w:val="007860F9"/>
    <w:rsid w:val="0078649B"/>
    <w:rsid w:val="0078707F"/>
    <w:rsid w:val="0079020B"/>
    <w:rsid w:val="00791FFD"/>
    <w:rsid w:val="00793AA2"/>
    <w:rsid w:val="00794541"/>
    <w:rsid w:val="007955D0"/>
    <w:rsid w:val="00797451"/>
    <w:rsid w:val="007A2183"/>
    <w:rsid w:val="007A4285"/>
    <w:rsid w:val="007A452D"/>
    <w:rsid w:val="007A63C8"/>
    <w:rsid w:val="007A6ABC"/>
    <w:rsid w:val="007B4069"/>
    <w:rsid w:val="007B657C"/>
    <w:rsid w:val="007C3C77"/>
    <w:rsid w:val="007C5471"/>
    <w:rsid w:val="007C5B05"/>
    <w:rsid w:val="007D2839"/>
    <w:rsid w:val="007D6516"/>
    <w:rsid w:val="007E0C21"/>
    <w:rsid w:val="007E23C6"/>
    <w:rsid w:val="007E4028"/>
    <w:rsid w:val="007E5A8E"/>
    <w:rsid w:val="007E6BC1"/>
    <w:rsid w:val="007F0AFC"/>
    <w:rsid w:val="007F1665"/>
    <w:rsid w:val="007F3772"/>
    <w:rsid w:val="007F45E3"/>
    <w:rsid w:val="007F4CDB"/>
    <w:rsid w:val="007F65E6"/>
    <w:rsid w:val="007F673A"/>
    <w:rsid w:val="007F7BA2"/>
    <w:rsid w:val="007F7BA7"/>
    <w:rsid w:val="007F7D34"/>
    <w:rsid w:val="008034DD"/>
    <w:rsid w:val="00804079"/>
    <w:rsid w:val="00805F58"/>
    <w:rsid w:val="00806274"/>
    <w:rsid w:val="00807286"/>
    <w:rsid w:val="0080738F"/>
    <w:rsid w:val="008100EF"/>
    <w:rsid w:val="008107ED"/>
    <w:rsid w:val="00810B0D"/>
    <w:rsid w:val="00812324"/>
    <w:rsid w:val="00814805"/>
    <w:rsid w:val="00820ABE"/>
    <w:rsid w:val="00824F05"/>
    <w:rsid w:val="0082641A"/>
    <w:rsid w:val="008268B6"/>
    <w:rsid w:val="00827D3A"/>
    <w:rsid w:val="00831334"/>
    <w:rsid w:val="008317BA"/>
    <w:rsid w:val="00832FC5"/>
    <w:rsid w:val="00837646"/>
    <w:rsid w:val="00840588"/>
    <w:rsid w:val="00841B9A"/>
    <w:rsid w:val="00844D2A"/>
    <w:rsid w:val="008458C5"/>
    <w:rsid w:val="00845F1B"/>
    <w:rsid w:val="00847A86"/>
    <w:rsid w:val="00854EF0"/>
    <w:rsid w:val="008556DA"/>
    <w:rsid w:val="0085656F"/>
    <w:rsid w:val="00857019"/>
    <w:rsid w:val="0086236C"/>
    <w:rsid w:val="00864014"/>
    <w:rsid w:val="0086445B"/>
    <w:rsid w:val="0086648F"/>
    <w:rsid w:val="008718F7"/>
    <w:rsid w:val="0087239B"/>
    <w:rsid w:val="008726AB"/>
    <w:rsid w:val="0087494C"/>
    <w:rsid w:val="008749F9"/>
    <w:rsid w:val="0087638B"/>
    <w:rsid w:val="008765E3"/>
    <w:rsid w:val="00876BDC"/>
    <w:rsid w:val="0088046C"/>
    <w:rsid w:val="00880EC7"/>
    <w:rsid w:val="00881867"/>
    <w:rsid w:val="008825B4"/>
    <w:rsid w:val="00882655"/>
    <w:rsid w:val="00884FBB"/>
    <w:rsid w:val="00886C9F"/>
    <w:rsid w:val="00887B98"/>
    <w:rsid w:val="008911DD"/>
    <w:rsid w:val="00892CD2"/>
    <w:rsid w:val="0089333E"/>
    <w:rsid w:val="00894331"/>
    <w:rsid w:val="00896E8E"/>
    <w:rsid w:val="008A13F2"/>
    <w:rsid w:val="008A2284"/>
    <w:rsid w:val="008A2668"/>
    <w:rsid w:val="008A38BF"/>
    <w:rsid w:val="008A492F"/>
    <w:rsid w:val="008A70BB"/>
    <w:rsid w:val="008A7BEE"/>
    <w:rsid w:val="008A7DD3"/>
    <w:rsid w:val="008B0214"/>
    <w:rsid w:val="008B0C0B"/>
    <w:rsid w:val="008B26D4"/>
    <w:rsid w:val="008B631B"/>
    <w:rsid w:val="008B6951"/>
    <w:rsid w:val="008B71DB"/>
    <w:rsid w:val="008B71E2"/>
    <w:rsid w:val="008B7744"/>
    <w:rsid w:val="008C65F0"/>
    <w:rsid w:val="008D01F3"/>
    <w:rsid w:val="008D2621"/>
    <w:rsid w:val="008D2DD2"/>
    <w:rsid w:val="008E197F"/>
    <w:rsid w:val="008E25AF"/>
    <w:rsid w:val="008E5496"/>
    <w:rsid w:val="008F1153"/>
    <w:rsid w:val="00900146"/>
    <w:rsid w:val="009027F7"/>
    <w:rsid w:val="00903F4C"/>
    <w:rsid w:val="009042DD"/>
    <w:rsid w:val="00905D29"/>
    <w:rsid w:val="00907970"/>
    <w:rsid w:val="00913112"/>
    <w:rsid w:val="00913A7E"/>
    <w:rsid w:val="00915A41"/>
    <w:rsid w:val="00915D3B"/>
    <w:rsid w:val="00915EF5"/>
    <w:rsid w:val="00916086"/>
    <w:rsid w:val="00921197"/>
    <w:rsid w:val="009214DF"/>
    <w:rsid w:val="0092151D"/>
    <w:rsid w:val="00921772"/>
    <w:rsid w:val="00922E11"/>
    <w:rsid w:val="00923BD8"/>
    <w:rsid w:val="0092418F"/>
    <w:rsid w:val="00926948"/>
    <w:rsid w:val="009279C1"/>
    <w:rsid w:val="00930B10"/>
    <w:rsid w:val="00931D5D"/>
    <w:rsid w:val="009320EA"/>
    <w:rsid w:val="0093594E"/>
    <w:rsid w:val="00935E09"/>
    <w:rsid w:val="009363E1"/>
    <w:rsid w:val="0093714D"/>
    <w:rsid w:val="00940269"/>
    <w:rsid w:val="00940351"/>
    <w:rsid w:val="009403B0"/>
    <w:rsid w:val="0094198D"/>
    <w:rsid w:val="00945044"/>
    <w:rsid w:val="009460E6"/>
    <w:rsid w:val="00946832"/>
    <w:rsid w:val="00946D0A"/>
    <w:rsid w:val="00947194"/>
    <w:rsid w:val="00947832"/>
    <w:rsid w:val="00951119"/>
    <w:rsid w:val="00954842"/>
    <w:rsid w:val="00954C4E"/>
    <w:rsid w:val="009556F0"/>
    <w:rsid w:val="00957E28"/>
    <w:rsid w:val="009608EC"/>
    <w:rsid w:val="009611B3"/>
    <w:rsid w:val="00962AB2"/>
    <w:rsid w:val="00963539"/>
    <w:rsid w:val="00965530"/>
    <w:rsid w:val="00967D49"/>
    <w:rsid w:val="00971070"/>
    <w:rsid w:val="009729B0"/>
    <w:rsid w:val="009769AB"/>
    <w:rsid w:val="009821E9"/>
    <w:rsid w:val="0098286C"/>
    <w:rsid w:val="00984454"/>
    <w:rsid w:val="00984FEB"/>
    <w:rsid w:val="00985D2C"/>
    <w:rsid w:val="009878FA"/>
    <w:rsid w:val="00991E21"/>
    <w:rsid w:val="009931DE"/>
    <w:rsid w:val="00993A9C"/>
    <w:rsid w:val="00994CD6"/>
    <w:rsid w:val="009961BC"/>
    <w:rsid w:val="00997092"/>
    <w:rsid w:val="009A0697"/>
    <w:rsid w:val="009A1B3B"/>
    <w:rsid w:val="009A2177"/>
    <w:rsid w:val="009A485E"/>
    <w:rsid w:val="009B1175"/>
    <w:rsid w:val="009B1E05"/>
    <w:rsid w:val="009B3416"/>
    <w:rsid w:val="009B4D23"/>
    <w:rsid w:val="009B67B0"/>
    <w:rsid w:val="009C07A7"/>
    <w:rsid w:val="009C0B37"/>
    <w:rsid w:val="009C0C2F"/>
    <w:rsid w:val="009C4923"/>
    <w:rsid w:val="009C4C19"/>
    <w:rsid w:val="009C6449"/>
    <w:rsid w:val="009D3127"/>
    <w:rsid w:val="009D3B1F"/>
    <w:rsid w:val="009D49D0"/>
    <w:rsid w:val="009D5147"/>
    <w:rsid w:val="009D5D45"/>
    <w:rsid w:val="009D6C65"/>
    <w:rsid w:val="009E41C5"/>
    <w:rsid w:val="009E45B7"/>
    <w:rsid w:val="009E7FCE"/>
    <w:rsid w:val="009F0508"/>
    <w:rsid w:val="009F4E90"/>
    <w:rsid w:val="009F6441"/>
    <w:rsid w:val="009F6FAE"/>
    <w:rsid w:val="00A00028"/>
    <w:rsid w:val="00A00A2F"/>
    <w:rsid w:val="00A00BDF"/>
    <w:rsid w:val="00A0172B"/>
    <w:rsid w:val="00A01FD7"/>
    <w:rsid w:val="00A02A7B"/>
    <w:rsid w:val="00A046DC"/>
    <w:rsid w:val="00A06B2D"/>
    <w:rsid w:val="00A10062"/>
    <w:rsid w:val="00A104BC"/>
    <w:rsid w:val="00A10DAE"/>
    <w:rsid w:val="00A12499"/>
    <w:rsid w:val="00A160E5"/>
    <w:rsid w:val="00A168DC"/>
    <w:rsid w:val="00A20B4F"/>
    <w:rsid w:val="00A22C37"/>
    <w:rsid w:val="00A234E3"/>
    <w:rsid w:val="00A26914"/>
    <w:rsid w:val="00A304B7"/>
    <w:rsid w:val="00A320BF"/>
    <w:rsid w:val="00A3244B"/>
    <w:rsid w:val="00A32FD5"/>
    <w:rsid w:val="00A33121"/>
    <w:rsid w:val="00A358F3"/>
    <w:rsid w:val="00A4015A"/>
    <w:rsid w:val="00A4137C"/>
    <w:rsid w:val="00A50517"/>
    <w:rsid w:val="00A52334"/>
    <w:rsid w:val="00A524A5"/>
    <w:rsid w:val="00A52B95"/>
    <w:rsid w:val="00A52FC4"/>
    <w:rsid w:val="00A541C7"/>
    <w:rsid w:val="00A575C6"/>
    <w:rsid w:val="00A6217B"/>
    <w:rsid w:val="00A646EF"/>
    <w:rsid w:val="00A70E2F"/>
    <w:rsid w:val="00A7182F"/>
    <w:rsid w:val="00A75BB5"/>
    <w:rsid w:val="00A75DA8"/>
    <w:rsid w:val="00A768DE"/>
    <w:rsid w:val="00A77C39"/>
    <w:rsid w:val="00A80F30"/>
    <w:rsid w:val="00A825CE"/>
    <w:rsid w:val="00A850A2"/>
    <w:rsid w:val="00A8564D"/>
    <w:rsid w:val="00A864ED"/>
    <w:rsid w:val="00A87F64"/>
    <w:rsid w:val="00A92653"/>
    <w:rsid w:val="00A92CE4"/>
    <w:rsid w:val="00A931A8"/>
    <w:rsid w:val="00A95C5E"/>
    <w:rsid w:val="00AA10E8"/>
    <w:rsid w:val="00AB032C"/>
    <w:rsid w:val="00AB14EF"/>
    <w:rsid w:val="00AB3091"/>
    <w:rsid w:val="00AB4039"/>
    <w:rsid w:val="00AB5D73"/>
    <w:rsid w:val="00AB61BA"/>
    <w:rsid w:val="00AC1A6F"/>
    <w:rsid w:val="00AC55A1"/>
    <w:rsid w:val="00AC6C21"/>
    <w:rsid w:val="00AD05DD"/>
    <w:rsid w:val="00AD1CC4"/>
    <w:rsid w:val="00AD1DB6"/>
    <w:rsid w:val="00AD25D1"/>
    <w:rsid w:val="00AD4BB9"/>
    <w:rsid w:val="00AD4F80"/>
    <w:rsid w:val="00AD50A6"/>
    <w:rsid w:val="00AD562B"/>
    <w:rsid w:val="00AE091D"/>
    <w:rsid w:val="00AE097E"/>
    <w:rsid w:val="00AE172D"/>
    <w:rsid w:val="00AE3920"/>
    <w:rsid w:val="00AE5108"/>
    <w:rsid w:val="00AF0462"/>
    <w:rsid w:val="00AF2798"/>
    <w:rsid w:val="00AF5BAD"/>
    <w:rsid w:val="00AF68D5"/>
    <w:rsid w:val="00AF6B73"/>
    <w:rsid w:val="00AF7CDE"/>
    <w:rsid w:val="00B016F9"/>
    <w:rsid w:val="00B02174"/>
    <w:rsid w:val="00B035E8"/>
    <w:rsid w:val="00B04A95"/>
    <w:rsid w:val="00B05356"/>
    <w:rsid w:val="00B057D9"/>
    <w:rsid w:val="00B12734"/>
    <w:rsid w:val="00B1471E"/>
    <w:rsid w:val="00B17458"/>
    <w:rsid w:val="00B17A28"/>
    <w:rsid w:val="00B20A13"/>
    <w:rsid w:val="00B214C6"/>
    <w:rsid w:val="00B22FAC"/>
    <w:rsid w:val="00B23424"/>
    <w:rsid w:val="00B24EAE"/>
    <w:rsid w:val="00B2630C"/>
    <w:rsid w:val="00B26448"/>
    <w:rsid w:val="00B32A55"/>
    <w:rsid w:val="00B33945"/>
    <w:rsid w:val="00B33EB5"/>
    <w:rsid w:val="00B35536"/>
    <w:rsid w:val="00B35EE9"/>
    <w:rsid w:val="00B40BD5"/>
    <w:rsid w:val="00B41521"/>
    <w:rsid w:val="00B417BB"/>
    <w:rsid w:val="00B44E7E"/>
    <w:rsid w:val="00B460CC"/>
    <w:rsid w:val="00B463AB"/>
    <w:rsid w:val="00B467EF"/>
    <w:rsid w:val="00B50530"/>
    <w:rsid w:val="00B535B6"/>
    <w:rsid w:val="00B535F5"/>
    <w:rsid w:val="00B53E45"/>
    <w:rsid w:val="00B5497E"/>
    <w:rsid w:val="00B54EF5"/>
    <w:rsid w:val="00B568AC"/>
    <w:rsid w:val="00B56A2B"/>
    <w:rsid w:val="00B571BD"/>
    <w:rsid w:val="00B57681"/>
    <w:rsid w:val="00B60F7C"/>
    <w:rsid w:val="00B67EBD"/>
    <w:rsid w:val="00B7370A"/>
    <w:rsid w:val="00B748E1"/>
    <w:rsid w:val="00B765DC"/>
    <w:rsid w:val="00B76DDB"/>
    <w:rsid w:val="00B80C17"/>
    <w:rsid w:val="00B80C50"/>
    <w:rsid w:val="00B81839"/>
    <w:rsid w:val="00B85809"/>
    <w:rsid w:val="00B86ED4"/>
    <w:rsid w:val="00B87300"/>
    <w:rsid w:val="00B87456"/>
    <w:rsid w:val="00B87AAF"/>
    <w:rsid w:val="00B87FB5"/>
    <w:rsid w:val="00B91A33"/>
    <w:rsid w:val="00B92D7B"/>
    <w:rsid w:val="00B93B7F"/>
    <w:rsid w:val="00B95072"/>
    <w:rsid w:val="00B95CA7"/>
    <w:rsid w:val="00B95DFE"/>
    <w:rsid w:val="00B95E55"/>
    <w:rsid w:val="00B96862"/>
    <w:rsid w:val="00B96E41"/>
    <w:rsid w:val="00B97372"/>
    <w:rsid w:val="00BA027E"/>
    <w:rsid w:val="00BA0C89"/>
    <w:rsid w:val="00BA1DE3"/>
    <w:rsid w:val="00BA353F"/>
    <w:rsid w:val="00BA3EFA"/>
    <w:rsid w:val="00BA4725"/>
    <w:rsid w:val="00BA476C"/>
    <w:rsid w:val="00BA54A1"/>
    <w:rsid w:val="00BA5FA3"/>
    <w:rsid w:val="00BA6059"/>
    <w:rsid w:val="00BB1FE3"/>
    <w:rsid w:val="00BB386E"/>
    <w:rsid w:val="00BB41BE"/>
    <w:rsid w:val="00BB436B"/>
    <w:rsid w:val="00BB54A7"/>
    <w:rsid w:val="00BC0B9B"/>
    <w:rsid w:val="00BC123F"/>
    <w:rsid w:val="00BC26F3"/>
    <w:rsid w:val="00BC279F"/>
    <w:rsid w:val="00BC348E"/>
    <w:rsid w:val="00BD11EE"/>
    <w:rsid w:val="00BD3E0C"/>
    <w:rsid w:val="00BD5919"/>
    <w:rsid w:val="00BD695E"/>
    <w:rsid w:val="00BE20B8"/>
    <w:rsid w:val="00BE3725"/>
    <w:rsid w:val="00BE37B0"/>
    <w:rsid w:val="00BE3D66"/>
    <w:rsid w:val="00BE483D"/>
    <w:rsid w:val="00BE69D6"/>
    <w:rsid w:val="00BE6E69"/>
    <w:rsid w:val="00BE7DAF"/>
    <w:rsid w:val="00BF1026"/>
    <w:rsid w:val="00BF1DC4"/>
    <w:rsid w:val="00BF2094"/>
    <w:rsid w:val="00BF3EDE"/>
    <w:rsid w:val="00BF4035"/>
    <w:rsid w:val="00BF49FF"/>
    <w:rsid w:val="00BF61AB"/>
    <w:rsid w:val="00BF78AD"/>
    <w:rsid w:val="00C00CDA"/>
    <w:rsid w:val="00C017B3"/>
    <w:rsid w:val="00C0198E"/>
    <w:rsid w:val="00C054CB"/>
    <w:rsid w:val="00C05C2C"/>
    <w:rsid w:val="00C062E9"/>
    <w:rsid w:val="00C07090"/>
    <w:rsid w:val="00C10DD0"/>
    <w:rsid w:val="00C10E87"/>
    <w:rsid w:val="00C158D6"/>
    <w:rsid w:val="00C15EC8"/>
    <w:rsid w:val="00C163DE"/>
    <w:rsid w:val="00C21954"/>
    <w:rsid w:val="00C2366D"/>
    <w:rsid w:val="00C23893"/>
    <w:rsid w:val="00C25393"/>
    <w:rsid w:val="00C2588B"/>
    <w:rsid w:val="00C26FB4"/>
    <w:rsid w:val="00C30875"/>
    <w:rsid w:val="00C32248"/>
    <w:rsid w:val="00C336E7"/>
    <w:rsid w:val="00C341B2"/>
    <w:rsid w:val="00C37979"/>
    <w:rsid w:val="00C41901"/>
    <w:rsid w:val="00C42E93"/>
    <w:rsid w:val="00C45A5E"/>
    <w:rsid w:val="00C45F29"/>
    <w:rsid w:val="00C46147"/>
    <w:rsid w:val="00C46D07"/>
    <w:rsid w:val="00C47DF0"/>
    <w:rsid w:val="00C50011"/>
    <w:rsid w:val="00C512B6"/>
    <w:rsid w:val="00C51552"/>
    <w:rsid w:val="00C52361"/>
    <w:rsid w:val="00C543C0"/>
    <w:rsid w:val="00C547C6"/>
    <w:rsid w:val="00C56B1B"/>
    <w:rsid w:val="00C625A4"/>
    <w:rsid w:val="00C62F7F"/>
    <w:rsid w:val="00C644EA"/>
    <w:rsid w:val="00C66369"/>
    <w:rsid w:val="00C66F25"/>
    <w:rsid w:val="00C66F61"/>
    <w:rsid w:val="00C677C0"/>
    <w:rsid w:val="00C72E4F"/>
    <w:rsid w:val="00C750B8"/>
    <w:rsid w:val="00C75B96"/>
    <w:rsid w:val="00C75BA9"/>
    <w:rsid w:val="00C7626C"/>
    <w:rsid w:val="00C7639E"/>
    <w:rsid w:val="00C76597"/>
    <w:rsid w:val="00C8048B"/>
    <w:rsid w:val="00C818DF"/>
    <w:rsid w:val="00C83FE4"/>
    <w:rsid w:val="00C8493A"/>
    <w:rsid w:val="00C8512F"/>
    <w:rsid w:val="00C86027"/>
    <w:rsid w:val="00C906F5"/>
    <w:rsid w:val="00C90F05"/>
    <w:rsid w:val="00C919D5"/>
    <w:rsid w:val="00C91E18"/>
    <w:rsid w:val="00C92689"/>
    <w:rsid w:val="00C9291D"/>
    <w:rsid w:val="00C93FFE"/>
    <w:rsid w:val="00CA2D23"/>
    <w:rsid w:val="00CB10F7"/>
    <w:rsid w:val="00CB1B42"/>
    <w:rsid w:val="00CB26F3"/>
    <w:rsid w:val="00CB2957"/>
    <w:rsid w:val="00CB2F54"/>
    <w:rsid w:val="00CB3F92"/>
    <w:rsid w:val="00CB5E54"/>
    <w:rsid w:val="00CC02CB"/>
    <w:rsid w:val="00CC089D"/>
    <w:rsid w:val="00CC0D30"/>
    <w:rsid w:val="00CC2482"/>
    <w:rsid w:val="00CC3334"/>
    <w:rsid w:val="00CC3DCB"/>
    <w:rsid w:val="00CC4FDA"/>
    <w:rsid w:val="00CC6AAD"/>
    <w:rsid w:val="00CD2C8A"/>
    <w:rsid w:val="00CD3C53"/>
    <w:rsid w:val="00CE0371"/>
    <w:rsid w:val="00CE1F00"/>
    <w:rsid w:val="00CE5438"/>
    <w:rsid w:val="00CE5CF5"/>
    <w:rsid w:val="00CE5F82"/>
    <w:rsid w:val="00CE6881"/>
    <w:rsid w:val="00CF0E77"/>
    <w:rsid w:val="00CF1D2D"/>
    <w:rsid w:val="00CF1EB2"/>
    <w:rsid w:val="00CF485A"/>
    <w:rsid w:val="00CF4C1F"/>
    <w:rsid w:val="00D001C8"/>
    <w:rsid w:val="00D01D23"/>
    <w:rsid w:val="00D01F03"/>
    <w:rsid w:val="00D038DD"/>
    <w:rsid w:val="00D03D9A"/>
    <w:rsid w:val="00D07835"/>
    <w:rsid w:val="00D1016D"/>
    <w:rsid w:val="00D106EF"/>
    <w:rsid w:val="00D11234"/>
    <w:rsid w:val="00D11DBF"/>
    <w:rsid w:val="00D12DB1"/>
    <w:rsid w:val="00D13E26"/>
    <w:rsid w:val="00D15168"/>
    <w:rsid w:val="00D1530C"/>
    <w:rsid w:val="00D1585C"/>
    <w:rsid w:val="00D217C1"/>
    <w:rsid w:val="00D2202F"/>
    <w:rsid w:val="00D231D1"/>
    <w:rsid w:val="00D23F72"/>
    <w:rsid w:val="00D25D5E"/>
    <w:rsid w:val="00D25FFA"/>
    <w:rsid w:val="00D301B1"/>
    <w:rsid w:val="00D32E68"/>
    <w:rsid w:val="00D33B7B"/>
    <w:rsid w:val="00D36A2A"/>
    <w:rsid w:val="00D43691"/>
    <w:rsid w:val="00D43A70"/>
    <w:rsid w:val="00D43BBE"/>
    <w:rsid w:val="00D45F41"/>
    <w:rsid w:val="00D46213"/>
    <w:rsid w:val="00D46694"/>
    <w:rsid w:val="00D5413C"/>
    <w:rsid w:val="00D5455B"/>
    <w:rsid w:val="00D54829"/>
    <w:rsid w:val="00D54B27"/>
    <w:rsid w:val="00D550CF"/>
    <w:rsid w:val="00D61CD4"/>
    <w:rsid w:val="00D6380D"/>
    <w:rsid w:val="00D6477E"/>
    <w:rsid w:val="00D6674C"/>
    <w:rsid w:val="00D71C60"/>
    <w:rsid w:val="00D71FB0"/>
    <w:rsid w:val="00D72EB4"/>
    <w:rsid w:val="00D7548A"/>
    <w:rsid w:val="00D76806"/>
    <w:rsid w:val="00D77224"/>
    <w:rsid w:val="00D77E91"/>
    <w:rsid w:val="00D804D5"/>
    <w:rsid w:val="00D8098F"/>
    <w:rsid w:val="00D80E71"/>
    <w:rsid w:val="00D82F66"/>
    <w:rsid w:val="00D84C8F"/>
    <w:rsid w:val="00D9056C"/>
    <w:rsid w:val="00D94F99"/>
    <w:rsid w:val="00D9646A"/>
    <w:rsid w:val="00D970B3"/>
    <w:rsid w:val="00D97873"/>
    <w:rsid w:val="00DA15F4"/>
    <w:rsid w:val="00DA2427"/>
    <w:rsid w:val="00DA4746"/>
    <w:rsid w:val="00DA48D7"/>
    <w:rsid w:val="00DA5D16"/>
    <w:rsid w:val="00DA69CE"/>
    <w:rsid w:val="00DA774C"/>
    <w:rsid w:val="00DB1107"/>
    <w:rsid w:val="00DB36E6"/>
    <w:rsid w:val="00DB5081"/>
    <w:rsid w:val="00DB5C6B"/>
    <w:rsid w:val="00DB5FD0"/>
    <w:rsid w:val="00DC2161"/>
    <w:rsid w:val="00DC2CC6"/>
    <w:rsid w:val="00DC46D9"/>
    <w:rsid w:val="00DC698C"/>
    <w:rsid w:val="00DC77BA"/>
    <w:rsid w:val="00DC77ED"/>
    <w:rsid w:val="00DC7E9F"/>
    <w:rsid w:val="00DD62F0"/>
    <w:rsid w:val="00DE532C"/>
    <w:rsid w:val="00DE53CA"/>
    <w:rsid w:val="00DF6C01"/>
    <w:rsid w:val="00DF7836"/>
    <w:rsid w:val="00DF7AA6"/>
    <w:rsid w:val="00E00106"/>
    <w:rsid w:val="00E01AEA"/>
    <w:rsid w:val="00E05652"/>
    <w:rsid w:val="00E073EA"/>
    <w:rsid w:val="00E1093B"/>
    <w:rsid w:val="00E10DDF"/>
    <w:rsid w:val="00E11EE6"/>
    <w:rsid w:val="00E14353"/>
    <w:rsid w:val="00E14477"/>
    <w:rsid w:val="00E202FE"/>
    <w:rsid w:val="00E20B20"/>
    <w:rsid w:val="00E2111D"/>
    <w:rsid w:val="00E2159A"/>
    <w:rsid w:val="00E22734"/>
    <w:rsid w:val="00E2317A"/>
    <w:rsid w:val="00E23F78"/>
    <w:rsid w:val="00E24EB1"/>
    <w:rsid w:val="00E262DD"/>
    <w:rsid w:val="00E3039E"/>
    <w:rsid w:val="00E30549"/>
    <w:rsid w:val="00E3194E"/>
    <w:rsid w:val="00E31B11"/>
    <w:rsid w:val="00E32236"/>
    <w:rsid w:val="00E34444"/>
    <w:rsid w:val="00E35CF4"/>
    <w:rsid w:val="00E36576"/>
    <w:rsid w:val="00E410D8"/>
    <w:rsid w:val="00E42006"/>
    <w:rsid w:val="00E4246F"/>
    <w:rsid w:val="00E42872"/>
    <w:rsid w:val="00E44B7C"/>
    <w:rsid w:val="00E44ED3"/>
    <w:rsid w:val="00E473F3"/>
    <w:rsid w:val="00E50635"/>
    <w:rsid w:val="00E50CCF"/>
    <w:rsid w:val="00E51A69"/>
    <w:rsid w:val="00E533FD"/>
    <w:rsid w:val="00E553E1"/>
    <w:rsid w:val="00E55E10"/>
    <w:rsid w:val="00E5610D"/>
    <w:rsid w:val="00E576E5"/>
    <w:rsid w:val="00E6020C"/>
    <w:rsid w:val="00E628BB"/>
    <w:rsid w:val="00E628F8"/>
    <w:rsid w:val="00E64A4D"/>
    <w:rsid w:val="00E6674D"/>
    <w:rsid w:val="00E67530"/>
    <w:rsid w:val="00E70B7C"/>
    <w:rsid w:val="00E72DA9"/>
    <w:rsid w:val="00E73C92"/>
    <w:rsid w:val="00E74C71"/>
    <w:rsid w:val="00E74ED6"/>
    <w:rsid w:val="00E77462"/>
    <w:rsid w:val="00E82EFC"/>
    <w:rsid w:val="00E8344F"/>
    <w:rsid w:val="00E84D20"/>
    <w:rsid w:val="00E873DE"/>
    <w:rsid w:val="00E87E15"/>
    <w:rsid w:val="00E909B0"/>
    <w:rsid w:val="00E93191"/>
    <w:rsid w:val="00E9340D"/>
    <w:rsid w:val="00E9380E"/>
    <w:rsid w:val="00E95D77"/>
    <w:rsid w:val="00E965CE"/>
    <w:rsid w:val="00E969D4"/>
    <w:rsid w:val="00EA0218"/>
    <w:rsid w:val="00EA1E53"/>
    <w:rsid w:val="00EA22B2"/>
    <w:rsid w:val="00EA538D"/>
    <w:rsid w:val="00EA65EF"/>
    <w:rsid w:val="00EA6FEC"/>
    <w:rsid w:val="00EA7CDA"/>
    <w:rsid w:val="00EB147E"/>
    <w:rsid w:val="00EB2241"/>
    <w:rsid w:val="00EB2B68"/>
    <w:rsid w:val="00EB47B8"/>
    <w:rsid w:val="00EB4D92"/>
    <w:rsid w:val="00EB67FF"/>
    <w:rsid w:val="00EC02F2"/>
    <w:rsid w:val="00EC4DC8"/>
    <w:rsid w:val="00EC5108"/>
    <w:rsid w:val="00EC5815"/>
    <w:rsid w:val="00EC7633"/>
    <w:rsid w:val="00ED0853"/>
    <w:rsid w:val="00ED13E3"/>
    <w:rsid w:val="00ED1C4C"/>
    <w:rsid w:val="00ED2B4A"/>
    <w:rsid w:val="00ED6A9A"/>
    <w:rsid w:val="00EE41E2"/>
    <w:rsid w:val="00EE54FD"/>
    <w:rsid w:val="00EE6750"/>
    <w:rsid w:val="00EE7C29"/>
    <w:rsid w:val="00EF066B"/>
    <w:rsid w:val="00EF0FF7"/>
    <w:rsid w:val="00EF1D8E"/>
    <w:rsid w:val="00EF4D38"/>
    <w:rsid w:val="00EF5250"/>
    <w:rsid w:val="00EF592E"/>
    <w:rsid w:val="00EF77C1"/>
    <w:rsid w:val="00F01847"/>
    <w:rsid w:val="00F022D7"/>
    <w:rsid w:val="00F02606"/>
    <w:rsid w:val="00F03018"/>
    <w:rsid w:val="00F035D6"/>
    <w:rsid w:val="00F051FD"/>
    <w:rsid w:val="00F054EE"/>
    <w:rsid w:val="00F06FCC"/>
    <w:rsid w:val="00F0778A"/>
    <w:rsid w:val="00F14EB7"/>
    <w:rsid w:val="00F17F87"/>
    <w:rsid w:val="00F21CE2"/>
    <w:rsid w:val="00F220D8"/>
    <w:rsid w:val="00F2371C"/>
    <w:rsid w:val="00F23FD7"/>
    <w:rsid w:val="00F246C1"/>
    <w:rsid w:val="00F2487D"/>
    <w:rsid w:val="00F256E0"/>
    <w:rsid w:val="00F26026"/>
    <w:rsid w:val="00F30C04"/>
    <w:rsid w:val="00F31F76"/>
    <w:rsid w:val="00F324D9"/>
    <w:rsid w:val="00F3314F"/>
    <w:rsid w:val="00F33D34"/>
    <w:rsid w:val="00F3533D"/>
    <w:rsid w:val="00F35643"/>
    <w:rsid w:val="00F36C6C"/>
    <w:rsid w:val="00F378F1"/>
    <w:rsid w:val="00F37C99"/>
    <w:rsid w:val="00F44785"/>
    <w:rsid w:val="00F4517E"/>
    <w:rsid w:val="00F457D0"/>
    <w:rsid w:val="00F45C40"/>
    <w:rsid w:val="00F47826"/>
    <w:rsid w:val="00F47C25"/>
    <w:rsid w:val="00F50815"/>
    <w:rsid w:val="00F52014"/>
    <w:rsid w:val="00F52D1D"/>
    <w:rsid w:val="00F53AB8"/>
    <w:rsid w:val="00F6155D"/>
    <w:rsid w:val="00F62A7A"/>
    <w:rsid w:val="00F62F67"/>
    <w:rsid w:val="00F64837"/>
    <w:rsid w:val="00F64A64"/>
    <w:rsid w:val="00F67328"/>
    <w:rsid w:val="00F7007D"/>
    <w:rsid w:val="00F7218F"/>
    <w:rsid w:val="00F721ED"/>
    <w:rsid w:val="00F723CA"/>
    <w:rsid w:val="00F72A31"/>
    <w:rsid w:val="00F75A2E"/>
    <w:rsid w:val="00F77FCF"/>
    <w:rsid w:val="00F80784"/>
    <w:rsid w:val="00F810B6"/>
    <w:rsid w:val="00F87E32"/>
    <w:rsid w:val="00F9033D"/>
    <w:rsid w:val="00F95E21"/>
    <w:rsid w:val="00F96201"/>
    <w:rsid w:val="00F96219"/>
    <w:rsid w:val="00F96EFA"/>
    <w:rsid w:val="00FA170F"/>
    <w:rsid w:val="00FA2415"/>
    <w:rsid w:val="00FA3D7B"/>
    <w:rsid w:val="00FA52F9"/>
    <w:rsid w:val="00FA5ED5"/>
    <w:rsid w:val="00FA7045"/>
    <w:rsid w:val="00FB244A"/>
    <w:rsid w:val="00FB45BD"/>
    <w:rsid w:val="00FC13F0"/>
    <w:rsid w:val="00FD0DC1"/>
    <w:rsid w:val="00FD31B4"/>
    <w:rsid w:val="00FD5676"/>
    <w:rsid w:val="00FD6BC7"/>
    <w:rsid w:val="00FE0BE7"/>
    <w:rsid w:val="00FE1075"/>
    <w:rsid w:val="00FE1395"/>
    <w:rsid w:val="00FE3F89"/>
    <w:rsid w:val="00FE5909"/>
    <w:rsid w:val="00FF120D"/>
    <w:rsid w:val="00FF138D"/>
    <w:rsid w:val="00FF1599"/>
    <w:rsid w:val="00FF1860"/>
    <w:rsid w:val="00FF2312"/>
    <w:rsid w:val="00FF27D2"/>
    <w:rsid w:val="00FF4541"/>
    <w:rsid w:val="00FF4842"/>
    <w:rsid w:val="00FF4C4A"/>
    <w:rsid w:val="00FF4C84"/>
    <w:rsid w:val="00FF5811"/>
    <w:rsid w:val="00FF6C08"/>
    <w:rsid w:val="00FF76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9DCCDC"/>
  <w15:docId w15:val="{7D1CE63E-EFF1-4C48-8CE1-8357D0483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051FD"/>
    <w:pPr>
      <w:overflowPunct w:val="0"/>
      <w:autoSpaceDE w:val="0"/>
      <w:autoSpaceDN w:val="0"/>
      <w:adjustRightInd w:val="0"/>
      <w:spacing w:after="160" w:line="340" w:lineRule="exact"/>
      <w:textAlignment w:val="baseline"/>
    </w:pPr>
    <w:rPr>
      <w:rFonts w:asciiTheme="minorHAnsi" w:hAnsiTheme="minorHAnsi"/>
      <w:sz w:val="22"/>
    </w:rPr>
  </w:style>
  <w:style w:type="paragraph" w:styleId="Nadpis1">
    <w:name w:val="heading 1"/>
    <w:basedOn w:val="Normln"/>
    <w:link w:val="Nadpis1Char"/>
    <w:uiPriority w:val="9"/>
    <w:qFormat/>
    <w:rsid w:val="00F051FD"/>
    <w:pPr>
      <w:overflowPunct/>
      <w:autoSpaceDE/>
      <w:autoSpaceDN/>
      <w:adjustRightInd/>
      <w:spacing w:before="100" w:beforeAutospacing="1" w:after="100" w:afterAutospacing="1" w:line="240" w:lineRule="auto"/>
      <w:textAlignment w:val="auto"/>
      <w:outlineLvl w:val="0"/>
    </w:pPr>
    <w:rPr>
      <w:rFonts w:ascii="Times New Roman" w:hAnsi="Times New Roman"/>
      <w:b/>
      <w:bCs/>
      <w:kern w:val="36"/>
      <w:sz w:val="48"/>
      <w:szCs w:val="48"/>
    </w:rPr>
  </w:style>
  <w:style w:type="paragraph" w:styleId="Nadpis4">
    <w:name w:val="heading 4"/>
    <w:basedOn w:val="Normln"/>
    <w:next w:val="Normln"/>
    <w:link w:val="Nadpis4Char"/>
    <w:uiPriority w:val="9"/>
    <w:semiHidden/>
    <w:unhideWhenUsed/>
    <w:qFormat/>
    <w:rsid w:val="00F051F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051FD"/>
    <w:rPr>
      <w:b/>
      <w:bCs/>
      <w:kern w:val="36"/>
      <w:sz w:val="48"/>
      <w:szCs w:val="48"/>
    </w:rPr>
  </w:style>
  <w:style w:type="character" w:customStyle="1" w:styleId="Nadpis4Char">
    <w:name w:val="Nadpis 4 Char"/>
    <w:basedOn w:val="Standardnpsmoodstavce"/>
    <w:link w:val="Nadpis4"/>
    <w:uiPriority w:val="9"/>
    <w:semiHidden/>
    <w:rsid w:val="00F051FD"/>
    <w:rPr>
      <w:rFonts w:asciiTheme="majorHAnsi" w:eastAsiaTheme="majorEastAsia" w:hAnsiTheme="majorHAnsi" w:cstheme="majorBidi"/>
      <w:i/>
      <w:iCs/>
      <w:color w:val="2E74B5" w:themeColor="accent1" w:themeShade="BF"/>
      <w:sz w:val="22"/>
    </w:rPr>
  </w:style>
  <w:style w:type="paragraph" w:styleId="Obsah1">
    <w:name w:val="toc 1"/>
    <w:basedOn w:val="Normln"/>
    <w:next w:val="Normln"/>
    <w:autoRedefine/>
    <w:rsid w:val="00F051FD"/>
    <w:pPr>
      <w:overflowPunct/>
      <w:autoSpaceDE/>
      <w:autoSpaceDN/>
      <w:adjustRightInd/>
      <w:spacing w:before="120" w:after="0" w:line="264" w:lineRule="auto"/>
      <w:jc w:val="center"/>
      <w:textAlignment w:val="auto"/>
    </w:pPr>
    <w:rPr>
      <w:rFonts w:ascii="Arial" w:eastAsia="MS Mincho" w:hAnsi="Arial" w:cs="Arial"/>
      <w:b/>
      <w:sz w:val="28"/>
      <w:szCs w:val="24"/>
      <w:lang w:eastAsia="en-US"/>
    </w:rPr>
  </w:style>
  <w:style w:type="paragraph" w:styleId="Obsah2">
    <w:name w:val="toc 2"/>
    <w:basedOn w:val="Normln"/>
    <w:next w:val="Normln"/>
    <w:autoRedefine/>
    <w:uiPriority w:val="39"/>
    <w:semiHidden/>
    <w:unhideWhenUsed/>
    <w:rsid w:val="00F051FD"/>
    <w:pPr>
      <w:spacing w:after="100"/>
      <w:ind w:left="220"/>
    </w:pPr>
  </w:style>
  <w:style w:type="paragraph" w:styleId="Odstavecseseznamem">
    <w:name w:val="List Paragraph"/>
    <w:aliases w:val="Bulleted List,3,POCG Table Text,Issue Action POC,List Paragraph1,Dot pt,F5 List Paragraph,List Paragraph Char Char Char,Indicator Text,Colorful List - Accent 11,Numbered Para 1,Bullet 1,Bullet Points,List Paragraph2,MAIN CONTENT"/>
    <w:basedOn w:val="Normln"/>
    <w:link w:val="OdstavecseseznamemChar"/>
    <w:uiPriority w:val="34"/>
    <w:qFormat/>
    <w:rsid w:val="00F051FD"/>
    <w:pPr>
      <w:ind w:left="720"/>
      <w:contextualSpacing/>
    </w:pPr>
  </w:style>
  <w:style w:type="character" w:styleId="Znakapoznpodarou">
    <w:name w:val="footnote reference"/>
    <w:aliases w:val="EN Footnote Reference,BVI fnr,Footnote symbol,Footnote Reference Number,PGI Fußnote Ziffer,Footnote Reference Superscript,Appel note de bas de p,Appel note de bas de page,Légende,Char Car Car Car Car,Voetnootverwijzing,fr"/>
    <w:uiPriority w:val="99"/>
    <w:rsid w:val="00F051FD"/>
    <w:rPr>
      <w:rFonts w:cs="Times New Roman"/>
      <w:vertAlign w:val="superscript"/>
    </w:rPr>
  </w:style>
  <w:style w:type="paragraph" w:styleId="Textpoznpodarou">
    <w:name w:val="footnote text"/>
    <w:aliases w:val="Text pozn. pod čarou Char1 Char, Char Char Char,Text pozn. pod čarou Char1, Char Char"/>
    <w:basedOn w:val="Normln"/>
    <w:link w:val="TextpoznpodarouChar2"/>
    <w:uiPriority w:val="99"/>
    <w:rsid w:val="00F051FD"/>
    <w:pPr>
      <w:overflowPunct/>
      <w:autoSpaceDE/>
      <w:autoSpaceDN/>
      <w:adjustRightInd/>
      <w:spacing w:after="120" w:line="240" w:lineRule="auto"/>
      <w:jc w:val="both"/>
      <w:textAlignment w:val="auto"/>
    </w:pPr>
    <w:rPr>
      <w:rFonts w:ascii="Times New Roman" w:hAnsi="Times New Roman"/>
      <w:sz w:val="20"/>
    </w:rPr>
  </w:style>
  <w:style w:type="character" w:customStyle="1" w:styleId="TextpoznpodarouChar">
    <w:name w:val="Text pozn. pod čarou Char"/>
    <w:basedOn w:val="Standardnpsmoodstavce"/>
    <w:uiPriority w:val="99"/>
    <w:rsid w:val="00F051FD"/>
    <w:rPr>
      <w:rFonts w:asciiTheme="minorHAnsi" w:hAnsiTheme="minorHAnsi"/>
    </w:rPr>
  </w:style>
  <w:style w:type="character" w:customStyle="1" w:styleId="TextpoznpodarouChar2">
    <w:name w:val="Text pozn. pod čarou Char2"/>
    <w:aliases w:val="Text pozn. pod čarou Char1 Char Char, Char Char Char Char,Text pozn. pod čarou Char1 Char1, Char Char Char1"/>
    <w:link w:val="Textpoznpodarou"/>
    <w:uiPriority w:val="99"/>
    <w:rsid w:val="00F051FD"/>
  </w:style>
  <w:style w:type="character" w:styleId="Hypertextovodkaz">
    <w:name w:val="Hyperlink"/>
    <w:uiPriority w:val="99"/>
    <w:rsid w:val="00F051FD"/>
    <w:rPr>
      <w:rFonts w:cs="Times New Roman"/>
      <w:color w:val="0000FF"/>
      <w:u w:val="single"/>
    </w:rPr>
  </w:style>
  <w:style w:type="character" w:customStyle="1" w:styleId="OdstavecseseznamemChar">
    <w:name w:val="Odstavec se seznamem Char"/>
    <w:aliases w:val="Bulleted List Char,3 Char,POCG Table Text Char,Issue Action POC Char,List Paragraph1 Char,Dot pt Char,F5 List Paragraph Char,List Paragraph Char Char Char Char,Indicator Text Char,Colorful List - Accent 11 Char,Bullet 1 Char"/>
    <w:link w:val="Odstavecseseznamem"/>
    <w:uiPriority w:val="34"/>
    <w:qFormat/>
    <w:rsid w:val="00F051FD"/>
    <w:rPr>
      <w:rFonts w:asciiTheme="minorHAnsi" w:hAnsiTheme="minorHAnsi"/>
      <w:sz w:val="22"/>
    </w:rPr>
  </w:style>
  <w:style w:type="paragraph" w:customStyle="1" w:styleId="Tlotextu">
    <w:name w:val="Tělo textu"/>
    <w:basedOn w:val="Normln"/>
    <w:rsid w:val="00F051FD"/>
    <w:pPr>
      <w:suppressAutoHyphens/>
      <w:overflowPunct/>
      <w:autoSpaceDE/>
      <w:autoSpaceDN/>
      <w:adjustRightInd/>
      <w:spacing w:after="120" w:line="288" w:lineRule="auto"/>
      <w:textAlignment w:val="auto"/>
    </w:pPr>
    <w:rPr>
      <w:rFonts w:ascii="Times New Roman" w:eastAsiaTheme="minorHAnsi" w:hAnsi="Times New Roman" w:cstheme="minorBidi"/>
      <w:sz w:val="32"/>
      <w:szCs w:val="32"/>
      <w:lang w:eastAsia="en-US"/>
    </w:rPr>
  </w:style>
  <w:style w:type="paragraph" w:styleId="Zkladntext2">
    <w:name w:val="Body Text 2"/>
    <w:basedOn w:val="Normln"/>
    <w:link w:val="Zkladntext2Char"/>
    <w:semiHidden/>
    <w:rsid w:val="00F051FD"/>
    <w:pPr>
      <w:spacing w:after="0" w:line="240" w:lineRule="auto"/>
      <w:jc w:val="both"/>
    </w:pPr>
    <w:rPr>
      <w:rFonts w:ascii="Times New Roman" w:hAnsi="Times New Roman"/>
      <w:sz w:val="24"/>
    </w:rPr>
  </w:style>
  <w:style w:type="character" w:customStyle="1" w:styleId="Zkladntext2Char">
    <w:name w:val="Základní text 2 Char"/>
    <w:basedOn w:val="Standardnpsmoodstavce"/>
    <w:link w:val="Zkladntext2"/>
    <w:semiHidden/>
    <w:rsid w:val="00F051FD"/>
    <w:rPr>
      <w:sz w:val="24"/>
    </w:rPr>
  </w:style>
  <w:style w:type="character" w:customStyle="1" w:styleId="h1a">
    <w:name w:val="h1a"/>
    <w:basedOn w:val="Standardnpsmoodstavce"/>
    <w:rsid w:val="00F051FD"/>
  </w:style>
  <w:style w:type="paragraph" w:styleId="Zhlav">
    <w:name w:val="header"/>
    <w:basedOn w:val="Normln"/>
    <w:link w:val="ZhlavChar"/>
    <w:uiPriority w:val="99"/>
    <w:unhideWhenUsed/>
    <w:rsid w:val="00F051F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051FD"/>
    <w:rPr>
      <w:rFonts w:asciiTheme="minorHAnsi" w:hAnsiTheme="minorHAnsi"/>
      <w:sz w:val="22"/>
    </w:rPr>
  </w:style>
  <w:style w:type="paragraph" w:styleId="Zpat">
    <w:name w:val="footer"/>
    <w:basedOn w:val="Normln"/>
    <w:link w:val="ZpatChar"/>
    <w:uiPriority w:val="99"/>
    <w:unhideWhenUsed/>
    <w:rsid w:val="00F051FD"/>
    <w:pPr>
      <w:tabs>
        <w:tab w:val="center" w:pos="4536"/>
        <w:tab w:val="right" w:pos="9072"/>
      </w:tabs>
      <w:spacing w:after="0" w:line="240" w:lineRule="auto"/>
    </w:pPr>
  </w:style>
  <w:style w:type="character" w:customStyle="1" w:styleId="ZpatChar">
    <w:name w:val="Zápatí Char"/>
    <w:basedOn w:val="Standardnpsmoodstavce"/>
    <w:link w:val="Zpat"/>
    <w:uiPriority w:val="99"/>
    <w:rsid w:val="00F051FD"/>
    <w:rPr>
      <w:rFonts w:asciiTheme="minorHAnsi" w:hAnsiTheme="minorHAnsi"/>
      <w:sz w:val="22"/>
    </w:rPr>
  </w:style>
  <w:style w:type="table" w:styleId="Mkatabulky">
    <w:name w:val="Table Grid"/>
    <w:basedOn w:val="Normlntabulka"/>
    <w:uiPriority w:val="59"/>
    <w:rsid w:val="00F051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F051FD"/>
    <w:rPr>
      <w:rFonts w:ascii="Calibri" w:eastAsia="Calibri" w:hAnsi="Calibri"/>
      <w:sz w:val="22"/>
      <w:szCs w:val="22"/>
      <w:lang w:eastAsia="en-US"/>
    </w:rPr>
  </w:style>
  <w:style w:type="paragraph" w:styleId="Textbubliny">
    <w:name w:val="Balloon Text"/>
    <w:basedOn w:val="Normln"/>
    <w:link w:val="TextbublinyChar"/>
    <w:uiPriority w:val="99"/>
    <w:semiHidden/>
    <w:unhideWhenUsed/>
    <w:rsid w:val="00F051F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051FD"/>
    <w:rPr>
      <w:rFonts w:ascii="Segoe UI" w:hAnsi="Segoe UI" w:cs="Segoe UI"/>
      <w:sz w:val="18"/>
      <w:szCs w:val="18"/>
    </w:rPr>
  </w:style>
  <w:style w:type="paragraph" w:customStyle="1" w:styleId="Default">
    <w:name w:val="Default"/>
    <w:rsid w:val="00F051FD"/>
    <w:pPr>
      <w:autoSpaceDE w:val="0"/>
      <w:autoSpaceDN w:val="0"/>
      <w:adjustRightInd w:val="0"/>
    </w:pPr>
    <w:rPr>
      <w:rFonts w:eastAsiaTheme="minorEastAsia"/>
      <w:color w:val="000000"/>
      <w:sz w:val="24"/>
      <w:szCs w:val="24"/>
    </w:rPr>
  </w:style>
  <w:style w:type="paragraph" w:styleId="Prosttext">
    <w:name w:val="Plain Text"/>
    <w:basedOn w:val="Normln"/>
    <w:link w:val="ProsttextChar"/>
    <w:uiPriority w:val="99"/>
    <w:unhideWhenUsed/>
    <w:rsid w:val="00F051FD"/>
    <w:pPr>
      <w:overflowPunct/>
      <w:autoSpaceDE/>
      <w:autoSpaceDN/>
      <w:adjustRightInd/>
      <w:spacing w:after="0" w:line="240" w:lineRule="auto"/>
      <w:textAlignment w:val="auto"/>
    </w:pPr>
    <w:rPr>
      <w:rFonts w:ascii="Calibri" w:eastAsiaTheme="minorHAnsi" w:hAnsi="Calibri"/>
      <w:szCs w:val="22"/>
      <w:lang w:eastAsia="en-US"/>
    </w:rPr>
  </w:style>
  <w:style w:type="character" w:customStyle="1" w:styleId="ProsttextChar">
    <w:name w:val="Prostý text Char"/>
    <w:basedOn w:val="Standardnpsmoodstavce"/>
    <w:link w:val="Prosttext"/>
    <w:uiPriority w:val="99"/>
    <w:rsid w:val="00F051FD"/>
    <w:rPr>
      <w:rFonts w:ascii="Calibri" w:eastAsiaTheme="minorHAnsi" w:hAnsi="Calibri"/>
      <w:sz w:val="22"/>
      <w:szCs w:val="22"/>
      <w:lang w:eastAsia="en-US"/>
    </w:rPr>
  </w:style>
  <w:style w:type="character" w:customStyle="1" w:styleId="bold">
    <w:name w:val="bold"/>
    <w:basedOn w:val="Standardnpsmoodstavce"/>
    <w:rsid w:val="00F051FD"/>
  </w:style>
  <w:style w:type="character" w:styleId="Odkaznakoment">
    <w:name w:val="annotation reference"/>
    <w:basedOn w:val="Standardnpsmoodstavce"/>
    <w:uiPriority w:val="99"/>
    <w:semiHidden/>
    <w:unhideWhenUsed/>
    <w:rsid w:val="00F051FD"/>
    <w:rPr>
      <w:sz w:val="16"/>
      <w:szCs w:val="16"/>
    </w:rPr>
  </w:style>
  <w:style w:type="paragraph" w:styleId="Textkomente">
    <w:name w:val="annotation text"/>
    <w:basedOn w:val="Normln"/>
    <w:link w:val="TextkomenteChar"/>
    <w:uiPriority w:val="99"/>
    <w:semiHidden/>
    <w:unhideWhenUsed/>
    <w:rsid w:val="00F051FD"/>
    <w:pPr>
      <w:spacing w:line="240" w:lineRule="auto"/>
    </w:pPr>
    <w:rPr>
      <w:sz w:val="20"/>
    </w:rPr>
  </w:style>
  <w:style w:type="character" w:customStyle="1" w:styleId="TextkomenteChar">
    <w:name w:val="Text komentáře Char"/>
    <w:basedOn w:val="Standardnpsmoodstavce"/>
    <w:link w:val="Textkomente"/>
    <w:uiPriority w:val="99"/>
    <w:semiHidden/>
    <w:rsid w:val="00F051FD"/>
    <w:rPr>
      <w:rFonts w:asciiTheme="minorHAnsi" w:hAnsiTheme="minorHAnsi"/>
    </w:rPr>
  </w:style>
  <w:style w:type="paragraph" w:styleId="Pedmtkomente">
    <w:name w:val="annotation subject"/>
    <w:basedOn w:val="Textkomente"/>
    <w:next w:val="Textkomente"/>
    <w:link w:val="PedmtkomenteChar"/>
    <w:uiPriority w:val="99"/>
    <w:semiHidden/>
    <w:unhideWhenUsed/>
    <w:rsid w:val="00F051FD"/>
    <w:rPr>
      <w:b/>
      <w:bCs/>
    </w:rPr>
  </w:style>
  <w:style w:type="character" w:customStyle="1" w:styleId="PedmtkomenteChar">
    <w:name w:val="Předmět komentáře Char"/>
    <w:basedOn w:val="TextkomenteChar"/>
    <w:link w:val="Pedmtkomente"/>
    <w:uiPriority w:val="99"/>
    <w:semiHidden/>
    <w:rsid w:val="00F051FD"/>
    <w:rPr>
      <w:rFonts w:asciiTheme="minorHAnsi" w:hAnsiTheme="minorHAnsi"/>
      <w:b/>
      <w:bCs/>
    </w:rPr>
  </w:style>
  <w:style w:type="character" w:styleId="Zdraznn">
    <w:name w:val="Emphasis"/>
    <w:basedOn w:val="Standardnpsmoodstavce"/>
    <w:uiPriority w:val="20"/>
    <w:qFormat/>
    <w:rsid w:val="00D12DB1"/>
    <w:rPr>
      <w:b/>
      <w:bCs/>
      <w:i w:val="0"/>
      <w:iCs w:val="0"/>
    </w:rPr>
  </w:style>
  <w:style w:type="character" w:customStyle="1" w:styleId="st1">
    <w:name w:val="st1"/>
    <w:basedOn w:val="Standardnpsmoodstavce"/>
    <w:rsid w:val="00D12DB1"/>
  </w:style>
  <w:style w:type="paragraph" w:styleId="Titulek">
    <w:name w:val="caption"/>
    <w:basedOn w:val="Normln"/>
    <w:next w:val="Normln"/>
    <w:unhideWhenUsed/>
    <w:qFormat/>
    <w:rsid w:val="003B5604"/>
    <w:pPr>
      <w:overflowPunct/>
      <w:autoSpaceDE/>
      <w:autoSpaceDN/>
      <w:adjustRightInd/>
      <w:spacing w:after="200" w:line="240" w:lineRule="auto"/>
      <w:textAlignment w:val="auto"/>
    </w:pPr>
    <w:rPr>
      <w:rFonts w:ascii="Times New Roman" w:hAnsi="Times New Roman"/>
      <w:b/>
      <w:bCs/>
      <w:color w:val="5B9BD5" w:themeColor="accent1"/>
      <w:sz w:val="18"/>
      <w:szCs w:val="18"/>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AE097E"/>
    <w:pPr>
      <w:overflowPunct/>
      <w:autoSpaceDE/>
      <w:autoSpaceDN/>
      <w:adjustRightInd/>
      <w:spacing w:line="240" w:lineRule="exact"/>
      <w:textAlignment w:val="auto"/>
    </w:pPr>
    <w:rPr>
      <w:rFonts w:ascii="Times New Roman Bold" w:hAnsi="Times New Roman Bold"/>
      <w:szCs w:val="26"/>
      <w:lang w:val="sk-SK" w:eastAsia="en-US"/>
    </w:rPr>
  </w:style>
  <w:style w:type="paragraph" w:customStyle="1" w:styleId="Styl1-Nzevmaterilu">
    <w:name w:val="Styl1 - Název materiálu"/>
    <w:basedOn w:val="Normln"/>
    <w:link w:val="Styl1-NzevmateriluChar"/>
    <w:qFormat/>
    <w:rsid w:val="00AE097E"/>
    <w:pPr>
      <w:spacing w:after="0" w:line="240" w:lineRule="auto"/>
      <w:jc w:val="center"/>
    </w:pPr>
    <w:rPr>
      <w:rFonts w:ascii="Arial" w:hAnsi="Arial" w:cs="Arial"/>
      <w:b/>
      <w:noProof/>
      <w:szCs w:val="24"/>
    </w:rPr>
  </w:style>
  <w:style w:type="character" w:customStyle="1" w:styleId="Styl1-NzevmateriluChar">
    <w:name w:val="Styl1 - Název materiálu Char"/>
    <w:link w:val="Styl1-Nzevmaterilu"/>
    <w:rsid w:val="00AE097E"/>
    <w:rPr>
      <w:rFonts w:ascii="Arial" w:hAnsi="Arial" w:cs="Arial"/>
      <w:b/>
      <w:noProof/>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273092">
      <w:bodyDiv w:val="1"/>
      <w:marLeft w:val="0"/>
      <w:marRight w:val="0"/>
      <w:marTop w:val="0"/>
      <w:marBottom w:val="0"/>
      <w:divBdr>
        <w:top w:val="none" w:sz="0" w:space="0" w:color="auto"/>
        <w:left w:val="none" w:sz="0" w:space="0" w:color="auto"/>
        <w:bottom w:val="none" w:sz="0" w:space="0" w:color="auto"/>
        <w:right w:val="none" w:sz="0" w:space="0" w:color="auto"/>
      </w:divBdr>
    </w:div>
    <w:div w:id="1462843475">
      <w:bodyDiv w:val="1"/>
      <w:marLeft w:val="0"/>
      <w:marRight w:val="0"/>
      <w:marTop w:val="0"/>
      <w:marBottom w:val="0"/>
      <w:divBdr>
        <w:top w:val="none" w:sz="0" w:space="0" w:color="auto"/>
        <w:left w:val="none" w:sz="0" w:space="0" w:color="auto"/>
        <w:bottom w:val="none" w:sz="0" w:space="0" w:color="auto"/>
        <w:right w:val="none" w:sz="0" w:space="0" w:color="auto"/>
      </w:divBdr>
    </w:div>
    <w:div w:id="211570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B698F7-5725-4F0D-9A05-4215F651D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677397C0.dotm</Template>
  <TotalTime>12</TotalTime>
  <Pages>58</Pages>
  <Words>16663</Words>
  <Characters>103830</Characters>
  <Application>Microsoft Office Word</Application>
  <DocSecurity>0</DocSecurity>
  <Lines>865</Lines>
  <Paragraphs>240</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120253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Mudra Josef</dc:creator>
  <cp:lastModifiedBy>Gregorová Marta</cp:lastModifiedBy>
  <cp:revision>5</cp:revision>
  <dcterms:created xsi:type="dcterms:W3CDTF">2020-02-10T09:31:00Z</dcterms:created>
  <dcterms:modified xsi:type="dcterms:W3CDTF">2020-02-10T09:47:00Z</dcterms:modified>
</cp:coreProperties>
</file>