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7E401F" w:rsidRPr="00594160" w:rsidRDefault="006E04E3" w:rsidP="006E04E3">
      <w:pPr>
        <w:pStyle w:val="Bezmezer"/>
        <w:jc w:val="center"/>
        <w:rPr>
          <w:b/>
        </w:rPr>
      </w:pPr>
      <w:r w:rsidRPr="00594160">
        <w:rPr>
          <w:b/>
        </w:rPr>
        <w:t>k </w:t>
      </w:r>
      <w:r w:rsidR="00594160" w:rsidRPr="00594160">
        <w:rPr>
          <w:b/>
          <w:bCs/>
          <w:iCs/>
        </w:rPr>
        <w:t xml:space="preserve">návrhu poslanců Zdeňka Ondráčka, Jiřího Maška, Ivany </w:t>
      </w:r>
      <w:proofErr w:type="spellStart"/>
      <w:r w:rsidR="00594160" w:rsidRPr="00594160">
        <w:rPr>
          <w:b/>
          <w:bCs/>
          <w:iCs/>
        </w:rPr>
        <w:t>Nevludové</w:t>
      </w:r>
      <w:proofErr w:type="spellEnd"/>
      <w:r w:rsidR="00594160" w:rsidRPr="00594160">
        <w:rPr>
          <w:b/>
          <w:bCs/>
          <w:iCs/>
        </w:rPr>
        <w:t>, Jana Bartoška a dalších na vydání zákona, kterým se mění zákon č. 553/1991 Sb., o obecní policii, ve znění pozdějších předpisů, a zákon č. 269/1994 Sb., o Rejstříku trestů, ve znění pozdějších</w:t>
      </w:r>
      <w:r w:rsidR="008E67D3">
        <w:rPr>
          <w:b/>
          <w:bCs/>
          <w:iCs/>
        </w:rPr>
        <w:t xml:space="preserve"> předpisů</w:t>
      </w:r>
    </w:p>
    <w:p w:rsidR="006E04E3" w:rsidRDefault="006E04E3" w:rsidP="006E04E3">
      <w:pPr>
        <w:pStyle w:val="Bezmezer"/>
        <w:jc w:val="both"/>
      </w:pPr>
    </w:p>
    <w:p w:rsidR="006E04E3" w:rsidRDefault="00594160" w:rsidP="006E04E3">
      <w:pPr>
        <w:pStyle w:val="Bezmezer"/>
        <w:spacing w:before="120"/>
        <w:jc w:val="center"/>
      </w:pPr>
      <w:r>
        <w:t>(tisk 550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  <w:r>
        <w:t>Ve druhém čtení návrhu zákona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Pr="00872BDA">
        <w:rPr>
          <w:b/>
        </w:rPr>
        <w:t xml:space="preserve"> výboru</w:t>
      </w:r>
      <w:r w:rsidR="00594160">
        <w:rPr>
          <w:b/>
        </w:rPr>
        <w:t xml:space="preserve"> pro bezpečnost č. 141 ze dne 9</w:t>
      </w:r>
      <w:r>
        <w:rPr>
          <w:b/>
        </w:rPr>
        <w:t>. </w:t>
      </w:r>
      <w:r w:rsidR="00594160">
        <w:rPr>
          <w:b/>
        </w:rPr>
        <w:t>ledna 2020</w:t>
      </w:r>
      <w:r w:rsidR="003F3BC6">
        <w:rPr>
          <w:b/>
        </w:rPr>
        <w:t xml:space="preserve"> (</w:t>
      </w:r>
      <w:r w:rsidR="00594160">
        <w:rPr>
          <w:b/>
        </w:rPr>
        <w:t>tisk 550/5</w:t>
      </w:r>
      <w:r w:rsidRPr="00872BDA">
        <w:rPr>
          <w:b/>
        </w:rPr>
        <w:t xml:space="preserve">) </w:t>
      </w:r>
    </w:p>
    <w:p w:rsidR="000D4F05" w:rsidRDefault="000D4F05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641B4" w:rsidRPr="006641B4" w:rsidRDefault="006641B4" w:rsidP="006641B4">
      <w:pPr>
        <w:pStyle w:val="Odsazentlatextu"/>
        <w:spacing w:line="276" w:lineRule="auto"/>
        <w:ind w:firstLine="0"/>
        <w:contextualSpacing/>
        <w:mirrorIndents/>
        <w:jc w:val="both"/>
        <w:rPr>
          <w:spacing w:val="-3"/>
        </w:rPr>
      </w:pPr>
    </w:p>
    <w:p w:rsidR="006641B4" w:rsidRPr="006641B4" w:rsidRDefault="006641B4" w:rsidP="006641B4">
      <w:pPr>
        <w:pStyle w:val="Odsazentlatextu"/>
        <w:spacing w:line="276" w:lineRule="auto"/>
        <w:ind w:left="0" w:firstLine="0"/>
        <w:contextualSpacing/>
        <w:mirrorIndents/>
        <w:jc w:val="both"/>
        <w:rPr>
          <w:szCs w:val="24"/>
          <w:u w:val="single"/>
        </w:rPr>
      </w:pPr>
      <w:r w:rsidRPr="006641B4">
        <w:rPr>
          <w:b/>
          <w:szCs w:val="24"/>
        </w:rPr>
        <w:t>I.</w:t>
      </w:r>
      <w:r w:rsidRPr="006641B4">
        <w:rPr>
          <w:szCs w:val="24"/>
        </w:rPr>
        <w:tab/>
      </w:r>
      <w:r w:rsidRPr="006641B4">
        <w:rPr>
          <w:szCs w:val="24"/>
          <w:u w:val="single"/>
        </w:rPr>
        <w:t>K dosavadní ČÁSTI PRVNÍ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spacing w:line="276" w:lineRule="auto"/>
        <w:contextualSpacing/>
        <w:mirrorIndents/>
        <w:rPr>
          <w:szCs w:val="24"/>
        </w:rPr>
      </w:pPr>
      <w:r w:rsidRPr="006641B4">
        <w:rPr>
          <w:szCs w:val="24"/>
        </w:rPr>
        <w:t>Slova „ČÁST PRVNÍ“ se zrušují.</w:t>
      </w:r>
    </w:p>
    <w:p w:rsidR="006641B4" w:rsidRPr="006641B4" w:rsidRDefault="006641B4" w:rsidP="006641B4">
      <w:pPr>
        <w:autoSpaceDE w:val="0"/>
        <w:autoSpaceDN w:val="0"/>
        <w:adjustRightInd w:val="0"/>
        <w:spacing w:line="276" w:lineRule="auto"/>
        <w:contextualSpacing/>
        <w:mirrorIndents/>
        <w:jc w:val="both"/>
      </w:pPr>
    </w:p>
    <w:p w:rsidR="006641B4" w:rsidRPr="006641B4" w:rsidRDefault="006641B4" w:rsidP="006641B4">
      <w:pPr>
        <w:pStyle w:val="Odsazentlatextu"/>
        <w:tabs>
          <w:tab w:val="clear" w:pos="709"/>
        </w:tabs>
        <w:spacing w:line="276" w:lineRule="auto"/>
        <w:ind w:left="0" w:firstLine="0"/>
        <w:contextualSpacing/>
        <w:mirrorIndents/>
        <w:jc w:val="both"/>
        <w:rPr>
          <w:szCs w:val="24"/>
          <w:u w:val="single"/>
        </w:rPr>
      </w:pPr>
      <w:r w:rsidRPr="006641B4">
        <w:rPr>
          <w:b/>
          <w:szCs w:val="24"/>
        </w:rPr>
        <w:t>II</w:t>
      </w:r>
      <w:r w:rsidRPr="006641B4">
        <w:rPr>
          <w:szCs w:val="24"/>
        </w:rPr>
        <w:t xml:space="preserve">. </w:t>
      </w:r>
      <w:r w:rsidRPr="006641B4">
        <w:rPr>
          <w:szCs w:val="24"/>
        </w:rPr>
        <w:tab/>
      </w:r>
      <w:r w:rsidRPr="006641B4">
        <w:rPr>
          <w:szCs w:val="24"/>
          <w:u w:val="single"/>
        </w:rPr>
        <w:t>K Článku I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spacing w:line="276" w:lineRule="auto"/>
        <w:ind w:left="0" w:firstLine="0"/>
        <w:contextualSpacing/>
        <w:mirrorIndents/>
        <w:jc w:val="both"/>
        <w:rPr>
          <w:szCs w:val="24"/>
        </w:rPr>
      </w:pPr>
      <w:r w:rsidRPr="006641B4">
        <w:rPr>
          <w:b/>
          <w:szCs w:val="24"/>
        </w:rPr>
        <w:t>1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V novelizačním bodu 5 v textu § 4a odstavec 2 zní:</w:t>
      </w:r>
    </w:p>
    <w:p w:rsidR="006641B4" w:rsidRPr="006641B4" w:rsidRDefault="006641B4" w:rsidP="006641B4">
      <w:pPr>
        <w:pStyle w:val="Odsazentlatextu"/>
        <w:spacing w:line="276" w:lineRule="auto"/>
        <w:ind w:left="284" w:hanging="142"/>
        <w:contextualSpacing/>
        <w:mirrorIndents/>
        <w:jc w:val="both"/>
        <w:rPr>
          <w:szCs w:val="24"/>
        </w:rPr>
      </w:pPr>
    </w:p>
    <w:p w:rsidR="006641B4" w:rsidRPr="006641B4" w:rsidRDefault="006641B4" w:rsidP="006641B4">
      <w:pPr>
        <w:autoSpaceDE w:val="0"/>
        <w:autoSpaceDN w:val="0"/>
        <w:adjustRightInd w:val="0"/>
        <w:spacing w:line="276" w:lineRule="auto"/>
        <w:ind w:firstLine="709"/>
        <w:contextualSpacing/>
        <w:mirrorIndents/>
        <w:jc w:val="both"/>
      </w:pPr>
      <w:r w:rsidRPr="006641B4">
        <w:t>„(2) Bezúhonným pro účely tohoto zákona není dále ten,</w:t>
      </w:r>
    </w:p>
    <w:p w:rsidR="006641B4" w:rsidRPr="006641B4" w:rsidRDefault="006641B4" w:rsidP="006641B4">
      <w:pPr>
        <w:widowControl w:val="0"/>
        <w:numPr>
          <w:ilvl w:val="0"/>
          <w:numId w:val="24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357" w:hanging="357"/>
        <w:contextualSpacing/>
        <w:mirrorIndents/>
        <w:jc w:val="both"/>
      </w:pPr>
      <w:r w:rsidRPr="006641B4">
        <w:t xml:space="preserve">jehož trestní stíhání pro úmyslný trestný čin bylo zastaveno pravomocným rozhodnutím o schválení narovnání, a od tohoto zastavení ještě neuplynuly 2 roky, je-li jednání, kterým spáchal trestný čin, v rozporu s posláním strážníka podle tohoto zákona, </w:t>
      </w:r>
    </w:p>
    <w:p w:rsidR="006641B4" w:rsidRPr="006641B4" w:rsidRDefault="006641B4" w:rsidP="006641B4">
      <w:pPr>
        <w:autoSpaceDE w:val="0"/>
        <w:autoSpaceDN w:val="0"/>
        <w:adjustRightInd w:val="0"/>
        <w:spacing w:line="276" w:lineRule="auto"/>
        <w:ind w:left="360" w:hanging="360"/>
        <w:contextualSpacing/>
        <w:mirrorIndents/>
        <w:jc w:val="both"/>
      </w:pPr>
      <w:r w:rsidRPr="006641B4">
        <w:t xml:space="preserve">b) </w:t>
      </w:r>
      <w:r w:rsidRPr="006641B4">
        <w:tab/>
        <w:t>proti němuž bylo vedeno trestní řízení pro úmyslný trestný čin, ve kterém bylo pravomocně rozhodnuto o podmíněném zastavení trestního stíhání nebo o podmíněném odložení podání návrhu na potrestání, a to do dne nabytí právní moci rozhodnutí o tom, zda se osvědčil, nebo do uplynutí lhůty, v níž má být rozhodnuto, že se osvědčil, je-li jednání, kterým spáchal trestný čin, v rozporu s posláním strážníka podle tohoto zákona, nebo</w:t>
      </w:r>
    </w:p>
    <w:p w:rsidR="006641B4" w:rsidRPr="006641B4" w:rsidRDefault="006641B4" w:rsidP="006641B4">
      <w:pPr>
        <w:autoSpaceDE w:val="0"/>
        <w:autoSpaceDN w:val="0"/>
        <w:adjustRightInd w:val="0"/>
        <w:spacing w:line="276" w:lineRule="auto"/>
        <w:ind w:left="360" w:hanging="360"/>
        <w:contextualSpacing/>
        <w:mirrorIndents/>
        <w:jc w:val="both"/>
      </w:pPr>
      <w:r w:rsidRPr="006641B4">
        <w:t xml:space="preserve">c) </w:t>
      </w:r>
      <w:r w:rsidR="0038527F">
        <w:tab/>
      </w:r>
      <w:r w:rsidRPr="006641B4">
        <w:t>jehož trestní stíhání pro provinění bylo zastaveno pravomocným rozhodnutím o odstoupení od trestního stíhání, a od tohoto zastavení ještě neuplynuly 2 roky, je-li jednání, kterým spáchal provinění, v rozporu s posláním strážníka podle tohoto zákona.“.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spacing w:line="276" w:lineRule="auto"/>
        <w:ind w:left="284" w:hanging="284"/>
        <w:contextualSpacing/>
        <w:mirrorIndents/>
        <w:jc w:val="both"/>
        <w:rPr>
          <w:szCs w:val="24"/>
        </w:rPr>
      </w:pPr>
      <w:r w:rsidRPr="006641B4">
        <w:rPr>
          <w:b/>
          <w:szCs w:val="24"/>
        </w:rPr>
        <w:t>2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 xml:space="preserve">V novelizačním bodu 6 se v textu § 4b na konci odstavce 4 doplňuje věta: </w:t>
      </w:r>
    </w:p>
    <w:p w:rsidR="006641B4" w:rsidRPr="006641B4" w:rsidRDefault="006641B4" w:rsidP="006641B4">
      <w:pPr>
        <w:pStyle w:val="Odsazentlatextu"/>
        <w:spacing w:line="276" w:lineRule="auto"/>
        <w:ind w:left="284" w:hanging="284"/>
        <w:contextualSpacing/>
        <w:mirrorIndents/>
        <w:jc w:val="both"/>
        <w:rPr>
          <w:szCs w:val="24"/>
        </w:rPr>
      </w:pPr>
      <w:r w:rsidRPr="006641B4">
        <w:rPr>
          <w:szCs w:val="24"/>
        </w:rPr>
        <w:tab/>
        <w:t>„Žádost o vydání opisu z evidence přestupků a opis z evidence přestupků se předávají v elektronické podobě, a to způsobem umožňujícím dálkový přístup.“.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spacing w:line="276" w:lineRule="auto"/>
        <w:ind w:left="284" w:hanging="284"/>
        <w:contextualSpacing/>
        <w:mirrorIndents/>
        <w:jc w:val="both"/>
        <w:rPr>
          <w:szCs w:val="24"/>
        </w:rPr>
      </w:pPr>
      <w:r w:rsidRPr="006641B4">
        <w:rPr>
          <w:b/>
          <w:szCs w:val="24"/>
        </w:rPr>
        <w:t>3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Za dosavadní novelizační bod 16 se vkládá nový novelizační bod X</w:t>
      </w:r>
      <w:r w:rsidRPr="006641B4">
        <w:rPr>
          <w:szCs w:val="24"/>
          <w:vertAlign w:val="subscript"/>
        </w:rPr>
        <w:t>1</w:t>
      </w:r>
      <w:r w:rsidRPr="006641B4">
        <w:rPr>
          <w:szCs w:val="24"/>
        </w:rPr>
        <w:t>, který zní: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>„X</w:t>
      </w:r>
      <w:r w:rsidRPr="006641B4">
        <w:rPr>
          <w:szCs w:val="24"/>
          <w:vertAlign w:val="subscript"/>
        </w:rPr>
        <w:t xml:space="preserve">1. </w:t>
      </w:r>
      <w:r w:rsidRPr="006641B4">
        <w:rPr>
          <w:szCs w:val="24"/>
        </w:rPr>
        <w:t>V § 1</w:t>
      </w:r>
      <w:r w:rsidR="009C0510">
        <w:rPr>
          <w:szCs w:val="24"/>
        </w:rPr>
        <w:t>1 odst. 2 se za slovo „zástupce</w:t>
      </w:r>
      <w:r w:rsidRPr="006641B4">
        <w:rPr>
          <w:szCs w:val="24"/>
        </w:rPr>
        <w:t>“ vk</w:t>
      </w:r>
      <w:r w:rsidR="009C0510">
        <w:rPr>
          <w:szCs w:val="24"/>
        </w:rPr>
        <w:t>ládají slova „nebo opatrovníka“</w:t>
      </w:r>
      <w:r w:rsidRPr="006641B4">
        <w:rPr>
          <w:szCs w:val="24"/>
        </w:rPr>
        <w:t xml:space="preserve"> a doplňuje se věta, která zní: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lastRenderedPageBreak/>
        <w:t>„Nelze-li jejich přítomnost zajistit a věc nesnese odkladu, musí být zajištěna přítomnost pracovníka orgánu sociálně-právní ochrany dětí.“.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>Ostatní novelizační body se přečíslují.</w:t>
      </w:r>
    </w:p>
    <w:p w:rsidR="006641B4" w:rsidRPr="006641B4" w:rsidRDefault="006641B4" w:rsidP="006641B4">
      <w:pPr>
        <w:pStyle w:val="Odsazentlatextu"/>
        <w:tabs>
          <w:tab w:val="clear" w:pos="709"/>
        </w:tabs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jc w:val="both"/>
        <w:rPr>
          <w:szCs w:val="24"/>
        </w:rPr>
      </w:pPr>
      <w:r w:rsidRPr="006641B4">
        <w:rPr>
          <w:b/>
          <w:szCs w:val="24"/>
        </w:rPr>
        <w:t>4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Za dosavadní novelizační bod 18 se vkládá nový novelizační bod X</w:t>
      </w:r>
      <w:r w:rsidRPr="006641B4">
        <w:rPr>
          <w:szCs w:val="24"/>
          <w:vertAlign w:val="subscript"/>
        </w:rPr>
        <w:t>2</w:t>
      </w:r>
      <w:r w:rsidRPr="006641B4">
        <w:rPr>
          <w:szCs w:val="24"/>
        </w:rPr>
        <w:t>, který zní: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>„X</w:t>
      </w:r>
      <w:r w:rsidRPr="006641B4">
        <w:rPr>
          <w:szCs w:val="24"/>
          <w:vertAlign w:val="subscript"/>
        </w:rPr>
        <w:t xml:space="preserve">2. </w:t>
      </w:r>
      <w:r w:rsidRPr="006641B4">
        <w:rPr>
          <w:szCs w:val="24"/>
        </w:rPr>
        <w:t xml:space="preserve">V § 11 se za odstavec 10 vkládá nový odstavec 11, který zní: </w:t>
      </w:r>
    </w:p>
    <w:p w:rsidR="0038527F" w:rsidRDefault="0038527F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>
        <w:rPr>
          <w:szCs w:val="24"/>
        </w:rPr>
        <w:tab/>
      </w:r>
    </w:p>
    <w:p w:rsidR="006641B4" w:rsidRPr="006641B4" w:rsidRDefault="006641B4" w:rsidP="0038527F">
      <w:pPr>
        <w:pStyle w:val="Odsazentlatextu"/>
        <w:tabs>
          <w:tab w:val="clear" w:pos="709"/>
        </w:tabs>
        <w:ind w:left="360" w:firstLine="491"/>
        <w:jc w:val="both"/>
        <w:rPr>
          <w:szCs w:val="24"/>
        </w:rPr>
      </w:pPr>
      <w:r w:rsidRPr="006641B4">
        <w:rPr>
          <w:szCs w:val="24"/>
        </w:rPr>
        <w:t>„(11) Jestliže byl podle odstavce 2 zápis o podání vysvětlení sepsán s osobou mladší 15 let bez přítomnosti jejího zákonného zástupce nebo opatrovníka, vyrozumí strážník tohoto zákonného zástupce nebo opatr</w:t>
      </w:r>
      <w:r w:rsidR="0038527F">
        <w:rPr>
          <w:szCs w:val="24"/>
        </w:rPr>
        <w:t>ovníka bez zbytečného odkladu.“</w:t>
      </w:r>
      <w:r w:rsidRPr="006641B4">
        <w:rPr>
          <w:szCs w:val="24"/>
        </w:rPr>
        <w:t>.“.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 xml:space="preserve">Dosavadní odstavec 11 se označuje jako odstavec 12. 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 xml:space="preserve"> 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>Ostatní novelizační body se přečíslují.</w:t>
      </w:r>
    </w:p>
    <w:p w:rsidR="006641B4" w:rsidRPr="006641B4" w:rsidRDefault="006641B4" w:rsidP="006641B4">
      <w:pPr>
        <w:overflowPunct w:val="0"/>
        <w:autoSpaceDE w:val="0"/>
        <w:autoSpaceDN w:val="0"/>
        <w:adjustRightInd w:val="0"/>
        <w:spacing w:line="276" w:lineRule="auto"/>
        <w:jc w:val="both"/>
      </w:pPr>
    </w:p>
    <w:p w:rsidR="006641B4" w:rsidRPr="006641B4" w:rsidRDefault="006641B4" w:rsidP="006641B4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6641B4">
        <w:rPr>
          <w:b/>
        </w:rPr>
        <w:t>5</w:t>
      </w:r>
      <w:r w:rsidRPr="006641B4">
        <w:t xml:space="preserve">. </w:t>
      </w:r>
      <w:r>
        <w:t xml:space="preserve">  </w:t>
      </w:r>
      <w:r w:rsidRPr="006641B4">
        <w:t>V novelizačním bodu 34 v textu § 17a odst. 3 písmeno c) zní:</w:t>
      </w:r>
    </w:p>
    <w:p w:rsidR="006641B4" w:rsidRPr="006641B4" w:rsidRDefault="006641B4" w:rsidP="006641B4">
      <w:pPr>
        <w:autoSpaceDE w:val="0"/>
        <w:autoSpaceDN w:val="0"/>
        <w:adjustRightInd w:val="0"/>
        <w:ind w:left="709" w:hanging="425"/>
        <w:jc w:val="both"/>
      </w:pPr>
      <w:r w:rsidRPr="006641B4">
        <w:t>„c)</w:t>
      </w:r>
      <w:r w:rsidRPr="006641B4">
        <w:tab/>
        <w:t>po provedení úkonů nezbytných ke zjištění totožnosti provozovatele vozidla, pokud o odstranění technického prostředku k zabránění odjezdu vozidla požádala jiná k tomu oprávněná osoba, která prokáže právní vztah k vozidlu nebo k jeho provozovateli.“.</w:t>
      </w:r>
    </w:p>
    <w:p w:rsidR="006641B4" w:rsidRPr="006641B4" w:rsidRDefault="006641B4" w:rsidP="006641B4">
      <w:pPr>
        <w:pStyle w:val="Odsazentlatextu"/>
        <w:tabs>
          <w:tab w:val="clear" w:pos="709"/>
        </w:tabs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jc w:val="both"/>
        <w:rPr>
          <w:szCs w:val="24"/>
        </w:rPr>
      </w:pPr>
      <w:r w:rsidRPr="006641B4">
        <w:rPr>
          <w:b/>
          <w:szCs w:val="24"/>
        </w:rPr>
        <w:t>6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Za dosavadní novelizační bod 35 se vkládá nový novelizační bod X</w:t>
      </w:r>
      <w:r w:rsidRPr="006641B4">
        <w:rPr>
          <w:szCs w:val="24"/>
          <w:vertAlign w:val="subscript"/>
        </w:rPr>
        <w:t>3</w:t>
      </w:r>
      <w:r w:rsidRPr="006641B4">
        <w:rPr>
          <w:szCs w:val="24"/>
        </w:rPr>
        <w:t>, který zní: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0" w:firstLine="0"/>
        <w:jc w:val="both"/>
        <w:rPr>
          <w:szCs w:val="24"/>
        </w:rPr>
      </w:pPr>
      <w:r w:rsidRPr="006641B4">
        <w:rPr>
          <w:szCs w:val="24"/>
        </w:rPr>
        <w:t>„X</w:t>
      </w:r>
      <w:r w:rsidRPr="006641B4">
        <w:rPr>
          <w:szCs w:val="24"/>
          <w:vertAlign w:val="subscript"/>
        </w:rPr>
        <w:t xml:space="preserve">3. </w:t>
      </w:r>
      <w:r w:rsidRPr="006641B4">
        <w:rPr>
          <w:szCs w:val="24"/>
        </w:rPr>
        <w:t xml:space="preserve">V § 18a odst. 1 písmeno c) zní: </w:t>
      </w:r>
    </w:p>
    <w:p w:rsidR="006641B4" w:rsidRDefault="006641B4" w:rsidP="0038527F">
      <w:pPr>
        <w:pStyle w:val="Bezmezer"/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0" w:firstLine="0"/>
        <w:jc w:val="both"/>
      </w:pPr>
      <w:r w:rsidRPr="006641B4">
        <w:rPr>
          <w:szCs w:val="24"/>
        </w:rPr>
        <w:t xml:space="preserve">„c) </w:t>
      </w:r>
      <w:r w:rsidRPr="006641B4">
        <w:t>proti osobě, která fyzicky napadá jinou osobu nebo strážníka, ohrožuje vlastní život nebo zdraví, poškozuje cizí majetek nebo se pokusí o útěk při zákroku strážníka nebo bezprostředně po něm.“.“.</w:t>
      </w:r>
    </w:p>
    <w:p w:rsidR="006641B4" w:rsidRPr="006641B4" w:rsidRDefault="006641B4" w:rsidP="006641B4">
      <w:pPr>
        <w:pStyle w:val="Odsazentlatextu"/>
        <w:tabs>
          <w:tab w:val="clear" w:pos="709"/>
        </w:tabs>
        <w:ind w:left="0" w:firstLine="0"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tabs>
          <w:tab w:val="clear" w:pos="709"/>
        </w:tabs>
        <w:ind w:left="360" w:firstLine="0"/>
        <w:jc w:val="both"/>
        <w:rPr>
          <w:szCs w:val="24"/>
        </w:rPr>
      </w:pPr>
      <w:r w:rsidRPr="006641B4">
        <w:rPr>
          <w:szCs w:val="24"/>
        </w:rPr>
        <w:t>Ostatní novelizační body se přečíslují.</w:t>
      </w:r>
    </w:p>
    <w:p w:rsidR="006641B4" w:rsidRPr="006641B4" w:rsidRDefault="006641B4" w:rsidP="00EF1FDA">
      <w:pPr>
        <w:pStyle w:val="Bezmezer"/>
      </w:pPr>
    </w:p>
    <w:p w:rsidR="006641B4" w:rsidRPr="006641B4" w:rsidRDefault="006641B4" w:rsidP="006641B4">
      <w:pPr>
        <w:autoSpaceDE w:val="0"/>
        <w:autoSpaceDN w:val="0"/>
        <w:adjustRightInd w:val="0"/>
        <w:ind w:left="284" w:hanging="284"/>
        <w:jc w:val="both"/>
      </w:pPr>
      <w:r w:rsidRPr="006641B4">
        <w:rPr>
          <w:b/>
        </w:rPr>
        <w:t>7</w:t>
      </w:r>
      <w:r w:rsidRPr="006641B4">
        <w:t xml:space="preserve">. </w:t>
      </w:r>
      <w:r>
        <w:t xml:space="preserve">  </w:t>
      </w:r>
      <w:r w:rsidRPr="006641B4">
        <w:t>Dosavadní novelizační bod 49 zní:</w:t>
      </w:r>
    </w:p>
    <w:p w:rsidR="006641B4" w:rsidRPr="006641B4" w:rsidRDefault="006641B4" w:rsidP="006641B4">
      <w:pPr>
        <w:overflowPunct w:val="0"/>
        <w:autoSpaceDE w:val="0"/>
        <w:autoSpaceDN w:val="0"/>
        <w:adjustRightInd w:val="0"/>
        <w:spacing w:line="276" w:lineRule="auto"/>
        <w:ind w:firstLine="284"/>
        <w:jc w:val="both"/>
      </w:pPr>
      <w:r w:rsidRPr="006641B4">
        <w:t>„49. V § 28 odst. 3 zní:</w:t>
      </w:r>
    </w:p>
    <w:p w:rsidR="006641B4" w:rsidRPr="006641B4" w:rsidRDefault="006641B4" w:rsidP="006641B4">
      <w:pPr>
        <w:autoSpaceDE w:val="0"/>
        <w:autoSpaceDN w:val="0"/>
        <w:ind w:firstLine="567"/>
        <w:jc w:val="both"/>
      </w:pPr>
      <w:r w:rsidRPr="006641B4">
        <w:t>„(3) Fyzická osoba se dopustí přestupku tím, že</w:t>
      </w:r>
    </w:p>
    <w:p w:rsidR="006641B4" w:rsidRPr="006641B4" w:rsidRDefault="006641B4" w:rsidP="006641B4">
      <w:pPr>
        <w:autoSpaceDE w:val="0"/>
        <w:autoSpaceDN w:val="0"/>
        <w:spacing w:line="257" w:lineRule="auto"/>
        <w:ind w:left="284" w:hanging="284"/>
        <w:jc w:val="both"/>
      </w:pPr>
      <w:r w:rsidRPr="006641B4">
        <w:t>a) úmyslně vykonává oprávnění a povinnosti strážníka, aniž by k tomu byla oprávněna podle tohoto zákona,</w:t>
      </w:r>
    </w:p>
    <w:p w:rsidR="006641B4" w:rsidRPr="006641B4" w:rsidRDefault="006641B4" w:rsidP="006641B4">
      <w:pPr>
        <w:autoSpaceDE w:val="0"/>
        <w:autoSpaceDN w:val="0"/>
        <w:spacing w:line="257" w:lineRule="auto"/>
        <w:ind w:left="284" w:hanging="284"/>
        <w:jc w:val="both"/>
      </w:pPr>
      <w:r w:rsidRPr="006641B4">
        <w:t>b) úmyslně na místě veřejnosti přístupném nosí neoprávněně stejnokroj strážníka obecní policie nebo takové součásti stejnokroje, které jsou s úplným stejnokrojem zaměnitelné, ačkoliv není strážníkem nebo čekatelem, nebo</w:t>
      </w:r>
    </w:p>
    <w:p w:rsidR="006641B4" w:rsidRPr="006641B4" w:rsidRDefault="006641B4" w:rsidP="006641B4">
      <w:pPr>
        <w:autoSpaceDE w:val="0"/>
        <w:autoSpaceDN w:val="0"/>
        <w:spacing w:line="276" w:lineRule="auto"/>
        <w:ind w:left="284" w:hanging="284"/>
        <w:contextualSpacing/>
        <w:mirrorIndents/>
        <w:jc w:val="both"/>
      </w:pPr>
      <w:r w:rsidRPr="006641B4">
        <w:t>c) neoprávněně užívá na vozidle nebo jiném dopravním prostředku barevné provedení nebo označení, které tvoří jednotné prvky označení dopravního prostředku obecní policie, anebo zvláštní barevné provedení nebo označení s ním zřejmě zaměnitelné.“.“.</w:t>
      </w:r>
    </w:p>
    <w:p w:rsidR="006641B4" w:rsidRPr="006641B4" w:rsidRDefault="006641B4" w:rsidP="006641B4">
      <w:pPr>
        <w:pStyle w:val="Odsazentlatextu"/>
        <w:keepNext/>
        <w:spacing w:line="276" w:lineRule="auto"/>
        <w:ind w:left="425" w:hanging="425"/>
        <w:contextualSpacing/>
        <w:mirrorIndents/>
        <w:jc w:val="both"/>
        <w:rPr>
          <w:szCs w:val="24"/>
        </w:rPr>
      </w:pPr>
      <w:r w:rsidRPr="006641B4">
        <w:rPr>
          <w:b/>
          <w:szCs w:val="24"/>
        </w:rPr>
        <w:lastRenderedPageBreak/>
        <w:t>8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Dosavadní novelizační body 50 a 51 se zrušují.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pStyle w:val="Odsazentlatextu"/>
        <w:spacing w:line="276" w:lineRule="auto"/>
        <w:ind w:left="425" w:hanging="425"/>
        <w:contextualSpacing/>
        <w:mirrorIndents/>
        <w:jc w:val="both"/>
        <w:rPr>
          <w:szCs w:val="24"/>
        </w:rPr>
      </w:pPr>
      <w:r w:rsidRPr="006641B4">
        <w:rPr>
          <w:szCs w:val="24"/>
          <w:lang w:eastAsia="cs-CZ"/>
        </w:rPr>
        <w:tab/>
        <w:t>Následující novelizační body se přečíslují.</w:t>
      </w:r>
    </w:p>
    <w:p w:rsidR="006641B4" w:rsidRPr="006641B4" w:rsidRDefault="006641B4" w:rsidP="006641B4">
      <w:pPr>
        <w:pStyle w:val="Odsazentlatextu"/>
        <w:tabs>
          <w:tab w:val="clear" w:pos="709"/>
        </w:tabs>
        <w:spacing w:line="276" w:lineRule="auto"/>
        <w:ind w:left="426" w:hanging="142"/>
        <w:contextualSpacing/>
        <w:mirrorIndents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spacing w:line="276" w:lineRule="auto"/>
        <w:ind w:left="426" w:hanging="427"/>
        <w:contextualSpacing/>
        <w:mirrorIndents/>
        <w:jc w:val="both"/>
        <w:rPr>
          <w:szCs w:val="24"/>
        </w:rPr>
      </w:pPr>
      <w:r w:rsidRPr="006641B4">
        <w:rPr>
          <w:b/>
          <w:szCs w:val="24"/>
        </w:rPr>
        <w:t>9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</w:rPr>
        <w:t>V textu dosavadního novelizačního bodu 52 se v číselném označení odstavce doplňovaného do § 28 číslo „6“ nahrazuje číslem „5“.</w:t>
      </w:r>
    </w:p>
    <w:p w:rsidR="006641B4" w:rsidRPr="006641B4" w:rsidRDefault="006641B4" w:rsidP="006641B4">
      <w:pPr>
        <w:pStyle w:val="Bezmezer"/>
      </w:pPr>
    </w:p>
    <w:p w:rsidR="006641B4" w:rsidRPr="006641B4" w:rsidRDefault="006641B4" w:rsidP="006641B4">
      <w:pPr>
        <w:spacing w:line="276" w:lineRule="auto"/>
        <w:ind w:firstLine="426"/>
        <w:contextualSpacing/>
        <w:mirrorIndents/>
        <w:jc w:val="both"/>
        <w:rPr>
          <w:lang w:eastAsia="cs-CZ"/>
        </w:rPr>
      </w:pPr>
      <w:r w:rsidRPr="006641B4">
        <w:rPr>
          <w:lang w:eastAsia="cs-CZ"/>
        </w:rPr>
        <w:t>Následující novelizační body se přečíslují.</w:t>
      </w:r>
    </w:p>
    <w:p w:rsidR="006641B4" w:rsidRPr="006641B4" w:rsidRDefault="006641B4" w:rsidP="006641B4">
      <w:pPr>
        <w:pStyle w:val="Odsazentlatextu"/>
        <w:spacing w:line="276" w:lineRule="auto"/>
        <w:contextualSpacing/>
        <w:mirrorIndents/>
        <w:jc w:val="both"/>
        <w:rPr>
          <w:color w:val="00B0F0"/>
          <w:szCs w:val="24"/>
        </w:rPr>
      </w:pPr>
    </w:p>
    <w:p w:rsidR="006641B4" w:rsidRPr="006641B4" w:rsidRDefault="006641B4" w:rsidP="006641B4">
      <w:pPr>
        <w:pStyle w:val="Odsazentlatextu"/>
        <w:spacing w:line="276" w:lineRule="auto"/>
        <w:ind w:left="0" w:firstLine="0"/>
        <w:contextualSpacing/>
        <w:mirrorIndents/>
        <w:jc w:val="both"/>
        <w:rPr>
          <w:szCs w:val="24"/>
          <w:u w:val="single"/>
        </w:rPr>
      </w:pPr>
      <w:r w:rsidRPr="006641B4">
        <w:rPr>
          <w:b/>
          <w:szCs w:val="24"/>
        </w:rPr>
        <w:t>III</w:t>
      </w:r>
      <w:r w:rsidRPr="006641B4">
        <w:rPr>
          <w:szCs w:val="24"/>
        </w:rPr>
        <w:t xml:space="preserve">. </w:t>
      </w:r>
      <w:r>
        <w:rPr>
          <w:szCs w:val="24"/>
        </w:rPr>
        <w:t xml:space="preserve">  </w:t>
      </w:r>
      <w:r w:rsidRPr="006641B4">
        <w:rPr>
          <w:szCs w:val="24"/>
          <w:u w:val="single"/>
        </w:rPr>
        <w:t>K ČÁSTI DRUHÉ Článku III.</w:t>
      </w:r>
    </w:p>
    <w:p w:rsidR="006641B4" w:rsidRPr="006641B4" w:rsidRDefault="006641B4" w:rsidP="006641B4">
      <w:pPr>
        <w:pStyle w:val="Odsazentlatextu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szCs w:val="24"/>
        </w:rPr>
      </w:pPr>
    </w:p>
    <w:p w:rsidR="006641B4" w:rsidRPr="006641B4" w:rsidRDefault="006641B4" w:rsidP="006641B4">
      <w:pPr>
        <w:pStyle w:val="Odsazentlatextu"/>
        <w:keepNext/>
        <w:tabs>
          <w:tab w:val="left" w:pos="426"/>
        </w:tabs>
        <w:spacing w:line="276" w:lineRule="auto"/>
        <w:contextualSpacing/>
        <w:mirrorIndents/>
        <w:jc w:val="both"/>
        <w:rPr>
          <w:szCs w:val="24"/>
        </w:rPr>
      </w:pPr>
      <w:r w:rsidRPr="006641B4">
        <w:rPr>
          <w:szCs w:val="24"/>
        </w:rPr>
        <w:tab/>
        <w:t>Dosavadní ČÁST DRUHÁ se zrušuje.</w:t>
      </w:r>
    </w:p>
    <w:p w:rsidR="006641B4" w:rsidRPr="006641B4" w:rsidRDefault="006641B4" w:rsidP="006641B4">
      <w:pPr>
        <w:spacing w:line="276" w:lineRule="auto"/>
        <w:ind w:left="284" w:firstLine="425"/>
        <w:contextualSpacing/>
        <w:mirrorIndents/>
        <w:jc w:val="both"/>
        <w:rPr>
          <w:lang w:eastAsia="cs-CZ"/>
        </w:rPr>
      </w:pPr>
    </w:p>
    <w:p w:rsidR="006641B4" w:rsidRPr="006641B4" w:rsidRDefault="006641B4" w:rsidP="006641B4">
      <w:pPr>
        <w:spacing w:line="276" w:lineRule="auto"/>
        <w:contextualSpacing/>
        <w:mirrorIndents/>
        <w:jc w:val="both"/>
        <w:rPr>
          <w:u w:val="single"/>
        </w:rPr>
      </w:pPr>
      <w:r w:rsidRPr="006641B4">
        <w:rPr>
          <w:b/>
        </w:rPr>
        <w:t>IV</w:t>
      </w:r>
      <w:r w:rsidRPr="006641B4">
        <w:t>.</w:t>
      </w:r>
      <w:r>
        <w:t xml:space="preserve">   </w:t>
      </w:r>
      <w:r w:rsidRPr="006641B4">
        <w:rPr>
          <w:u w:val="single"/>
        </w:rPr>
        <w:t>K dosavadní ČÁSTI TŘETÍ</w:t>
      </w:r>
    </w:p>
    <w:p w:rsidR="006641B4" w:rsidRPr="006641B4" w:rsidRDefault="006641B4" w:rsidP="006641B4">
      <w:pPr>
        <w:spacing w:line="276" w:lineRule="auto"/>
        <w:contextualSpacing/>
        <w:mirrorIndents/>
        <w:jc w:val="center"/>
        <w:rPr>
          <w:u w:val="single"/>
        </w:rPr>
      </w:pPr>
    </w:p>
    <w:p w:rsidR="006641B4" w:rsidRPr="006641B4" w:rsidRDefault="006641B4" w:rsidP="006641B4">
      <w:pPr>
        <w:spacing w:line="276" w:lineRule="auto"/>
        <w:ind w:firstLine="708"/>
        <w:contextualSpacing/>
        <w:mirrorIndents/>
      </w:pPr>
      <w:r w:rsidRPr="006641B4">
        <w:t>1. Slova „ČÁST TŘETÍ“ se zrušují.</w:t>
      </w:r>
    </w:p>
    <w:p w:rsidR="006641B4" w:rsidRPr="006641B4" w:rsidRDefault="006641B4" w:rsidP="006641B4">
      <w:pPr>
        <w:spacing w:line="276" w:lineRule="auto"/>
        <w:contextualSpacing/>
        <w:mirrorIndents/>
        <w:jc w:val="both"/>
      </w:pPr>
    </w:p>
    <w:p w:rsidR="006641B4" w:rsidRPr="006641B4" w:rsidRDefault="006641B4" w:rsidP="0038527F">
      <w:pPr>
        <w:spacing w:line="276" w:lineRule="auto"/>
        <w:ind w:left="851" w:hanging="143"/>
        <w:contextualSpacing/>
        <w:mirrorIndents/>
        <w:jc w:val="both"/>
      </w:pPr>
      <w:r w:rsidRPr="006641B4">
        <w:t xml:space="preserve">2. Slova „Čl. IV“ se nahrazuje slovy „ </w:t>
      </w:r>
      <w:proofErr w:type="spellStart"/>
      <w:proofErr w:type="gramStart"/>
      <w:r w:rsidRPr="006641B4">
        <w:t>Čl.III</w:t>
      </w:r>
      <w:proofErr w:type="spellEnd"/>
      <w:proofErr w:type="gramEnd"/>
      <w:r w:rsidRPr="006641B4">
        <w:t>“ a slova „1. ledna 2020“ se nahrazují slovy „1. ledna 2021“.</w:t>
      </w:r>
    </w:p>
    <w:p w:rsidR="006641B4" w:rsidRPr="006641B4" w:rsidRDefault="006641B4" w:rsidP="006641B4">
      <w:pPr>
        <w:spacing w:line="276" w:lineRule="auto"/>
        <w:contextualSpacing/>
        <w:mirrorIndents/>
        <w:jc w:val="both"/>
      </w:pPr>
    </w:p>
    <w:p w:rsidR="006641B4" w:rsidRPr="006641B4" w:rsidRDefault="006641B4" w:rsidP="0038527F">
      <w:pPr>
        <w:spacing w:after="240" w:line="276" w:lineRule="auto"/>
        <w:mirrorIndents/>
        <w:jc w:val="both"/>
        <w:rPr>
          <w:u w:val="single"/>
          <w:lang w:eastAsia="cs-CZ"/>
        </w:rPr>
      </w:pPr>
      <w:r w:rsidRPr="006641B4">
        <w:rPr>
          <w:b/>
          <w:lang w:eastAsia="cs-CZ"/>
        </w:rPr>
        <w:t>V</w:t>
      </w:r>
      <w:r w:rsidRPr="006641B4">
        <w:rPr>
          <w:lang w:eastAsia="cs-CZ"/>
        </w:rPr>
        <w:t xml:space="preserve">.    </w:t>
      </w:r>
      <w:r w:rsidRPr="006641B4">
        <w:rPr>
          <w:u w:val="single"/>
          <w:lang w:eastAsia="cs-CZ"/>
        </w:rPr>
        <w:t>K názvu zákona</w:t>
      </w:r>
    </w:p>
    <w:p w:rsidR="006641B4" w:rsidRPr="006641B4" w:rsidRDefault="006641B4" w:rsidP="006641B4">
      <w:pPr>
        <w:spacing w:line="276" w:lineRule="auto"/>
        <w:ind w:firstLine="708"/>
        <w:contextualSpacing/>
        <w:mirrorIndents/>
        <w:jc w:val="both"/>
        <w:rPr>
          <w:lang w:eastAsia="cs-CZ"/>
        </w:rPr>
      </w:pPr>
      <w:r w:rsidRPr="006641B4">
        <w:rPr>
          <w:lang w:eastAsia="cs-CZ"/>
        </w:rPr>
        <w:t>V návaznosti na vypuštění části druhé návrhu se v názvu návrhu zákona slova „</w:t>
      </w:r>
      <w:r w:rsidRPr="006641B4">
        <w:rPr>
          <w:bCs/>
        </w:rPr>
        <w:t>, a zákon č. 269/1994 Sb., o Rejstříku trestů, ve znění pozdějších předpisů</w:t>
      </w:r>
      <w:r w:rsidRPr="006641B4">
        <w:rPr>
          <w:lang w:eastAsia="cs-CZ"/>
        </w:rPr>
        <w:t>“ zrušují.</w:t>
      </w:r>
    </w:p>
    <w:p w:rsidR="006641B4" w:rsidRPr="006641B4" w:rsidRDefault="006641B4" w:rsidP="006641B4">
      <w:pPr>
        <w:jc w:val="both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BC72F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594160">
        <w:rPr>
          <w:b/>
          <w:sz w:val="26"/>
          <w:szCs w:val="26"/>
        </w:rPr>
        <w:t xml:space="preserve"> 12. února 2020</w:t>
      </w:r>
    </w:p>
    <w:p w:rsidR="00BC72FA" w:rsidRDefault="00BC72F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8E5B16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</w:t>
      </w:r>
      <w:r w:rsidR="00030B4C">
        <w:rPr>
          <w:b/>
        </w:rPr>
        <w:t>.</w:t>
      </w:r>
      <w:r w:rsidR="00030B4C">
        <w:rPr>
          <w:b/>
        </w:rPr>
        <w:tab/>
      </w:r>
      <w:r w:rsidR="006B514C">
        <w:rPr>
          <w:b/>
        </w:rPr>
        <w:t xml:space="preserve">Poslankyně Ivana </w:t>
      </w:r>
      <w:proofErr w:type="spellStart"/>
      <w:r w:rsidR="006B514C">
        <w:rPr>
          <w:b/>
        </w:rPr>
        <w:t>Nevludová</w:t>
      </w:r>
      <w:proofErr w:type="spellEnd"/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8E5B16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proofErr w:type="gramStart"/>
      <w:r w:rsidRPr="008E5B16">
        <w:rPr>
          <w:b/>
        </w:rPr>
        <w:t>B.1</w:t>
      </w:r>
      <w:r w:rsidR="00A563B2">
        <w:rPr>
          <w:b/>
        </w:rPr>
        <w:t>.</w:t>
      </w:r>
      <w:r>
        <w:rPr>
          <w:b/>
        </w:rPr>
        <w:t xml:space="preserve"> </w:t>
      </w:r>
      <w:r>
        <w:t xml:space="preserve"> </w:t>
      </w:r>
      <w:r w:rsidR="00A563B2">
        <w:t>(SD</w:t>
      </w:r>
      <w:proofErr w:type="gramEnd"/>
      <w:r w:rsidR="00A563B2">
        <w:t xml:space="preserve"> 4125</w:t>
      </w:r>
      <w:r w:rsidR="00A563B2" w:rsidRPr="004624A9">
        <w:t>)</w:t>
      </w:r>
    </w:p>
    <w:p w:rsidR="00A563B2" w:rsidRDefault="00A563B2" w:rsidP="00A563B2">
      <w:pPr>
        <w:pStyle w:val="PS-slovanseznam"/>
        <w:numPr>
          <w:ilvl w:val="0"/>
          <w:numId w:val="0"/>
        </w:numPr>
        <w:spacing w:after="0" w:line="240" w:lineRule="auto"/>
      </w:pPr>
    </w:p>
    <w:p w:rsidR="00030B4C" w:rsidRDefault="00A563B2" w:rsidP="00A563B2">
      <w:pPr>
        <w:pStyle w:val="PS-slovanseznam"/>
        <w:numPr>
          <w:ilvl w:val="0"/>
          <w:numId w:val="0"/>
        </w:numPr>
        <w:spacing w:after="0" w:line="240" w:lineRule="auto"/>
      </w:pPr>
      <w:r w:rsidRPr="004D425C">
        <w:t xml:space="preserve">Přihlašuje se k písemnému pozměňovacímu návrhu, který předložili </w:t>
      </w:r>
      <w:r w:rsidRPr="0025387D">
        <w:t>poslanci</w:t>
      </w:r>
      <w:r w:rsidRPr="004D425C">
        <w:rPr>
          <w:b/>
        </w:rPr>
        <w:t xml:space="preserve"> </w:t>
      </w:r>
      <w:r>
        <w:rPr>
          <w:b/>
          <w:bCs/>
          <w:color w:val="000000"/>
        </w:rPr>
        <w:t xml:space="preserve">Ivana </w:t>
      </w:r>
      <w:proofErr w:type="spellStart"/>
      <w:r>
        <w:rPr>
          <w:b/>
          <w:bCs/>
          <w:color w:val="000000"/>
        </w:rPr>
        <w:t>Nevludová</w:t>
      </w:r>
      <w:proofErr w:type="spellEnd"/>
      <w:r>
        <w:rPr>
          <w:b/>
          <w:bCs/>
          <w:color w:val="000000"/>
        </w:rPr>
        <w:t>, Lubomír Volný a Marian Bojko</w:t>
      </w:r>
      <w:r>
        <w:rPr>
          <w:bCs/>
          <w:color w:val="000000"/>
        </w:rPr>
        <w:t>.</w:t>
      </w:r>
    </w:p>
    <w:p w:rsidR="00085CDD" w:rsidRDefault="00085CDD" w:rsidP="00085CDD">
      <w:pPr>
        <w:pStyle w:val="Bezmezer"/>
        <w:rPr>
          <w:i/>
        </w:rPr>
      </w:pPr>
    </w:p>
    <w:p w:rsidR="00085CDD" w:rsidRPr="00085CDD" w:rsidRDefault="00085CDD" w:rsidP="00085CDD">
      <w:pPr>
        <w:rPr>
          <w:i/>
        </w:rPr>
      </w:pPr>
      <w:r w:rsidRPr="00085CDD">
        <w:rPr>
          <w:i/>
        </w:rPr>
        <w:t>K čl. I bodu 6:</w:t>
      </w:r>
    </w:p>
    <w:p w:rsidR="00465FCE" w:rsidRPr="00465FCE" w:rsidRDefault="00465FCE" w:rsidP="0038527F">
      <w:pPr>
        <w:jc w:val="both"/>
        <w:rPr>
          <w:bCs/>
        </w:rPr>
      </w:pPr>
      <w:r w:rsidRPr="00465FCE">
        <w:rPr>
          <w:bCs/>
        </w:rPr>
        <w:t>V nově na</w:t>
      </w:r>
      <w:r>
        <w:rPr>
          <w:bCs/>
        </w:rPr>
        <w:t>vrženém § 4b se ruší odstavce 3 a 5</w:t>
      </w:r>
      <w:r w:rsidRPr="00465FCE">
        <w:rPr>
          <w:bCs/>
        </w:rPr>
        <w:t>.</w:t>
      </w:r>
    </w:p>
    <w:p w:rsidR="00465FCE" w:rsidRPr="00465FCE" w:rsidRDefault="00465FCE" w:rsidP="0038527F">
      <w:pPr>
        <w:jc w:val="both"/>
        <w:rPr>
          <w:bCs/>
        </w:rPr>
      </w:pPr>
      <w:r>
        <w:rPr>
          <w:bCs/>
        </w:rPr>
        <w:t>Původní odstavec 4 se označuje</w:t>
      </w:r>
      <w:r w:rsidR="0038527F">
        <w:rPr>
          <w:bCs/>
        </w:rPr>
        <w:t xml:space="preserve"> jako odstavec</w:t>
      </w:r>
      <w:r>
        <w:rPr>
          <w:bCs/>
        </w:rPr>
        <w:t xml:space="preserve"> 3, původní odstavec 6 se označuje</w:t>
      </w:r>
      <w:r w:rsidR="0038527F">
        <w:rPr>
          <w:bCs/>
        </w:rPr>
        <w:t xml:space="preserve"> jako odstavec </w:t>
      </w:r>
      <w:r>
        <w:rPr>
          <w:bCs/>
        </w:rPr>
        <w:t>4</w:t>
      </w:r>
      <w:r w:rsidRPr="00465FCE">
        <w:rPr>
          <w:bCs/>
        </w:rPr>
        <w:t>.</w:t>
      </w:r>
    </w:p>
    <w:p w:rsidR="00465FCE" w:rsidRPr="00465FCE" w:rsidRDefault="00465FCE" w:rsidP="0038527F">
      <w:pPr>
        <w:jc w:val="both"/>
        <w:rPr>
          <w:bCs/>
        </w:rPr>
      </w:pPr>
      <w:r w:rsidRPr="00465FCE">
        <w:rPr>
          <w:bCs/>
        </w:rPr>
        <w:t xml:space="preserve">V § </w:t>
      </w:r>
      <w:r>
        <w:rPr>
          <w:bCs/>
        </w:rPr>
        <w:t>28 odst. 2</w:t>
      </w:r>
      <w:r w:rsidRPr="00465FCE">
        <w:rPr>
          <w:bCs/>
        </w:rPr>
        <w:t xml:space="preserve"> se slova „§ 4b odst. 6“ nově nahrazují slovy „§ 4b odst. 4“.</w:t>
      </w:r>
    </w:p>
    <w:p w:rsidR="002266E4" w:rsidRDefault="00A563B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rFonts w:eastAsiaTheme="minorHAnsi"/>
          <w:bCs/>
          <w:szCs w:val="24"/>
        </w:rPr>
      </w:pPr>
      <w:proofErr w:type="gramStart"/>
      <w:r>
        <w:rPr>
          <w:b/>
        </w:rPr>
        <w:t>B.2.</w:t>
      </w:r>
      <w:r w:rsidR="002266E4">
        <w:rPr>
          <w:b/>
        </w:rPr>
        <w:t xml:space="preserve"> </w:t>
      </w:r>
      <w:r>
        <w:rPr>
          <w:b/>
        </w:rPr>
        <w:t xml:space="preserve"> </w:t>
      </w:r>
      <w:r w:rsidR="002266E4">
        <w:rPr>
          <w:rFonts w:eastAsiaTheme="minorHAnsi"/>
          <w:bCs/>
          <w:szCs w:val="24"/>
        </w:rPr>
        <w:t>(SD</w:t>
      </w:r>
      <w:proofErr w:type="gramEnd"/>
      <w:r w:rsidR="002266E4">
        <w:rPr>
          <w:rFonts w:eastAsiaTheme="minorHAnsi"/>
          <w:bCs/>
          <w:szCs w:val="24"/>
        </w:rPr>
        <w:t xml:space="preserve"> 4378)</w:t>
      </w:r>
    </w:p>
    <w:p w:rsidR="002266E4" w:rsidRDefault="002266E4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rFonts w:eastAsiaTheme="minorHAnsi"/>
          <w:bCs/>
          <w:szCs w:val="24"/>
        </w:rPr>
      </w:pPr>
    </w:p>
    <w:p w:rsidR="002266E4" w:rsidRPr="002266E4" w:rsidRDefault="002266E4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 w:rsidRPr="002266E4">
        <w:rPr>
          <w:rFonts w:eastAsiaTheme="minorHAnsi"/>
          <w:bCs/>
          <w:szCs w:val="24"/>
        </w:rPr>
        <w:t>V nově navrženém § 5a se ruší odstavec 2.</w:t>
      </w:r>
      <w:r w:rsidR="00E73FC8">
        <w:rPr>
          <w:rFonts w:eastAsiaTheme="minorHAnsi"/>
          <w:bCs/>
          <w:szCs w:val="24"/>
        </w:rPr>
        <w:t xml:space="preserve">  </w:t>
      </w:r>
      <w:r w:rsidR="00E73FC8" w:rsidRPr="00E73FC8">
        <w:rPr>
          <w:rFonts w:eastAsiaTheme="minorHAnsi"/>
          <w:bCs/>
          <w:i/>
          <w:szCs w:val="24"/>
        </w:rPr>
        <w:t>(V čl. I se vypustí bod 10</w:t>
      </w:r>
      <w:r w:rsidR="00E73FC8">
        <w:rPr>
          <w:rFonts w:eastAsiaTheme="minorHAnsi"/>
          <w:bCs/>
          <w:i/>
          <w:szCs w:val="24"/>
        </w:rPr>
        <w:t>, promítne se v číslování</w:t>
      </w:r>
      <w:r w:rsidR="00E73FC8" w:rsidRPr="00E73FC8">
        <w:rPr>
          <w:rFonts w:eastAsiaTheme="minorHAnsi"/>
          <w:bCs/>
          <w:i/>
          <w:szCs w:val="24"/>
        </w:rPr>
        <w:t>).</w:t>
      </w:r>
    </w:p>
    <w:p w:rsidR="002266E4" w:rsidRDefault="002266E4" w:rsidP="009B4B98">
      <w:pPr>
        <w:pStyle w:val="Bezmezer"/>
      </w:pPr>
    </w:p>
    <w:p w:rsidR="002266E4" w:rsidRDefault="002266E4" w:rsidP="009B4B98">
      <w:pPr>
        <w:pStyle w:val="Bezmezer"/>
      </w:pPr>
    </w:p>
    <w:p w:rsidR="004D425C" w:rsidRDefault="00A563B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C</w:t>
      </w:r>
      <w:r w:rsidR="00BD099E">
        <w:rPr>
          <w:b/>
        </w:rPr>
        <w:t>.</w:t>
      </w:r>
      <w:r w:rsidR="00030B4C">
        <w:rPr>
          <w:b/>
        </w:rPr>
        <w:t xml:space="preserve"> </w:t>
      </w:r>
      <w:r w:rsidR="006B514C">
        <w:rPr>
          <w:b/>
        </w:rPr>
        <w:t>Poslanec Jiří Mašek</w:t>
      </w:r>
    </w:p>
    <w:p w:rsidR="009C1F23" w:rsidRDefault="009C1F23" w:rsidP="00C50881">
      <w:pPr>
        <w:pStyle w:val="Bezmezer"/>
      </w:pPr>
    </w:p>
    <w:p w:rsidR="0073538E" w:rsidRPr="004624A9" w:rsidRDefault="00A563B2" w:rsidP="0073538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proofErr w:type="gramStart"/>
      <w:r>
        <w:rPr>
          <w:b/>
        </w:rPr>
        <w:t>C</w:t>
      </w:r>
      <w:r w:rsidR="002266E4" w:rsidRPr="002266E4">
        <w:rPr>
          <w:b/>
        </w:rPr>
        <w:t>.1</w:t>
      </w:r>
      <w:r>
        <w:rPr>
          <w:b/>
        </w:rPr>
        <w:t>.</w:t>
      </w:r>
      <w:r w:rsidR="0073538E">
        <w:rPr>
          <w:b/>
        </w:rPr>
        <w:t xml:space="preserve">   </w:t>
      </w:r>
      <w:r w:rsidR="0073538E">
        <w:t>(SD</w:t>
      </w:r>
      <w:proofErr w:type="gramEnd"/>
      <w:r w:rsidR="0073538E">
        <w:t xml:space="preserve"> 4289</w:t>
      </w:r>
      <w:r w:rsidR="0073538E" w:rsidRPr="004624A9">
        <w:t>)</w:t>
      </w:r>
    </w:p>
    <w:p w:rsidR="00085CDD" w:rsidRPr="00085CDD" w:rsidRDefault="00085CDD" w:rsidP="002266E4">
      <w:pPr>
        <w:pStyle w:val="Bezmezer"/>
        <w:spacing w:before="120" w:after="120"/>
        <w:rPr>
          <w:i/>
        </w:rPr>
      </w:pPr>
      <w:r w:rsidRPr="00085CDD">
        <w:rPr>
          <w:i/>
        </w:rPr>
        <w:t>K čl. I bodu 6:</w:t>
      </w:r>
    </w:p>
    <w:p w:rsidR="00465FCE" w:rsidRPr="00465FCE" w:rsidRDefault="00465FCE" w:rsidP="00465FCE">
      <w:r>
        <w:rPr>
          <w:bCs/>
        </w:rPr>
        <w:t>V</w:t>
      </w:r>
      <w:r w:rsidRPr="00465FCE">
        <w:rPr>
          <w:bCs/>
        </w:rPr>
        <w:t xml:space="preserve"> § 4b odstavec 3 zní:</w:t>
      </w:r>
    </w:p>
    <w:p w:rsidR="00465FCE" w:rsidRPr="00465FCE" w:rsidRDefault="00465FCE" w:rsidP="00465FCE">
      <w:pPr>
        <w:spacing w:after="100" w:line="240" w:lineRule="auto"/>
        <w:ind w:firstLine="567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„</w:t>
      </w:r>
      <w:r w:rsidRPr="00465FCE">
        <w:rPr>
          <w:rFonts w:eastAsia="Times New Roman"/>
          <w:lang w:eastAsia="cs-CZ"/>
        </w:rPr>
        <w:t>(3) Spolehlivým pro účely tohoto zákona není dále ten, u něhož zjištěné skutečnosti nasvědčují tomu, že založil, podporuje nebo aktivně propaguje hnutí, které směřuje k potlačování základních práv a svobod člověka.</w:t>
      </w:r>
      <w:r>
        <w:rPr>
          <w:rFonts w:eastAsia="Times New Roman"/>
          <w:lang w:eastAsia="cs-CZ"/>
        </w:rPr>
        <w:t>“.</w:t>
      </w: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szCs w:val="24"/>
        </w:rPr>
      </w:pPr>
      <w:bookmarkStart w:id="0" w:name="_GoBack"/>
      <w:bookmarkEnd w:id="0"/>
    </w:p>
    <w:p w:rsidR="002266E4" w:rsidRDefault="00A563B2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szCs w:val="24"/>
        </w:rPr>
      </w:pPr>
      <w:proofErr w:type="gramStart"/>
      <w:r>
        <w:rPr>
          <w:b/>
          <w:szCs w:val="24"/>
        </w:rPr>
        <w:t>C</w:t>
      </w:r>
      <w:r w:rsidR="002266E4" w:rsidRPr="002266E4">
        <w:rPr>
          <w:b/>
          <w:szCs w:val="24"/>
        </w:rPr>
        <w:t>.2</w:t>
      </w:r>
      <w:r>
        <w:rPr>
          <w:b/>
          <w:szCs w:val="24"/>
        </w:rPr>
        <w:t>.</w:t>
      </w:r>
      <w:r w:rsidR="0073538E">
        <w:rPr>
          <w:b/>
          <w:szCs w:val="24"/>
        </w:rPr>
        <w:t xml:space="preserve">  </w:t>
      </w:r>
      <w:r w:rsidR="0073538E" w:rsidRPr="0073538E">
        <w:rPr>
          <w:szCs w:val="24"/>
        </w:rPr>
        <w:t xml:space="preserve"> (SD</w:t>
      </w:r>
      <w:proofErr w:type="gramEnd"/>
      <w:r w:rsidR="0073538E" w:rsidRPr="0073538E">
        <w:rPr>
          <w:szCs w:val="24"/>
        </w:rPr>
        <w:t xml:space="preserve"> 4379)</w:t>
      </w:r>
    </w:p>
    <w:p w:rsidR="00B82CD1" w:rsidRDefault="00B82CD1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szCs w:val="24"/>
        </w:rPr>
      </w:pPr>
    </w:p>
    <w:p w:rsidR="00B82CD1" w:rsidRPr="007B5A40" w:rsidRDefault="0066539A" w:rsidP="00B82CD1">
      <w:pPr>
        <w:pStyle w:val="PS-slovanseznam"/>
        <w:numPr>
          <w:ilvl w:val="0"/>
          <w:numId w:val="0"/>
        </w:numPr>
        <w:spacing w:after="0" w:line="240" w:lineRule="auto"/>
        <w:rPr>
          <w:b/>
          <w:szCs w:val="24"/>
        </w:rPr>
      </w:pPr>
      <w:r w:rsidRPr="007B5A40">
        <w:t>Poslanec v obecné rozpravě uvedl, že se j</w:t>
      </w:r>
      <w:r w:rsidR="00B82CD1" w:rsidRPr="007B5A40">
        <w:t>edná o společný pozměňovací návrh</w:t>
      </w:r>
      <w:r w:rsidRPr="007B5A40">
        <w:t xml:space="preserve"> poslanců</w:t>
      </w:r>
      <w:r w:rsidR="00B82CD1" w:rsidRPr="007B5A40">
        <w:rPr>
          <w:b/>
        </w:rPr>
        <w:t xml:space="preserve"> </w:t>
      </w:r>
      <w:r w:rsidR="00B82CD1" w:rsidRPr="007B5A40">
        <w:rPr>
          <w:b/>
          <w:bCs/>
          <w:color w:val="000000"/>
        </w:rPr>
        <w:t>Jiří</w:t>
      </w:r>
      <w:r w:rsidRPr="007B5A40">
        <w:rPr>
          <w:b/>
          <w:bCs/>
          <w:color w:val="000000"/>
        </w:rPr>
        <w:t>ho</w:t>
      </w:r>
      <w:r w:rsidR="00B82CD1" w:rsidRPr="007B5A40">
        <w:rPr>
          <w:b/>
          <w:bCs/>
          <w:color w:val="000000"/>
        </w:rPr>
        <w:t xml:space="preserve"> </w:t>
      </w:r>
      <w:r w:rsidRPr="007B5A40">
        <w:rPr>
          <w:b/>
          <w:bCs/>
          <w:color w:val="000000"/>
        </w:rPr>
        <w:t>Maška, Zdeňka Ondráčka</w:t>
      </w:r>
      <w:r w:rsidR="00B82CD1" w:rsidRPr="007B5A40">
        <w:rPr>
          <w:b/>
          <w:bCs/>
          <w:color w:val="000000"/>
        </w:rPr>
        <w:t xml:space="preserve"> a Jan</w:t>
      </w:r>
      <w:r w:rsidRPr="007B5A40">
        <w:rPr>
          <w:b/>
          <w:bCs/>
          <w:color w:val="000000"/>
        </w:rPr>
        <w:t>a Bartoška.</w:t>
      </w:r>
    </w:p>
    <w:p w:rsidR="002266E4" w:rsidRPr="002266E4" w:rsidRDefault="002266E4" w:rsidP="002266E4">
      <w:pPr>
        <w:pStyle w:val="Bezmezer"/>
        <w:spacing w:before="120" w:after="120"/>
        <w:jc w:val="both"/>
        <w:rPr>
          <w:i/>
        </w:rPr>
      </w:pPr>
      <w:r w:rsidRPr="002266E4">
        <w:rPr>
          <w:i/>
        </w:rPr>
        <w:t>Nový bod v čl. I:</w:t>
      </w:r>
    </w:p>
    <w:p w:rsidR="002266E4" w:rsidRPr="002266E4" w:rsidRDefault="002266E4" w:rsidP="002266E4">
      <w:pPr>
        <w:pStyle w:val="Bezmezer"/>
        <w:jc w:val="both"/>
        <w:rPr>
          <w:rFonts w:eastAsia="Times New Roman"/>
          <w:lang w:eastAsia="cs-CZ"/>
        </w:rPr>
      </w:pPr>
      <w:r w:rsidRPr="002266E4">
        <w:rPr>
          <w:rFonts w:eastAsia="Times New Roman"/>
          <w:lang w:eastAsia="cs-CZ"/>
        </w:rPr>
        <w:t>Za § 8 se vkládá nový § 8a, který včetně nadpisu zní:</w:t>
      </w:r>
    </w:p>
    <w:p w:rsidR="002266E4" w:rsidRPr="002266E4" w:rsidRDefault="002266E4" w:rsidP="002266E4">
      <w:pPr>
        <w:pStyle w:val="Bezmezer"/>
        <w:jc w:val="both"/>
        <w:rPr>
          <w:rFonts w:eastAsia="Times New Roman"/>
          <w:lang w:eastAsia="cs-CZ"/>
        </w:rPr>
      </w:pPr>
    </w:p>
    <w:p w:rsidR="002266E4" w:rsidRPr="002266E4" w:rsidRDefault="002266E4" w:rsidP="002266E4">
      <w:pPr>
        <w:pStyle w:val="Bezmezer"/>
        <w:jc w:val="center"/>
        <w:rPr>
          <w:rFonts w:eastAsia="Times New Roman"/>
          <w:lang w:eastAsia="cs-CZ"/>
        </w:rPr>
      </w:pPr>
      <w:r w:rsidRPr="002266E4">
        <w:rPr>
          <w:rFonts w:eastAsia="Times New Roman"/>
          <w:lang w:eastAsia="cs-CZ"/>
        </w:rPr>
        <w:t>„§ 8a</w:t>
      </w:r>
    </w:p>
    <w:p w:rsidR="002266E4" w:rsidRPr="002266E4" w:rsidRDefault="002266E4" w:rsidP="002266E4">
      <w:pPr>
        <w:pStyle w:val="Bezmezer"/>
        <w:jc w:val="center"/>
        <w:rPr>
          <w:rFonts w:eastAsia="Times New Roman"/>
          <w:b/>
          <w:bCs/>
          <w:lang w:eastAsia="cs-CZ"/>
        </w:rPr>
      </w:pPr>
      <w:r w:rsidRPr="002266E4">
        <w:rPr>
          <w:rFonts w:eastAsia="Times New Roman"/>
          <w:b/>
          <w:bCs/>
          <w:lang w:eastAsia="cs-CZ"/>
        </w:rPr>
        <w:t>Odchodné</w:t>
      </w:r>
    </w:p>
    <w:p w:rsidR="002266E4" w:rsidRPr="002266E4" w:rsidRDefault="002266E4" w:rsidP="002266E4">
      <w:pPr>
        <w:pStyle w:val="Bezmezer"/>
        <w:jc w:val="both"/>
        <w:rPr>
          <w:rFonts w:eastAsia="Times New Roman"/>
          <w:b/>
          <w:bCs/>
          <w:color w:val="08A8F8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color w:val="000000"/>
          <w:lang w:eastAsia="cs-CZ"/>
        </w:rPr>
        <w:t>(1)</w:t>
      </w:r>
      <w:r w:rsidRPr="002266E4">
        <w:rPr>
          <w:rFonts w:eastAsia="Times New Roman"/>
          <w:color w:val="000000"/>
          <w:lang w:eastAsia="cs-CZ"/>
        </w:rPr>
        <w:t xml:space="preserve"> Strážníkovi, který plnil úkoly podle tohoto zákona v hlavním pracovním poměru po dobu nejméně 15 let a dosáhl věku 50 let, přísluší odchodné při skončení pracovního poměru </w:t>
      </w:r>
      <w:r w:rsidRPr="002266E4">
        <w:rPr>
          <w:rFonts w:eastAsia="Times New Roman"/>
          <w:lang w:eastAsia="cs-CZ"/>
        </w:rPr>
        <w:t>podle § 48 odst. 1 písm. a) nebo b) anebo podle odstavce 2 zákoníku práce</w:t>
      </w:r>
      <w:r w:rsidRPr="002266E4">
        <w:rPr>
          <w:rFonts w:eastAsia="Times New Roman"/>
          <w:color w:val="000000"/>
          <w:lang w:eastAsia="cs-CZ"/>
        </w:rPr>
        <w:t xml:space="preserve">; </w:t>
      </w:r>
      <w:r w:rsidRPr="002266E4">
        <w:rPr>
          <w:rFonts w:eastAsia="Times New Roman"/>
          <w:lang w:eastAsia="cs-CZ"/>
        </w:rPr>
        <w:t>to neplatí, pokud pracovní poměr skončí výpovědí</w:t>
      </w:r>
      <w:r w:rsidRPr="002266E4">
        <w:rPr>
          <w:rFonts w:eastAsia="Times New Roman"/>
          <w:color w:val="FF0000"/>
          <w:lang w:eastAsia="cs-CZ"/>
        </w:rPr>
        <w:t xml:space="preserve"> </w:t>
      </w:r>
      <w:r w:rsidRPr="002266E4">
        <w:rPr>
          <w:rFonts w:eastAsia="Times New Roman"/>
          <w:lang w:eastAsia="cs-CZ"/>
        </w:rPr>
        <w:t xml:space="preserve">podle § 52 písm. f) až h) nebo okamžitým zrušením pracovního poměru podle </w:t>
      </w:r>
      <w:r w:rsidRPr="002266E4">
        <w:rPr>
          <w:rFonts w:eastAsia="Times New Roman"/>
          <w:szCs w:val="20"/>
          <w:lang w:eastAsia="cs-CZ"/>
        </w:rPr>
        <w:t xml:space="preserve">§ 55 odst. 1 </w:t>
      </w:r>
      <w:r w:rsidRPr="002266E4">
        <w:rPr>
          <w:rFonts w:eastAsia="Times New Roman"/>
          <w:lang w:eastAsia="cs-CZ"/>
        </w:rPr>
        <w:t>zákoníku práce, anebo dohodou z týchž důvodů.</w:t>
      </w:r>
      <w:r w:rsidRPr="002266E4">
        <w:rPr>
          <w:rFonts w:eastAsia="Times New Roman"/>
          <w:color w:val="000000"/>
          <w:lang w:eastAsia="cs-CZ"/>
        </w:rPr>
        <w:t xml:space="preserve"> 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color w:val="000000"/>
          <w:lang w:eastAsia="cs-CZ"/>
        </w:rPr>
        <w:t xml:space="preserve">(2) Pro účely odchodného se sčítají veškeré předchozí doby pracovního poměru, kdy byl zaměstnanec obce zařazen na pracovní pozici strážník, s výjimkou doby trvání pracovního poměru, který skončil </w:t>
      </w:r>
      <w:r w:rsidRPr="002266E4">
        <w:rPr>
          <w:rFonts w:eastAsia="Times New Roman"/>
          <w:lang w:eastAsia="cs-CZ"/>
        </w:rPr>
        <w:t>výpovědí</w:t>
      </w:r>
      <w:r w:rsidRPr="002266E4">
        <w:rPr>
          <w:rFonts w:eastAsia="Times New Roman"/>
          <w:color w:val="FF0000"/>
          <w:lang w:eastAsia="cs-CZ"/>
        </w:rPr>
        <w:t xml:space="preserve"> </w:t>
      </w:r>
      <w:r w:rsidRPr="002266E4">
        <w:rPr>
          <w:rFonts w:eastAsia="Times New Roman"/>
          <w:lang w:eastAsia="cs-CZ"/>
        </w:rPr>
        <w:t xml:space="preserve">podle § 52 písm. f) až h) nebo okamžitým zrušením pracovního poměru podle </w:t>
      </w:r>
      <w:r w:rsidRPr="002266E4">
        <w:rPr>
          <w:rFonts w:eastAsia="Times New Roman"/>
          <w:szCs w:val="20"/>
          <w:lang w:eastAsia="cs-CZ"/>
        </w:rPr>
        <w:t xml:space="preserve">§ 55 odst. 1 </w:t>
      </w:r>
      <w:r w:rsidRPr="002266E4">
        <w:rPr>
          <w:rFonts w:eastAsia="Times New Roman"/>
          <w:lang w:eastAsia="cs-CZ"/>
        </w:rPr>
        <w:t>zákoníku práce, anebo dohodou z týchž důvodů</w:t>
      </w:r>
      <w:r w:rsidRPr="002266E4">
        <w:rPr>
          <w:rFonts w:eastAsia="Times New Roman"/>
          <w:color w:val="000000"/>
          <w:lang w:eastAsia="cs-CZ"/>
        </w:rPr>
        <w:t>; tyto doby lze započíst pro účely odchodného pouze jednou.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lang w:eastAsia="cs-CZ"/>
        </w:rPr>
      </w:pPr>
      <w:r w:rsidRPr="002266E4">
        <w:rPr>
          <w:rFonts w:eastAsia="Times New Roman"/>
          <w:lang w:eastAsia="cs-CZ"/>
        </w:rPr>
        <w:t xml:space="preserve">(3) </w:t>
      </w:r>
      <w:r w:rsidRPr="002266E4">
        <w:t xml:space="preserve">Do doby trvání pracovního poměru podle odstavce 1 </w:t>
      </w:r>
      <w:r w:rsidRPr="002266E4">
        <w:rPr>
          <w:rFonts w:eastAsia="Times New Roman"/>
          <w:lang w:eastAsia="cs-CZ"/>
        </w:rPr>
        <w:t>se n</w:t>
      </w:r>
      <w:r w:rsidRPr="002266E4">
        <w:rPr>
          <w:rFonts w:eastAsia="Times New Roman"/>
          <w:szCs w:val="20"/>
          <w:lang w:eastAsia="cs-CZ"/>
        </w:rPr>
        <w:t>ezapočítává doba pracovního poměru po dobu převedení strážníka na jinou práci podle § 41 zákoníku práce a podle § 5a tohoto zákona, vyjma případu uvedeného v § 5a odst. 2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bCs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lang w:eastAsia="cs-CZ"/>
        </w:rPr>
        <w:t>(4)</w:t>
      </w:r>
      <w:r w:rsidRPr="002266E4">
        <w:rPr>
          <w:rFonts w:eastAsia="Times New Roman"/>
          <w:lang w:eastAsia="cs-CZ"/>
        </w:rPr>
        <w:t xml:space="preserve"> Odchodné hradí obec, k níž je strážník v pracovním poměru ke dni jeho skončení  podle odstavce 1.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bCs/>
          <w:color w:val="000000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color w:val="000000"/>
          <w:lang w:eastAsia="cs-CZ"/>
        </w:rPr>
        <w:t>(5)</w:t>
      </w:r>
      <w:r w:rsidRPr="002266E4">
        <w:rPr>
          <w:rFonts w:eastAsia="Times New Roman"/>
          <w:color w:val="000000"/>
          <w:lang w:eastAsia="cs-CZ"/>
        </w:rPr>
        <w:t> Základní výše odchodného činí jeden průměrný měsíční výdělek strážníka</w:t>
      </w:r>
      <w:r w:rsidRPr="002266E4">
        <w:rPr>
          <w:rFonts w:eastAsia="Times New Roman"/>
          <w:strike/>
          <w:color w:val="000000"/>
          <w:lang w:eastAsia="cs-CZ"/>
        </w:rPr>
        <w:t xml:space="preserve"> </w:t>
      </w:r>
      <w:r w:rsidRPr="002266E4">
        <w:rPr>
          <w:rFonts w:eastAsia="Times New Roman"/>
          <w:color w:val="000000"/>
          <w:lang w:eastAsia="cs-CZ"/>
        </w:rPr>
        <w:t>uvedeného v odstavci 1. Za každý ukončený rok pracovního poměru podle odstavce 1 nad dobu 15 let se odchodné zvyšuje o jednu třetinu průměrného měsíčního výdělku strážníka; celková výše odchodného nesmí překročit šestinásobek jeho průměrného měsíčního výdělku.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bCs/>
          <w:color w:val="000000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color w:val="000000"/>
          <w:lang w:eastAsia="cs-CZ"/>
        </w:rPr>
        <w:t>(6)</w:t>
      </w:r>
      <w:r w:rsidRPr="002266E4">
        <w:rPr>
          <w:rFonts w:eastAsia="Times New Roman"/>
          <w:color w:val="000000"/>
          <w:lang w:eastAsia="cs-CZ"/>
        </w:rPr>
        <w:t> Odchodné vyplatí obec po skončení pracovního poměru v nejbližším výplatním termínu určeném u obce pro výplatu platu, pokud se se strážníkem nedohodne na výplatě v den skončení pracovního poměru nebo na pozdějším termínu výplaty.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bCs/>
          <w:color w:val="000000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color w:val="000000"/>
          <w:lang w:eastAsia="cs-CZ"/>
        </w:rPr>
        <w:t>(7)</w:t>
      </w:r>
      <w:r w:rsidRPr="002266E4">
        <w:rPr>
          <w:rFonts w:eastAsia="Times New Roman"/>
          <w:color w:val="000000"/>
          <w:lang w:eastAsia="cs-CZ"/>
        </w:rPr>
        <w:t> Pro účely odchodného se průměrným měsíčním výdělkem rozumí průměrný měsíční výdělek zjištěný podle zákoníku práce.</w:t>
      </w:r>
    </w:p>
    <w:p w:rsidR="002266E4" w:rsidRDefault="002266E4" w:rsidP="002266E4">
      <w:pPr>
        <w:pStyle w:val="Bezmezer"/>
        <w:ind w:firstLine="708"/>
        <w:jc w:val="both"/>
        <w:rPr>
          <w:rFonts w:eastAsia="Times New Roman"/>
          <w:bCs/>
          <w:color w:val="000000"/>
          <w:lang w:eastAsia="cs-CZ"/>
        </w:rPr>
      </w:pPr>
    </w:p>
    <w:p w:rsidR="002266E4" w:rsidRPr="002266E4" w:rsidRDefault="002266E4" w:rsidP="002266E4">
      <w:pPr>
        <w:pStyle w:val="Bezmezer"/>
        <w:ind w:firstLine="708"/>
        <w:jc w:val="both"/>
        <w:rPr>
          <w:rFonts w:eastAsia="Times New Roman"/>
          <w:color w:val="000000"/>
          <w:lang w:eastAsia="cs-CZ"/>
        </w:rPr>
      </w:pPr>
      <w:r w:rsidRPr="002266E4">
        <w:rPr>
          <w:rFonts w:eastAsia="Times New Roman"/>
          <w:bCs/>
          <w:color w:val="000000"/>
          <w:lang w:eastAsia="cs-CZ"/>
        </w:rPr>
        <w:t>(8)</w:t>
      </w:r>
      <w:r w:rsidRPr="002266E4">
        <w:rPr>
          <w:rFonts w:eastAsia="Times New Roman"/>
          <w:color w:val="000000"/>
          <w:lang w:eastAsia="cs-CZ"/>
        </w:rPr>
        <w:t> Odchodné není složkou platu a nezapočítává se pro účely zjišťování průměrného výdělku podle zákoníku práce.</w:t>
      </w:r>
      <w:r>
        <w:rPr>
          <w:rFonts w:eastAsia="Times New Roman"/>
          <w:color w:val="000000"/>
          <w:lang w:eastAsia="cs-CZ"/>
        </w:rPr>
        <w:t>“.</w:t>
      </w:r>
    </w:p>
    <w:p w:rsidR="002266E4" w:rsidRPr="002266E4" w:rsidRDefault="002266E4" w:rsidP="002266E4">
      <w:pPr>
        <w:pStyle w:val="Bezmezer"/>
        <w:jc w:val="both"/>
        <w:rPr>
          <w:rFonts w:eastAsia="Times New Roman"/>
          <w:color w:val="000000"/>
          <w:lang w:eastAsia="cs-CZ"/>
        </w:rPr>
      </w:pPr>
    </w:p>
    <w:p w:rsidR="002266E4" w:rsidRPr="002266E4" w:rsidRDefault="002266E4" w:rsidP="002266E4">
      <w:pPr>
        <w:pStyle w:val="Bezmezer"/>
        <w:jc w:val="both"/>
      </w:pPr>
    </w:p>
    <w:p w:rsidR="00EE35B0" w:rsidRPr="002266E4" w:rsidRDefault="00EE35B0" w:rsidP="002266E4">
      <w:pPr>
        <w:pStyle w:val="Bezmezer"/>
        <w:jc w:val="both"/>
      </w:pPr>
    </w:p>
    <w:p w:rsidR="00465FCE" w:rsidRDefault="00465FC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085CDD">
        <w:t xml:space="preserve"> 12. února 2020</w:t>
      </w:r>
    </w:p>
    <w:p w:rsidR="00294AD6" w:rsidRDefault="00294AD6" w:rsidP="00F421DD">
      <w:pPr>
        <w:pStyle w:val="Bezmezer"/>
        <w:jc w:val="both"/>
      </w:pPr>
    </w:p>
    <w:p w:rsidR="000259D6" w:rsidRDefault="000259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085CDD" w:rsidP="00F421DD">
      <w:pPr>
        <w:pStyle w:val="Bezmezer"/>
        <w:jc w:val="center"/>
      </w:pPr>
      <w:r>
        <w:t xml:space="preserve">Ing. Josef </w:t>
      </w:r>
      <w:proofErr w:type="spellStart"/>
      <w:r>
        <w:t>Bělica</w:t>
      </w:r>
      <w:proofErr w:type="spellEnd"/>
      <w:r w:rsidR="007B5A40">
        <w:t>, v. r.</w:t>
      </w:r>
    </w:p>
    <w:p w:rsidR="006E04E3" w:rsidRDefault="00294AD6" w:rsidP="00030B4C">
      <w:pPr>
        <w:pStyle w:val="Bezmezer"/>
        <w:spacing w:before="60"/>
        <w:jc w:val="center"/>
      </w:pPr>
      <w:r>
        <w:t>zpravodaj garančního</w:t>
      </w:r>
      <w:r w:rsidR="006E04E3">
        <w:t xml:space="preserve"> </w:t>
      </w:r>
      <w:r w:rsidR="004624A9">
        <w:t>výboru</w:t>
      </w:r>
      <w:r w:rsidR="00085CDD">
        <w:t xml:space="preserve"> pro bezpečnost</w:t>
      </w:r>
    </w:p>
    <w:p w:rsidR="00EE35B0" w:rsidRDefault="00EE35B0" w:rsidP="00030B4C">
      <w:pPr>
        <w:pStyle w:val="Bezmezer"/>
        <w:spacing w:before="60"/>
        <w:jc w:val="center"/>
      </w:pPr>
    </w:p>
    <w:p w:rsidR="000259D6" w:rsidRDefault="000259D6" w:rsidP="00030B4C">
      <w:pPr>
        <w:pStyle w:val="Bezmezer"/>
        <w:spacing w:before="60"/>
        <w:jc w:val="center"/>
      </w:pPr>
    </w:p>
    <w:p w:rsidR="000259D6" w:rsidRDefault="00EE1F58" w:rsidP="000259D6">
      <w:pPr>
        <w:pStyle w:val="Bezmezer"/>
        <w:jc w:val="center"/>
      </w:pPr>
      <w:r>
        <w:t>Ing. Jan Schiller</w:t>
      </w:r>
      <w:r w:rsidR="007B5A40">
        <w:t>, v. r.</w:t>
      </w:r>
    </w:p>
    <w:p w:rsidR="000259D6" w:rsidRDefault="000259D6" w:rsidP="000259D6">
      <w:pPr>
        <w:pStyle w:val="Bezmezer"/>
        <w:spacing w:before="60"/>
        <w:jc w:val="center"/>
      </w:pPr>
      <w:r>
        <w:t>zpravodaj výboru pro veřejnou správu a regionální rozvoj</w:t>
      </w:r>
    </w:p>
    <w:p w:rsidR="000259D6" w:rsidRDefault="000259D6" w:rsidP="00030B4C">
      <w:pPr>
        <w:pStyle w:val="Bezmezer"/>
        <w:spacing w:before="60"/>
        <w:jc w:val="center"/>
      </w:pPr>
    </w:p>
    <w:p w:rsidR="00EE35B0" w:rsidRDefault="00EE35B0" w:rsidP="00030B4C">
      <w:pPr>
        <w:pStyle w:val="Bezmezer"/>
        <w:spacing w:before="60"/>
        <w:jc w:val="center"/>
      </w:pPr>
    </w:p>
    <w:sectPr w:rsidR="00EE35B0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791E">
          <w:rPr>
            <w:noProof/>
          </w:rPr>
          <w:t>4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4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5"/>
  </w:num>
  <w:num w:numId="14">
    <w:abstractNumId w:val="2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3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4"/>
  </w:num>
  <w:num w:numId="27">
    <w:abstractNumId w:val="19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8213D"/>
    <w:rsid w:val="00085CDD"/>
    <w:rsid w:val="00086848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514C"/>
    <w:rsid w:val="006E04E3"/>
    <w:rsid w:val="0073538E"/>
    <w:rsid w:val="007B5A40"/>
    <w:rsid w:val="007D1745"/>
    <w:rsid w:val="007E401F"/>
    <w:rsid w:val="0081568C"/>
    <w:rsid w:val="008447FB"/>
    <w:rsid w:val="00872BDA"/>
    <w:rsid w:val="008C290F"/>
    <w:rsid w:val="008E5B16"/>
    <w:rsid w:val="008E67D3"/>
    <w:rsid w:val="008F087A"/>
    <w:rsid w:val="009B4B98"/>
    <w:rsid w:val="009C0510"/>
    <w:rsid w:val="009C1F23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74AE2"/>
    <w:rsid w:val="00E24469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278D-E5B1-46D5-B093-E286CF8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1172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14</cp:revision>
  <cp:lastPrinted>2020-02-12T17:13:00Z</cp:lastPrinted>
  <dcterms:created xsi:type="dcterms:W3CDTF">2020-02-11T13:32:00Z</dcterms:created>
  <dcterms:modified xsi:type="dcterms:W3CDTF">2020-02-13T08:57:00Z</dcterms:modified>
</cp:coreProperties>
</file>