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141" w:rsidRDefault="006C1141" w:rsidP="006C1141">
      <w:pPr>
        <w:autoSpaceDE w:val="0"/>
        <w:autoSpaceDN w:val="0"/>
        <w:adjustRightInd w:val="0"/>
        <w:spacing w:after="120" w:line="240" w:lineRule="auto"/>
        <w:jc w:val="center"/>
        <w:rPr>
          <w:rFonts w:ascii="Times New Roman" w:hAnsi="Times New Roman"/>
          <w:b/>
          <w:sz w:val="24"/>
          <w:szCs w:val="24"/>
          <w:lang w:eastAsia="en-US"/>
        </w:rPr>
      </w:pPr>
      <w:r>
        <w:rPr>
          <w:rFonts w:ascii="Times New Roman" w:hAnsi="Times New Roman"/>
          <w:b/>
          <w:sz w:val="24"/>
          <w:szCs w:val="24"/>
          <w:lang w:eastAsia="en-US"/>
        </w:rPr>
        <w:t>ZÁKON</w:t>
      </w:r>
    </w:p>
    <w:p w:rsidR="006C1141" w:rsidRDefault="006C1141" w:rsidP="006C1141">
      <w:pPr>
        <w:autoSpaceDE w:val="0"/>
        <w:autoSpaceDN w:val="0"/>
        <w:adjustRightInd w:val="0"/>
        <w:spacing w:after="240" w:line="240" w:lineRule="auto"/>
        <w:jc w:val="center"/>
        <w:rPr>
          <w:rFonts w:ascii="Times New Roman" w:hAnsi="Times New Roman"/>
          <w:sz w:val="24"/>
          <w:szCs w:val="24"/>
          <w:lang w:eastAsia="en-US"/>
        </w:rPr>
      </w:pPr>
      <w:r>
        <w:rPr>
          <w:rFonts w:ascii="Times New Roman" w:hAnsi="Times New Roman"/>
          <w:sz w:val="24"/>
          <w:szCs w:val="24"/>
          <w:lang w:eastAsia="en-US"/>
        </w:rPr>
        <w:t>ze dne …………… 2020,</w:t>
      </w:r>
    </w:p>
    <w:p w:rsidR="006C1141" w:rsidRDefault="006C1141" w:rsidP="006C1141">
      <w:pPr>
        <w:autoSpaceDE w:val="0"/>
        <w:autoSpaceDN w:val="0"/>
        <w:adjustRightInd w:val="0"/>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 xml:space="preserve">kterým se mění zákon č. 243/2000 Sb., o rozpočtovém určení daní, </w:t>
      </w:r>
      <w:r>
        <w:rPr>
          <w:rFonts w:ascii="Times New Roman" w:hAnsi="Times New Roman"/>
          <w:b/>
          <w:bCs/>
          <w:sz w:val="24"/>
          <w:szCs w:val="24"/>
          <w:lang w:eastAsia="en-US"/>
        </w:rPr>
        <w:br/>
        <w:t>ve znění pozdějších předpisů</w:t>
      </w:r>
    </w:p>
    <w:p w:rsidR="006C1141" w:rsidRDefault="006C1141" w:rsidP="006C1141">
      <w:pPr>
        <w:autoSpaceDE w:val="0"/>
        <w:autoSpaceDN w:val="0"/>
        <w:adjustRightInd w:val="0"/>
        <w:spacing w:after="0" w:line="240" w:lineRule="auto"/>
        <w:jc w:val="center"/>
        <w:rPr>
          <w:rFonts w:ascii="Times New Roman" w:hAnsi="Times New Roman"/>
          <w:b/>
          <w:bCs/>
          <w:sz w:val="24"/>
          <w:szCs w:val="24"/>
          <w:lang w:eastAsia="en-US"/>
        </w:rPr>
      </w:pPr>
    </w:p>
    <w:p w:rsidR="006C1141" w:rsidRDefault="006C1141" w:rsidP="006C1141">
      <w:pPr>
        <w:autoSpaceDE w:val="0"/>
        <w:autoSpaceDN w:val="0"/>
        <w:adjustRightInd w:val="0"/>
        <w:spacing w:after="0" w:line="240" w:lineRule="auto"/>
        <w:jc w:val="center"/>
        <w:rPr>
          <w:rFonts w:ascii="Times New Roman" w:hAnsi="Times New Roman"/>
          <w:b/>
          <w:bCs/>
          <w:sz w:val="24"/>
          <w:szCs w:val="24"/>
          <w:lang w:eastAsia="en-US"/>
        </w:rPr>
      </w:pPr>
    </w:p>
    <w:p w:rsidR="006C1141" w:rsidRDefault="006C1141" w:rsidP="006C1141">
      <w:pPr>
        <w:autoSpaceDE w:val="0"/>
        <w:autoSpaceDN w:val="0"/>
        <w:adjustRightInd w:val="0"/>
        <w:spacing w:after="0" w:line="240" w:lineRule="auto"/>
        <w:ind w:firstLine="708"/>
        <w:rPr>
          <w:rFonts w:ascii="Times New Roman" w:hAnsi="Times New Roman"/>
          <w:sz w:val="24"/>
          <w:szCs w:val="24"/>
          <w:lang w:eastAsia="en-US"/>
        </w:rPr>
      </w:pPr>
      <w:r>
        <w:rPr>
          <w:rFonts w:ascii="Times New Roman" w:hAnsi="Times New Roman"/>
          <w:sz w:val="24"/>
          <w:szCs w:val="24"/>
          <w:lang w:eastAsia="en-US"/>
        </w:rPr>
        <w:t>Parlament se usnesl na tomto zákoně České republiky:</w:t>
      </w:r>
    </w:p>
    <w:p w:rsidR="006C1141" w:rsidRDefault="006C1141" w:rsidP="006C1141">
      <w:pPr>
        <w:autoSpaceDE w:val="0"/>
        <w:autoSpaceDN w:val="0"/>
        <w:adjustRightInd w:val="0"/>
        <w:spacing w:after="0" w:line="240" w:lineRule="auto"/>
        <w:rPr>
          <w:rFonts w:ascii="Times New Roman" w:hAnsi="Times New Roman"/>
          <w:sz w:val="24"/>
          <w:szCs w:val="24"/>
          <w:lang w:eastAsia="en-US"/>
        </w:rPr>
      </w:pPr>
    </w:p>
    <w:p w:rsidR="006C1141" w:rsidRDefault="006C1141" w:rsidP="006C1141">
      <w:pPr>
        <w:autoSpaceDE w:val="0"/>
        <w:autoSpaceDN w:val="0"/>
        <w:adjustRightInd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Čl. I</w:t>
      </w:r>
    </w:p>
    <w:p w:rsidR="006C1141" w:rsidRDefault="006C1141" w:rsidP="006C1141">
      <w:pPr>
        <w:autoSpaceDE w:val="0"/>
        <w:autoSpaceDN w:val="0"/>
        <w:adjustRightInd w:val="0"/>
        <w:spacing w:after="0" w:line="240" w:lineRule="auto"/>
        <w:jc w:val="center"/>
        <w:rPr>
          <w:rFonts w:ascii="Times New Roman" w:hAnsi="Times New Roman"/>
          <w:sz w:val="24"/>
          <w:szCs w:val="24"/>
          <w:lang w:eastAsia="en-US"/>
        </w:rPr>
      </w:pPr>
    </w:p>
    <w:p w:rsidR="006C1141" w:rsidRDefault="006C1141" w:rsidP="006C1141">
      <w:pPr>
        <w:pStyle w:val="Bezmezer"/>
        <w:jc w:val="both"/>
        <w:rPr>
          <w:rFonts w:ascii="Times New Roman" w:hAnsi="Times New Roman"/>
          <w:sz w:val="24"/>
          <w:szCs w:val="24"/>
        </w:rPr>
      </w:pPr>
      <w:r>
        <w:rPr>
          <w:rFonts w:ascii="Times New Roman" w:hAnsi="Times New Roman"/>
          <w:sz w:val="24"/>
          <w:szCs w:val="24"/>
        </w:rPr>
        <w:t xml:space="preserve">Zákon č. 243/2000 Sb., o rozpočtovém určení výnosů některých daní územním samosprávným celkům a některým fondům (zákon o rozpočtovém určení daní), ve znění zákona č. 492/2000 Sb., zákona č. 483/2001 Sb., zákona č. 387/2004 Sb., zákona č. 1/2005 Sb., zákona č. 377/2007 Sb., zákona č. 370/2011 Sb., zákona č. 458/2011 Sb., zákona </w:t>
      </w:r>
      <w:r>
        <w:rPr>
          <w:rFonts w:ascii="Times New Roman" w:hAnsi="Times New Roman"/>
          <w:sz w:val="24"/>
          <w:szCs w:val="24"/>
        </w:rPr>
        <w:br/>
        <w:t>č. 295/2012 Sb., zákona č. 500/2012 Sb., zákonného opatření Senátu č. 344/2013 Sb., zákona č. 267/2014 Sb., zákona č. 391/2015 Sb., zákona č. 24/2017 Sb. a zákona č. 260/2017 Sb., se mění takto:</w:t>
      </w:r>
    </w:p>
    <w:p w:rsidR="006C1141" w:rsidRDefault="006C1141" w:rsidP="006C1141">
      <w:pPr>
        <w:numPr>
          <w:ilvl w:val="0"/>
          <w:numId w:val="3"/>
        </w:numPr>
        <w:spacing w:after="120"/>
        <w:ind w:left="709" w:hanging="709"/>
        <w:jc w:val="both"/>
        <w:rPr>
          <w:rFonts w:ascii="Times New Roman" w:hAnsi="Times New Roman"/>
          <w:sz w:val="24"/>
          <w:szCs w:val="24"/>
          <w:lang w:eastAsia="en-US"/>
        </w:rPr>
      </w:pPr>
      <w:r>
        <w:rPr>
          <w:rFonts w:ascii="Times New Roman" w:hAnsi="Times New Roman"/>
          <w:sz w:val="24"/>
          <w:szCs w:val="24"/>
          <w:lang w:eastAsia="en-US"/>
        </w:rPr>
        <w:t xml:space="preserve">V § 3 odst. 1 se tečka na konci písmene f) nahrazuje čárkou a vkládají se písmena g) </w:t>
      </w:r>
      <w:r>
        <w:rPr>
          <w:rFonts w:ascii="Times New Roman" w:hAnsi="Times New Roman"/>
          <w:sz w:val="24"/>
          <w:szCs w:val="24"/>
          <w:lang w:eastAsia="en-US"/>
        </w:rPr>
        <w:br/>
        <w:t xml:space="preserve">a h), která znějí: </w:t>
      </w:r>
    </w:p>
    <w:p w:rsidR="006C1141" w:rsidRDefault="006C1141" w:rsidP="006C1141">
      <w:pPr>
        <w:spacing w:after="120"/>
        <w:ind w:left="720"/>
        <w:jc w:val="both"/>
        <w:rPr>
          <w:rFonts w:ascii="Times New Roman" w:hAnsi="Times New Roman"/>
          <w:sz w:val="24"/>
          <w:szCs w:val="24"/>
          <w:lang w:eastAsia="en-US"/>
        </w:rPr>
      </w:pPr>
      <w:r>
        <w:rPr>
          <w:rFonts w:ascii="Times New Roman" w:hAnsi="Times New Roman"/>
          <w:sz w:val="24"/>
          <w:szCs w:val="24"/>
          <w:lang w:eastAsia="en-US"/>
        </w:rPr>
        <w:t>„g) podíl na 8,92 % z celostátního hrubého výnosu daně silniční,</w:t>
      </w:r>
      <w:r>
        <w:rPr>
          <w:rFonts w:ascii="Times New Roman" w:hAnsi="Times New Roman"/>
          <w:sz w:val="24"/>
          <w:szCs w:val="24"/>
          <w:lang w:eastAsia="en-US"/>
        </w:rPr>
        <w:br/>
        <w:t xml:space="preserve">h) podíl na 8,92 %  z celostátního hrubého výnosu spotřební daně z minerálních olejů.“. </w:t>
      </w:r>
    </w:p>
    <w:p w:rsidR="006C1141" w:rsidRDefault="006C1141" w:rsidP="006C1141">
      <w:pPr>
        <w:numPr>
          <w:ilvl w:val="0"/>
          <w:numId w:val="3"/>
        </w:numPr>
        <w:shd w:val="clear" w:color="auto" w:fill="FFFFFF"/>
        <w:spacing w:after="0" w:line="264" w:lineRule="atLeast"/>
        <w:ind w:left="0" w:firstLine="0"/>
        <w:jc w:val="both"/>
        <w:rPr>
          <w:rFonts w:ascii="Times New Roman" w:hAnsi="Times New Roman"/>
          <w:sz w:val="24"/>
          <w:szCs w:val="24"/>
          <w:lang w:eastAsia="en-US"/>
        </w:rPr>
      </w:pPr>
      <w:r>
        <w:rPr>
          <w:rFonts w:ascii="Times New Roman" w:hAnsi="Times New Roman"/>
          <w:sz w:val="24"/>
          <w:szCs w:val="24"/>
          <w:lang w:eastAsia="en-US"/>
        </w:rPr>
        <w:t xml:space="preserve">V § 3 odst. 2 zní: </w:t>
      </w:r>
    </w:p>
    <w:p w:rsidR="006C1141" w:rsidRPr="00F26788" w:rsidRDefault="006C1141" w:rsidP="006C1141">
      <w:pPr>
        <w:shd w:val="clear" w:color="auto" w:fill="FFFFFF"/>
        <w:spacing w:after="0" w:line="264" w:lineRule="atLeast"/>
        <w:ind w:left="709"/>
        <w:jc w:val="both"/>
        <w:rPr>
          <w:rFonts w:ascii="Times New Roman" w:hAnsi="Times New Roman"/>
          <w:sz w:val="24"/>
          <w:szCs w:val="24"/>
        </w:rPr>
      </w:pPr>
      <w:r>
        <w:rPr>
          <w:rFonts w:ascii="Times New Roman" w:hAnsi="Times New Roman"/>
          <w:sz w:val="24"/>
          <w:szCs w:val="24"/>
          <w:lang w:eastAsia="en-US"/>
        </w:rPr>
        <w:t xml:space="preserve">„(2) </w:t>
      </w:r>
      <w:r w:rsidRPr="00F26788">
        <w:rPr>
          <w:rFonts w:ascii="Times New Roman" w:hAnsi="Times New Roman"/>
          <w:sz w:val="24"/>
          <w:szCs w:val="24"/>
        </w:rPr>
        <w:t>Z</w:t>
      </w:r>
      <w:r w:rsidRPr="00F26788">
        <w:rPr>
          <w:rFonts w:ascii="Times New Roman" w:eastAsia="Times New Roman" w:hAnsi="Times New Roman"/>
          <w:sz w:val="24"/>
          <w:szCs w:val="24"/>
        </w:rPr>
        <w:t xml:space="preserve"> procentní části celostátního hrubého výnosu daně podle odstavce 1 písm. b) až h) </w:t>
      </w:r>
      <w:r w:rsidRPr="00F26788">
        <w:rPr>
          <w:rFonts w:ascii="Times New Roman" w:hAnsi="Times New Roman"/>
          <w:sz w:val="24"/>
          <w:szCs w:val="24"/>
        </w:rPr>
        <w:t>přísluší</w:t>
      </w:r>
    </w:p>
    <w:p w:rsidR="006C1141" w:rsidRPr="00F26788" w:rsidRDefault="006C1141" w:rsidP="006C1141">
      <w:pPr>
        <w:pStyle w:val="Odstavecseseznamem"/>
        <w:numPr>
          <w:ilvl w:val="3"/>
          <w:numId w:val="4"/>
        </w:numPr>
        <w:shd w:val="clear" w:color="auto" w:fill="FFFFFF"/>
        <w:spacing w:after="0" w:line="264" w:lineRule="atLeast"/>
        <w:ind w:left="709" w:firstLine="0"/>
        <w:jc w:val="both"/>
        <w:rPr>
          <w:rFonts w:eastAsia="Times New Roman"/>
          <w:lang w:eastAsia="cs-CZ"/>
        </w:rPr>
      </w:pPr>
      <w:r w:rsidRPr="00F26788">
        <w:rPr>
          <w:rFonts w:eastAsia="Times New Roman"/>
          <w:lang w:eastAsia="cs-CZ"/>
        </w:rPr>
        <w:t xml:space="preserve">Hlavnímu městu Praze </w:t>
      </w:r>
      <w:r w:rsidRPr="00F26788">
        <w:rPr>
          <w:shd w:val="clear" w:color="auto" w:fill="FFFFFF"/>
        </w:rPr>
        <w:t xml:space="preserve">3,183684 </w:t>
      </w:r>
      <w:r w:rsidRPr="00F26788">
        <w:rPr>
          <w:rFonts w:eastAsia="Times New Roman"/>
          <w:lang w:eastAsia="cs-CZ"/>
        </w:rPr>
        <w:t xml:space="preserve">%, </w:t>
      </w:r>
    </w:p>
    <w:p w:rsidR="006C1141" w:rsidRPr="00F26788" w:rsidRDefault="006C1141" w:rsidP="006C1141">
      <w:pPr>
        <w:pStyle w:val="Odstavecseseznamem"/>
        <w:numPr>
          <w:ilvl w:val="3"/>
          <w:numId w:val="4"/>
        </w:numPr>
        <w:shd w:val="clear" w:color="auto" w:fill="FFFFFF"/>
        <w:spacing w:after="0" w:line="264" w:lineRule="atLeast"/>
        <w:ind w:left="709" w:firstLine="0"/>
        <w:jc w:val="both"/>
        <w:rPr>
          <w:rFonts w:eastAsia="Times New Roman"/>
          <w:lang w:eastAsia="cs-CZ"/>
        </w:rPr>
      </w:pPr>
      <w:r w:rsidRPr="00F26788">
        <w:rPr>
          <w:rFonts w:eastAsia="Times New Roman"/>
          <w:lang w:eastAsia="cs-CZ"/>
        </w:rPr>
        <w:t xml:space="preserve">každému kraji s výjimkou Hlavního města Prahy jedna třináctina z 10 procent procentní části </w:t>
      </w:r>
      <w:r w:rsidRPr="00F26788">
        <w:rPr>
          <w:rFonts w:eastAsia="Times New Roman"/>
        </w:rPr>
        <w:t>celostátního hrubého výnosu daně podle odstavce 1 písm. b) až h)</w:t>
      </w:r>
      <w:r w:rsidRPr="00F26788">
        <w:rPr>
          <w:rFonts w:eastAsia="Times New Roman"/>
          <w:lang w:eastAsia="cs-CZ"/>
        </w:rPr>
        <w:t xml:space="preserve"> </w:t>
      </w:r>
      <w:r>
        <w:rPr>
          <w:rFonts w:eastAsia="Times New Roman"/>
        </w:rPr>
        <w:t>sníženého o podíl v písm. a),</w:t>
      </w:r>
    </w:p>
    <w:p w:rsidR="006C1141" w:rsidRPr="00F26788" w:rsidRDefault="006C1141" w:rsidP="006C1141">
      <w:pPr>
        <w:pStyle w:val="Odstavecseseznamem"/>
        <w:numPr>
          <w:ilvl w:val="3"/>
          <w:numId w:val="4"/>
        </w:numPr>
        <w:shd w:val="clear" w:color="auto" w:fill="FFFFFF"/>
        <w:spacing w:after="0" w:line="264" w:lineRule="atLeast"/>
        <w:ind w:left="709" w:firstLine="0"/>
        <w:jc w:val="both"/>
        <w:rPr>
          <w:rFonts w:eastAsia="Times New Roman"/>
          <w:lang w:eastAsia="cs-CZ"/>
        </w:rPr>
      </w:pPr>
      <w:r w:rsidRPr="00F26788">
        <w:rPr>
          <w:rFonts w:eastAsia="Times New Roman"/>
          <w:lang w:eastAsia="cs-CZ"/>
        </w:rPr>
        <w:t xml:space="preserve">po odečtení podílu Hlavního města Prahy podle písm. a) a odečtení podílu podle písm. b) se procento, jimž se </w:t>
      </w:r>
      <w:r>
        <w:rPr>
          <w:rFonts w:eastAsia="Times New Roman"/>
          <w:lang w:eastAsia="cs-CZ"/>
        </w:rPr>
        <w:t xml:space="preserve">jednotlivé </w:t>
      </w:r>
      <w:r w:rsidRPr="00F26788">
        <w:rPr>
          <w:rFonts w:eastAsia="Times New Roman"/>
          <w:lang w:eastAsia="cs-CZ"/>
        </w:rPr>
        <w:t xml:space="preserve">kraje s výjimkou Hlavního města Prahy podílejí na výnosu daně, vypočte jako součet </w:t>
      </w:r>
    </w:p>
    <w:p w:rsidR="006C1141" w:rsidRPr="00F26788" w:rsidRDefault="006C1141" w:rsidP="006C1141">
      <w:pPr>
        <w:pStyle w:val="l3"/>
        <w:shd w:val="clear" w:color="auto" w:fill="FFFFFF"/>
        <w:spacing w:before="0" w:beforeAutospacing="0" w:after="0" w:afterAutospacing="0" w:line="264" w:lineRule="atLeast"/>
        <w:ind w:left="709"/>
        <w:jc w:val="both"/>
      </w:pPr>
      <w:r w:rsidRPr="00F26788">
        <w:t>1. poměru počtu obyvatel kraje k počtu obyvatel všech krajů s výjimkou Hlavního města Prahy vyjádřeného v procentech a násobeného koeficientem 0,60,</w:t>
      </w:r>
    </w:p>
    <w:p w:rsidR="006C1141" w:rsidRPr="00F26788" w:rsidRDefault="006C1141" w:rsidP="006C1141">
      <w:pPr>
        <w:pStyle w:val="l3"/>
        <w:shd w:val="clear" w:color="auto" w:fill="FFFFFF"/>
        <w:spacing w:before="0" w:beforeAutospacing="0" w:after="0" w:afterAutospacing="0" w:line="264" w:lineRule="atLeast"/>
        <w:ind w:left="709"/>
        <w:jc w:val="both"/>
        <w:rPr>
          <w:lang w:eastAsia="en-US"/>
        </w:rPr>
      </w:pPr>
      <w:r w:rsidRPr="00F26788">
        <w:t>2. poměru součtu délky všech silnic II. třídy a III. třídy kraje vyjádřené v kilometrech k součtu délky všech silnic II. třídy a III. třídy všech krajů s výjimkou Hlavního města Prahy vyjádřené v kilometrech vyjádřeného v procentech a násobeného koeficientem 0,40.</w:t>
      </w:r>
      <w:r w:rsidRPr="00F26788">
        <w:rPr>
          <w:lang w:eastAsia="en-US"/>
        </w:rPr>
        <w:t xml:space="preserve">“. </w:t>
      </w:r>
    </w:p>
    <w:p w:rsidR="006C1141" w:rsidRPr="00F26788" w:rsidRDefault="006C1141" w:rsidP="006C1141">
      <w:pPr>
        <w:pStyle w:val="l3"/>
        <w:shd w:val="clear" w:color="auto" w:fill="FFFFFF"/>
        <w:spacing w:before="0" w:beforeAutospacing="0" w:after="0" w:afterAutospacing="0" w:line="264" w:lineRule="atLeast"/>
        <w:ind w:left="709"/>
        <w:jc w:val="both"/>
        <w:rPr>
          <w:lang w:eastAsia="en-US"/>
        </w:rPr>
      </w:pPr>
    </w:p>
    <w:p w:rsidR="006C1141" w:rsidRPr="00F26788" w:rsidRDefault="006C1141" w:rsidP="006C1141">
      <w:pPr>
        <w:numPr>
          <w:ilvl w:val="0"/>
          <w:numId w:val="3"/>
        </w:numPr>
        <w:shd w:val="clear" w:color="auto" w:fill="FFFFFF"/>
        <w:spacing w:after="0" w:line="264" w:lineRule="atLeast"/>
        <w:ind w:left="0" w:firstLine="0"/>
        <w:jc w:val="both"/>
        <w:rPr>
          <w:rFonts w:ascii="Times New Roman" w:hAnsi="Times New Roman"/>
          <w:sz w:val="24"/>
          <w:szCs w:val="24"/>
          <w:lang w:eastAsia="en-US"/>
        </w:rPr>
      </w:pPr>
      <w:r w:rsidRPr="00F26788">
        <w:rPr>
          <w:rFonts w:ascii="Times New Roman" w:hAnsi="Times New Roman"/>
          <w:sz w:val="24"/>
          <w:szCs w:val="24"/>
          <w:lang w:eastAsia="en-US"/>
        </w:rPr>
        <w:t>V § 3 se doplňují odstavce 4 a 5, které znějí:</w:t>
      </w:r>
    </w:p>
    <w:p w:rsidR="006C1141" w:rsidRPr="00F26788" w:rsidRDefault="006C1141" w:rsidP="006C1141">
      <w:pPr>
        <w:pStyle w:val="l2"/>
        <w:shd w:val="clear" w:color="auto" w:fill="FFFFFF"/>
        <w:spacing w:before="0" w:beforeAutospacing="0" w:after="0" w:afterAutospacing="0" w:line="264" w:lineRule="atLeast"/>
        <w:ind w:left="709"/>
        <w:jc w:val="both"/>
        <w:rPr>
          <w:shd w:val="clear" w:color="auto" w:fill="FFFFFF"/>
        </w:rPr>
      </w:pPr>
      <w:r w:rsidRPr="00F26788">
        <w:rPr>
          <w:lang w:eastAsia="en-US"/>
        </w:rPr>
        <w:t>„</w:t>
      </w:r>
      <w:r w:rsidRPr="00F26788">
        <w:t xml:space="preserve">(4) </w:t>
      </w:r>
      <w:r w:rsidRPr="00F26788">
        <w:rPr>
          <w:shd w:val="clear" w:color="auto" w:fill="FFFFFF"/>
        </w:rPr>
        <w:t xml:space="preserve">Při stanovení počtu obyvatel kraje pro účely propočtů podle odstavce 2 </w:t>
      </w:r>
      <w:r w:rsidRPr="00F26788">
        <w:rPr>
          <w:shd w:val="clear" w:color="auto" w:fill="FFFFFF"/>
        </w:rPr>
        <w:br/>
        <w:t>se vychází ze stavu k 1. lednu běžného roku uvedeného v bilanci obyvatel České republiky zpracované Českým statistickým úřadem k 1. lednu běžného roku.</w:t>
      </w:r>
    </w:p>
    <w:p w:rsidR="006C1141" w:rsidRPr="00F26788" w:rsidRDefault="006C1141" w:rsidP="006C1141">
      <w:pPr>
        <w:pStyle w:val="l2"/>
        <w:shd w:val="clear" w:color="auto" w:fill="FFFFFF"/>
        <w:spacing w:before="0" w:beforeAutospacing="0" w:after="0" w:afterAutospacing="0" w:line="264" w:lineRule="atLeast"/>
        <w:ind w:left="709"/>
        <w:jc w:val="both"/>
        <w:rPr>
          <w:shd w:val="clear" w:color="auto" w:fill="FFFFFF"/>
        </w:rPr>
      </w:pPr>
    </w:p>
    <w:p w:rsidR="006C1141" w:rsidRPr="00F26788" w:rsidRDefault="006C1141" w:rsidP="006C1141">
      <w:pPr>
        <w:pStyle w:val="l2"/>
        <w:shd w:val="clear" w:color="auto" w:fill="FFFFFF"/>
        <w:spacing w:before="0" w:beforeAutospacing="0" w:after="0" w:afterAutospacing="0" w:line="264" w:lineRule="atLeast"/>
        <w:ind w:left="709"/>
        <w:jc w:val="both"/>
        <w:rPr>
          <w:lang w:eastAsia="en-US"/>
        </w:rPr>
      </w:pPr>
      <w:r w:rsidRPr="00F26788">
        <w:rPr>
          <w:shd w:val="clear" w:color="auto" w:fill="FFFFFF"/>
        </w:rPr>
        <w:t>(5) Při stanovení délky (kilometrů) silnic II. a III. třídy kraje pro účely propočtů podle odstavce 2 se vychází ze stavu k 1. lednu běžného roku uvedeného v příslušné evidenci zpracované Českým statistickým úřadem k 1. lednu běžného roku.</w:t>
      </w:r>
      <w:r w:rsidRPr="00F26788">
        <w:rPr>
          <w:lang w:eastAsia="en-US"/>
        </w:rPr>
        <w:t>“.</w:t>
      </w:r>
    </w:p>
    <w:p w:rsidR="006C1141" w:rsidRPr="00F26788" w:rsidRDefault="006C1141" w:rsidP="006C1141">
      <w:pPr>
        <w:pStyle w:val="l2"/>
        <w:shd w:val="clear" w:color="auto" w:fill="FFFFFF"/>
        <w:spacing w:before="0" w:beforeAutospacing="0" w:after="0" w:afterAutospacing="0" w:line="264" w:lineRule="atLeast"/>
        <w:ind w:left="709"/>
        <w:jc w:val="both"/>
        <w:rPr>
          <w:lang w:eastAsia="en-US"/>
        </w:rPr>
      </w:pPr>
    </w:p>
    <w:p w:rsidR="006C1141" w:rsidRPr="00F26788" w:rsidRDefault="006C1141" w:rsidP="006C1141">
      <w:pPr>
        <w:pStyle w:val="l2"/>
        <w:shd w:val="clear" w:color="auto" w:fill="FFFFFF"/>
        <w:spacing w:before="0" w:beforeAutospacing="0" w:after="0" w:afterAutospacing="0" w:line="264" w:lineRule="atLeast"/>
        <w:jc w:val="both"/>
        <w:rPr>
          <w:lang w:eastAsia="en-US"/>
        </w:rPr>
      </w:pPr>
    </w:p>
    <w:p w:rsidR="006C1141" w:rsidRPr="00F26788" w:rsidRDefault="006C1141" w:rsidP="006C1141">
      <w:pPr>
        <w:numPr>
          <w:ilvl w:val="0"/>
          <w:numId w:val="2"/>
        </w:numPr>
        <w:spacing w:after="0" w:line="240" w:lineRule="auto"/>
        <w:ind w:hanging="720"/>
        <w:jc w:val="both"/>
        <w:rPr>
          <w:rFonts w:ascii="Times New Roman" w:eastAsia="Times New Roman" w:hAnsi="Times New Roman"/>
          <w:sz w:val="24"/>
          <w:szCs w:val="24"/>
        </w:rPr>
      </w:pPr>
      <w:r w:rsidRPr="00F26788">
        <w:rPr>
          <w:rFonts w:ascii="Times New Roman" w:hAnsi="Times New Roman"/>
          <w:sz w:val="24"/>
          <w:szCs w:val="24"/>
        </w:rPr>
        <w:t>V § 5 písmeno a) se slova „</w:t>
      </w:r>
      <w:r w:rsidRPr="00F26788">
        <w:rPr>
          <w:rFonts w:ascii="Times New Roman" w:eastAsia="Times New Roman" w:hAnsi="Times New Roman"/>
          <w:sz w:val="24"/>
          <w:szCs w:val="24"/>
          <w:shd w:val="clear" w:color="auto" w:fill="FFFFFF"/>
        </w:rPr>
        <w:t>celostátní hrubý výnos</w:t>
      </w:r>
      <w:r w:rsidRPr="00F26788">
        <w:rPr>
          <w:rFonts w:ascii="Times New Roman" w:hAnsi="Times New Roman"/>
          <w:sz w:val="24"/>
          <w:szCs w:val="24"/>
        </w:rPr>
        <w:t>“ nahrazují slovy „91,08 % celostátního hrubého výnosu“.</w:t>
      </w:r>
    </w:p>
    <w:p w:rsidR="006C1141" w:rsidRPr="00F26788" w:rsidRDefault="006C1141" w:rsidP="006C1141">
      <w:pPr>
        <w:spacing w:after="0" w:line="240" w:lineRule="auto"/>
        <w:ind w:left="720"/>
        <w:jc w:val="both"/>
        <w:rPr>
          <w:rFonts w:ascii="Times New Roman" w:eastAsia="Times New Roman" w:hAnsi="Times New Roman"/>
          <w:sz w:val="24"/>
          <w:szCs w:val="24"/>
        </w:rPr>
      </w:pPr>
    </w:p>
    <w:p w:rsidR="006C1141" w:rsidRPr="00F26788" w:rsidRDefault="006C1141" w:rsidP="006C1141">
      <w:pPr>
        <w:numPr>
          <w:ilvl w:val="0"/>
          <w:numId w:val="2"/>
        </w:numPr>
        <w:spacing w:after="0" w:line="240" w:lineRule="auto"/>
        <w:ind w:hanging="720"/>
        <w:jc w:val="both"/>
        <w:rPr>
          <w:rFonts w:ascii="Times New Roman" w:eastAsia="Times New Roman" w:hAnsi="Times New Roman"/>
          <w:sz w:val="24"/>
          <w:szCs w:val="24"/>
        </w:rPr>
      </w:pPr>
      <w:r w:rsidRPr="00F26788">
        <w:rPr>
          <w:rFonts w:ascii="Times New Roman" w:hAnsi="Times New Roman"/>
          <w:sz w:val="24"/>
          <w:szCs w:val="24"/>
        </w:rPr>
        <w:t xml:space="preserve">Příloha č. 1 k zákonu č. 243/2000 Sb. se ruší. </w:t>
      </w:r>
    </w:p>
    <w:p w:rsidR="006C1141" w:rsidRPr="00F26788" w:rsidRDefault="006C1141" w:rsidP="006C1141">
      <w:pPr>
        <w:pStyle w:val="l2"/>
        <w:shd w:val="clear" w:color="auto" w:fill="FFFFFF"/>
        <w:spacing w:before="0" w:beforeAutospacing="0" w:after="0" w:afterAutospacing="0" w:line="264" w:lineRule="atLeast"/>
        <w:ind w:left="720"/>
        <w:jc w:val="both"/>
      </w:pPr>
    </w:p>
    <w:p w:rsidR="006C1141" w:rsidRPr="00F26788" w:rsidRDefault="006C1141" w:rsidP="006C1141">
      <w:pPr>
        <w:spacing w:after="0" w:line="240" w:lineRule="auto"/>
        <w:ind w:left="720"/>
        <w:jc w:val="both"/>
        <w:rPr>
          <w:rFonts w:ascii="Times New Roman" w:eastAsia="Times New Roman" w:hAnsi="Times New Roman"/>
          <w:sz w:val="24"/>
          <w:szCs w:val="24"/>
        </w:rPr>
      </w:pPr>
    </w:p>
    <w:p w:rsidR="006C1141" w:rsidRPr="00F26788" w:rsidRDefault="006C1141" w:rsidP="006C1141">
      <w:pPr>
        <w:autoSpaceDE w:val="0"/>
        <w:autoSpaceDN w:val="0"/>
        <w:adjustRightInd w:val="0"/>
        <w:spacing w:after="0" w:line="240" w:lineRule="auto"/>
        <w:rPr>
          <w:rFonts w:ascii="Times New Roman" w:hAnsi="Times New Roman"/>
          <w:sz w:val="24"/>
          <w:szCs w:val="24"/>
          <w:lang w:eastAsia="en-US"/>
        </w:rPr>
      </w:pPr>
    </w:p>
    <w:p w:rsidR="006C1141" w:rsidRPr="00F26788" w:rsidRDefault="006C1141" w:rsidP="006C1141">
      <w:pPr>
        <w:autoSpaceDE w:val="0"/>
        <w:autoSpaceDN w:val="0"/>
        <w:adjustRightInd w:val="0"/>
        <w:spacing w:after="0" w:line="240" w:lineRule="auto"/>
        <w:jc w:val="center"/>
        <w:rPr>
          <w:rFonts w:ascii="Times New Roman" w:hAnsi="Times New Roman"/>
          <w:sz w:val="24"/>
          <w:szCs w:val="24"/>
          <w:lang w:eastAsia="en-US"/>
        </w:rPr>
      </w:pPr>
    </w:p>
    <w:p w:rsidR="006C1141" w:rsidRPr="00F26788" w:rsidRDefault="006C1141" w:rsidP="006C1141">
      <w:pPr>
        <w:autoSpaceDE w:val="0"/>
        <w:autoSpaceDN w:val="0"/>
        <w:adjustRightInd w:val="0"/>
        <w:spacing w:after="120" w:line="240" w:lineRule="auto"/>
        <w:jc w:val="center"/>
        <w:rPr>
          <w:rFonts w:ascii="Times New Roman" w:hAnsi="Times New Roman"/>
          <w:sz w:val="24"/>
          <w:szCs w:val="24"/>
          <w:lang w:eastAsia="en-US"/>
        </w:rPr>
      </w:pPr>
      <w:r w:rsidRPr="00F26788">
        <w:rPr>
          <w:rFonts w:ascii="Times New Roman" w:hAnsi="Times New Roman"/>
          <w:sz w:val="24"/>
          <w:szCs w:val="24"/>
          <w:lang w:eastAsia="en-US"/>
        </w:rPr>
        <w:t>Čl. II</w:t>
      </w:r>
    </w:p>
    <w:p w:rsidR="006C1141" w:rsidRPr="00F26788" w:rsidRDefault="006C1141" w:rsidP="006C1141">
      <w:pPr>
        <w:autoSpaceDE w:val="0"/>
        <w:autoSpaceDN w:val="0"/>
        <w:adjustRightInd w:val="0"/>
        <w:spacing w:after="240" w:line="240" w:lineRule="auto"/>
        <w:jc w:val="center"/>
        <w:rPr>
          <w:rFonts w:ascii="Times New Roman" w:hAnsi="Times New Roman"/>
          <w:b/>
          <w:bCs/>
          <w:sz w:val="24"/>
          <w:szCs w:val="24"/>
          <w:lang w:eastAsia="en-US"/>
        </w:rPr>
      </w:pPr>
      <w:r w:rsidRPr="00F26788">
        <w:rPr>
          <w:rFonts w:ascii="Times New Roman" w:hAnsi="Times New Roman"/>
          <w:b/>
          <w:bCs/>
          <w:sz w:val="24"/>
          <w:szCs w:val="24"/>
          <w:lang w:eastAsia="en-US"/>
        </w:rPr>
        <w:t>Přechodné ustanovení</w:t>
      </w:r>
    </w:p>
    <w:p w:rsidR="006C1141" w:rsidRPr="00F26788" w:rsidRDefault="006C1141" w:rsidP="006C1141">
      <w:pPr>
        <w:shd w:val="clear" w:color="auto" w:fill="FFFFFF"/>
        <w:spacing w:after="0" w:line="264" w:lineRule="atLeast"/>
        <w:jc w:val="both"/>
        <w:rPr>
          <w:rFonts w:ascii="Times New Roman" w:eastAsia="Times New Roman" w:hAnsi="Times New Roman"/>
          <w:bCs/>
          <w:sz w:val="24"/>
          <w:szCs w:val="24"/>
        </w:rPr>
      </w:pPr>
      <w:r w:rsidRPr="00F26788">
        <w:rPr>
          <w:rFonts w:ascii="Times New Roman" w:hAnsi="Times New Roman"/>
          <w:bCs/>
          <w:sz w:val="24"/>
          <w:szCs w:val="24"/>
          <w:shd w:val="clear" w:color="auto" w:fill="FFFFFF"/>
        </w:rPr>
        <w:t>Při stanovení podílů krajů na daňových příjmech a převodu daňových příjmů, na které vznikl krajům nárok podle zákona č. 243/2000 Sb., ve znění účinném přede dnem nabytí účinnosti tohoto zákona, a které nebyly převedeny do rozpočtů krajů přede dnem nabytí účinnosti tohoto zákona, se postupuje podle zákona č. 243/2000 Sb., ve znění účinném přede dnem nabytí účinnosti tohoto zákona.</w:t>
      </w:r>
    </w:p>
    <w:p w:rsidR="006C1141" w:rsidRPr="00F26788" w:rsidRDefault="006C1141" w:rsidP="006C1141">
      <w:pPr>
        <w:widowControl w:val="0"/>
        <w:autoSpaceDE w:val="0"/>
        <w:spacing w:after="120"/>
        <w:ind w:firstLine="708"/>
        <w:jc w:val="both"/>
        <w:rPr>
          <w:rFonts w:ascii="Times New Roman" w:hAnsi="Times New Roman"/>
          <w:b/>
          <w:sz w:val="24"/>
          <w:szCs w:val="24"/>
        </w:rPr>
      </w:pPr>
    </w:p>
    <w:p w:rsidR="006C1141" w:rsidRPr="00F26788" w:rsidRDefault="006C1141" w:rsidP="006C1141">
      <w:pPr>
        <w:autoSpaceDE w:val="0"/>
        <w:autoSpaceDN w:val="0"/>
        <w:adjustRightInd w:val="0"/>
        <w:spacing w:after="120" w:line="240" w:lineRule="auto"/>
        <w:jc w:val="center"/>
        <w:rPr>
          <w:rFonts w:ascii="Times New Roman" w:hAnsi="Times New Roman"/>
          <w:sz w:val="24"/>
          <w:szCs w:val="24"/>
          <w:lang w:eastAsia="en-US"/>
        </w:rPr>
      </w:pPr>
      <w:r w:rsidRPr="00F26788">
        <w:rPr>
          <w:rFonts w:ascii="Times New Roman" w:hAnsi="Times New Roman"/>
          <w:sz w:val="24"/>
          <w:szCs w:val="24"/>
          <w:lang w:eastAsia="en-US"/>
        </w:rPr>
        <w:t>Čl. III</w:t>
      </w:r>
    </w:p>
    <w:p w:rsidR="006C1141" w:rsidRPr="00F26788" w:rsidRDefault="006C1141" w:rsidP="006C1141">
      <w:pPr>
        <w:autoSpaceDE w:val="0"/>
        <w:autoSpaceDN w:val="0"/>
        <w:adjustRightInd w:val="0"/>
        <w:spacing w:after="240" w:line="240" w:lineRule="auto"/>
        <w:jc w:val="center"/>
        <w:rPr>
          <w:rFonts w:ascii="Times New Roman" w:hAnsi="Times New Roman"/>
          <w:b/>
          <w:bCs/>
          <w:sz w:val="24"/>
          <w:szCs w:val="24"/>
          <w:lang w:eastAsia="en-US"/>
        </w:rPr>
      </w:pPr>
      <w:r w:rsidRPr="00F26788">
        <w:rPr>
          <w:rFonts w:ascii="Times New Roman" w:hAnsi="Times New Roman"/>
          <w:b/>
          <w:bCs/>
          <w:sz w:val="24"/>
          <w:szCs w:val="24"/>
          <w:lang w:eastAsia="en-US"/>
        </w:rPr>
        <w:t>Účinnost</w:t>
      </w:r>
    </w:p>
    <w:p w:rsidR="006C1141" w:rsidRPr="00F26788" w:rsidRDefault="006C1141" w:rsidP="006C1141">
      <w:pPr>
        <w:widowControl w:val="0"/>
        <w:autoSpaceDE w:val="0"/>
        <w:spacing w:after="120"/>
        <w:ind w:firstLine="708"/>
        <w:jc w:val="both"/>
        <w:rPr>
          <w:rFonts w:ascii="Times New Roman" w:hAnsi="Times New Roman"/>
          <w:b/>
          <w:sz w:val="24"/>
          <w:szCs w:val="24"/>
        </w:rPr>
      </w:pPr>
      <w:r w:rsidRPr="00F26788">
        <w:rPr>
          <w:rFonts w:ascii="Times New Roman" w:hAnsi="Times New Roman"/>
          <w:sz w:val="24"/>
          <w:szCs w:val="24"/>
          <w:lang w:eastAsia="en-US"/>
        </w:rPr>
        <w:t>Tento zákon nabývá účinnosti dnem 1. ledna 2021.</w:t>
      </w:r>
    </w:p>
    <w:p w:rsidR="006C1141" w:rsidRPr="00F26788" w:rsidRDefault="006C1141" w:rsidP="006C1141">
      <w:pPr>
        <w:widowControl w:val="0"/>
        <w:autoSpaceDE w:val="0"/>
        <w:spacing w:after="120"/>
        <w:ind w:firstLine="708"/>
        <w:jc w:val="both"/>
        <w:rPr>
          <w:rFonts w:ascii="Times New Roman" w:hAnsi="Times New Roman"/>
          <w:b/>
          <w:sz w:val="24"/>
          <w:szCs w:val="24"/>
        </w:rPr>
      </w:pPr>
    </w:p>
    <w:p w:rsidR="006C1141" w:rsidRPr="00F26788" w:rsidRDefault="006C1141" w:rsidP="006C1141">
      <w:pPr>
        <w:widowControl w:val="0"/>
        <w:autoSpaceDE w:val="0"/>
        <w:spacing w:after="120"/>
        <w:ind w:firstLine="708"/>
        <w:jc w:val="both"/>
        <w:rPr>
          <w:rFonts w:ascii="Times New Roman" w:hAnsi="Times New Roman"/>
          <w:b/>
          <w:sz w:val="24"/>
          <w:szCs w:val="24"/>
        </w:rPr>
      </w:pPr>
    </w:p>
    <w:p w:rsidR="006C1141" w:rsidRPr="00F26788" w:rsidRDefault="006C1141" w:rsidP="006C1141">
      <w:pPr>
        <w:widowControl w:val="0"/>
        <w:autoSpaceDE w:val="0"/>
        <w:spacing w:after="120"/>
        <w:ind w:firstLine="708"/>
        <w:jc w:val="both"/>
        <w:rPr>
          <w:rFonts w:ascii="Times New Roman" w:hAnsi="Times New Roman"/>
          <w:b/>
          <w:sz w:val="24"/>
          <w:szCs w:val="24"/>
        </w:rPr>
      </w:pPr>
    </w:p>
    <w:p w:rsidR="006C1141" w:rsidRPr="00F26788" w:rsidRDefault="006C1141" w:rsidP="006C1141">
      <w:pPr>
        <w:widowControl w:val="0"/>
        <w:autoSpaceDE w:val="0"/>
        <w:spacing w:after="120"/>
        <w:ind w:firstLine="708"/>
        <w:jc w:val="both"/>
        <w:rPr>
          <w:rFonts w:ascii="Times New Roman" w:hAnsi="Times New Roman"/>
          <w:b/>
          <w:sz w:val="24"/>
          <w:szCs w:val="24"/>
        </w:rPr>
      </w:pPr>
    </w:p>
    <w:p w:rsidR="006C1141" w:rsidRPr="00F26788" w:rsidRDefault="006C1141" w:rsidP="006C1141">
      <w:pPr>
        <w:jc w:val="center"/>
        <w:rPr>
          <w:rFonts w:ascii="Times New Roman" w:hAnsi="Times New Roman"/>
          <w:b/>
          <w:sz w:val="24"/>
          <w:szCs w:val="24"/>
        </w:rPr>
      </w:pPr>
      <w:r w:rsidRPr="00F26788">
        <w:rPr>
          <w:rFonts w:ascii="Times New Roman" w:hAnsi="Times New Roman"/>
          <w:b/>
          <w:sz w:val="24"/>
          <w:szCs w:val="24"/>
        </w:rPr>
        <w:br w:type="page"/>
      </w:r>
      <w:r w:rsidRPr="00F26788">
        <w:rPr>
          <w:rFonts w:ascii="Times New Roman" w:hAnsi="Times New Roman"/>
          <w:b/>
          <w:sz w:val="24"/>
          <w:szCs w:val="24"/>
        </w:rPr>
        <w:lastRenderedPageBreak/>
        <w:t>DŮVODOVÁ ZPRÁVA</w:t>
      </w:r>
    </w:p>
    <w:p w:rsidR="006C1141" w:rsidRPr="00F26788" w:rsidRDefault="006C1141" w:rsidP="006C1141">
      <w:pPr>
        <w:rPr>
          <w:rFonts w:ascii="Times New Roman" w:hAnsi="Times New Roman"/>
          <w:b/>
          <w:sz w:val="24"/>
          <w:szCs w:val="24"/>
        </w:rPr>
      </w:pPr>
    </w:p>
    <w:p w:rsidR="006C1141" w:rsidRPr="00F26788" w:rsidRDefault="006C1141" w:rsidP="006C1141">
      <w:pPr>
        <w:jc w:val="center"/>
        <w:rPr>
          <w:rFonts w:ascii="Times New Roman" w:hAnsi="Times New Roman"/>
          <w:b/>
          <w:sz w:val="24"/>
          <w:szCs w:val="24"/>
        </w:rPr>
      </w:pPr>
      <w:r w:rsidRPr="00F26788">
        <w:rPr>
          <w:rFonts w:ascii="Times New Roman" w:hAnsi="Times New Roman"/>
          <w:b/>
          <w:sz w:val="24"/>
          <w:szCs w:val="24"/>
        </w:rPr>
        <w:t>Obecná část</w:t>
      </w:r>
    </w:p>
    <w:p w:rsidR="006C1141" w:rsidRPr="00F26788" w:rsidRDefault="006C1141" w:rsidP="006C1141">
      <w:pPr>
        <w:rPr>
          <w:rFonts w:ascii="Times New Roman" w:hAnsi="Times New Roman"/>
          <w:b/>
          <w:sz w:val="24"/>
          <w:szCs w:val="24"/>
        </w:rPr>
      </w:pPr>
    </w:p>
    <w:p w:rsidR="006C1141" w:rsidRPr="00F26788" w:rsidRDefault="006C1141" w:rsidP="006C1141">
      <w:pPr>
        <w:jc w:val="center"/>
        <w:rPr>
          <w:rFonts w:ascii="Times New Roman" w:hAnsi="Times New Roman"/>
          <w:b/>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Zhodnocení platného právního stavu, včetně zhodnocení současného stavu ve vztahu k zákazu diskriminace a ve vztahu k rovnosti mužů a žen</w:t>
      </w:r>
      <w:r w:rsidRPr="00F26788">
        <w:rPr>
          <w:rFonts w:ascii="Times New Roman" w:hAnsi="Times New Roman"/>
          <w:bCs/>
          <w:sz w:val="24"/>
          <w:szCs w:val="24"/>
        </w:rPr>
        <w:t xml:space="preserve"> </w:t>
      </w:r>
    </w:p>
    <w:p w:rsidR="006C1141" w:rsidRPr="00F26788" w:rsidRDefault="006C1141" w:rsidP="006C1141">
      <w:pPr>
        <w:ind w:left="360"/>
        <w:jc w:val="both"/>
        <w:rPr>
          <w:rFonts w:ascii="Times New Roman" w:hAnsi="Times New Roman"/>
          <w:b/>
          <w:bCs/>
          <w:sz w:val="24"/>
          <w:szCs w:val="24"/>
        </w:rPr>
      </w:pPr>
    </w:p>
    <w:p w:rsidR="006C1141" w:rsidRPr="00F26788" w:rsidRDefault="006C1141" w:rsidP="006C1141">
      <w:pPr>
        <w:ind w:left="360"/>
        <w:jc w:val="both"/>
        <w:rPr>
          <w:rFonts w:ascii="Times New Roman" w:hAnsi="Times New Roman"/>
          <w:sz w:val="24"/>
          <w:szCs w:val="24"/>
        </w:rPr>
      </w:pPr>
      <w:r w:rsidRPr="00F26788">
        <w:rPr>
          <w:rFonts w:ascii="Times New Roman" w:hAnsi="Times New Roman"/>
          <w:sz w:val="24"/>
          <w:szCs w:val="24"/>
        </w:rPr>
        <w:t xml:space="preserve">Současná podoba financování krajských samospráv jakožto vyšších územně samosprávných celků je obsažena v řadě právních předpisů. Za stěžejní lze pokládat zákon č. 243/2000 Sb., o rozpočtovém určení daní, který obsahuje pravidla, podle nichž dochází ke sdílení daňového inkasa mezi státem a samosprávami na jedné straně a na straně druhé k rozdělení příjmů krajů mezi jednotlivé kraje. </w:t>
      </w:r>
    </w:p>
    <w:p w:rsidR="006C1141" w:rsidRPr="00F26788" w:rsidRDefault="006C1141" w:rsidP="006C1141">
      <w:pPr>
        <w:ind w:left="360"/>
        <w:jc w:val="both"/>
        <w:rPr>
          <w:rFonts w:ascii="Times New Roman" w:hAnsi="Times New Roman"/>
          <w:sz w:val="24"/>
          <w:szCs w:val="24"/>
        </w:rPr>
      </w:pPr>
      <w:r w:rsidRPr="00F26788">
        <w:rPr>
          <w:rFonts w:ascii="Times New Roman" w:hAnsi="Times New Roman"/>
          <w:sz w:val="24"/>
          <w:szCs w:val="24"/>
        </w:rPr>
        <w:t xml:space="preserve">Stávající úprava vykazuje řadu nedostatků. V prvém sledu rozsah sdílených daní je vzhledem k míře svěřených veřejnoprávních úkolů krajům dlouhodobě neudržitelný </w:t>
      </w:r>
      <w:r w:rsidRPr="00F26788">
        <w:rPr>
          <w:rFonts w:ascii="Times New Roman" w:hAnsi="Times New Roman"/>
          <w:sz w:val="24"/>
          <w:szCs w:val="24"/>
        </w:rPr>
        <w:br/>
        <w:t xml:space="preserve">a vede až k nedůstojnému „každoročnímu přetahování“ krajů s vládou ČR o dorovnání těchto diskrepancí, ať z národních zdrojů či zdrojů EU. Za druhé klíčová formule dělení objemu prostředků rozpočtového určení daní pro kraje je již téměř dvacet platná </w:t>
      </w:r>
      <w:r w:rsidRPr="00F26788">
        <w:rPr>
          <w:rFonts w:ascii="Times New Roman" w:hAnsi="Times New Roman"/>
          <w:sz w:val="24"/>
          <w:szCs w:val="24"/>
        </w:rPr>
        <w:br/>
        <w:t xml:space="preserve">a neměnná, aniž by odrážela jakýkoli skutečný systém a kritéria pro dělení tak podstatného objemu veřejných zdrojů, jako je tomu – byť částečně – v systému rozpočtového určení daní pro obce. V neposlední řadě za třetí současnému systému rozpočtového určení daní chybí spravedlivost v tom smyslu, že na výkon stejných veřejných služeb a kompetencí dostávají menší kraje méně peněz. Všechny tyto tři zásadní nedostatky navrhovatel řeší novou úpravou, kterou předkládá Ústavou ČR předepsaným způsobem k projednání (do legislativního procesu). </w:t>
      </w:r>
    </w:p>
    <w:p w:rsidR="006C1141" w:rsidRPr="00F26788" w:rsidRDefault="006C1141" w:rsidP="006C1141">
      <w:pPr>
        <w:ind w:left="360"/>
        <w:jc w:val="both"/>
        <w:rPr>
          <w:rFonts w:ascii="Times New Roman" w:hAnsi="Times New Roman"/>
          <w:sz w:val="24"/>
          <w:szCs w:val="24"/>
        </w:rPr>
      </w:pPr>
      <w:r w:rsidRPr="00F26788">
        <w:rPr>
          <w:rFonts w:ascii="Times New Roman" w:hAnsi="Times New Roman"/>
          <w:sz w:val="24"/>
          <w:szCs w:val="24"/>
        </w:rPr>
        <w:t>Současná právní úprava ani navrhovaná novela nevykazuje žádný vztah k zákazu diskriminace a ve vztahu k rovnosti mužů a žen.</w:t>
      </w:r>
    </w:p>
    <w:p w:rsidR="006C1141" w:rsidRPr="00F26788" w:rsidRDefault="006C1141" w:rsidP="006C1141">
      <w:pPr>
        <w:ind w:left="360"/>
        <w:jc w:val="both"/>
        <w:rPr>
          <w:rFonts w:ascii="Times New Roman" w:hAnsi="Times New Roman"/>
          <w:b/>
          <w:bCs/>
          <w:sz w:val="24"/>
          <w:szCs w:val="24"/>
        </w:rPr>
      </w:pPr>
    </w:p>
    <w:p w:rsidR="006C1141" w:rsidRPr="00F26788" w:rsidRDefault="006C1141" w:rsidP="006C1141">
      <w:pPr>
        <w:spacing w:after="120"/>
        <w:ind w:firstLine="567"/>
        <w:jc w:val="both"/>
        <w:rPr>
          <w:rFonts w:ascii="Times New Roman" w:hAnsi="Times New Roman"/>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Odůvodnění hlavních principů navrhované právní úpravy, včetně dopadů navrhovaného řešení ve vztahu k zákazu diskriminace a ve vztahu k rovnosti mužů a žen a vysvětlení nezbytnosti navrhované právní úpravy v jejím celku</w:t>
      </w:r>
    </w:p>
    <w:p w:rsidR="006C1141" w:rsidRPr="00F26788" w:rsidRDefault="006C1141" w:rsidP="006C1141">
      <w:pPr>
        <w:ind w:left="360"/>
        <w:jc w:val="both"/>
        <w:rPr>
          <w:rFonts w:ascii="Times New Roman" w:hAnsi="Times New Roman"/>
          <w:b/>
          <w:bCs/>
          <w:sz w:val="24"/>
          <w:szCs w:val="24"/>
        </w:rPr>
      </w:pP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K prvnímu nedostatku současného rozpočtového určení daní pro kraje lze uvést, že krajům byla v minulosti svěřena kompetence za správu a rozvoj silniční sítě – silnic II. a III. třídy, tato změna však nebyla doprovázena přesunem adekvátního rozsahu veřejných zdrojů (prostředků). Přitom za takové situace nelze než konstatovat, že rozměr takto svěřené odpovědnosti a veřejných prostředků neodpovídá po desítky let kumulovanému infrastrukturnímu dluhu na těchto komunikacích. Paradoxně pak kraje nemají podíl </w:t>
      </w:r>
      <w:r w:rsidRPr="00F26788">
        <w:rPr>
          <w:rFonts w:ascii="Times New Roman" w:hAnsi="Times New Roman"/>
          <w:sz w:val="24"/>
          <w:szCs w:val="24"/>
        </w:rPr>
        <w:br/>
        <w:t xml:space="preserve">na odpovídajícím daňovém inkasu státu právě ve vztahu k silniční síti (např. silniční dani či dani z minerálních olejů). Návrh také reaguje na další veřejnoprávní úkoly, přenášené na kraje řadou právních předpisů. Zároveň je nutné si uvědomit, že podpora, které se krajům dostává z evropských zdrojů, klesá a bude slábnout i v dalších letech. </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Uvedené nedostatky a rizika se tímto návrhem odstraňují tím, že se do výčtu sdílených daní zařazují nově silniční daň a daň z minerálních olejů, a to se stejným rozsahem sdílení jako u jiných sdílených daní. Dopad tohoto návrhu je vyčíslen v příslušné části důvodové zprávy.</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Druhý zásadní návrh změny se týká způsobu, jakým se sdílené daně určené krajům rozdělují. Současný zákon nezná jakákoli kritéria pro dělení těchto veřejných prostředků mezi kraje (zákon zná tato kritéria pro dělení sdílených daní mezi obce – počet obyvatel, počet žáků, započitatelnou výměru katastrálního území). Příloha č. 1 k zákonu se omezuje pouze na výčet procentní výměry, podle níž se krajům náležející zdroje dělí. Ovšem jakékoli odůvodnění ve vztahu k této zákonné procentní výměře absentuje. </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Míra této zásadní vady současného financování krajů je dále zostřena faktem, že v průběhu dvou posledních dekád došlo k zásadní proměně demografického vývoje (vylidňování některých krajů a vzniku vnitřních a vnějších periferií a naopak přílivu obyvatel v některých krajích – zejména v aglomeračních zázemích některých měst). Například Středočeský kraj vykázal za tyto dvě dekády nárůst obyvatel o téměř 250.000 obyvatel, a to „jen“ těch hlášených v systému evidence obyvatel. Stejně tak v Jihomoravském kraji se zvýšil počet obyvatel za sledované období o bezmála 60.000 obyvatel. Tyto nárůsty počtu obyvatel se ovšem logicky nemohou promítnout do systému rozdělování sdílených daní pro kraje, pokud zákon počítá pouze se statickou hodnotou (neměnnou procentní výměrou podílu) každého kraje. Přitom je nepochybně nesporné, že vedle jiných zákonem svěřených kompetenci je zvyšování kvality života občanů kraje jeho prvořadým úkolem. Těžko pak může být spravedlivý takový zákonný mechanismus rozdělování sdílených daní mezi kraje, pokud počet jejich obyvatel není zásadním kritériem pro dělení daňového výnosu mezi příjemce (kraje). </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To stejné lze uvést k otázce rozlohy kraje. </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Návrh proto zavádí dvě systémová kritéria, která jsou objektivní a nezpochybnitelná </w:t>
      </w:r>
      <w:r w:rsidRPr="00F26788">
        <w:rPr>
          <w:rFonts w:ascii="Times New Roman" w:hAnsi="Times New Roman"/>
          <w:sz w:val="24"/>
          <w:szCs w:val="24"/>
        </w:rPr>
        <w:br/>
        <w:t xml:space="preserve">a odráží odpovědnost krajů právě ve vztahu k jejich občanům a území, jež mají ve správě (rozlohu), tedy počet obyvatel a také počet kilometrů silnic II. a III. třídy. </w:t>
      </w:r>
    </w:p>
    <w:p w:rsidR="006C1141" w:rsidRPr="00F26788" w:rsidRDefault="006C1141" w:rsidP="006C1141">
      <w:pPr>
        <w:tabs>
          <w:tab w:val="left" w:pos="0"/>
        </w:tabs>
        <w:spacing w:after="0"/>
        <w:ind w:left="360"/>
        <w:jc w:val="both"/>
        <w:rPr>
          <w:rFonts w:ascii="Times New Roman" w:hAnsi="Times New Roman"/>
          <w:sz w:val="24"/>
          <w:szCs w:val="24"/>
        </w:rPr>
      </w:pPr>
      <w:r w:rsidRPr="00F26788">
        <w:rPr>
          <w:rFonts w:ascii="Times New Roman" w:hAnsi="Times New Roman"/>
          <w:sz w:val="24"/>
          <w:szCs w:val="24"/>
        </w:rPr>
        <w:t xml:space="preserve">Třetím hlavním principem nové právní úpravy je navrhované zavedení rozdělení části celostátního hrubého výnosu. 10% celostátního hrubého daňového výnosu se rozdělí mezi všechny kraje kromě hlavního města Prahy tak, že každému z krajů připadne jeho jedna třináctina. Návrh by měl částečně napravit skutečnost, že v současné době na výkon stejných veřejných služeb a kompetencí dostávají menší kraje méně peněz a částečně tak vyrovnat tuto nespravedlivou finanční disproporci. </w:t>
      </w:r>
    </w:p>
    <w:p w:rsidR="006C1141" w:rsidRPr="00F26788" w:rsidRDefault="006C1141" w:rsidP="006C1141">
      <w:pPr>
        <w:spacing w:after="120"/>
        <w:ind w:left="360"/>
        <w:jc w:val="both"/>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Zhodnocení souladu navrhované právní úpravy s ústavním pořádkem České republiky</w:t>
      </w:r>
    </w:p>
    <w:p w:rsidR="006C1141" w:rsidRPr="00F26788" w:rsidRDefault="006C1141" w:rsidP="006C1141">
      <w:pPr>
        <w:spacing w:after="120"/>
        <w:ind w:left="360"/>
        <w:jc w:val="both"/>
        <w:rPr>
          <w:rFonts w:ascii="Times New Roman" w:hAnsi="Times New Roman"/>
          <w:bCs/>
          <w:sz w:val="24"/>
          <w:szCs w:val="24"/>
        </w:rPr>
      </w:pPr>
      <w:r w:rsidRPr="00F26788">
        <w:rPr>
          <w:rFonts w:ascii="Times New Roman" w:hAnsi="Times New Roman"/>
          <w:bCs/>
          <w:sz w:val="24"/>
          <w:szCs w:val="24"/>
        </w:rPr>
        <w:t xml:space="preserve">Návrh je v souladu s ústavním pořádkem ČR. </w:t>
      </w:r>
    </w:p>
    <w:p w:rsidR="006C1141" w:rsidRPr="00F26788" w:rsidRDefault="006C1141" w:rsidP="006C1141">
      <w:pPr>
        <w:spacing w:after="120"/>
        <w:ind w:left="360"/>
        <w:jc w:val="both"/>
        <w:rPr>
          <w:rFonts w:ascii="Times New Roman" w:hAnsi="Times New Roman"/>
          <w:bCs/>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 xml:space="preserve">Zhodnocení slučitelnosti navrhované právní úpravy s předpisy Evropské unie, judikaturou soudních orgánů Evropské unie nebo obecnými právními zásadami  </w:t>
      </w:r>
    </w:p>
    <w:p w:rsidR="006C1141" w:rsidRPr="00F26788" w:rsidRDefault="006C1141" w:rsidP="006C1141">
      <w:pPr>
        <w:spacing w:after="120"/>
        <w:ind w:left="360"/>
        <w:jc w:val="both"/>
        <w:rPr>
          <w:rFonts w:ascii="Times New Roman" w:hAnsi="Times New Roman"/>
          <w:bCs/>
          <w:sz w:val="24"/>
          <w:szCs w:val="24"/>
        </w:rPr>
      </w:pPr>
      <w:r w:rsidRPr="00F26788">
        <w:rPr>
          <w:rFonts w:ascii="Times New Roman" w:hAnsi="Times New Roman"/>
          <w:bCs/>
          <w:sz w:val="24"/>
          <w:szCs w:val="24"/>
        </w:rPr>
        <w:t>Návrh nemá žádnou souvislost s právními předpisy Evropské unie. Pokud jde o obecné právní zásady, řadíme-li mezi ně rovněž ochranu práv samosprávy, což navrhovatel pokládá za přiléhavé, navrhovaná úprava posiluje práva vyšších územně samosprávných celků</w:t>
      </w:r>
      <w:r>
        <w:rPr>
          <w:rFonts w:ascii="Times New Roman" w:hAnsi="Times New Roman"/>
          <w:bCs/>
          <w:sz w:val="24"/>
          <w:szCs w:val="24"/>
        </w:rPr>
        <w:t xml:space="preserve"> a</w:t>
      </w:r>
      <w:r w:rsidRPr="00F26788">
        <w:rPr>
          <w:rFonts w:ascii="Times New Roman" w:hAnsi="Times New Roman"/>
          <w:bCs/>
          <w:sz w:val="24"/>
          <w:szCs w:val="24"/>
        </w:rPr>
        <w:t xml:space="preserve"> jejich rozpočtovou samostatnost</w:t>
      </w:r>
      <w:r>
        <w:rPr>
          <w:rFonts w:ascii="Times New Roman" w:hAnsi="Times New Roman"/>
          <w:bCs/>
          <w:sz w:val="24"/>
          <w:szCs w:val="24"/>
        </w:rPr>
        <w:t>,</w:t>
      </w:r>
      <w:r w:rsidRPr="00F26788">
        <w:rPr>
          <w:rFonts w:ascii="Times New Roman" w:hAnsi="Times New Roman"/>
          <w:bCs/>
          <w:sz w:val="24"/>
          <w:szCs w:val="24"/>
        </w:rPr>
        <w:t xml:space="preserve"> a tím podporuje jejich rozvoj. </w:t>
      </w:r>
    </w:p>
    <w:p w:rsidR="006C1141" w:rsidRPr="00F26788" w:rsidRDefault="006C1141" w:rsidP="006C1141">
      <w:pPr>
        <w:spacing w:after="120"/>
        <w:ind w:left="360"/>
        <w:jc w:val="both"/>
        <w:rPr>
          <w:rFonts w:ascii="Times New Roman" w:hAnsi="Times New Roman"/>
          <w:bCs/>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Zhodnocení souladu navrhované právní úpravy s mezinárodními smlouvami, jimiž je Česká republika vázána</w:t>
      </w:r>
    </w:p>
    <w:p w:rsidR="006C1141" w:rsidRPr="00F26788" w:rsidRDefault="006C1141" w:rsidP="006C1141">
      <w:pPr>
        <w:spacing w:after="120"/>
        <w:ind w:left="360"/>
        <w:jc w:val="both"/>
        <w:rPr>
          <w:rFonts w:ascii="Times New Roman" w:hAnsi="Times New Roman"/>
          <w:bCs/>
          <w:sz w:val="24"/>
          <w:szCs w:val="24"/>
        </w:rPr>
      </w:pPr>
      <w:r w:rsidRPr="00F26788">
        <w:rPr>
          <w:rFonts w:ascii="Times New Roman" w:hAnsi="Times New Roman"/>
          <w:bCs/>
          <w:sz w:val="24"/>
          <w:szCs w:val="24"/>
        </w:rPr>
        <w:t>Navrhovaná úprava je plně v souladu s mezinárodními smlouvami, jimiž je Česká republik</w:t>
      </w:r>
      <w:r>
        <w:rPr>
          <w:rFonts w:ascii="Times New Roman" w:hAnsi="Times New Roman"/>
          <w:bCs/>
          <w:sz w:val="24"/>
          <w:szCs w:val="24"/>
        </w:rPr>
        <w:t>a</w:t>
      </w:r>
      <w:r w:rsidRPr="00F26788">
        <w:rPr>
          <w:rFonts w:ascii="Times New Roman" w:hAnsi="Times New Roman"/>
          <w:bCs/>
          <w:sz w:val="24"/>
          <w:szCs w:val="24"/>
        </w:rPr>
        <w:t xml:space="preserve"> vázána. </w:t>
      </w:r>
    </w:p>
    <w:p w:rsidR="006C1141" w:rsidRPr="00F26788" w:rsidRDefault="006C1141" w:rsidP="006C1141">
      <w:pPr>
        <w:spacing w:after="120"/>
        <w:ind w:left="360"/>
        <w:jc w:val="both"/>
        <w:rPr>
          <w:rFonts w:ascii="Times New Roman" w:hAnsi="Times New Roman"/>
          <w:bCs/>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 a dopady na bezpečnost nebo obranu státu</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V souvislosti s navrhovanou právní úpravou jsou s ohledem na rozšíření sdílených daní o další daně – silniční daň a daň z minerálních olejů v rozsahu sdílení 8,92 %, očekávány přímé finanční dopady na státní rozpočet ve výši 9 mld. Kč. Nutno ovšem doplnit, </w:t>
      </w:r>
      <w:r w:rsidRPr="00F26788">
        <w:rPr>
          <w:rFonts w:ascii="Times New Roman" w:hAnsi="Times New Roman"/>
          <w:sz w:val="24"/>
          <w:szCs w:val="24"/>
        </w:rPr>
        <w:br/>
        <w:t xml:space="preserve">že každoročně kraje vyjednávaly s vládou ČR jednorázovou finanční podporu v rozsahu až 5 mld. Kč na řešení problémů, které jsou jim svěřeny do kompetence, </w:t>
      </w:r>
      <w:r w:rsidRPr="00F26788">
        <w:rPr>
          <w:rFonts w:ascii="Times New Roman" w:hAnsi="Times New Roman"/>
          <w:sz w:val="24"/>
          <w:szCs w:val="24"/>
        </w:rPr>
        <w:br/>
        <w:t>ale bez adekvátních veřejných prostředků. Navrhovatel předpokládá, že tento každoroční až nedůstojný rituál „dohadování s vládou“ schválením tohoto návrhu odpadne. Vládní pomoc pak bude mířit pouze na odstraňování dřívějších znevýhodnění (ekologických zátěží) či pomoc v případech humanitárních či přírodních pohrom.</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Návrh naopak přináší pozitivní dopad do rozpočtů všech 14 vyšších územních samosprávných celků, což se pozitivně přenese do podpory regionální a lokální ekonomiky. Pozitivní dopady do rozpočtů krajů odráží následující tabulka:</w:t>
      </w:r>
    </w:p>
    <w:p w:rsidR="006C1141" w:rsidRPr="00F26788" w:rsidRDefault="006C1141" w:rsidP="006C1141">
      <w:pPr>
        <w:spacing w:after="120"/>
        <w:ind w:left="360"/>
        <w:jc w:val="both"/>
        <w:rPr>
          <w:rFonts w:ascii="Times New Roman" w:hAnsi="Times New Roman"/>
          <w:sz w:val="24"/>
          <w:szCs w:val="24"/>
        </w:rPr>
      </w:pPr>
    </w:p>
    <w:p w:rsidR="006C1141" w:rsidRPr="00F26788" w:rsidRDefault="006C1141" w:rsidP="006C1141">
      <w:pPr>
        <w:spacing w:after="120"/>
        <w:ind w:left="360"/>
        <w:jc w:val="both"/>
        <w:rPr>
          <w:rFonts w:ascii="Times New Roman" w:hAnsi="Times New Roman"/>
          <w:sz w:val="24"/>
          <w:szCs w:val="24"/>
        </w:rPr>
      </w:pPr>
    </w:p>
    <w:tbl>
      <w:tblPr>
        <w:tblW w:w="6460" w:type="dxa"/>
        <w:tblInd w:w="-15" w:type="dxa"/>
        <w:tblCellMar>
          <w:left w:w="0" w:type="dxa"/>
          <w:right w:w="0" w:type="dxa"/>
        </w:tblCellMar>
        <w:tblLook w:val="04A0" w:firstRow="1" w:lastRow="0" w:firstColumn="1" w:lastColumn="0" w:noHBand="0" w:noVBand="1"/>
      </w:tblPr>
      <w:tblGrid>
        <w:gridCol w:w="2440"/>
        <w:gridCol w:w="1940"/>
        <w:gridCol w:w="2080"/>
      </w:tblGrid>
      <w:tr w:rsidR="006C1141" w:rsidRPr="00F26788" w:rsidTr="00B23671">
        <w:trPr>
          <w:trHeight w:val="315"/>
        </w:trPr>
        <w:tc>
          <w:tcPr>
            <w:tcW w:w="6460" w:type="dxa"/>
            <w:gridSpan w:val="3"/>
            <w:noWrap/>
            <w:tcMar>
              <w:top w:w="0" w:type="dxa"/>
              <w:left w:w="70" w:type="dxa"/>
              <w:bottom w:w="0" w:type="dxa"/>
              <w:right w:w="70" w:type="dxa"/>
            </w:tcMar>
            <w:vAlign w:val="bottom"/>
            <w:hideMark/>
          </w:tcPr>
          <w:p w:rsidR="006C1141" w:rsidRPr="00F26788" w:rsidRDefault="006C1141" w:rsidP="00B23671">
            <w:pPr>
              <w:jc w:val="center"/>
            </w:pPr>
            <w:r w:rsidRPr="00F26788">
              <w:rPr>
                <w:b/>
                <w:bCs/>
                <w:sz w:val="24"/>
                <w:szCs w:val="24"/>
              </w:rPr>
              <w:t>Předpokládané pozitivní dopady do rozpočtů krajů navrhovanou novelou RUD</w:t>
            </w:r>
          </w:p>
        </w:tc>
      </w:tr>
      <w:tr w:rsidR="006C1141" w:rsidRPr="00F26788" w:rsidTr="00B23671">
        <w:trPr>
          <w:trHeight w:val="300"/>
        </w:trPr>
        <w:tc>
          <w:tcPr>
            <w:tcW w:w="2440" w:type="dxa"/>
            <w:noWrap/>
            <w:tcMar>
              <w:top w:w="0" w:type="dxa"/>
              <w:left w:w="70" w:type="dxa"/>
              <w:bottom w:w="0" w:type="dxa"/>
              <w:right w:w="70" w:type="dxa"/>
            </w:tcMar>
            <w:vAlign w:val="bottom"/>
            <w:hideMark/>
          </w:tcPr>
          <w:p w:rsidR="006C1141" w:rsidRPr="00F26788" w:rsidRDefault="006C1141" w:rsidP="00B23671"/>
        </w:tc>
        <w:tc>
          <w:tcPr>
            <w:tcW w:w="1940" w:type="dxa"/>
            <w:noWrap/>
            <w:tcMar>
              <w:top w:w="0" w:type="dxa"/>
              <w:left w:w="70" w:type="dxa"/>
              <w:bottom w:w="0" w:type="dxa"/>
              <w:right w:w="70" w:type="dxa"/>
            </w:tcMar>
            <w:vAlign w:val="bottom"/>
            <w:hideMark/>
          </w:tcPr>
          <w:p w:rsidR="006C1141" w:rsidRPr="00F26788" w:rsidRDefault="006C1141" w:rsidP="00B23671">
            <w:pPr>
              <w:rPr>
                <w:rFonts w:ascii="Times New Roman" w:eastAsia="Times New Roman" w:hAnsi="Times New Roman"/>
              </w:rPr>
            </w:pPr>
          </w:p>
        </w:tc>
        <w:tc>
          <w:tcPr>
            <w:tcW w:w="2080" w:type="dxa"/>
            <w:noWrap/>
            <w:tcMar>
              <w:top w:w="0" w:type="dxa"/>
              <w:left w:w="70" w:type="dxa"/>
              <w:bottom w:w="0" w:type="dxa"/>
              <w:right w:w="70" w:type="dxa"/>
            </w:tcMar>
            <w:vAlign w:val="bottom"/>
            <w:hideMark/>
          </w:tcPr>
          <w:p w:rsidR="006C1141" w:rsidRPr="00F26788" w:rsidRDefault="006C1141" w:rsidP="00B23671">
            <w:pPr>
              <w:rPr>
                <w:rFonts w:cs="Calibri"/>
                <w:sz w:val="22"/>
                <w:szCs w:val="22"/>
                <w:lang w:eastAsia="en-US"/>
              </w:rPr>
            </w:pPr>
            <w:r w:rsidRPr="00F26788">
              <w:t> </w:t>
            </w:r>
          </w:p>
          <w:p w:rsidR="006C1141" w:rsidRPr="00F26788" w:rsidRDefault="006C1141" w:rsidP="00B23671">
            <w:pPr>
              <w:jc w:val="right"/>
            </w:pPr>
            <w:r w:rsidRPr="00F26788">
              <w:rPr>
                <w:b/>
                <w:bCs/>
              </w:rPr>
              <w:t>v Kč</w:t>
            </w:r>
          </w:p>
        </w:tc>
      </w:tr>
      <w:tr w:rsidR="006C1141" w:rsidRPr="00F26788" w:rsidTr="00B23671">
        <w:trPr>
          <w:trHeight w:val="630"/>
        </w:trPr>
        <w:tc>
          <w:tcPr>
            <w:tcW w:w="244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6C1141" w:rsidRPr="006943FB" w:rsidRDefault="006C1141" w:rsidP="00B23671">
            <w:pPr>
              <w:jc w:val="center"/>
              <w:rPr>
                <w:b/>
                <w:bCs/>
                <w:i/>
                <w:iCs/>
                <w:sz w:val="24"/>
                <w:szCs w:val="24"/>
              </w:rPr>
            </w:pPr>
            <w:r w:rsidRPr="006943FB">
              <w:rPr>
                <w:b/>
                <w:bCs/>
                <w:i/>
                <w:iCs/>
                <w:sz w:val="24"/>
                <w:szCs w:val="24"/>
              </w:rPr>
              <w:t>Název kraje</w:t>
            </w:r>
          </w:p>
        </w:tc>
        <w:tc>
          <w:tcPr>
            <w:tcW w:w="19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C1141" w:rsidRPr="006943FB" w:rsidRDefault="006C1141" w:rsidP="00B23671">
            <w:pPr>
              <w:jc w:val="center"/>
              <w:rPr>
                <w:b/>
                <w:bCs/>
                <w:i/>
                <w:iCs/>
                <w:sz w:val="24"/>
                <w:szCs w:val="24"/>
              </w:rPr>
            </w:pPr>
            <w:r w:rsidRPr="006943FB">
              <w:rPr>
                <w:b/>
                <w:bCs/>
                <w:i/>
                <w:iCs/>
                <w:sz w:val="24"/>
                <w:szCs w:val="24"/>
              </w:rPr>
              <w:t>Celkový příjem kraje po změně</w:t>
            </w:r>
          </w:p>
        </w:tc>
        <w:tc>
          <w:tcPr>
            <w:tcW w:w="208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C1141" w:rsidRPr="006943FB" w:rsidRDefault="006C1141" w:rsidP="00B23671">
            <w:pPr>
              <w:jc w:val="center"/>
              <w:rPr>
                <w:b/>
                <w:bCs/>
                <w:i/>
                <w:iCs/>
                <w:sz w:val="24"/>
                <w:szCs w:val="24"/>
              </w:rPr>
            </w:pPr>
            <w:r w:rsidRPr="006943FB">
              <w:rPr>
                <w:b/>
                <w:bCs/>
                <w:i/>
                <w:iCs/>
                <w:sz w:val="24"/>
                <w:szCs w:val="24"/>
              </w:rPr>
              <w:t>Rozdíl oproti současnému stavu</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Hlavní město Praha</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2 920 824 530</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286 935 991</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Středočeský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13 379 824 178</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1 984 220 882</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Jihočeský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7 550 252 306</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429 442 555</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Plzeňský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6 708 639 705</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711 716 016</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Karlovarský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3 405 884 103</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284 457 755</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Ústecký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7 288 212 472</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469 121 270</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Liberecký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4 317 362 775</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444 560 867</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Královéhradecký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5 680 724 292</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351 010 769</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Pardubický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5 405 143 657</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809 306 466</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Vysočina</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6 295 149 266</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223 872 061</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Jihomoravský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9 320 559 824</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1 439 574 434</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Olomoucký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5 976 603 020</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390 860 710</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Zlínský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4 833 505 103</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488 892 520</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Moravskoslezský</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8 660 858 738</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sz w:val="24"/>
                <w:szCs w:val="24"/>
              </w:rPr>
            </w:pPr>
            <w:r w:rsidRPr="006943FB">
              <w:rPr>
                <w:sz w:val="24"/>
                <w:szCs w:val="24"/>
              </w:rPr>
              <w:t>698 730 939</w:t>
            </w:r>
          </w:p>
        </w:tc>
      </w:tr>
      <w:tr w:rsidR="006C1141" w:rsidRPr="00F26788" w:rsidTr="00B23671">
        <w:trPr>
          <w:trHeight w:val="315"/>
        </w:trPr>
        <w:tc>
          <w:tcPr>
            <w:tcW w:w="2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b/>
                <w:bCs/>
                <w:sz w:val="24"/>
                <w:szCs w:val="24"/>
              </w:rPr>
            </w:pPr>
            <w:r w:rsidRPr="006943FB">
              <w:rPr>
                <w:b/>
                <w:bCs/>
                <w:sz w:val="24"/>
                <w:szCs w:val="24"/>
              </w:rPr>
              <w:t>Celkem</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b/>
                <w:bCs/>
                <w:sz w:val="24"/>
                <w:szCs w:val="24"/>
              </w:rPr>
            </w:pPr>
            <w:r w:rsidRPr="006943FB">
              <w:rPr>
                <w:b/>
                <w:bCs/>
                <w:sz w:val="24"/>
                <w:szCs w:val="24"/>
              </w:rPr>
              <w:t>91 743 543 970</w:t>
            </w:r>
          </w:p>
        </w:tc>
        <w:tc>
          <w:tcPr>
            <w:tcW w:w="20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C1141" w:rsidRPr="006943FB" w:rsidRDefault="006C1141" w:rsidP="00B23671">
            <w:pPr>
              <w:jc w:val="center"/>
              <w:rPr>
                <w:b/>
                <w:bCs/>
                <w:sz w:val="24"/>
                <w:szCs w:val="24"/>
              </w:rPr>
            </w:pPr>
            <w:r w:rsidRPr="006943FB">
              <w:rPr>
                <w:b/>
                <w:bCs/>
                <w:sz w:val="24"/>
                <w:szCs w:val="24"/>
              </w:rPr>
              <w:t>9 012 703 234</w:t>
            </w:r>
          </w:p>
        </w:tc>
      </w:tr>
    </w:tbl>
    <w:p w:rsidR="006C1141" w:rsidRPr="00F26788" w:rsidRDefault="006C1141" w:rsidP="006C1141">
      <w:pPr>
        <w:spacing w:after="120"/>
        <w:ind w:left="360"/>
        <w:jc w:val="both"/>
        <w:rPr>
          <w:rFonts w:ascii="Times New Roman" w:hAnsi="Times New Roman"/>
          <w:sz w:val="24"/>
          <w:szCs w:val="24"/>
        </w:rPr>
      </w:pPr>
    </w:p>
    <w:p w:rsidR="002B7A44" w:rsidRDefault="002B7A44" w:rsidP="006C1141">
      <w:pPr>
        <w:spacing w:after="120"/>
        <w:ind w:left="360"/>
        <w:jc w:val="both"/>
        <w:rPr>
          <w:rFonts w:ascii="Times New Roman" w:hAnsi="Times New Roman"/>
          <w:sz w:val="24"/>
          <w:szCs w:val="24"/>
        </w:rPr>
      </w:pPr>
      <w:r>
        <w:rPr>
          <w:rFonts w:ascii="Times New Roman" w:hAnsi="Times New Roman"/>
          <w:sz w:val="24"/>
          <w:szCs w:val="24"/>
        </w:rPr>
        <w:t>Návrh nemá negativní dopad do rozpočtů obcí.</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Návrh nemá negativní dopad na podnikatelské prostředí. V souvislosti s výše uvedenou podporou regionální ekonomiky navrhovatel naopak očekává pozitivní dopady na podporu podnikatelského prostředí v regionech. </w:t>
      </w:r>
    </w:p>
    <w:p w:rsidR="006C1141" w:rsidRPr="00F26788" w:rsidRDefault="006C1141" w:rsidP="006C1141">
      <w:pPr>
        <w:spacing w:after="120"/>
        <w:ind w:left="360"/>
        <w:jc w:val="both"/>
        <w:rPr>
          <w:rFonts w:ascii="Times New Roman" w:hAnsi="Times New Roman"/>
          <w:sz w:val="24"/>
          <w:szCs w:val="24"/>
        </w:rPr>
      </w:pPr>
      <w:r w:rsidRPr="00F26788">
        <w:rPr>
          <w:rFonts w:ascii="Times New Roman" w:hAnsi="Times New Roman"/>
          <w:sz w:val="24"/>
          <w:szCs w:val="24"/>
        </w:rPr>
        <w:t xml:space="preserve">Návrh zákona nemá žádné negativní sociální dopady a ani dopady ve vztahu k zákazu diskriminace. Nemá dopady na specifické skupiny obyvatel, zejména osoby sociálně slabé, osoby se zdravotním postižením a národnostní menšiny. </w:t>
      </w:r>
    </w:p>
    <w:p w:rsidR="006C1141" w:rsidRPr="00F26788" w:rsidRDefault="006C1141" w:rsidP="006C1141">
      <w:pPr>
        <w:spacing w:after="120"/>
        <w:ind w:firstLine="360"/>
        <w:jc w:val="both"/>
        <w:rPr>
          <w:rFonts w:ascii="Times New Roman" w:hAnsi="Times New Roman"/>
          <w:sz w:val="24"/>
          <w:szCs w:val="24"/>
        </w:rPr>
      </w:pPr>
      <w:r w:rsidRPr="00F26788">
        <w:rPr>
          <w:rFonts w:ascii="Times New Roman" w:hAnsi="Times New Roman"/>
          <w:bCs/>
          <w:sz w:val="24"/>
          <w:szCs w:val="24"/>
        </w:rPr>
        <w:t>Návrh nemá přímé dopady na životní prostředí a na bezpečnost nebo obranu státu.</w:t>
      </w:r>
      <w:r w:rsidRPr="00F26788">
        <w:rPr>
          <w:rFonts w:ascii="Times New Roman" w:hAnsi="Times New Roman"/>
          <w:sz w:val="24"/>
          <w:szCs w:val="24"/>
        </w:rPr>
        <w:tab/>
      </w:r>
    </w:p>
    <w:p w:rsidR="006C1141" w:rsidRPr="00F26788" w:rsidRDefault="006C1141" w:rsidP="006C1141">
      <w:pPr>
        <w:spacing w:after="120"/>
        <w:ind w:firstLine="360"/>
        <w:jc w:val="both"/>
        <w:rPr>
          <w:rFonts w:ascii="Times New Roman" w:hAnsi="Times New Roman"/>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Zhodnocení dopadů navrhovaného řešení ve vztahu k ochraně soukromí a osobních údajů</w:t>
      </w:r>
    </w:p>
    <w:p w:rsidR="006C1141" w:rsidRPr="00F26788" w:rsidRDefault="006C1141" w:rsidP="006C1141">
      <w:pPr>
        <w:spacing w:after="120"/>
        <w:ind w:left="360"/>
        <w:jc w:val="both"/>
        <w:rPr>
          <w:rFonts w:ascii="Times New Roman" w:hAnsi="Times New Roman"/>
          <w:bCs/>
          <w:sz w:val="24"/>
          <w:szCs w:val="24"/>
        </w:rPr>
      </w:pPr>
      <w:r w:rsidRPr="00F26788">
        <w:rPr>
          <w:rFonts w:ascii="Times New Roman" w:hAnsi="Times New Roman"/>
          <w:bCs/>
          <w:sz w:val="24"/>
          <w:szCs w:val="24"/>
        </w:rPr>
        <w:t xml:space="preserve">Návrh nemá žádné dopady ve vztahu k ochraně soukromí a osobních údajů. </w:t>
      </w:r>
    </w:p>
    <w:p w:rsidR="006C1141" w:rsidRPr="00F26788" w:rsidRDefault="006C1141" w:rsidP="006C1141">
      <w:pPr>
        <w:spacing w:after="120"/>
        <w:ind w:left="360"/>
        <w:jc w:val="both"/>
        <w:rPr>
          <w:rFonts w:ascii="Times New Roman" w:hAnsi="Times New Roman"/>
          <w:bCs/>
          <w:sz w:val="24"/>
          <w:szCs w:val="24"/>
        </w:rPr>
      </w:pPr>
    </w:p>
    <w:p w:rsidR="006C1141" w:rsidRPr="00F26788" w:rsidRDefault="006C1141" w:rsidP="006C1141">
      <w:pPr>
        <w:numPr>
          <w:ilvl w:val="0"/>
          <w:numId w:val="1"/>
        </w:numPr>
        <w:contextualSpacing/>
        <w:jc w:val="both"/>
        <w:rPr>
          <w:rFonts w:ascii="Times New Roman" w:hAnsi="Times New Roman"/>
          <w:b/>
          <w:bCs/>
          <w:sz w:val="24"/>
          <w:szCs w:val="24"/>
        </w:rPr>
      </w:pPr>
      <w:r w:rsidRPr="00F26788">
        <w:rPr>
          <w:rFonts w:ascii="Times New Roman" w:hAnsi="Times New Roman"/>
          <w:b/>
          <w:bCs/>
          <w:sz w:val="24"/>
          <w:szCs w:val="24"/>
        </w:rPr>
        <w:t>Zhodnocení korupčních rizik</w:t>
      </w:r>
    </w:p>
    <w:p w:rsidR="006C1141" w:rsidRPr="00F26788" w:rsidRDefault="006C1141" w:rsidP="006C1141">
      <w:pPr>
        <w:ind w:left="360"/>
        <w:jc w:val="both"/>
        <w:rPr>
          <w:rFonts w:ascii="Times New Roman" w:hAnsi="Times New Roman"/>
          <w:sz w:val="24"/>
          <w:szCs w:val="24"/>
        </w:rPr>
      </w:pPr>
    </w:p>
    <w:p w:rsidR="006C1141" w:rsidRPr="00F26788" w:rsidRDefault="006C1141" w:rsidP="006C1141">
      <w:pPr>
        <w:ind w:left="360"/>
        <w:jc w:val="both"/>
        <w:rPr>
          <w:rFonts w:ascii="Times New Roman" w:hAnsi="Times New Roman"/>
          <w:b/>
          <w:bCs/>
          <w:sz w:val="24"/>
          <w:szCs w:val="24"/>
        </w:rPr>
      </w:pPr>
      <w:r w:rsidRPr="00F26788">
        <w:rPr>
          <w:rFonts w:ascii="Times New Roman" w:hAnsi="Times New Roman"/>
          <w:sz w:val="24"/>
          <w:szCs w:val="24"/>
        </w:rPr>
        <w:t xml:space="preserve">Předložený návrh novely zákona nezvyšuje korupční rizika. Navrhovaný předpis nemá vliv ani na dostupnost informací podle zákona č. 106/1999 Sb., o svobodném přístupu k informacím, ve znění pozdějších předpisů. </w:t>
      </w:r>
    </w:p>
    <w:p w:rsidR="006C1141" w:rsidRPr="00F26788" w:rsidRDefault="006C1141" w:rsidP="006C1141">
      <w:pPr>
        <w:widowControl w:val="0"/>
        <w:spacing w:after="0" w:line="240" w:lineRule="auto"/>
        <w:contextualSpacing/>
        <w:jc w:val="both"/>
        <w:rPr>
          <w:rFonts w:ascii="Times New Roman" w:hAnsi="Times New Roman"/>
          <w:sz w:val="24"/>
          <w:szCs w:val="24"/>
        </w:rPr>
      </w:pPr>
    </w:p>
    <w:p w:rsidR="006C1141" w:rsidRPr="00F26788" w:rsidRDefault="006C1141" w:rsidP="006C1141">
      <w:pPr>
        <w:tabs>
          <w:tab w:val="left" w:pos="648"/>
        </w:tabs>
        <w:spacing w:after="120"/>
        <w:jc w:val="both"/>
        <w:rPr>
          <w:rFonts w:ascii="Times New Roman" w:hAnsi="Times New Roman"/>
          <w:sz w:val="24"/>
          <w:szCs w:val="24"/>
        </w:rPr>
      </w:pPr>
    </w:p>
    <w:p w:rsidR="006C1141" w:rsidRPr="00F26788" w:rsidRDefault="006C1141" w:rsidP="006C1141">
      <w:pPr>
        <w:tabs>
          <w:tab w:val="left" w:pos="648"/>
        </w:tabs>
        <w:spacing w:after="120"/>
        <w:jc w:val="both"/>
        <w:rPr>
          <w:rFonts w:ascii="Times New Roman" w:hAnsi="Times New Roman"/>
          <w:sz w:val="24"/>
          <w:szCs w:val="24"/>
        </w:rPr>
      </w:pPr>
    </w:p>
    <w:p w:rsidR="006C1141" w:rsidRPr="00F26788" w:rsidRDefault="006C1141" w:rsidP="006C1141">
      <w:pPr>
        <w:jc w:val="center"/>
        <w:rPr>
          <w:rFonts w:ascii="Times New Roman" w:hAnsi="Times New Roman"/>
          <w:b/>
          <w:sz w:val="24"/>
          <w:szCs w:val="24"/>
        </w:rPr>
      </w:pPr>
      <w:r w:rsidRPr="00F26788">
        <w:rPr>
          <w:rFonts w:ascii="Times New Roman" w:hAnsi="Times New Roman"/>
          <w:b/>
          <w:sz w:val="24"/>
          <w:szCs w:val="24"/>
        </w:rPr>
        <w:br w:type="page"/>
        <w:t>Zvláštní část</w:t>
      </w:r>
    </w:p>
    <w:p w:rsidR="006C1141" w:rsidRPr="00F26788" w:rsidRDefault="006C1141" w:rsidP="006C1141">
      <w:pPr>
        <w:widowControl w:val="0"/>
        <w:autoSpaceDE w:val="0"/>
        <w:spacing w:after="120"/>
        <w:jc w:val="both"/>
        <w:rPr>
          <w:rFonts w:ascii="Times New Roman" w:hAnsi="Times New Roman"/>
          <w:b/>
          <w:sz w:val="24"/>
          <w:szCs w:val="24"/>
        </w:rPr>
      </w:pPr>
    </w:p>
    <w:p w:rsidR="006C1141" w:rsidRPr="00F26788" w:rsidRDefault="006C1141" w:rsidP="006C1141">
      <w:pPr>
        <w:spacing w:after="120"/>
        <w:jc w:val="both"/>
        <w:rPr>
          <w:rFonts w:ascii="Times New Roman" w:hAnsi="Times New Roman"/>
          <w:sz w:val="24"/>
          <w:szCs w:val="24"/>
        </w:rPr>
      </w:pPr>
      <w:r w:rsidRPr="00F26788">
        <w:rPr>
          <w:rFonts w:ascii="Times New Roman" w:hAnsi="Times New Roman"/>
          <w:b/>
          <w:sz w:val="24"/>
          <w:szCs w:val="24"/>
        </w:rPr>
        <w:t xml:space="preserve">K čl. I </w:t>
      </w:r>
    </w:p>
    <w:p w:rsidR="006C1141" w:rsidRPr="00F26788" w:rsidRDefault="006C1141" w:rsidP="006C1141">
      <w:pPr>
        <w:spacing w:after="120"/>
        <w:jc w:val="both"/>
        <w:rPr>
          <w:rFonts w:ascii="Times New Roman" w:hAnsi="Times New Roman"/>
          <w:b/>
          <w:sz w:val="24"/>
          <w:szCs w:val="24"/>
        </w:rPr>
      </w:pPr>
      <w:r w:rsidRPr="00F26788">
        <w:rPr>
          <w:rFonts w:ascii="Times New Roman" w:hAnsi="Times New Roman"/>
          <w:b/>
          <w:sz w:val="24"/>
          <w:szCs w:val="24"/>
        </w:rPr>
        <w:t>Bod. 1</w:t>
      </w:r>
    </w:p>
    <w:p w:rsidR="006C1141" w:rsidRPr="00F26788" w:rsidRDefault="006C1141" w:rsidP="006C1141">
      <w:pPr>
        <w:spacing w:after="120"/>
        <w:jc w:val="both"/>
        <w:rPr>
          <w:rFonts w:ascii="Times New Roman" w:hAnsi="Times New Roman"/>
          <w:sz w:val="24"/>
          <w:szCs w:val="24"/>
        </w:rPr>
      </w:pPr>
      <w:r w:rsidRPr="00F26788">
        <w:rPr>
          <w:rFonts w:ascii="Times New Roman" w:hAnsi="Times New Roman"/>
          <w:sz w:val="24"/>
          <w:szCs w:val="24"/>
        </w:rPr>
        <w:t xml:space="preserve">Do výčtu daní, které stát sdílí s kraji, se přiřazuje daň silniční a daň z minerálních olejů, </w:t>
      </w:r>
      <w:r w:rsidRPr="00F26788">
        <w:rPr>
          <w:rFonts w:ascii="Times New Roman" w:hAnsi="Times New Roman"/>
          <w:sz w:val="24"/>
          <w:szCs w:val="24"/>
        </w:rPr>
        <w:br/>
        <w:t xml:space="preserve">a to v obecné výši 8,92 %, jak je tomu i v současnosti s kraji sdílenými daněmi. </w:t>
      </w:r>
    </w:p>
    <w:p w:rsidR="006C1141" w:rsidRPr="00F26788" w:rsidRDefault="006C1141" w:rsidP="006C1141">
      <w:pPr>
        <w:spacing w:after="120"/>
        <w:jc w:val="both"/>
        <w:rPr>
          <w:rFonts w:ascii="Times New Roman" w:hAnsi="Times New Roman"/>
          <w:sz w:val="24"/>
          <w:szCs w:val="24"/>
        </w:rPr>
      </w:pPr>
    </w:p>
    <w:p w:rsidR="006C1141" w:rsidRPr="00F26788" w:rsidRDefault="006C1141" w:rsidP="006C1141">
      <w:pPr>
        <w:spacing w:after="120"/>
        <w:jc w:val="both"/>
        <w:rPr>
          <w:rFonts w:ascii="Times New Roman" w:hAnsi="Times New Roman"/>
          <w:b/>
          <w:sz w:val="24"/>
          <w:szCs w:val="24"/>
        </w:rPr>
      </w:pPr>
      <w:r w:rsidRPr="00F26788">
        <w:rPr>
          <w:rFonts w:ascii="Times New Roman" w:hAnsi="Times New Roman"/>
          <w:b/>
          <w:sz w:val="24"/>
          <w:szCs w:val="24"/>
        </w:rPr>
        <w:t>Bod. 2</w:t>
      </w:r>
    </w:p>
    <w:p w:rsidR="006C1141" w:rsidRPr="00F26788" w:rsidRDefault="006C1141" w:rsidP="006C1141">
      <w:pPr>
        <w:spacing w:after="120"/>
        <w:jc w:val="both"/>
        <w:rPr>
          <w:rFonts w:ascii="Times New Roman" w:hAnsi="Times New Roman"/>
          <w:sz w:val="24"/>
          <w:szCs w:val="24"/>
        </w:rPr>
      </w:pPr>
      <w:r w:rsidRPr="00F26788">
        <w:rPr>
          <w:rFonts w:ascii="Times New Roman" w:hAnsi="Times New Roman"/>
          <w:sz w:val="24"/>
          <w:szCs w:val="24"/>
        </w:rPr>
        <w:t>Zavádí se n</w:t>
      </w:r>
      <w:r>
        <w:rPr>
          <w:rFonts w:ascii="Times New Roman" w:hAnsi="Times New Roman"/>
          <w:sz w:val="24"/>
          <w:szCs w:val="24"/>
        </w:rPr>
        <w:t>ový systém dělení daňových příjmů</w:t>
      </w:r>
      <w:r w:rsidRPr="00F26788">
        <w:rPr>
          <w:rFonts w:ascii="Times New Roman" w:hAnsi="Times New Roman"/>
          <w:sz w:val="24"/>
          <w:szCs w:val="24"/>
        </w:rPr>
        <w:t xml:space="preserve"> mezi kraje. Hlavní město Praha se jakožto atypický vyšší územně samosprávný celek z obecného systému dělení daní krajům vyděluje, </w:t>
      </w:r>
      <w:r w:rsidRPr="00F26788">
        <w:rPr>
          <w:rFonts w:ascii="Times New Roman" w:hAnsi="Times New Roman"/>
          <w:sz w:val="24"/>
          <w:szCs w:val="24"/>
        </w:rPr>
        <w:br/>
        <w:t xml:space="preserve">a to ve stejném rozsahu, jako tomu bylo doposud, tj. podílu </w:t>
      </w:r>
      <w:proofErr w:type="gramStart"/>
      <w:r w:rsidRPr="00F26788">
        <w:rPr>
          <w:rFonts w:ascii="Times New Roman" w:hAnsi="Times New Roman"/>
          <w:sz w:val="24"/>
          <w:szCs w:val="24"/>
        </w:rPr>
        <w:t>na</w:t>
      </w:r>
      <w:proofErr w:type="gramEnd"/>
      <w:r w:rsidRPr="00F26788">
        <w:rPr>
          <w:rFonts w:ascii="Times New Roman" w:hAnsi="Times New Roman"/>
          <w:sz w:val="24"/>
          <w:szCs w:val="24"/>
        </w:rPr>
        <w:t xml:space="preserve"> krajům </w:t>
      </w:r>
      <w:proofErr w:type="gramStart"/>
      <w:r w:rsidRPr="00F26788">
        <w:rPr>
          <w:rFonts w:ascii="Times New Roman" w:hAnsi="Times New Roman"/>
          <w:sz w:val="24"/>
          <w:szCs w:val="24"/>
        </w:rPr>
        <w:t>vyčleněném</w:t>
      </w:r>
      <w:proofErr w:type="gramEnd"/>
      <w:r w:rsidRPr="00F26788">
        <w:rPr>
          <w:rFonts w:ascii="Times New Roman" w:hAnsi="Times New Roman"/>
          <w:sz w:val="24"/>
          <w:szCs w:val="24"/>
        </w:rPr>
        <w:t xml:space="preserve"> daňovém inkasu s výměrou </w:t>
      </w:r>
      <w:r w:rsidRPr="00F26788">
        <w:rPr>
          <w:rFonts w:ascii="Times New Roman" w:hAnsi="Times New Roman"/>
          <w:sz w:val="24"/>
          <w:szCs w:val="24"/>
          <w:shd w:val="clear" w:color="auto" w:fill="FFFFFF"/>
        </w:rPr>
        <w:t xml:space="preserve">3,183684 </w:t>
      </w:r>
      <w:r w:rsidRPr="00F26788">
        <w:rPr>
          <w:rFonts w:ascii="Times New Roman" w:eastAsia="Times New Roman" w:hAnsi="Times New Roman"/>
          <w:sz w:val="24"/>
          <w:szCs w:val="24"/>
        </w:rPr>
        <w:t>%.</w:t>
      </w:r>
      <w:r w:rsidRPr="00F26788">
        <w:rPr>
          <w:rFonts w:ascii="Times New Roman" w:hAnsi="Times New Roman"/>
          <w:sz w:val="24"/>
          <w:szCs w:val="24"/>
        </w:rPr>
        <w:t xml:space="preserve"> Hlavnímu městu Praze je její podíl v nové právní úpravě ponechán. </w:t>
      </w:r>
    </w:p>
    <w:p w:rsidR="006C1141" w:rsidRPr="00F26788" w:rsidRDefault="006C1141" w:rsidP="006C1141">
      <w:pPr>
        <w:widowControl w:val="0"/>
        <w:autoSpaceDE w:val="0"/>
        <w:spacing w:after="60"/>
        <w:jc w:val="both"/>
        <w:rPr>
          <w:rFonts w:ascii="Times New Roman" w:hAnsi="Times New Roman"/>
          <w:sz w:val="24"/>
          <w:szCs w:val="24"/>
        </w:rPr>
      </w:pPr>
      <w:r w:rsidRPr="00F26788">
        <w:rPr>
          <w:rFonts w:ascii="Times New Roman" w:hAnsi="Times New Roman"/>
          <w:sz w:val="24"/>
          <w:szCs w:val="24"/>
        </w:rPr>
        <w:t>Částečné přerozdělení celostátního hrubého výnosu co do výše 10% je odrazem skutečnosti, že všechny kraje bez ohledu na svoji velikost musejí vykonávat stejné veřejné služby</w:t>
      </w:r>
      <w:r>
        <w:rPr>
          <w:rFonts w:ascii="Times New Roman" w:hAnsi="Times New Roman"/>
          <w:sz w:val="24"/>
          <w:szCs w:val="24"/>
        </w:rPr>
        <w:t xml:space="preserve"> </w:t>
      </w:r>
      <w:r w:rsidRPr="00F26788">
        <w:rPr>
          <w:rFonts w:ascii="Times New Roman" w:hAnsi="Times New Roman"/>
          <w:sz w:val="24"/>
          <w:szCs w:val="24"/>
        </w:rPr>
        <w:t xml:space="preserve">a  kompetence a na jejich realizaci vynakládat obdobné finanční prostředky. </w:t>
      </w:r>
    </w:p>
    <w:p w:rsidR="006C1141" w:rsidRPr="00F26788" w:rsidRDefault="006C1141" w:rsidP="006C1141">
      <w:pPr>
        <w:spacing w:after="120"/>
        <w:jc w:val="both"/>
        <w:rPr>
          <w:rFonts w:ascii="Times New Roman" w:hAnsi="Times New Roman"/>
          <w:sz w:val="24"/>
          <w:szCs w:val="24"/>
        </w:rPr>
      </w:pPr>
    </w:p>
    <w:p w:rsidR="006C1141" w:rsidRPr="00F26788" w:rsidRDefault="006C1141" w:rsidP="006C1141">
      <w:pPr>
        <w:spacing w:after="120"/>
        <w:jc w:val="both"/>
        <w:rPr>
          <w:rFonts w:ascii="Times New Roman" w:hAnsi="Times New Roman"/>
          <w:sz w:val="24"/>
          <w:szCs w:val="24"/>
        </w:rPr>
      </w:pPr>
      <w:r w:rsidRPr="00F26788">
        <w:rPr>
          <w:rFonts w:ascii="Times New Roman" w:hAnsi="Times New Roman"/>
          <w:sz w:val="24"/>
          <w:szCs w:val="24"/>
        </w:rPr>
        <w:t xml:space="preserve">Ostatním krajům se již celkový daňový výnos dělí na základě nově zavedeného systému, </w:t>
      </w:r>
      <w:r w:rsidRPr="00F26788">
        <w:rPr>
          <w:rFonts w:ascii="Times New Roman" w:hAnsi="Times New Roman"/>
          <w:sz w:val="24"/>
          <w:szCs w:val="24"/>
        </w:rPr>
        <w:br/>
        <w:t xml:space="preserve">a to dle dvou základních kritérií – počtu obyvatel (60% váha) a počtu kilometrů silnic II. a III. třídy (40% váha). </w:t>
      </w:r>
    </w:p>
    <w:p w:rsidR="006C1141" w:rsidRPr="00F26788" w:rsidRDefault="006C1141" w:rsidP="006C1141">
      <w:pPr>
        <w:spacing w:after="120"/>
        <w:jc w:val="both"/>
        <w:rPr>
          <w:rFonts w:ascii="Times New Roman" w:hAnsi="Times New Roman"/>
          <w:sz w:val="24"/>
          <w:szCs w:val="24"/>
        </w:rPr>
      </w:pPr>
      <w:r w:rsidRPr="00F26788">
        <w:rPr>
          <w:rFonts w:ascii="Times New Roman" w:hAnsi="Times New Roman"/>
          <w:sz w:val="24"/>
          <w:szCs w:val="24"/>
        </w:rPr>
        <w:t xml:space="preserve"> </w:t>
      </w:r>
    </w:p>
    <w:p w:rsidR="006C1141" w:rsidRPr="00F26788" w:rsidRDefault="006C1141" w:rsidP="006C1141">
      <w:pPr>
        <w:spacing w:after="120"/>
        <w:jc w:val="both"/>
        <w:rPr>
          <w:rFonts w:ascii="Times New Roman" w:hAnsi="Times New Roman"/>
          <w:b/>
          <w:sz w:val="24"/>
          <w:szCs w:val="24"/>
        </w:rPr>
      </w:pPr>
      <w:r w:rsidRPr="00F26788">
        <w:rPr>
          <w:rFonts w:ascii="Times New Roman" w:hAnsi="Times New Roman"/>
          <w:b/>
          <w:sz w:val="24"/>
          <w:szCs w:val="24"/>
        </w:rPr>
        <w:t>Bod 3.</w:t>
      </w:r>
    </w:p>
    <w:p w:rsidR="006C1141" w:rsidRPr="00F26788" w:rsidRDefault="006C1141" w:rsidP="006C1141">
      <w:pPr>
        <w:widowControl w:val="0"/>
        <w:autoSpaceDE w:val="0"/>
        <w:spacing w:after="60"/>
        <w:jc w:val="both"/>
        <w:rPr>
          <w:rFonts w:ascii="Times New Roman" w:hAnsi="Times New Roman"/>
          <w:sz w:val="24"/>
          <w:szCs w:val="24"/>
        </w:rPr>
      </w:pPr>
      <w:r w:rsidRPr="00F26788">
        <w:rPr>
          <w:rFonts w:ascii="Times New Roman" w:hAnsi="Times New Roman"/>
          <w:sz w:val="24"/>
          <w:szCs w:val="24"/>
        </w:rPr>
        <w:t xml:space="preserve">Nově formulované odst. 4 a 5 stanovují po vzoru rozpočtového určení daní pro obce rozhodné evidence, z nichž se požadované informace pro účely rozdělování rozpočtového určení daní pro kraje přebírají. Ustanovení jsou technické povahy. </w:t>
      </w:r>
    </w:p>
    <w:p w:rsidR="006C1141" w:rsidRPr="00F26788" w:rsidRDefault="006C1141" w:rsidP="006C1141">
      <w:pPr>
        <w:widowControl w:val="0"/>
        <w:autoSpaceDE w:val="0"/>
        <w:spacing w:after="60"/>
        <w:jc w:val="both"/>
        <w:rPr>
          <w:rFonts w:ascii="Times New Roman" w:hAnsi="Times New Roman"/>
          <w:sz w:val="24"/>
          <w:szCs w:val="24"/>
        </w:rPr>
      </w:pPr>
    </w:p>
    <w:p w:rsidR="006C1141" w:rsidRPr="00F26788" w:rsidRDefault="006C1141" w:rsidP="006C1141">
      <w:pPr>
        <w:widowControl w:val="0"/>
        <w:autoSpaceDE w:val="0"/>
        <w:spacing w:after="60"/>
        <w:jc w:val="both"/>
        <w:rPr>
          <w:rFonts w:ascii="Times New Roman" w:hAnsi="Times New Roman"/>
          <w:sz w:val="24"/>
          <w:szCs w:val="24"/>
        </w:rPr>
      </w:pPr>
    </w:p>
    <w:p w:rsidR="006C1141" w:rsidRPr="00F26788" w:rsidRDefault="006C1141" w:rsidP="006C1141">
      <w:pPr>
        <w:widowControl w:val="0"/>
        <w:autoSpaceDE w:val="0"/>
        <w:spacing w:after="120"/>
        <w:jc w:val="both"/>
        <w:rPr>
          <w:rFonts w:ascii="Times New Roman" w:hAnsi="Times New Roman"/>
          <w:b/>
          <w:sz w:val="24"/>
          <w:szCs w:val="24"/>
        </w:rPr>
      </w:pPr>
      <w:r w:rsidRPr="00F26788">
        <w:rPr>
          <w:rFonts w:ascii="Times New Roman" w:hAnsi="Times New Roman"/>
          <w:b/>
          <w:sz w:val="24"/>
          <w:szCs w:val="24"/>
        </w:rPr>
        <w:t>Bod 4.</w:t>
      </w:r>
    </w:p>
    <w:p w:rsidR="006C1141" w:rsidRPr="00F26788" w:rsidRDefault="006C1141" w:rsidP="006C1141">
      <w:pPr>
        <w:widowControl w:val="0"/>
        <w:autoSpaceDE w:val="0"/>
        <w:spacing w:after="120"/>
        <w:jc w:val="both"/>
        <w:rPr>
          <w:rFonts w:ascii="Times New Roman" w:hAnsi="Times New Roman"/>
          <w:sz w:val="24"/>
          <w:szCs w:val="24"/>
        </w:rPr>
      </w:pPr>
      <w:r w:rsidRPr="00F26788">
        <w:rPr>
          <w:rFonts w:ascii="Times New Roman" w:hAnsi="Times New Roman"/>
          <w:sz w:val="24"/>
          <w:szCs w:val="24"/>
        </w:rPr>
        <w:t xml:space="preserve">Adekvátně se upravuje příjem Státního fondu dopravní infrastruktury, jehož příjem </w:t>
      </w:r>
      <w:r w:rsidRPr="00F26788">
        <w:rPr>
          <w:rFonts w:ascii="Times New Roman" w:hAnsi="Times New Roman"/>
          <w:sz w:val="24"/>
          <w:szCs w:val="24"/>
        </w:rPr>
        <w:br/>
        <w:t xml:space="preserve">se u výnosu silniční daně o 8,92 % snižuje. </w:t>
      </w:r>
    </w:p>
    <w:p w:rsidR="006C1141" w:rsidRPr="00F26788" w:rsidRDefault="006C1141" w:rsidP="006C1141">
      <w:pPr>
        <w:widowControl w:val="0"/>
        <w:autoSpaceDE w:val="0"/>
        <w:spacing w:after="120"/>
        <w:jc w:val="both"/>
        <w:rPr>
          <w:rFonts w:ascii="Times New Roman" w:hAnsi="Times New Roman"/>
          <w:sz w:val="24"/>
          <w:szCs w:val="24"/>
        </w:rPr>
      </w:pPr>
    </w:p>
    <w:p w:rsidR="006C1141" w:rsidRPr="00F26788" w:rsidRDefault="006C1141" w:rsidP="006C1141">
      <w:pPr>
        <w:widowControl w:val="0"/>
        <w:autoSpaceDE w:val="0"/>
        <w:spacing w:after="120"/>
        <w:jc w:val="both"/>
        <w:rPr>
          <w:rFonts w:ascii="Times New Roman" w:hAnsi="Times New Roman"/>
          <w:b/>
          <w:sz w:val="24"/>
          <w:szCs w:val="24"/>
        </w:rPr>
      </w:pPr>
      <w:r w:rsidRPr="00F26788">
        <w:rPr>
          <w:rFonts w:ascii="Times New Roman" w:hAnsi="Times New Roman"/>
          <w:b/>
          <w:sz w:val="24"/>
          <w:szCs w:val="24"/>
        </w:rPr>
        <w:t>K čl. II</w:t>
      </w:r>
    </w:p>
    <w:p w:rsidR="006C1141" w:rsidRPr="00F26788" w:rsidRDefault="006C1141" w:rsidP="006C1141">
      <w:pPr>
        <w:widowControl w:val="0"/>
        <w:autoSpaceDE w:val="0"/>
        <w:spacing w:after="120"/>
        <w:jc w:val="both"/>
        <w:rPr>
          <w:rFonts w:ascii="Times New Roman" w:hAnsi="Times New Roman"/>
          <w:sz w:val="24"/>
          <w:szCs w:val="24"/>
        </w:rPr>
      </w:pPr>
      <w:r w:rsidRPr="00F26788">
        <w:rPr>
          <w:rFonts w:ascii="Times New Roman" w:hAnsi="Times New Roman"/>
          <w:sz w:val="24"/>
          <w:szCs w:val="24"/>
        </w:rPr>
        <w:t xml:space="preserve">Přechodné ustanovení řeší některé </w:t>
      </w:r>
      <w:proofErr w:type="spellStart"/>
      <w:r w:rsidRPr="00F26788">
        <w:rPr>
          <w:rFonts w:ascii="Times New Roman" w:hAnsi="Times New Roman"/>
          <w:sz w:val="24"/>
          <w:szCs w:val="24"/>
        </w:rPr>
        <w:t>intertemporální</w:t>
      </w:r>
      <w:proofErr w:type="spellEnd"/>
      <w:r w:rsidRPr="00F26788">
        <w:rPr>
          <w:rFonts w:ascii="Times New Roman" w:hAnsi="Times New Roman"/>
          <w:sz w:val="24"/>
          <w:szCs w:val="24"/>
        </w:rPr>
        <w:t xml:space="preserve"> otázky, které́ předložený návrh zákona vyvolává.</w:t>
      </w:r>
    </w:p>
    <w:p w:rsidR="006C1141" w:rsidRPr="00F26788" w:rsidRDefault="006C1141" w:rsidP="006C1141">
      <w:pPr>
        <w:widowControl w:val="0"/>
        <w:autoSpaceDE w:val="0"/>
        <w:spacing w:after="120"/>
        <w:jc w:val="both"/>
        <w:rPr>
          <w:rFonts w:ascii="Times New Roman" w:hAnsi="Times New Roman"/>
          <w:b/>
          <w:sz w:val="24"/>
          <w:szCs w:val="24"/>
        </w:rPr>
      </w:pPr>
    </w:p>
    <w:p w:rsidR="006C1141" w:rsidRPr="00F26788" w:rsidRDefault="006C1141" w:rsidP="006C1141">
      <w:pPr>
        <w:widowControl w:val="0"/>
        <w:autoSpaceDE w:val="0"/>
        <w:spacing w:after="120"/>
        <w:jc w:val="both"/>
        <w:rPr>
          <w:rFonts w:ascii="Times New Roman" w:hAnsi="Times New Roman"/>
          <w:b/>
          <w:sz w:val="24"/>
          <w:szCs w:val="24"/>
        </w:rPr>
      </w:pPr>
      <w:r w:rsidRPr="00F26788">
        <w:rPr>
          <w:rFonts w:ascii="Times New Roman" w:hAnsi="Times New Roman"/>
          <w:b/>
          <w:sz w:val="24"/>
          <w:szCs w:val="24"/>
        </w:rPr>
        <w:t>K čl. III:</w:t>
      </w:r>
    </w:p>
    <w:p w:rsidR="006C1141" w:rsidRPr="00F26788" w:rsidRDefault="006C1141" w:rsidP="006C1141">
      <w:pPr>
        <w:jc w:val="both"/>
        <w:rPr>
          <w:rFonts w:ascii="Times New Roman" w:hAnsi="Times New Roman"/>
          <w:sz w:val="24"/>
          <w:szCs w:val="24"/>
        </w:rPr>
      </w:pPr>
      <w:r w:rsidRPr="00F26788">
        <w:rPr>
          <w:rFonts w:ascii="Times New Roman" w:hAnsi="Times New Roman"/>
          <w:sz w:val="24"/>
          <w:szCs w:val="24"/>
          <w:lang w:eastAsia="en-US"/>
        </w:rPr>
        <w:t xml:space="preserve">Nabytí účinnosti zákona se navrhuje dnem 1. ledna 2021, </w:t>
      </w:r>
      <w:r w:rsidRPr="00F26788">
        <w:rPr>
          <w:rFonts w:ascii="Times New Roman" w:hAnsi="Times New Roman"/>
          <w:sz w:val="24"/>
          <w:szCs w:val="24"/>
        </w:rPr>
        <w:t xml:space="preserve">což </w:t>
      </w:r>
      <w:proofErr w:type="spellStart"/>
      <w:r w:rsidRPr="00F26788">
        <w:rPr>
          <w:rFonts w:ascii="Times New Roman" w:hAnsi="Times New Roman"/>
          <w:sz w:val="24"/>
          <w:szCs w:val="24"/>
        </w:rPr>
        <w:t>skýtá</w:t>
      </w:r>
      <w:proofErr w:type="spellEnd"/>
      <w:r w:rsidRPr="00F26788">
        <w:rPr>
          <w:rFonts w:ascii="Times New Roman" w:hAnsi="Times New Roman"/>
          <w:sz w:val="24"/>
          <w:szCs w:val="24"/>
        </w:rPr>
        <w:t xml:space="preserve"> jak dostatečnou dobu </w:t>
      </w:r>
      <w:r w:rsidRPr="00F26788">
        <w:rPr>
          <w:rFonts w:ascii="Times New Roman" w:hAnsi="Times New Roman"/>
          <w:sz w:val="24"/>
          <w:szCs w:val="24"/>
        </w:rPr>
        <w:br/>
        <w:t xml:space="preserve">pro projednání návrhu zákona Parlamentem ČR, tak pro přípravu státního rozpočtu na rok 2021, jenž by měl odrážet již nové poměry.  </w:t>
      </w:r>
    </w:p>
    <w:p w:rsidR="006C1141" w:rsidRPr="00F26788" w:rsidRDefault="006C1141" w:rsidP="006C1141">
      <w:pPr>
        <w:jc w:val="both"/>
        <w:rPr>
          <w:rFonts w:ascii="Times New Roman" w:hAnsi="Times New Roman"/>
          <w:sz w:val="24"/>
          <w:szCs w:val="24"/>
        </w:rPr>
      </w:pPr>
      <w:r w:rsidRPr="00F26788">
        <w:rPr>
          <w:rFonts w:ascii="Times New Roman" w:hAnsi="Times New Roman"/>
          <w:sz w:val="24"/>
          <w:szCs w:val="24"/>
        </w:rPr>
        <w:t xml:space="preserve"> </w:t>
      </w:r>
    </w:p>
    <w:p w:rsidR="006C1141" w:rsidRPr="00F26788" w:rsidRDefault="006C1141" w:rsidP="006C1141">
      <w:pPr>
        <w:jc w:val="both"/>
        <w:rPr>
          <w:rFonts w:ascii="Times New Roman" w:hAnsi="Times New Roman"/>
          <w:sz w:val="24"/>
          <w:szCs w:val="24"/>
        </w:rPr>
      </w:pPr>
      <w:r w:rsidRPr="00F26788">
        <w:rPr>
          <w:rFonts w:ascii="Times New Roman" w:hAnsi="Times New Roman"/>
          <w:sz w:val="24"/>
          <w:szCs w:val="24"/>
        </w:rPr>
        <w:t>V Liberci dne 28.</w:t>
      </w:r>
      <w:r>
        <w:rPr>
          <w:rFonts w:ascii="Times New Roman" w:hAnsi="Times New Roman"/>
          <w:sz w:val="24"/>
          <w:szCs w:val="24"/>
        </w:rPr>
        <w:t xml:space="preserve"> </w:t>
      </w:r>
      <w:r w:rsidRPr="00F26788">
        <w:rPr>
          <w:rFonts w:ascii="Times New Roman" w:hAnsi="Times New Roman"/>
          <w:sz w:val="24"/>
          <w:szCs w:val="24"/>
        </w:rPr>
        <w:t>1.</w:t>
      </w:r>
      <w:r>
        <w:rPr>
          <w:rFonts w:ascii="Times New Roman" w:hAnsi="Times New Roman"/>
          <w:sz w:val="24"/>
          <w:szCs w:val="24"/>
        </w:rPr>
        <w:t xml:space="preserve"> </w:t>
      </w:r>
      <w:r w:rsidRPr="00F26788">
        <w:rPr>
          <w:rFonts w:ascii="Times New Roman" w:hAnsi="Times New Roman"/>
          <w:sz w:val="24"/>
          <w:szCs w:val="24"/>
        </w:rPr>
        <w:t xml:space="preserve">2020 </w:t>
      </w:r>
    </w:p>
    <w:p w:rsidR="006C1141" w:rsidRPr="00F26788" w:rsidRDefault="006C1141" w:rsidP="006C1141">
      <w:pPr>
        <w:widowControl w:val="0"/>
        <w:autoSpaceDE w:val="0"/>
        <w:spacing w:after="120"/>
        <w:jc w:val="both"/>
        <w:rPr>
          <w:rFonts w:ascii="Times New Roman" w:hAnsi="Times New Roman"/>
          <w:b/>
          <w:sz w:val="24"/>
          <w:szCs w:val="24"/>
          <w:lang w:eastAsia="en-US"/>
        </w:rPr>
      </w:pPr>
      <w:r w:rsidRPr="00F26788">
        <w:rPr>
          <w:rFonts w:ascii="Times New Roman" w:hAnsi="Times New Roman"/>
          <w:sz w:val="24"/>
          <w:szCs w:val="24"/>
          <w:lang w:eastAsia="en-US"/>
        </w:rPr>
        <w:tab/>
      </w:r>
      <w:r w:rsidRPr="00F26788">
        <w:rPr>
          <w:rFonts w:ascii="Times New Roman" w:hAnsi="Times New Roman"/>
          <w:b/>
          <w:sz w:val="24"/>
          <w:szCs w:val="24"/>
          <w:lang w:eastAsia="en-US"/>
        </w:rPr>
        <w:tab/>
      </w:r>
      <w:r w:rsidRPr="00F26788">
        <w:rPr>
          <w:rFonts w:ascii="Times New Roman" w:hAnsi="Times New Roman"/>
          <w:b/>
          <w:sz w:val="24"/>
          <w:szCs w:val="24"/>
          <w:lang w:eastAsia="en-US"/>
        </w:rPr>
        <w:tab/>
      </w:r>
      <w:r w:rsidRPr="00F26788">
        <w:rPr>
          <w:rFonts w:ascii="Times New Roman" w:hAnsi="Times New Roman"/>
          <w:b/>
          <w:sz w:val="24"/>
          <w:szCs w:val="24"/>
          <w:lang w:eastAsia="en-US"/>
        </w:rPr>
        <w:tab/>
      </w:r>
      <w:r w:rsidRPr="00F26788">
        <w:rPr>
          <w:rFonts w:ascii="Times New Roman" w:hAnsi="Times New Roman"/>
          <w:b/>
          <w:sz w:val="24"/>
          <w:szCs w:val="24"/>
          <w:lang w:eastAsia="en-US"/>
        </w:rPr>
        <w:tab/>
        <w:t>Martin  P ů t a</w:t>
      </w:r>
      <w:r w:rsidR="00857CE6">
        <w:rPr>
          <w:rFonts w:ascii="Times New Roman" w:hAnsi="Times New Roman"/>
          <w:b/>
          <w:sz w:val="24"/>
          <w:szCs w:val="24"/>
          <w:lang w:eastAsia="en-US"/>
        </w:rPr>
        <w:t xml:space="preserve">  v. r.</w:t>
      </w:r>
      <w:bookmarkStart w:id="0" w:name="_GoBack"/>
      <w:bookmarkEnd w:id="0"/>
    </w:p>
    <w:p w:rsidR="006C1141" w:rsidRPr="00F26788" w:rsidRDefault="006C1141" w:rsidP="006C1141">
      <w:pPr>
        <w:widowControl w:val="0"/>
        <w:autoSpaceDE w:val="0"/>
        <w:spacing w:after="120"/>
        <w:jc w:val="both"/>
        <w:rPr>
          <w:rFonts w:ascii="Times New Roman" w:hAnsi="Times New Roman"/>
          <w:sz w:val="24"/>
          <w:szCs w:val="24"/>
          <w:lang w:eastAsia="en-US"/>
        </w:rPr>
      </w:pPr>
      <w:r w:rsidRPr="00F26788">
        <w:rPr>
          <w:rFonts w:ascii="Times New Roman" w:hAnsi="Times New Roman"/>
          <w:sz w:val="24"/>
          <w:szCs w:val="24"/>
          <w:lang w:eastAsia="en-US"/>
        </w:rPr>
        <w:tab/>
      </w:r>
      <w:r w:rsidRPr="00F26788">
        <w:rPr>
          <w:rFonts w:ascii="Times New Roman" w:hAnsi="Times New Roman"/>
          <w:sz w:val="24"/>
          <w:szCs w:val="24"/>
          <w:lang w:eastAsia="en-US"/>
        </w:rPr>
        <w:tab/>
      </w:r>
      <w:r w:rsidRPr="00F26788">
        <w:rPr>
          <w:rFonts w:ascii="Times New Roman" w:hAnsi="Times New Roman"/>
          <w:sz w:val="24"/>
          <w:szCs w:val="24"/>
          <w:lang w:eastAsia="en-US"/>
        </w:rPr>
        <w:tab/>
      </w:r>
      <w:r w:rsidRPr="00F26788">
        <w:rPr>
          <w:rFonts w:ascii="Times New Roman" w:hAnsi="Times New Roman"/>
          <w:sz w:val="24"/>
          <w:szCs w:val="24"/>
          <w:lang w:eastAsia="en-US"/>
        </w:rPr>
        <w:tab/>
      </w:r>
      <w:r w:rsidRPr="00F26788">
        <w:rPr>
          <w:rFonts w:ascii="Times New Roman" w:hAnsi="Times New Roman"/>
          <w:sz w:val="24"/>
          <w:szCs w:val="24"/>
          <w:lang w:eastAsia="en-US"/>
        </w:rPr>
        <w:tab/>
        <w:t>hejtman Libereckého kraje</w:t>
      </w:r>
    </w:p>
    <w:p w:rsidR="006C1141" w:rsidRPr="00F26788" w:rsidRDefault="006C1141" w:rsidP="006C1141">
      <w:pPr>
        <w:widowControl w:val="0"/>
        <w:autoSpaceDE w:val="0"/>
        <w:spacing w:after="120"/>
        <w:ind w:firstLine="708"/>
        <w:jc w:val="both"/>
        <w:rPr>
          <w:rFonts w:ascii="Times New Roman" w:hAnsi="Times New Roman"/>
          <w:sz w:val="24"/>
          <w:szCs w:val="24"/>
          <w:lang w:eastAsia="en-US"/>
        </w:rPr>
      </w:pPr>
    </w:p>
    <w:p w:rsidR="006C1141" w:rsidRPr="00F26788" w:rsidRDefault="006C1141" w:rsidP="006C1141">
      <w:pPr>
        <w:autoSpaceDE w:val="0"/>
        <w:autoSpaceDN w:val="0"/>
        <w:adjustRightInd w:val="0"/>
        <w:spacing w:after="0" w:line="240" w:lineRule="auto"/>
        <w:ind w:firstLine="708"/>
        <w:rPr>
          <w:rFonts w:ascii="Times New Roman" w:hAnsi="Times New Roman"/>
          <w:sz w:val="24"/>
          <w:szCs w:val="24"/>
          <w:lang w:eastAsia="en-US"/>
        </w:rPr>
      </w:pPr>
    </w:p>
    <w:p w:rsidR="006C1141" w:rsidRPr="00F26788" w:rsidRDefault="006C1141" w:rsidP="006C1141">
      <w:pPr>
        <w:widowControl w:val="0"/>
        <w:autoSpaceDE w:val="0"/>
        <w:spacing w:after="120"/>
        <w:ind w:firstLine="708"/>
        <w:jc w:val="both"/>
        <w:rPr>
          <w:rFonts w:ascii="Times New Roman" w:hAnsi="Times New Roman"/>
          <w:sz w:val="24"/>
          <w:szCs w:val="24"/>
          <w:lang w:eastAsia="en-US"/>
        </w:rPr>
      </w:pPr>
    </w:p>
    <w:p w:rsidR="006C1141" w:rsidRPr="00F26788" w:rsidRDefault="006C1141" w:rsidP="006C1141">
      <w:pPr>
        <w:widowControl w:val="0"/>
        <w:autoSpaceDE w:val="0"/>
        <w:spacing w:after="120"/>
        <w:ind w:firstLine="708"/>
        <w:jc w:val="both"/>
        <w:rPr>
          <w:rFonts w:ascii="Times New Roman" w:hAnsi="Times New Roman"/>
          <w:sz w:val="24"/>
          <w:szCs w:val="24"/>
          <w:lang w:eastAsia="en-US"/>
        </w:rPr>
      </w:pPr>
    </w:p>
    <w:p w:rsidR="006C1141" w:rsidRPr="00F26788" w:rsidRDefault="006C1141" w:rsidP="006C1141">
      <w:pPr>
        <w:widowControl w:val="0"/>
        <w:autoSpaceDE w:val="0"/>
        <w:spacing w:after="120"/>
        <w:ind w:firstLine="708"/>
        <w:jc w:val="both"/>
        <w:rPr>
          <w:rFonts w:ascii="Times New Roman" w:hAnsi="Times New Roman"/>
          <w:sz w:val="24"/>
          <w:szCs w:val="24"/>
          <w:lang w:eastAsia="en-US"/>
        </w:rPr>
      </w:pPr>
    </w:p>
    <w:p w:rsidR="006C1141" w:rsidRPr="00F26788" w:rsidRDefault="006C1141" w:rsidP="006C1141">
      <w:pPr>
        <w:widowControl w:val="0"/>
        <w:autoSpaceDE w:val="0"/>
        <w:spacing w:after="120"/>
        <w:ind w:firstLine="708"/>
        <w:jc w:val="both"/>
        <w:rPr>
          <w:rFonts w:ascii="Times New Roman" w:hAnsi="Times New Roman"/>
          <w:sz w:val="24"/>
          <w:szCs w:val="24"/>
          <w:lang w:eastAsia="en-US"/>
        </w:rPr>
      </w:pPr>
    </w:p>
    <w:p w:rsidR="0029042E" w:rsidRDefault="0029042E" w:rsidP="006C1141"/>
    <w:sectPr w:rsidR="002904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463D9"/>
    <w:multiLevelType w:val="hybridMultilevel"/>
    <w:tmpl w:val="3A6A51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86F39F2"/>
    <w:multiLevelType w:val="hybridMultilevel"/>
    <w:tmpl w:val="5E9CEFE2"/>
    <w:lvl w:ilvl="0" w:tplc="04050011">
      <w:start w:val="1"/>
      <w:numFmt w:val="decimal"/>
      <w:lvlText w:val="%1)"/>
      <w:lvlJc w:val="left"/>
      <w:pPr>
        <w:ind w:left="720" w:hanging="360"/>
      </w:pPr>
    </w:lvl>
    <w:lvl w:ilvl="1" w:tplc="AAAE708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6706DF94">
      <w:start w:val="1"/>
      <w:numFmt w:val="lowerLetter"/>
      <w:lvlText w:val="%4)"/>
      <w:lvlJc w:val="left"/>
      <w:pPr>
        <w:ind w:left="2880" w:hanging="360"/>
      </w:pPr>
      <w:rPr>
        <w:rFonts w:ascii="Times New Roman" w:eastAsia="Calibri" w:hAnsi="Times New Roman"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C3C001B"/>
    <w:multiLevelType w:val="hybridMultilevel"/>
    <w:tmpl w:val="692ACC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141"/>
    <w:rsid w:val="0029042E"/>
    <w:rsid w:val="002B7A44"/>
    <w:rsid w:val="006C1141"/>
    <w:rsid w:val="00857C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5E6CD"/>
  <w15:chartTrackingRefBased/>
  <w15:docId w15:val="{9C26CC38-5F9E-4F76-BA66-DE6B830D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1141"/>
    <w:pPr>
      <w:spacing w:after="200" w:line="276" w:lineRule="auto"/>
    </w:pPr>
    <w:rPr>
      <w:rFonts w:ascii="Calibri" w:eastAsia="Calibri" w:hAnsi="Calibri"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qFormat/>
    <w:rsid w:val="006C1141"/>
    <w:pPr>
      <w:spacing w:line="240" w:lineRule="auto"/>
      <w:jc w:val="center"/>
    </w:pPr>
    <w:rPr>
      <w:rFonts w:ascii="Calibri" w:eastAsia="Calibri" w:hAnsi="Calibri" w:cs="Times New Roman"/>
    </w:rPr>
  </w:style>
  <w:style w:type="paragraph" w:styleId="Odstavecseseznamem">
    <w:name w:val="List Paragraph"/>
    <w:basedOn w:val="Normln"/>
    <w:qFormat/>
    <w:rsid w:val="006C1141"/>
    <w:pPr>
      <w:spacing w:after="160" w:line="240" w:lineRule="auto"/>
      <w:ind w:left="720"/>
      <w:contextualSpacing/>
      <w:jc w:val="center"/>
    </w:pPr>
    <w:rPr>
      <w:rFonts w:ascii="Times New Roman" w:hAnsi="Times New Roman"/>
      <w:sz w:val="24"/>
      <w:szCs w:val="24"/>
      <w:lang w:eastAsia="en-US"/>
    </w:rPr>
  </w:style>
  <w:style w:type="paragraph" w:customStyle="1" w:styleId="l3">
    <w:name w:val="l3"/>
    <w:basedOn w:val="Normln"/>
    <w:rsid w:val="006C1141"/>
    <w:pPr>
      <w:spacing w:before="100" w:beforeAutospacing="1" w:after="100" w:afterAutospacing="1" w:line="240" w:lineRule="auto"/>
    </w:pPr>
    <w:rPr>
      <w:rFonts w:ascii="Times New Roman" w:eastAsia="Times New Roman" w:hAnsi="Times New Roman"/>
      <w:sz w:val="24"/>
      <w:szCs w:val="24"/>
    </w:rPr>
  </w:style>
  <w:style w:type="paragraph" w:customStyle="1" w:styleId="l2">
    <w:name w:val="l2"/>
    <w:basedOn w:val="Normln"/>
    <w:rsid w:val="006C114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2058</Words>
  <Characters>12145</Characters>
  <Application>Microsoft Office Word</Application>
  <DocSecurity>4</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Krajský úřad Libereckého kraje</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Fričová Lenka</dc:creator>
  <cp:keywords/>
  <dc:description/>
  <cp:lastModifiedBy>Fričová Lenka</cp:lastModifiedBy>
  <cp:revision>2</cp:revision>
  <dcterms:created xsi:type="dcterms:W3CDTF">2020-02-06T11:03:00Z</dcterms:created>
  <dcterms:modified xsi:type="dcterms:W3CDTF">2020-02-06T11:03:00Z</dcterms:modified>
</cp:coreProperties>
</file>