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3D5" w:rsidRPr="00F26788" w:rsidRDefault="001843D5" w:rsidP="001843D5">
      <w:pPr>
        <w:widowControl w:val="0"/>
        <w:autoSpaceDE w:val="0"/>
        <w:spacing w:after="120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F26788">
        <w:rPr>
          <w:rFonts w:ascii="Times New Roman" w:hAnsi="Times New Roman"/>
          <w:b/>
          <w:sz w:val="24"/>
          <w:szCs w:val="24"/>
        </w:rPr>
        <w:t>Text dotčeného ustanovení zákona č. 243/2000 Sb., v platném znění s vyznačením navrhovaných změn</w:t>
      </w:r>
    </w:p>
    <w:p w:rsidR="001843D5" w:rsidRPr="00F26788" w:rsidRDefault="001843D5" w:rsidP="001843D5">
      <w:pPr>
        <w:widowControl w:val="0"/>
        <w:autoSpaceDE w:val="0"/>
        <w:spacing w:after="120"/>
        <w:ind w:firstLine="708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1843D5" w:rsidRPr="00F26788" w:rsidRDefault="001843D5" w:rsidP="001843D5">
      <w:pPr>
        <w:pStyle w:val="para"/>
        <w:shd w:val="clear" w:color="auto" w:fill="FFFFFF"/>
        <w:spacing w:before="0" w:beforeAutospacing="0" w:after="0" w:afterAutospacing="0" w:line="264" w:lineRule="atLeast"/>
        <w:jc w:val="center"/>
        <w:rPr>
          <w:bCs/>
        </w:rPr>
      </w:pPr>
      <w:r w:rsidRPr="00F26788">
        <w:rPr>
          <w:bCs/>
        </w:rPr>
        <w:t>§ 3</w:t>
      </w:r>
    </w:p>
    <w:p w:rsidR="001843D5" w:rsidRPr="00F26788" w:rsidRDefault="001843D5" w:rsidP="001843D5">
      <w:pPr>
        <w:pStyle w:val="Nadpis3"/>
        <w:shd w:val="clear" w:color="auto" w:fill="FFFFFF"/>
        <w:spacing w:before="0" w:after="0" w:line="330" w:lineRule="atLeast"/>
        <w:jc w:val="center"/>
        <w:rPr>
          <w:rFonts w:ascii="Times New Roman" w:hAnsi="Times New Roman"/>
          <w:b w:val="0"/>
          <w:sz w:val="24"/>
          <w:szCs w:val="24"/>
        </w:rPr>
      </w:pPr>
      <w:r w:rsidRPr="00F26788">
        <w:rPr>
          <w:rFonts w:ascii="Times New Roman" w:hAnsi="Times New Roman"/>
          <w:b w:val="0"/>
          <w:sz w:val="24"/>
          <w:szCs w:val="24"/>
        </w:rPr>
        <w:t>Daňové příjmy rozpočtů krajů</w:t>
      </w:r>
    </w:p>
    <w:p w:rsidR="001843D5" w:rsidRPr="00F26788" w:rsidRDefault="001843D5" w:rsidP="001843D5">
      <w:pPr>
        <w:pStyle w:val="l2"/>
        <w:shd w:val="clear" w:color="auto" w:fill="FFFFFF"/>
        <w:spacing w:before="0" w:beforeAutospacing="0" w:after="0" w:afterAutospacing="0" w:line="264" w:lineRule="atLeast"/>
        <w:jc w:val="both"/>
        <w:rPr>
          <w:rStyle w:val="PromnnHTML"/>
          <w:rFonts w:eastAsia="Arial Unicode MS"/>
          <w:bCs/>
          <w:i w:val="0"/>
          <w:iCs w:val="0"/>
        </w:rPr>
      </w:pPr>
    </w:p>
    <w:p w:rsidR="001843D5" w:rsidRPr="00F26788" w:rsidRDefault="001843D5" w:rsidP="001843D5">
      <w:pPr>
        <w:pStyle w:val="l2"/>
        <w:shd w:val="clear" w:color="auto" w:fill="FFFFFF"/>
        <w:spacing w:before="0" w:beforeAutospacing="0" w:after="0" w:afterAutospacing="0" w:line="264" w:lineRule="atLeast"/>
        <w:jc w:val="both"/>
      </w:pPr>
      <w:r w:rsidRPr="00F26788">
        <w:rPr>
          <w:rStyle w:val="PromnnHTML"/>
          <w:rFonts w:eastAsia="Arial Unicode MS"/>
          <w:i w:val="0"/>
        </w:rPr>
        <w:t>(1)</w:t>
      </w:r>
      <w:r w:rsidRPr="00F26788">
        <w:t> Daňové příjmy rozpočtů jednotlivých krajů tvoří</w:t>
      </w:r>
    </w:p>
    <w:p w:rsidR="001843D5" w:rsidRPr="00F26788" w:rsidRDefault="001843D5" w:rsidP="001843D5">
      <w:pPr>
        <w:pStyle w:val="l3"/>
        <w:shd w:val="clear" w:color="auto" w:fill="FFFFFF"/>
        <w:spacing w:before="0" w:beforeAutospacing="0" w:after="0" w:afterAutospacing="0" w:line="264" w:lineRule="atLeast"/>
        <w:jc w:val="both"/>
      </w:pPr>
      <w:r w:rsidRPr="00F26788">
        <w:rPr>
          <w:rStyle w:val="PromnnHTML"/>
          <w:rFonts w:eastAsia="Arial Unicode MS"/>
          <w:i w:val="0"/>
        </w:rPr>
        <w:t>a)</w:t>
      </w:r>
      <w:r w:rsidRPr="00F26788">
        <w:t> daň z příjmů právnických osob v případech, kdy poplatníkem je příslušný kraj, s výjimkou daně vybírané srážkou podle zvláštní sazby,</w:t>
      </w:r>
    </w:p>
    <w:p w:rsidR="001843D5" w:rsidRPr="00F26788" w:rsidRDefault="001843D5" w:rsidP="001843D5">
      <w:pPr>
        <w:pStyle w:val="l3"/>
        <w:shd w:val="clear" w:color="auto" w:fill="FFFFFF"/>
        <w:spacing w:before="0" w:beforeAutospacing="0" w:after="0" w:afterAutospacing="0" w:line="264" w:lineRule="atLeast"/>
        <w:jc w:val="both"/>
      </w:pPr>
      <w:r w:rsidRPr="00F26788">
        <w:rPr>
          <w:rStyle w:val="PromnnHTML"/>
          <w:rFonts w:eastAsia="Arial Unicode MS"/>
          <w:i w:val="0"/>
        </w:rPr>
        <w:t>b)</w:t>
      </w:r>
      <w:r w:rsidRPr="00F26788">
        <w:t> podíl na 8,92 % z celostátního hrubého výnosu daně z přidané hodnoty,</w:t>
      </w:r>
    </w:p>
    <w:p w:rsidR="001843D5" w:rsidRPr="00F26788" w:rsidRDefault="001843D5" w:rsidP="001843D5">
      <w:pPr>
        <w:pStyle w:val="l3"/>
        <w:shd w:val="clear" w:color="auto" w:fill="FFFFFF"/>
        <w:spacing w:before="0" w:beforeAutospacing="0" w:after="0" w:afterAutospacing="0" w:line="264" w:lineRule="atLeast"/>
        <w:jc w:val="both"/>
      </w:pPr>
      <w:r w:rsidRPr="00F26788">
        <w:rPr>
          <w:rStyle w:val="PromnnHTML"/>
          <w:rFonts w:eastAsia="Arial Unicode MS"/>
          <w:i w:val="0"/>
        </w:rPr>
        <w:t>c)</w:t>
      </w:r>
      <w:r w:rsidRPr="00F26788">
        <w:t xml:space="preserve"> podíl na 8,92 % z celostátního hrubého výnosu daně (záloh na daň) z příjmů fyzických osob ze závislé činnosti, odváděné zaměstnavatelem jako plátcem daně, s výjimkou daně </w:t>
      </w:r>
      <w:r w:rsidRPr="00F26788">
        <w:br/>
        <w:t>z příjmů fyzických osob vybírané srážkou podle zvláštní sazby,</w:t>
      </w:r>
    </w:p>
    <w:p w:rsidR="001843D5" w:rsidRPr="00F26788" w:rsidRDefault="001843D5" w:rsidP="001843D5">
      <w:pPr>
        <w:pStyle w:val="l3"/>
        <w:shd w:val="clear" w:color="auto" w:fill="FFFFFF"/>
        <w:spacing w:before="0" w:beforeAutospacing="0" w:after="0" w:afterAutospacing="0" w:line="264" w:lineRule="atLeast"/>
        <w:jc w:val="both"/>
      </w:pPr>
      <w:r w:rsidRPr="00F26788">
        <w:rPr>
          <w:rStyle w:val="PromnnHTML"/>
          <w:rFonts w:eastAsia="Arial Unicode MS"/>
          <w:i w:val="0"/>
        </w:rPr>
        <w:t>d)</w:t>
      </w:r>
      <w:r w:rsidRPr="00F26788">
        <w:t> podíl na 8,92 % z celostátního hrubého výnosu daně z příjmů fyzických osob vybírané srážkou podle zvláštní sazby,</w:t>
      </w:r>
    </w:p>
    <w:p w:rsidR="001843D5" w:rsidRPr="00F26788" w:rsidRDefault="001843D5" w:rsidP="001843D5">
      <w:pPr>
        <w:pStyle w:val="l3"/>
        <w:shd w:val="clear" w:color="auto" w:fill="FFFFFF"/>
        <w:spacing w:before="0" w:beforeAutospacing="0" w:after="0" w:afterAutospacing="0" w:line="264" w:lineRule="atLeast"/>
        <w:jc w:val="both"/>
      </w:pPr>
      <w:r w:rsidRPr="00F26788">
        <w:rPr>
          <w:rStyle w:val="PromnnHTML"/>
          <w:rFonts w:eastAsia="Arial Unicode MS"/>
          <w:i w:val="0"/>
        </w:rPr>
        <w:t>e)</w:t>
      </w:r>
      <w:r w:rsidRPr="00F26788">
        <w:t> podíl na 8,92 % z 60 % z celostátního hrubého výnosu daně (záloh na daň) z příjmů fyzických osob sníženého o výnosy uvedené v písmenech c) a d),</w:t>
      </w:r>
    </w:p>
    <w:p w:rsidR="001843D5" w:rsidRPr="00F26788" w:rsidRDefault="001843D5" w:rsidP="001843D5">
      <w:pPr>
        <w:pStyle w:val="l3"/>
        <w:shd w:val="clear" w:color="auto" w:fill="FFFFFF"/>
        <w:spacing w:before="0" w:beforeAutospacing="0" w:after="0" w:afterAutospacing="0" w:line="264" w:lineRule="atLeast"/>
        <w:jc w:val="both"/>
        <w:rPr>
          <w:strike/>
        </w:rPr>
      </w:pPr>
      <w:r w:rsidRPr="00F26788">
        <w:rPr>
          <w:rStyle w:val="PromnnHTML"/>
          <w:rFonts w:eastAsia="Arial Unicode MS"/>
          <w:i w:val="0"/>
        </w:rPr>
        <w:t>f)</w:t>
      </w:r>
      <w:r w:rsidRPr="00F26788">
        <w:t> podíl na 8,92 % z celostátního hrubého výnosu daně z příjmů právnických osob, s výjimkou výnosů uvedených v písmenu a) a v § 4 odst. 1 písm. g)</w:t>
      </w:r>
      <w:r w:rsidRPr="00F26788">
        <w:rPr>
          <w:b/>
        </w:rPr>
        <w:t>,</w:t>
      </w:r>
    </w:p>
    <w:p w:rsidR="001843D5" w:rsidRPr="00F26788" w:rsidRDefault="001843D5" w:rsidP="001843D5">
      <w:pPr>
        <w:pStyle w:val="l3"/>
        <w:shd w:val="clear" w:color="auto" w:fill="FFFFFF"/>
        <w:spacing w:before="0" w:beforeAutospacing="0" w:after="0" w:afterAutospacing="0" w:line="264" w:lineRule="atLeast"/>
        <w:jc w:val="both"/>
        <w:rPr>
          <w:b/>
        </w:rPr>
      </w:pPr>
      <w:r w:rsidRPr="00F26788">
        <w:rPr>
          <w:b/>
        </w:rPr>
        <w:t>g) podíl na 8,92 % z celostátního hrubého výnosu daně silniční,</w:t>
      </w:r>
    </w:p>
    <w:p w:rsidR="001843D5" w:rsidRPr="00F26788" w:rsidRDefault="001843D5" w:rsidP="001843D5">
      <w:pPr>
        <w:pStyle w:val="l3"/>
        <w:shd w:val="clear" w:color="auto" w:fill="FFFFFF"/>
        <w:spacing w:before="0" w:beforeAutospacing="0" w:after="0" w:afterAutospacing="0" w:line="264" w:lineRule="atLeast"/>
        <w:jc w:val="both"/>
        <w:rPr>
          <w:b/>
        </w:rPr>
      </w:pPr>
      <w:r w:rsidRPr="00F26788">
        <w:rPr>
          <w:b/>
        </w:rPr>
        <w:t xml:space="preserve">h) podíl na 8,92% </w:t>
      </w:r>
      <w:r>
        <w:rPr>
          <w:b/>
        </w:rPr>
        <w:t xml:space="preserve">z </w:t>
      </w:r>
      <w:r w:rsidRPr="00F26788">
        <w:rPr>
          <w:b/>
        </w:rPr>
        <w:t>celostátního hrubého výnosu spotřební daně z minerálních olejů.</w:t>
      </w:r>
    </w:p>
    <w:p w:rsidR="001843D5" w:rsidRPr="00F26788" w:rsidRDefault="001843D5" w:rsidP="001843D5">
      <w:pPr>
        <w:pStyle w:val="l3"/>
        <w:shd w:val="clear" w:color="auto" w:fill="FFFFFF"/>
        <w:spacing w:before="0" w:beforeAutospacing="0" w:after="0" w:afterAutospacing="0" w:line="264" w:lineRule="atLeast"/>
        <w:jc w:val="both"/>
        <w:rPr>
          <w:b/>
        </w:rPr>
      </w:pPr>
    </w:p>
    <w:p w:rsidR="001843D5" w:rsidRPr="00F26788" w:rsidRDefault="001843D5" w:rsidP="001843D5">
      <w:pPr>
        <w:pStyle w:val="l3"/>
        <w:shd w:val="clear" w:color="auto" w:fill="FFFFFF"/>
        <w:spacing w:before="0" w:beforeAutospacing="0" w:after="0" w:afterAutospacing="0" w:line="264" w:lineRule="atLeast"/>
        <w:jc w:val="both"/>
      </w:pPr>
    </w:p>
    <w:p w:rsidR="001843D5" w:rsidRPr="00F26788" w:rsidRDefault="001843D5" w:rsidP="001843D5">
      <w:pPr>
        <w:pStyle w:val="l3"/>
        <w:shd w:val="clear" w:color="auto" w:fill="FFFFFF"/>
        <w:spacing w:before="0" w:beforeAutospacing="0" w:after="0" w:afterAutospacing="0" w:line="264" w:lineRule="atLeast"/>
        <w:jc w:val="both"/>
      </w:pPr>
    </w:p>
    <w:p w:rsidR="001843D5" w:rsidRPr="00F26788" w:rsidRDefault="001843D5" w:rsidP="001843D5">
      <w:pPr>
        <w:shd w:val="clear" w:color="auto" w:fill="FFFFFF"/>
        <w:spacing w:after="0" w:line="264" w:lineRule="atLeast"/>
        <w:jc w:val="both"/>
        <w:rPr>
          <w:rFonts w:ascii="Times New Roman" w:hAnsi="Times New Roman"/>
          <w:sz w:val="24"/>
          <w:szCs w:val="24"/>
        </w:rPr>
      </w:pPr>
      <w:r w:rsidRPr="00F26788">
        <w:rPr>
          <w:rStyle w:val="PromnnHTML"/>
          <w:rFonts w:ascii="Times New Roman" w:hAnsi="Times New Roman"/>
          <w:i w:val="0"/>
          <w:sz w:val="24"/>
          <w:szCs w:val="24"/>
        </w:rPr>
        <w:t>(2)</w:t>
      </w:r>
      <w:r w:rsidRPr="00F26788">
        <w:rPr>
          <w:rFonts w:ascii="Times New Roman" w:hAnsi="Times New Roman"/>
          <w:sz w:val="24"/>
          <w:szCs w:val="24"/>
        </w:rPr>
        <w:t> </w:t>
      </w:r>
      <w:r w:rsidRPr="00F26788">
        <w:rPr>
          <w:rFonts w:ascii="Times New Roman" w:hAnsi="Times New Roman"/>
          <w:strike/>
          <w:sz w:val="24"/>
          <w:szCs w:val="24"/>
        </w:rPr>
        <w:t>Každý kraj se na procentní části celostátního hrubého výnosu daně podle odstavce 1 písm. b) až f) podílí</w:t>
      </w:r>
      <w:r w:rsidRPr="00F26788">
        <w:rPr>
          <w:rFonts w:ascii="Times New Roman" w:hAnsi="Times New Roman"/>
          <w:sz w:val="24"/>
          <w:szCs w:val="24"/>
        </w:rPr>
        <w:t xml:space="preserve"> </w:t>
      </w:r>
      <w:r w:rsidRPr="00F26788">
        <w:rPr>
          <w:rFonts w:ascii="Times New Roman" w:hAnsi="Times New Roman"/>
          <w:strike/>
          <w:sz w:val="24"/>
          <w:szCs w:val="24"/>
        </w:rPr>
        <w:t>procentem stanoveným v příloze č. 1 k tomuto zákonu.</w:t>
      </w:r>
      <w:r w:rsidRPr="00F26788">
        <w:rPr>
          <w:rFonts w:ascii="Times New Roman" w:hAnsi="Times New Roman"/>
          <w:sz w:val="24"/>
          <w:szCs w:val="24"/>
        </w:rPr>
        <w:t xml:space="preserve"> </w:t>
      </w:r>
      <w:r w:rsidRPr="00F26788">
        <w:rPr>
          <w:rFonts w:ascii="Times New Roman" w:hAnsi="Times New Roman"/>
          <w:b/>
          <w:sz w:val="24"/>
          <w:szCs w:val="24"/>
        </w:rPr>
        <w:t>Z procentní části celostátního hrubého výnosu daně podle odstavce 1 písm. b) až h) přísluší</w:t>
      </w:r>
      <w:r w:rsidRPr="00F26788">
        <w:rPr>
          <w:rFonts w:ascii="Times New Roman" w:hAnsi="Times New Roman"/>
          <w:sz w:val="24"/>
          <w:szCs w:val="24"/>
        </w:rPr>
        <w:t xml:space="preserve"> </w:t>
      </w:r>
    </w:p>
    <w:p w:rsidR="001843D5" w:rsidRPr="00F26788" w:rsidRDefault="001843D5" w:rsidP="001843D5">
      <w:pPr>
        <w:pStyle w:val="Odstavecseseznamem"/>
        <w:numPr>
          <w:ilvl w:val="0"/>
          <w:numId w:val="1"/>
        </w:numPr>
        <w:shd w:val="clear" w:color="auto" w:fill="FFFFFF"/>
        <w:spacing w:after="0" w:line="264" w:lineRule="atLeast"/>
        <w:ind w:left="993"/>
        <w:jc w:val="both"/>
        <w:rPr>
          <w:rFonts w:eastAsia="Times New Roman"/>
          <w:b/>
          <w:lang w:eastAsia="cs-CZ"/>
        </w:rPr>
      </w:pPr>
      <w:r w:rsidRPr="00F26788">
        <w:rPr>
          <w:rFonts w:eastAsia="Times New Roman"/>
          <w:b/>
          <w:lang w:eastAsia="cs-CZ"/>
        </w:rPr>
        <w:t xml:space="preserve">Hlavnímu městu Praze </w:t>
      </w:r>
      <w:r w:rsidRPr="00F26788">
        <w:rPr>
          <w:b/>
          <w:shd w:val="clear" w:color="auto" w:fill="FFFFFF"/>
        </w:rPr>
        <w:t xml:space="preserve">3,183684 </w:t>
      </w:r>
      <w:r w:rsidRPr="00F26788">
        <w:rPr>
          <w:rFonts w:eastAsia="Times New Roman"/>
          <w:b/>
          <w:lang w:eastAsia="cs-CZ"/>
        </w:rPr>
        <w:t>%,</w:t>
      </w:r>
    </w:p>
    <w:p w:rsidR="001843D5" w:rsidRPr="00F26788" w:rsidRDefault="001843D5" w:rsidP="001843D5">
      <w:pPr>
        <w:pStyle w:val="Odstavecseseznamem"/>
        <w:numPr>
          <w:ilvl w:val="0"/>
          <w:numId w:val="1"/>
        </w:numPr>
        <w:shd w:val="clear" w:color="auto" w:fill="FFFFFF"/>
        <w:spacing w:after="0" w:line="264" w:lineRule="atLeast"/>
        <w:ind w:left="993"/>
        <w:jc w:val="both"/>
        <w:rPr>
          <w:rFonts w:eastAsia="Times New Roman"/>
          <w:b/>
          <w:lang w:eastAsia="cs-CZ"/>
        </w:rPr>
      </w:pPr>
      <w:r w:rsidRPr="00F26788">
        <w:rPr>
          <w:rFonts w:eastAsia="Times New Roman"/>
          <w:b/>
          <w:lang w:eastAsia="cs-CZ"/>
        </w:rPr>
        <w:t xml:space="preserve">každému kraji s výjimkou Hlavního města Prahy jedna třináctina z 10 procent procentní části </w:t>
      </w:r>
      <w:r w:rsidRPr="00F26788">
        <w:rPr>
          <w:rFonts w:eastAsia="Times New Roman"/>
          <w:b/>
        </w:rPr>
        <w:t>celostátního hrubého výnosu daně podle odstavce 1 písm. b) až h)</w:t>
      </w:r>
      <w:r>
        <w:rPr>
          <w:rFonts w:eastAsia="Times New Roman"/>
          <w:b/>
        </w:rPr>
        <w:t xml:space="preserve"> </w:t>
      </w:r>
      <w:r w:rsidRPr="00297199">
        <w:rPr>
          <w:rFonts w:eastAsia="Times New Roman"/>
          <w:b/>
        </w:rPr>
        <w:t>sníženého o podíl v písm. a)</w:t>
      </w:r>
      <w:r w:rsidRPr="00F26788">
        <w:rPr>
          <w:rFonts w:eastAsia="Times New Roman"/>
          <w:b/>
          <w:lang w:eastAsia="cs-CZ"/>
        </w:rPr>
        <w:t xml:space="preserve">, </w:t>
      </w:r>
    </w:p>
    <w:p w:rsidR="001843D5" w:rsidRPr="00F26788" w:rsidRDefault="001843D5" w:rsidP="001843D5">
      <w:pPr>
        <w:pStyle w:val="Odstavecseseznamem"/>
        <w:numPr>
          <w:ilvl w:val="0"/>
          <w:numId w:val="1"/>
        </w:numPr>
        <w:shd w:val="clear" w:color="auto" w:fill="FFFFFF"/>
        <w:spacing w:after="0" w:line="264" w:lineRule="atLeast"/>
        <w:ind w:left="993"/>
        <w:jc w:val="both"/>
        <w:rPr>
          <w:rFonts w:eastAsia="Times New Roman"/>
          <w:b/>
          <w:lang w:eastAsia="cs-CZ"/>
        </w:rPr>
      </w:pPr>
      <w:r w:rsidRPr="00F26788">
        <w:rPr>
          <w:rFonts w:eastAsia="Times New Roman"/>
          <w:b/>
          <w:lang w:eastAsia="cs-CZ"/>
        </w:rPr>
        <w:t xml:space="preserve">po odečtení podílu Hlavního města Prahy podle písm. a) a odečtení podílu podle písm. b) se procento, jimž se ostatní kraje s výjimkou Hlavního města Prahy podílejí na výnosu daně, vypočte jako součet </w:t>
      </w:r>
    </w:p>
    <w:p w:rsidR="001843D5" w:rsidRPr="00F26788" w:rsidRDefault="001843D5" w:rsidP="001843D5">
      <w:pPr>
        <w:pStyle w:val="l3"/>
        <w:shd w:val="clear" w:color="auto" w:fill="FFFFFF"/>
        <w:spacing w:before="0" w:beforeAutospacing="0" w:after="0" w:afterAutospacing="0" w:line="264" w:lineRule="atLeast"/>
        <w:ind w:left="709"/>
        <w:jc w:val="both"/>
        <w:rPr>
          <w:b/>
        </w:rPr>
      </w:pPr>
      <w:r w:rsidRPr="00F26788">
        <w:rPr>
          <w:b/>
        </w:rPr>
        <w:t>1. poměru počtu obyvatel kraje k počtu obyvatel všech krajů s výjimkou Hlavního města Prahy vyjádřeného v procentech a násobeného koeficientem 0,60,</w:t>
      </w:r>
    </w:p>
    <w:p w:rsidR="001843D5" w:rsidRPr="00F26788" w:rsidRDefault="001843D5" w:rsidP="001843D5">
      <w:pPr>
        <w:pStyle w:val="l3"/>
        <w:shd w:val="clear" w:color="auto" w:fill="FFFFFF"/>
        <w:spacing w:before="0" w:beforeAutospacing="0" w:after="0" w:afterAutospacing="0" w:line="264" w:lineRule="atLeast"/>
        <w:ind w:left="709"/>
        <w:jc w:val="both"/>
        <w:rPr>
          <w:b/>
          <w:lang w:eastAsia="en-US"/>
        </w:rPr>
      </w:pPr>
      <w:r w:rsidRPr="00F26788">
        <w:rPr>
          <w:b/>
        </w:rPr>
        <w:t>2. poměru součtu délky všech silnic II. třídy a III. třídy kraje vyjádřené v kilometrech k součtu délky všech silnic II. třídy a III. třídy všech krajů s výjimkou Hlavního města Prahy vyjádřené v kilometrech vyjádřeného v procentech a násobeného koeficientem 0,40.</w:t>
      </w:r>
      <w:r w:rsidRPr="00F26788">
        <w:rPr>
          <w:b/>
          <w:lang w:eastAsia="en-US"/>
        </w:rPr>
        <w:t xml:space="preserve"> </w:t>
      </w:r>
    </w:p>
    <w:p w:rsidR="001843D5" w:rsidRPr="00F26788" w:rsidRDefault="001843D5" w:rsidP="001843D5">
      <w:pPr>
        <w:shd w:val="clear" w:color="auto" w:fill="FFFFFF"/>
        <w:spacing w:after="0" w:line="264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1843D5" w:rsidRPr="00F26788" w:rsidRDefault="001843D5" w:rsidP="001843D5">
      <w:pPr>
        <w:pStyle w:val="l2"/>
        <w:shd w:val="clear" w:color="auto" w:fill="FFFFFF"/>
        <w:tabs>
          <w:tab w:val="left" w:pos="1276"/>
        </w:tabs>
        <w:spacing w:before="0" w:beforeAutospacing="0" w:after="0" w:afterAutospacing="0" w:line="264" w:lineRule="atLeast"/>
        <w:ind w:left="1276" w:hanging="283"/>
        <w:jc w:val="both"/>
        <w:rPr>
          <w:rFonts w:eastAsia="Arial Unicode MS"/>
        </w:rPr>
      </w:pPr>
    </w:p>
    <w:p w:rsidR="001843D5" w:rsidRPr="00F26788" w:rsidRDefault="001843D5" w:rsidP="001843D5">
      <w:pPr>
        <w:pStyle w:val="l2"/>
        <w:shd w:val="clear" w:color="auto" w:fill="FFFFFF"/>
        <w:spacing w:before="0" w:beforeAutospacing="0" w:after="0" w:afterAutospacing="0" w:line="264" w:lineRule="atLeast"/>
        <w:jc w:val="both"/>
      </w:pPr>
      <w:r w:rsidRPr="00F26788">
        <w:rPr>
          <w:rStyle w:val="PromnnHTML"/>
          <w:rFonts w:eastAsia="Arial Unicode MS"/>
          <w:i w:val="0"/>
        </w:rPr>
        <w:t>(3)</w:t>
      </w:r>
      <w:r w:rsidRPr="00F26788">
        <w:t> Součástí daňového příjmu podle odstavce 1 písm. a) není úhrada rozdílu mezi daní vyměřenou nebo dodatečně vyměřenou kraji správcem daně a daní krajem přiznanou nebo dodatečně přiznanou ani příslušenství daně.</w:t>
      </w:r>
      <w:hyperlink r:id="rId5" w:anchor="f2061949" w:history="1">
        <w:r w:rsidRPr="00F26788">
          <w:rPr>
            <w:rStyle w:val="Hypertextovodkaz"/>
            <w:bCs/>
            <w:vertAlign w:val="superscript"/>
          </w:rPr>
          <w:t>4a</w:t>
        </w:r>
        <w:r w:rsidRPr="00F26788">
          <w:rPr>
            <w:rStyle w:val="Hypertextovodkaz"/>
            <w:bCs/>
          </w:rPr>
          <w:t>)</w:t>
        </w:r>
      </w:hyperlink>
    </w:p>
    <w:p w:rsidR="001843D5" w:rsidRPr="00F26788" w:rsidRDefault="001843D5" w:rsidP="001843D5">
      <w:pPr>
        <w:pStyle w:val="para"/>
        <w:shd w:val="clear" w:color="auto" w:fill="FFFFFF"/>
        <w:spacing w:before="0" w:beforeAutospacing="0" w:after="0" w:afterAutospacing="0" w:line="264" w:lineRule="atLeast"/>
        <w:jc w:val="both"/>
        <w:rPr>
          <w:b/>
          <w:bCs/>
        </w:rPr>
      </w:pPr>
    </w:p>
    <w:p w:rsidR="001843D5" w:rsidRPr="00F26788" w:rsidRDefault="001843D5" w:rsidP="001843D5">
      <w:pPr>
        <w:pStyle w:val="l2"/>
        <w:shd w:val="clear" w:color="auto" w:fill="FFFFFF"/>
        <w:spacing w:before="0" w:beforeAutospacing="0" w:after="0" w:afterAutospacing="0" w:line="264" w:lineRule="atLeast"/>
        <w:jc w:val="both"/>
        <w:rPr>
          <w:b/>
          <w:shd w:val="clear" w:color="auto" w:fill="FFFFFF"/>
        </w:rPr>
      </w:pPr>
      <w:r w:rsidRPr="00F26788">
        <w:rPr>
          <w:b/>
        </w:rPr>
        <w:t xml:space="preserve">(4) </w:t>
      </w:r>
      <w:r w:rsidRPr="00F26788">
        <w:rPr>
          <w:b/>
          <w:shd w:val="clear" w:color="auto" w:fill="FFFFFF"/>
        </w:rPr>
        <w:t xml:space="preserve">Při stanovení počtu obyvatel kraje pro účely propočtů podle odstavce </w:t>
      </w:r>
      <w:r w:rsidRPr="00F26788">
        <w:rPr>
          <w:b/>
          <w:shd w:val="clear" w:color="auto" w:fill="FFFFFF"/>
        </w:rPr>
        <w:br/>
        <w:t>2 se vychází ze stavu k 1. lednu běžného roku uvedeného v bilanci obyvatel České republiky zpracované Českým statistickým úřadem k 1. lednu běžného roku.</w:t>
      </w:r>
    </w:p>
    <w:p w:rsidR="001843D5" w:rsidRPr="00F26788" w:rsidRDefault="001843D5" w:rsidP="001843D5">
      <w:pPr>
        <w:pStyle w:val="l2"/>
        <w:shd w:val="clear" w:color="auto" w:fill="FFFFFF"/>
        <w:spacing w:before="0" w:beforeAutospacing="0" w:after="0" w:afterAutospacing="0" w:line="264" w:lineRule="atLeast"/>
        <w:ind w:left="709"/>
        <w:jc w:val="both"/>
        <w:rPr>
          <w:b/>
          <w:shd w:val="clear" w:color="auto" w:fill="FFFFFF"/>
        </w:rPr>
      </w:pPr>
    </w:p>
    <w:p w:rsidR="001843D5" w:rsidRPr="00F26788" w:rsidRDefault="001843D5" w:rsidP="001843D5">
      <w:pPr>
        <w:pStyle w:val="l2"/>
        <w:shd w:val="clear" w:color="auto" w:fill="FFFFFF"/>
        <w:spacing w:before="0" w:beforeAutospacing="0" w:after="0" w:afterAutospacing="0" w:line="264" w:lineRule="atLeast"/>
        <w:jc w:val="both"/>
        <w:rPr>
          <w:b/>
        </w:rPr>
      </w:pPr>
      <w:r w:rsidRPr="00F26788">
        <w:rPr>
          <w:b/>
          <w:shd w:val="clear" w:color="auto" w:fill="FFFFFF"/>
        </w:rPr>
        <w:t>(5) Při stanovení délky (kilometrů) silnic II. a III. třídy kraje pro účely propočtů podle odstavce 2 se vychází ze stavu k 1. lednu běžného roku uvedeného v příslušné evidenci zpracované Českým statistickým úřadem k 1. lednu běžného roku.</w:t>
      </w:r>
    </w:p>
    <w:p w:rsidR="001843D5" w:rsidRPr="00F26788" w:rsidRDefault="001843D5" w:rsidP="001843D5">
      <w:pPr>
        <w:pStyle w:val="para"/>
        <w:shd w:val="clear" w:color="auto" w:fill="FFFFFF"/>
        <w:spacing w:before="0" w:beforeAutospacing="0" w:after="0" w:afterAutospacing="0" w:line="264" w:lineRule="atLeast"/>
        <w:jc w:val="both"/>
        <w:rPr>
          <w:b/>
          <w:bCs/>
        </w:rPr>
      </w:pPr>
    </w:p>
    <w:p w:rsidR="001843D5" w:rsidRPr="00F26788" w:rsidRDefault="001843D5" w:rsidP="001843D5">
      <w:pPr>
        <w:pStyle w:val="para"/>
        <w:shd w:val="clear" w:color="auto" w:fill="FFFFFF"/>
        <w:spacing w:before="0" w:beforeAutospacing="0" w:after="0" w:afterAutospacing="0" w:line="264" w:lineRule="atLeast"/>
        <w:jc w:val="both"/>
        <w:rPr>
          <w:bCs/>
        </w:rPr>
      </w:pPr>
    </w:p>
    <w:p w:rsidR="001843D5" w:rsidRPr="00F26788" w:rsidRDefault="001843D5" w:rsidP="001843D5">
      <w:pPr>
        <w:pStyle w:val="para"/>
        <w:shd w:val="clear" w:color="auto" w:fill="FFFFFF"/>
        <w:spacing w:before="0" w:beforeAutospacing="0" w:after="0" w:afterAutospacing="0" w:line="264" w:lineRule="atLeast"/>
        <w:jc w:val="center"/>
        <w:rPr>
          <w:bCs/>
        </w:rPr>
      </w:pPr>
      <w:r w:rsidRPr="00F26788">
        <w:rPr>
          <w:bCs/>
        </w:rPr>
        <w:t>§ 5</w:t>
      </w:r>
    </w:p>
    <w:p w:rsidR="001843D5" w:rsidRPr="00F26788" w:rsidRDefault="001843D5" w:rsidP="001843D5">
      <w:pPr>
        <w:pStyle w:val="Nadpis3"/>
        <w:shd w:val="clear" w:color="auto" w:fill="FFFFFF"/>
        <w:spacing w:before="0" w:after="0" w:line="330" w:lineRule="atLeast"/>
        <w:jc w:val="center"/>
        <w:rPr>
          <w:rFonts w:ascii="Times New Roman" w:hAnsi="Times New Roman"/>
          <w:b w:val="0"/>
          <w:sz w:val="24"/>
          <w:szCs w:val="24"/>
        </w:rPr>
      </w:pPr>
      <w:r w:rsidRPr="00F26788">
        <w:rPr>
          <w:rFonts w:ascii="Times New Roman" w:hAnsi="Times New Roman"/>
          <w:b w:val="0"/>
          <w:sz w:val="24"/>
          <w:szCs w:val="24"/>
        </w:rPr>
        <w:t>Daňové příjmy Státního fondu dopravní infrastruktury</w:t>
      </w:r>
    </w:p>
    <w:p w:rsidR="001843D5" w:rsidRPr="00F26788" w:rsidRDefault="001843D5" w:rsidP="001843D5">
      <w:pPr>
        <w:pStyle w:val="l2"/>
        <w:shd w:val="clear" w:color="auto" w:fill="FFFFFF"/>
        <w:spacing w:before="0" w:beforeAutospacing="0" w:after="0" w:afterAutospacing="0" w:line="264" w:lineRule="atLeast"/>
        <w:jc w:val="both"/>
      </w:pPr>
    </w:p>
    <w:p w:rsidR="001843D5" w:rsidRPr="00F26788" w:rsidRDefault="001843D5" w:rsidP="001843D5">
      <w:pPr>
        <w:pStyle w:val="l2"/>
        <w:shd w:val="clear" w:color="auto" w:fill="FFFFFF"/>
        <w:spacing w:before="0" w:beforeAutospacing="0" w:after="0" w:afterAutospacing="0" w:line="264" w:lineRule="atLeast"/>
        <w:jc w:val="both"/>
      </w:pPr>
      <w:r w:rsidRPr="00F26788">
        <w:t>Daňové příjmy Státního fondu dopravní infrastruktury tvoří</w:t>
      </w:r>
    </w:p>
    <w:p w:rsidR="001843D5" w:rsidRPr="00F26788" w:rsidRDefault="001843D5" w:rsidP="001843D5">
      <w:pPr>
        <w:pStyle w:val="l3"/>
        <w:shd w:val="clear" w:color="auto" w:fill="FFFFFF"/>
        <w:spacing w:before="0" w:beforeAutospacing="0" w:after="0" w:afterAutospacing="0" w:line="264" w:lineRule="atLeast"/>
        <w:jc w:val="both"/>
      </w:pPr>
      <w:r w:rsidRPr="00F26788">
        <w:rPr>
          <w:rStyle w:val="PromnnHTML"/>
          <w:rFonts w:eastAsia="Arial Unicode MS"/>
          <w:i w:val="0"/>
        </w:rPr>
        <w:t>a)</w:t>
      </w:r>
      <w:r w:rsidRPr="00F26788">
        <w:rPr>
          <w:i/>
        </w:rPr>
        <w:t> </w:t>
      </w:r>
      <w:r w:rsidRPr="00F26788">
        <w:rPr>
          <w:strike/>
          <w:shd w:val="clear" w:color="auto" w:fill="FFFFFF"/>
        </w:rPr>
        <w:t>celostátní hrubý výnos</w:t>
      </w:r>
      <w:r w:rsidRPr="00F26788">
        <w:rPr>
          <w:shd w:val="clear" w:color="auto" w:fill="FFFFFF"/>
        </w:rPr>
        <w:t xml:space="preserve"> </w:t>
      </w:r>
      <w:r w:rsidRPr="00F26788">
        <w:rPr>
          <w:b/>
        </w:rPr>
        <w:t>91,08 % celostátního hrubého výnosu</w:t>
      </w:r>
      <w:r w:rsidRPr="00F26788">
        <w:t xml:space="preserve"> daně silniční,</w:t>
      </w:r>
    </w:p>
    <w:p w:rsidR="001843D5" w:rsidRPr="00F26788" w:rsidRDefault="001843D5" w:rsidP="001843D5">
      <w:pPr>
        <w:pStyle w:val="l3"/>
        <w:shd w:val="clear" w:color="auto" w:fill="FFFFFF"/>
        <w:spacing w:before="0" w:beforeAutospacing="0" w:after="0" w:afterAutospacing="0" w:line="264" w:lineRule="atLeast"/>
        <w:jc w:val="both"/>
      </w:pPr>
      <w:r w:rsidRPr="00F26788">
        <w:rPr>
          <w:rStyle w:val="PromnnHTML"/>
          <w:rFonts w:eastAsia="Arial Unicode MS"/>
          <w:i w:val="0"/>
        </w:rPr>
        <w:t>b)</w:t>
      </w:r>
      <w:r w:rsidRPr="00F26788">
        <w:rPr>
          <w:i/>
        </w:rPr>
        <w:t> </w:t>
      </w:r>
      <w:r w:rsidRPr="00F26788">
        <w:t>9,1 % celostátního hrubého výnosu spotřební daně z minerálních olejů.</w:t>
      </w:r>
    </w:p>
    <w:p w:rsidR="001843D5" w:rsidRPr="00F26788" w:rsidRDefault="001843D5" w:rsidP="001843D5">
      <w:pPr>
        <w:pStyle w:val="l3"/>
        <w:shd w:val="clear" w:color="auto" w:fill="FFFFFF"/>
        <w:spacing w:before="0" w:beforeAutospacing="0" w:after="0" w:afterAutospacing="0" w:line="264" w:lineRule="atLeast"/>
        <w:jc w:val="both"/>
      </w:pPr>
    </w:p>
    <w:p w:rsidR="001843D5" w:rsidRPr="00F26788" w:rsidRDefault="001843D5" w:rsidP="001843D5">
      <w:pPr>
        <w:pStyle w:val="l3"/>
        <w:shd w:val="clear" w:color="auto" w:fill="FFFFFF"/>
        <w:spacing w:before="0" w:beforeAutospacing="0" w:after="0" w:afterAutospacing="0" w:line="264" w:lineRule="atLeast"/>
        <w:jc w:val="both"/>
      </w:pPr>
    </w:p>
    <w:p w:rsidR="001843D5" w:rsidRPr="00F26788" w:rsidRDefault="001843D5" w:rsidP="001843D5">
      <w:pPr>
        <w:pStyle w:val="l3"/>
        <w:shd w:val="clear" w:color="auto" w:fill="FFFFFF"/>
        <w:spacing w:before="0" w:beforeAutospacing="0" w:after="0" w:afterAutospacing="0" w:line="264" w:lineRule="atLeast"/>
        <w:jc w:val="both"/>
      </w:pPr>
    </w:p>
    <w:p w:rsidR="001843D5" w:rsidRPr="00F26788" w:rsidRDefault="001843D5" w:rsidP="001843D5">
      <w:pPr>
        <w:shd w:val="clear" w:color="auto" w:fill="FFFFFF"/>
        <w:spacing w:after="0" w:line="264" w:lineRule="atLeast"/>
        <w:jc w:val="both"/>
        <w:rPr>
          <w:rFonts w:ascii="Times New Roman" w:eastAsia="Times New Roman" w:hAnsi="Times New Roman"/>
          <w:strike/>
          <w:sz w:val="24"/>
          <w:szCs w:val="24"/>
        </w:rPr>
      </w:pPr>
      <w:r w:rsidRPr="00F26788">
        <w:rPr>
          <w:rFonts w:ascii="Times New Roman" w:eastAsia="Times New Roman" w:hAnsi="Times New Roman"/>
          <w:strike/>
          <w:sz w:val="24"/>
          <w:szCs w:val="24"/>
        </w:rPr>
        <w:t>Příloha č. 1 k zákonu č. 243/2000 Sb.</w:t>
      </w:r>
    </w:p>
    <w:p w:rsidR="001843D5" w:rsidRPr="00F26788" w:rsidRDefault="001843D5" w:rsidP="001843D5">
      <w:pPr>
        <w:shd w:val="clear" w:color="auto" w:fill="FFFFFF"/>
        <w:spacing w:after="0" w:line="330" w:lineRule="atLeast"/>
        <w:outlineLvl w:val="2"/>
        <w:rPr>
          <w:rFonts w:ascii="Times New Roman" w:eastAsia="Times New Roman" w:hAnsi="Times New Roman"/>
          <w:b/>
          <w:bCs/>
          <w:strike/>
          <w:sz w:val="24"/>
          <w:szCs w:val="24"/>
        </w:rPr>
      </w:pPr>
      <w:r w:rsidRPr="00F26788">
        <w:rPr>
          <w:rFonts w:ascii="Times New Roman" w:eastAsia="Times New Roman" w:hAnsi="Times New Roman"/>
          <w:b/>
          <w:bCs/>
          <w:strike/>
          <w:sz w:val="24"/>
          <w:szCs w:val="24"/>
        </w:rPr>
        <w:t>Procenta, kterými se jednotlivé kraje podílejí na procentní části celostátního hrubého výnosu daně podle § 3 odst. 1 písm. b) až f)</w:t>
      </w:r>
    </w:p>
    <w:tbl>
      <w:tblPr>
        <w:tblW w:w="5946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1"/>
        <w:gridCol w:w="1985"/>
      </w:tblGrid>
      <w:tr w:rsidR="001843D5" w:rsidRPr="00F26788" w:rsidTr="00B23671">
        <w:tc>
          <w:tcPr>
            <w:tcW w:w="39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843D5" w:rsidRPr="00F26788" w:rsidRDefault="001843D5" w:rsidP="00B23671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Kraj</w:t>
            </w:r>
          </w:p>
        </w:tc>
        <w:tc>
          <w:tcPr>
            <w:tcW w:w="1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843D5" w:rsidRPr="00F26788" w:rsidRDefault="001843D5" w:rsidP="00B23671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Procento</w:t>
            </w:r>
          </w:p>
        </w:tc>
      </w:tr>
      <w:tr w:rsidR="001843D5" w:rsidRPr="00F26788" w:rsidTr="00B23671">
        <w:tc>
          <w:tcPr>
            <w:tcW w:w="39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843D5" w:rsidRPr="00F26788" w:rsidRDefault="001843D5" w:rsidP="00B23671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Hlavní město Praha</w:t>
            </w:r>
          </w:p>
        </w:tc>
        <w:tc>
          <w:tcPr>
            <w:tcW w:w="1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843D5" w:rsidRPr="00F26788" w:rsidRDefault="001843D5" w:rsidP="00B23671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3,183684</w:t>
            </w:r>
          </w:p>
        </w:tc>
      </w:tr>
      <w:tr w:rsidR="001843D5" w:rsidRPr="00F26788" w:rsidTr="00B23671">
        <w:tc>
          <w:tcPr>
            <w:tcW w:w="39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843D5" w:rsidRPr="00F26788" w:rsidRDefault="001843D5" w:rsidP="00B23671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Středočeský</w:t>
            </w:r>
          </w:p>
        </w:tc>
        <w:tc>
          <w:tcPr>
            <w:tcW w:w="1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843D5" w:rsidRPr="00F26788" w:rsidRDefault="001843D5" w:rsidP="00B23671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13,774311</w:t>
            </w:r>
          </w:p>
        </w:tc>
      </w:tr>
      <w:tr w:rsidR="001843D5" w:rsidRPr="00F26788" w:rsidTr="00B23671">
        <w:tc>
          <w:tcPr>
            <w:tcW w:w="39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843D5" w:rsidRPr="00F26788" w:rsidRDefault="001843D5" w:rsidP="00B23671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Jihočeský</w:t>
            </w:r>
          </w:p>
        </w:tc>
        <w:tc>
          <w:tcPr>
            <w:tcW w:w="1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843D5" w:rsidRPr="00F26788" w:rsidRDefault="001843D5" w:rsidP="00B23671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8,607201</w:t>
            </w:r>
          </w:p>
        </w:tc>
      </w:tr>
      <w:tr w:rsidR="001843D5" w:rsidRPr="00F26788" w:rsidTr="00B23671">
        <w:tc>
          <w:tcPr>
            <w:tcW w:w="39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843D5" w:rsidRPr="00F26788" w:rsidRDefault="001843D5" w:rsidP="00B23671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Plzeňský</w:t>
            </w:r>
          </w:p>
        </w:tc>
        <w:tc>
          <w:tcPr>
            <w:tcW w:w="1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843D5" w:rsidRPr="00F26788" w:rsidRDefault="001843D5" w:rsidP="00B23671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7,248716</w:t>
            </w:r>
          </w:p>
        </w:tc>
      </w:tr>
      <w:tr w:rsidR="001843D5" w:rsidRPr="00F26788" w:rsidTr="00B23671">
        <w:tc>
          <w:tcPr>
            <w:tcW w:w="39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843D5" w:rsidRPr="00F26788" w:rsidRDefault="001843D5" w:rsidP="00B23671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Karlovarský</w:t>
            </w:r>
          </w:p>
        </w:tc>
        <w:tc>
          <w:tcPr>
            <w:tcW w:w="1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843D5" w:rsidRPr="00F26788" w:rsidRDefault="001843D5" w:rsidP="00B23671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3,772990</w:t>
            </w:r>
          </w:p>
        </w:tc>
      </w:tr>
      <w:tr w:rsidR="001843D5" w:rsidRPr="00F26788" w:rsidTr="00B23671">
        <w:tc>
          <w:tcPr>
            <w:tcW w:w="39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843D5" w:rsidRPr="00F26788" w:rsidRDefault="001843D5" w:rsidP="00B23671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Ústecký</w:t>
            </w:r>
          </w:p>
        </w:tc>
        <w:tc>
          <w:tcPr>
            <w:tcW w:w="1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843D5" w:rsidRPr="00F26788" w:rsidRDefault="001843D5" w:rsidP="00B23671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8,242502</w:t>
            </w:r>
          </w:p>
        </w:tc>
      </w:tr>
      <w:tr w:rsidR="001843D5" w:rsidRPr="00F26788" w:rsidTr="00B23671">
        <w:tc>
          <w:tcPr>
            <w:tcW w:w="39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843D5" w:rsidRPr="00F26788" w:rsidRDefault="001843D5" w:rsidP="00B23671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Liberecký</w:t>
            </w:r>
          </w:p>
        </w:tc>
        <w:tc>
          <w:tcPr>
            <w:tcW w:w="1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843D5" w:rsidRPr="00F26788" w:rsidRDefault="001843D5" w:rsidP="00B23671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4,681207</w:t>
            </w:r>
          </w:p>
        </w:tc>
      </w:tr>
      <w:tr w:rsidR="001843D5" w:rsidRPr="00F26788" w:rsidTr="00B23671">
        <w:tc>
          <w:tcPr>
            <w:tcW w:w="39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843D5" w:rsidRPr="00F26788" w:rsidRDefault="001843D5" w:rsidP="00B23671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Královéhradecký</w:t>
            </w:r>
          </w:p>
        </w:tc>
        <w:tc>
          <w:tcPr>
            <w:tcW w:w="1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843D5" w:rsidRPr="00F26788" w:rsidRDefault="001843D5" w:rsidP="00B23671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6,442233</w:t>
            </w:r>
          </w:p>
        </w:tc>
      </w:tr>
      <w:tr w:rsidR="001843D5" w:rsidRPr="00F26788" w:rsidTr="00B23671">
        <w:tc>
          <w:tcPr>
            <w:tcW w:w="39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843D5" w:rsidRPr="00F26788" w:rsidRDefault="001843D5" w:rsidP="00B23671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Pardubický</w:t>
            </w:r>
          </w:p>
        </w:tc>
        <w:tc>
          <w:tcPr>
            <w:tcW w:w="1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843D5" w:rsidRPr="00F26788" w:rsidRDefault="001843D5" w:rsidP="00B23671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5,555168</w:t>
            </w:r>
          </w:p>
        </w:tc>
      </w:tr>
      <w:tr w:rsidR="001843D5" w:rsidRPr="00F26788" w:rsidTr="00B23671">
        <w:tc>
          <w:tcPr>
            <w:tcW w:w="39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843D5" w:rsidRPr="00F26788" w:rsidRDefault="001843D5" w:rsidP="00B23671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Vysočina</w:t>
            </w:r>
          </w:p>
        </w:tc>
        <w:tc>
          <w:tcPr>
            <w:tcW w:w="1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843D5" w:rsidRPr="00F26788" w:rsidRDefault="001843D5" w:rsidP="00B23671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7,338590</w:t>
            </w:r>
          </w:p>
        </w:tc>
      </w:tr>
      <w:tr w:rsidR="001843D5" w:rsidRPr="00F26788" w:rsidTr="00B23671">
        <w:tc>
          <w:tcPr>
            <w:tcW w:w="39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843D5" w:rsidRPr="00F26788" w:rsidRDefault="001843D5" w:rsidP="00B23671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Jihomoravský</w:t>
            </w:r>
          </w:p>
        </w:tc>
        <w:tc>
          <w:tcPr>
            <w:tcW w:w="1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843D5" w:rsidRPr="00F26788" w:rsidRDefault="001843D5" w:rsidP="00B23671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9,526055</w:t>
            </w:r>
          </w:p>
        </w:tc>
      </w:tr>
      <w:tr w:rsidR="001843D5" w:rsidRPr="00F26788" w:rsidTr="00B23671">
        <w:tc>
          <w:tcPr>
            <w:tcW w:w="39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843D5" w:rsidRPr="00F26788" w:rsidRDefault="001843D5" w:rsidP="00B23671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Olomoucký</w:t>
            </w:r>
          </w:p>
        </w:tc>
        <w:tc>
          <w:tcPr>
            <w:tcW w:w="1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843D5" w:rsidRPr="00F26788" w:rsidRDefault="001843D5" w:rsidP="00B23671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6,751705</w:t>
            </w:r>
          </w:p>
        </w:tc>
      </w:tr>
      <w:tr w:rsidR="001843D5" w:rsidRPr="00F26788" w:rsidTr="00B23671">
        <w:tc>
          <w:tcPr>
            <w:tcW w:w="39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843D5" w:rsidRPr="00F26788" w:rsidRDefault="001843D5" w:rsidP="00B23671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Zlínský</w:t>
            </w:r>
          </w:p>
        </w:tc>
        <w:tc>
          <w:tcPr>
            <w:tcW w:w="1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843D5" w:rsidRPr="00F26788" w:rsidRDefault="001843D5" w:rsidP="00B23671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5,251503</w:t>
            </w:r>
          </w:p>
        </w:tc>
      </w:tr>
      <w:tr w:rsidR="001843D5" w:rsidRPr="00F26788" w:rsidTr="00B23671">
        <w:tc>
          <w:tcPr>
            <w:tcW w:w="39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843D5" w:rsidRPr="00F26788" w:rsidRDefault="001843D5" w:rsidP="00B23671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Moravskoslezský</w:t>
            </w:r>
          </w:p>
        </w:tc>
        <w:tc>
          <w:tcPr>
            <w:tcW w:w="1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843D5" w:rsidRPr="00F26788" w:rsidRDefault="001843D5" w:rsidP="00B23671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9,624135</w:t>
            </w:r>
          </w:p>
        </w:tc>
      </w:tr>
      <w:tr w:rsidR="001843D5" w:rsidRPr="00F26788" w:rsidTr="00B23671">
        <w:tc>
          <w:tcPr>
            <w:tcW w:w="39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843D5" w:rsidRPr="00F26788" w:rsidRDefault="001843D5" w:rsidP="00B23671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Úhrn</w:t>
            </w:r>
          </w:p>
        </w:tc>
        <w:tc>
          <w:tcPr>
            <w:tcW w:w="1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843D5" w:rsidRPr="00F26788" w:rsidRDefault="001843D5" w:rsidP="00B23671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100,000000</w:t>
            </w:r>
          </w:p>
        </w:tc>
      </w:tr>
    </w:tbl>
    <w:p w:rsidR="001843D5" w:rsidRPr="00F26788" w:rsidRDefault="001843D5" w:rsidP="001843D5">
      <w:pPr>
        <w:shd w:val="clear" w:color="auto" w:fill="FFFFFF"/>
        <w:spacing w:after="0" w:line="264" w:lineRule="atLeast"/>
        <w:jc w:val="both"/>
        <w:rPr>
          <w:rFonts w:ascii="Times New Roman" w:eastAsia="Times New Roman" w:hAnsi="Times New Roman"/>
          <w:sz w:val="24"/>
          <w:szCs w:val="24"/>
        </w:rPr>
      </w:pPr>
    </w:p>
    <w:p w:rsidR="001843D5" w:rsidRPr="00F26788" w:rsidRDefault="001843D5" w:rsidP="001843D5">
      <w:pPr>
        <w:pStyle w:val="l3"/>
        <w:shd w:val="clear" w:color="auto" w:fill="FFFFFF"/>
        <w:spacing w:before="0" w:beforeAutospacing="0" w:after="0" w:afterAutospacing="0" w:line="264" w:lineRule="atLeast"/>
        <w:jc w:val="both"/>
      </w:pPr>
    </w:p>
    <w:p w:rsidR="001843D5" w:rsidRPr="00F26788" w:rsidRDefault="001843D5" w:rsidP="001843D5">
      <w:pPr>
        <w:pStyle w:val="l3"/>
        <w:shd w:val="clear" w:color="auto" w:fill="FFFFFF"/>
        <w:spacing w:before="0" w:beforeAutospacing="0" w:after="0" w:afterAutospacing="0" w:line="264" w:lineRule="atLeast"/>
        <w:jc w:val="both"/>
      </w:pPr>
    </w:p>
    <w:p w:rsidR="001843D5" w:rsidRPr="00F26788" w:rsidRDefault="001843D5" w:rsidP="001843D5">
      <w:pPr>
        <w:shd w:val="clear" w:color="auto" w:fill="FFFFFF"/>
        <w:spacing w:after="0" w:line="264" w:lineRule="atLeast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29042E" w:rsidRDefault="0029042E">
      <w:bookmarkStart w:id="0" w:name="_GoBack"/>
      <w:bookmarkEnd w:id="0"/>
    </w:p>
    <w:sectPr w:rsidR="0029042E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D86" w:rsidRDefault="001843D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481A46" w:rsidRDefault="001843D5">
    <w:pPr>
      <w:pStyle w:val="Zpat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796165"/>
    <w:multiLevelType w:val="hybridMultilevel"/>
    <w:tmpl w:val="68807D66"/>
    <w:lvl w:ilvl="0" w:tplc="6706DF94">
      <w:start w:val="1"/>
      <w:numFmt w:val="lowerLetter"/>
      <w:lvlText w:val="%1)"/>
      <w:lvlJc w:val="left"/>
      <w:pPr>
        <w:ind w:left="2880" w:hanging="360"/>
      </w:pPr>
      <w:rPr>
        <w:rFonts w:ascii="Times New Roman" w:eastAsia="Calibri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3D5"/>
    <w:rsid w:val="001843D5"/>
    <w:rsid w:val="00290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771376-581D-43A7-A3CA-764DC24B0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843D5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843D5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semiHidden/>
    <w:rsid w:val="001843D5"/>
    <w:rPr>
      <w:rFonts w:ascii="Calibri Light" w:eastAsia="Times New Roman" w:hAnsi="Calibri Light" w:cs="Times New Roman"/>
      <w:b/>
      <w:bCs/>
      <w:sz w:val="26"/>
      <w:szCs w:val="2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843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843D5"/>
    <w:rPr>
      <w:rFonts w:ascii="Calibri" w:eastAsia="Calibri" w:hAnsi="Calibri" w:cs="Times New Roman"/>
      <w:sz w:val="20"/>
      <w:szCs w:val="20"/>
      <w:lang w:eastAsia="cs-CZ"/>
    </w:rPr>
  </w:style>
  <w:style w:type="character" w:styleId="Hypertextovodkaz">
    <w:name w:val="Hyperlink"/>
    <w:uiPriority w:val="99"/>
    <w:unhideWhenUsed/>
    <w:rsid w:val="001843D5"/>
    <w:rPr>
      <w:color w:val="0000FF"/>
      <w:u w:val="single"/>
    </w:rPr>
  </w:style>
  <w:style w:type="paragraph" w:styleId="Odstavecseseznamem">
    <w:name w:val="List Paragraph"/>
    <w:basedOn w:val="Normln"/>
    <w:qFormat/>
    <w:rsid w:val="001843D5"/>
    <w:pPr>
      <w:spacing w:after="160" w:line="240" w:lineRule="auto"/>
      <w:ind w:left="720"/>
      <w:contextualSpacing/>
      <w:jc w:val="center"/>
    </w:pPr>
    <w:rPr>
      <w:rFonts w:ascii="Times New Roman" w:hAnsi="Times New Roman"/>
      <w:sz w:val="24"/>
      <w:szCs w:val="24"/>
      <w:lang w:eastAsia="en-US"/>
    </w:rPr>
  </w:style>
  <w:style w:type="paragraph" w:customStyle="1" w:styleId="l3">
    <w:name w:val="l3"/>
    <w:basedOn w:val="Normln"/>
    <w:rsid w:val="001843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l2">
    <w:name w:val="l2"/>
    <w:basedOn w:val="Normln"/>
    <w:rsid w:val="001843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ara">
    <w:name w:val="para"/>
    <w:basedOn w:val="Normln"/>
    <w:rsid w:val="001843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PromnnHTML">
    <w:name w:val="HTML Variable"/>
    <w:uiPriority w:val="99"/>
    <w:semiHidden/>
    <w:unhideWhenUsed/>
    <w:rsid w:val="001843D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yperlink" Target="https://www.zakonyprolidi.cz/print/cs/2000-243/zneni-20180101.htm?sil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Fričová Lenka</dc:creator>
  <cp:keywords/>
  <dc:description/>
  <cp:lastModifiedBy>Fričová Lenka</cp:lastModifiedBy>
  <cp:revision>1</cp:revision>
  <dcterms:created xsi:type="dcterms:W3CDTF">2020-01-29T13:53:00Z</dcterms:created>
  <dcterms:modified xsi:type="dcterms:W3CDTF">2020-01-29T13:53:00Z</dcterms:modified>
</cp:coreProperties>
</file>