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A2C" w:rsidRDefault="000A6A2C" w:rsidP="00F15223">
      <w:pPr>
        <w:pStyle w:val="western"/>
        <w:spacing w:before="0"/>
        <w:rPr>
          <w:sz w:val="28"/>
          <w:szCs w:val="28"/>
        </w:rPr>
      </w:pPr>
    </w:p>
    <w:p w:rsidR="000A6A2C" w:rsidRDefault="000A6A2C" w:rsidP="00F15223">
      <w:pPr>
        <w:pStyle w:val="western"/>
        <w:spacing w:before="0"/>
        <w:rPr>
          <w:sz w:val="28"/>
          <w:szCs w:val="28"/>
        </w:rPr>
      </w:pPr>
    </w:p>
    <w:p w:rsidR="00C17130" w:rsidRDefault="00C17130" w:rsidP="00F15223">
      <w:pPr>
        <w:pStyle w:val="western"/>
        <w:spacing w:before="0"/>
        <w:rPr>
          <w:sz w:val="28"/>
          <w:szCs w:val="28"/>
        </w:rPr>
      </w:pPr>
      <w:r w:rsidRPr="00761BA3">
        <w:rPr>
          <w:sz w:val="28"/>
          <w:szCs w:val="28"/>
        </w:rPr>
        <w:t>Zpráva o peticích</w:t>
      </w:r>
    </w:p>
    <w:p w:rsidR="00C17130" w:rsidRPr="00046098" w:rsidRDefault="00C17130" w:rsidP="00C17130">
      <w:pPr>
        <w:pStyle w:val="western"/>
        <w:spacing w:before="0"/>
        <w:rPr>
          <w:b w:val="0"/>
          <w:sz w:val="28"/>
          <w:szCs w:val="28"/>
        </w:rPr>
      </w:pPr>
      <w:r w:rsidRPr="00046098">
        <w:rPr>
          <w:b w:val="0"/>
          <w:sz w:val="28"/>
          <w:szCs w:val="28"/>
        </w:rPr>
        <w:t>přijatých Poslaneckou sněmovnou Parlamentu České republiky</w:t>
      </w:r>
    </w:p>
    <w:p w:rsidR="000A6A2C" w:rsidRPr="00F17593" w:rsidRDefault="00C17130" w:rsidP="000A6A2C">
      <w:pPr>
        <w:pStyle w:val="western"/>
        <w:spacing w:before="0"/>
        <w:rPr>
          <w:b w:val="0"/>
          <w:sz w:val="28"/>
          <w:szCs w:val="28"/>
        </w:rPr>
      </w:pPr>
      <w:r w:rsidRPr="003A0629">
        <w:rPr>
          <w:b w:val="0"/>
          <w:sz w:val="28"/>
          <w:szCs w:val="28"/>
        </w:rPr>
        <w:t xml:space="preserve">v období </w:t>
      </w:r>
      <w:r w:rsidR="00CA3E63">
        <w:rPr>
          <w:b w:val="0"/>
          <w:sz w:val="28"/>
          <w:szCs w:val="28"/>
        </w:rPr>
        <w:t>od 1. 7. 2019</w:t>
      </w:r>
      <w:r w:rsidR="0071056B">
        <w:rPr>
          <w:b w:val="0"/>
          <w:sz w:val="28"/>
          <w:szCs w:val="28"/>
        </w:rPr>
        <w:t xml:space="preserve"> do 31</w:t>
      </w:r>
      <w:r w:rsidRPr="003A0629">
        <w:rPr>
          <w:b w:val="0"/>
          <w:sz w:val="28"/>
          <w:szCs w:val="28"/>
        </w:rPr>
        <w:t>.</w:t>
      </w:r>
      <w:r w:rsidR="0071056B">
        <w:rPr>
          <w:b w:val="0"/>
          <w:sz w:val="28"/>
          <w:szCs w:val="28"/>
        </w:rPr>
        <w:t xml:space="preserve"> 12</w:t>
      </w:r>
      <w:r w:rsidRPr="003A0629">
        <w:rPr>
          <w:b w:val="0"/>
          <w:sz w:val="28"/>
          <w:szCs w:val="28"/>
        </w:rPr>
        <w:t>.</w:t>
      </w:r>
      <w:r w:rsidR="00CA3E63">
        <w:rPr>
          <w:b w:val="0"/>
          <w:sz w:val="28"/>
          <w:szCs w:val="28"/>
        </w:rPr>
        <w:t xml:space="preserve"> 2019</w:t>
      </w:r>
    </w:p>
    <w:p w:rsidR="00C17130" w:rsidRPr="003A0629" w:rsidRDefault="00C17130" w:rsidP="00C17130">
      <w:pPr>
        <w:pStyle w:val="Normlnweb"/>
        <w:numPr>
          <w:ilvl w:val="0"/>
          <w:numId w:val="1"/>
        </w:numPr>
        <w:jc w:val="both"/>
        <w:rPr>
          <w:b/>
        </w:rPr>
      </w:pPr>
      <w:r w:rsidRPr="003A0629">
        <w:rPr>
          <w:b/>
        </w:rPr>
        <w:t>Počet</w:t>
      </w:r>
      <w:r>
        <w:rPr>
          <w:b/>
        </w:rPr>
        <w:t>,</w:t>
      </w:r>
      <w:r w:rsidRPr="003A0629">
        <w:rPr>
          <w:b/>
        </w:rPr>
        <w:t xml:space="preserve"> </w:t>
      </w:r>
      <w:r>
        <w:rPr>
          <w:b/>
        </w:rPr>
        <w:t xml:space="preserve">obsahové </w:t>
      </w:r>
      <w:r w:rsidRPr="003A0629">
        <w:rPr>
          <w:b/>
        </w:rPr>
        <w:t xml:space="preserve">zaměření </w:t>
      </w:r>
      <w:r>
        <w:rPr>
          <w:b/>
        </w:rPr>
        <w:t xml:space="preserve">a způsob </w:t>
      </w:r>
      <w:r w:rsidRPr="00091DB6">
        <w:rPr>
          <w:b/>
        </w:rPr>
        <w:t>vyřízení</w:t>
      </w:r>
      <w:r>
        <w:rPr>
          <w:b/>
        </w:rPr>
        <w:t xml:space="preserve"> </w:t>
      </w:r>
      <w:r w:rsidRPr="003A0629">
        <w:rPr>
          <w:b/>
        </w:rPr>
        <w:t>doručených petic</w:t>
      </w:r>
    </w:p>
    <w:p w:rsidR="00C17130" w:rsidRPr="007D173A" w:rsidRDefault="00C17130" w:rsidP="00C17130">
      <w:pPr>
        <w:pStyle w:val="Normlnweb"/>
        <w:jc w:val="both"/>
        <w:rPr>
          <w:i/>
        </w:rPr>
      </w:pPr>
      <w:r>
        <w:t xml:space="preserve">Poslanecké sněmovně Parlamentu České republiky (dále jen „Poslanecká sněmovna“) bylo v průběhu </w:t>
      </w:r>
      <w:r w:rsidR="0071056B">
        <w:rPr>
          <w:b/>
        </w:rPr>
        <w:t>druhého</w:t>
      </w:r>
      <w:r w:rsidR="00C67B51">
        <w:rPr>
          <w:b/>
        </w:rPr>
        <w:t xml:space="preserve"> pololetí roku 2019</w:t>
      </w:r>
      <w:r w:rsidR="00F31CE3">
        <w:t xml:space="preserve"> doručeno celkem </w:t>
      </w:r>
      <w:r w:rsidR="00C67B51">
        <w:rPr>
          <w:b/>
        </w:rPr>
        <w:t>10</w:t>
      </w:r>
      <w:r w:rsidR="00414583">
        <w:rPr>
          <w:b/>
        </w:rPr>
        <w:t xml:space="preserve"> </w:t>
      </w:r>
      <w:r w:rsidRPr="00761BA3">
        <w:rPr>
          <w:b/>
        </w:rPr>
        <w:t>petic</w:t>
      </w:r>
      <w:r>
        <w:t xml:space="preserve">, ve kterých podpořilo žádosti ve věcech veřejného </w:t>
      </w:r>
      <w:r w:rsidR="00C661C1">
        <w:t xml:space="preserve">nebo jiného společenského zájmu </w:t>
      </w:r>
      <w:r w:rsidR="00C67B51">
        <w:rPr>
          <w:b/>
        </w:rPr>
        <w:t>5</w:t>
      </w:r>
      <w:r w:rsidR="00C661C1" w:rsidRPr="001B197C">
        <w:rPr>
          <w:b/>
        </w:rPr>
        <w:t>9</w:t>
      </w:r>
      <w:r w:rsidR="001B197C" w:rsidRPr="001B197C">
        <w:rPr>
          <w:b/>
        </w:rPr>
        <w:t> </w:t>
      </w:r>
      <w:r w:rsidR="00C67B51">
        <w:rPr>
          <w:b/>
        </w:rPr>
        <w:t>924</w:t>
      </w:r>
      <w:r w:rsidR="001B197C" w:rsidRPr="001B197C">
        <w:rPr>
          <w:b/>
        </w:rPr>
        <w:t xml:space="preserve"> </w:t>
      </w:r>
      <w:r w:rsidRPr="001B197C">
        <w:rPr>
          <w:b/>
        </w:rPr>
        <w:t>petentů</w:t>
      </w:r>
      <w:r w:rsidRPr="0024325F">
        <w:rPr>
          <w:rFonts w:ascii="Rockwell Condensed" w:hAnsi="Rockwell Condensed"/>
        </w:rPr>
        <w:t>.</w:t>
      </w:r>
    </w:p>
    <w:p w:rsidR="00C17130" w:rsidRDefault="00C17130" w:rsidP="00C17130">
      <w:pPr>
        <w:jc w:val="both"/>
      </w:pPr>
    </w:p>
    <w:p w:rsidR="00C17130" w:rsidRPr="00116545" w:rsidRDefault="00746A6E" w:rsidP="00C17130">
      <w:pPr>
        <w:jc w:val="both"/>
      </w:pPr>
      <w:r>
        <w:t>1. D</w:t>
      </w:r>
      <w:r w:rsidR="00C17130" w:rsidRPr="00E43F5E">
        <w:t>ne</w:t>
      </w:r>
      <w:r w:rsidR="00C67B51">
        <w:t xml:space="preserve"> </w:t>
      </w:r>
      <w:r w:rsidR="00C87241">
        <w:t xml:space="preserve">19. 8. 2019 </w:t>
      </w:r>
      <w:r w:rsidR="00C17130">
        <w:t xml:space="preserve">byla do Poslanecké sněmovny doručena </w:t>
      </w:r>
      <w:r w:rsidR="00C87241">
        <w:rPr>
          <w:b/>
        </w:rPr>
        <w:t>„Petice za podpůrná opatření handicapovaným dětem bez ohledu na typ školského zařízení, kde se vzdělávají“ s 8 356 podpisy</w:t>
      </w:r>
      <w:r>
        <w:rPr>
          <w:b/>
        </w:rPr>
        <w:t xml:space="preserve">. </w:t>
      </w:r>
      <w:r w:rsidR="00C87241">
        <w:t>Petice byla organizována rodiči žáků se speciálními vzdělávacími potřebami na základě informace Ministerstva školství, mládeže a tělovýchovy, že ministerstvo</w:t>
      </w:r>
      <w:r w:rsidR="00243E6E">
        <w:t xml:space="preserve"> již</w:t>
      </w:r>
      <w:r w:rsidR="00C87241">
        <w:t xml:space="preserve"> nebude poskytovat finanční podporu na podpůrná opatření žákům vzdělávajícím se ve speciálních školách. Petice měla přispět k</w:t>
      </w:r>
      <w:r w:rsidR="00736D20">
        <w:t xml:space="preserve"> přehodnocení </w:t>
      </w:r>
      <w:r w:rsidR="00C87241">
        <w:t>postupu, který by vytvářel nerovnost v podmínkách vzdělávání mezi dětmi zařazenými v běžných školách a dětmi zařazenými ve školách speciálních. Dne 2. 12. 2019 z</w:t>
      </w:r>
      <w:r w:rsidR="003E1040">
        <w:t>ástupkyně petentů písemně informoval</w:t>
      </w:r>
      <w:r w:rsidR="00C87241">
        <w:t xml:space="preserve">a, že se systém financování zlepšil; asistenti pedagoga budou od ledna 2020 ve speciálních třídách a školách uznáni jako standardní pedagogičtí pracovníci a rovněž zajištění speciálních a kompenzačních pomůcek je snazší. </w:t>
      </w:r>
      <w:r w:rsidR="006522AB" w:rsidRPr="00436C5E">
        <w:rPr>
          <w:b/>
        </w:rPr>
        <w:t xml:space="preserve">Petice byla tedy </w:t>
      </w:r>
      <w:r w:rsidR="00436C5E" w:rsidRPr="00436C5E">
        <w:rPr>
          <w:b/>
        </w:rPr>
        <w:t xml:space="preserve">na základě dopisu petentů </w:t>
      </w:r>
      <w:r w:rsidR="003E1040">
        <w:rPr>
          <w:b/>
        </w:rPr>
        <w:t>ukončena</w:t>
      </w:r>
      <w:r w:rsidR="006522AB">
        <w:t>.</w:t>
      </w:r>
      <w:r w:rsidR="00436C5E">
        <w:t xml:space="preserve"> </w:t>
      </w:r>
    </w:p>
    <w:p w:rsidR="00C17130" w:rsidRDefault="00C17130" w:rsidP="00C17130">
      <w:pPr>
        <w:jc w:val="both"/>
      </w:pPr>
    </w:p>
    <w:p w:rsidR="008966E5" w:rsidRPr="008966E5" w:rsidRDefault="00C17130" w:rsidP="00C17130">
      <w:pPr>
        <w:jc w:val="both"/>
      </w:pPr>
      <w:r>
        <w:t>2.</w:t>
      </w:r>
      <w:r w:rsidR="002A7CC9">
        <w:t xml:space="preserve"> </w:t>
      </w:r>
      <w:r w:rsidR="008966E5">
        <w:rPr>
          <w:b/>
        </w:rPr>
        <w:t xml:space="preserve">Petice za záchranu domácí zdravotní péče „DOMA JE DOMA“ s 36 261 </w:t>
      </w:r>
      <w:r w:rsidR="006C5E38">
        <w:rPr>
          <w:b/>
        </w:rPr>
        <w:t>podpisy</w:t>
      </w:r>
      <w:r w:rsidR="00223BA3">
        <w:t xml:space="preserve"> </w:t>
      </w:r>
      <w:r w:rsidR="008966E5">
        <w:t xml:space="preserve">byla </w:t>
      </w:r>
      <w:r w:rsidR="00223BA3">
        <w:t>p</w:t>
      </w:r>
      <w:r w:rsidR="008966E5">
        <w:t>řijata 26. 8. 2019</w:t>
      </w:r>
      <w:r w:rsidR="00223BA3">
        <w:t xml:space="preserve">. </w:t>
      </w:r>
      <w:r w:rsidR="00B22769">
        <w:rPr>
          <w:b/>
        </w:rPr>
        <w:t>Petiční výbor zorganizoval k t</w:t>
      </w:r>
      <w:r w:rsidR="008966E5">
        <w:rPr>
          <w:b/>
        </w:rPr>
        <w:t>éto petici</w:t>
      </w:r>
      <w:r w:rsidR="0056590E">
        <w:rPr>
          <w:b/>
        </w:rPr>
        <w:t xml:space="preserve"> veřejné slyšení dne 1. 10. 2019</w:t>
      </w:r>
      <w:r w:rsidR="008966E5">
        <w:rPr>
          <w:b/>
        </w:rPr>
        <w:t xml:space="preserve"> za účasti zástupců poskytovatelů domácí péče, zástupců Ministerstva zdravotnictví a Všeobecné zdravotní pojišťovny. </w:t>
      </w:r>
      <w:r w:rsidR="00542CED">
        <w:t>Poskytovatelé domácí péče pouka</w:t>
      </w:r>
      <w:r w:rsidR="008966E5">
        <w:t>z</w:t>
      </w:r>
      <w:r w:rsidR="00542CED">
        <w:t>ov</w:t>
      </w:r>
      <w:r w:rsidR="008966E5">
        <w:t>ali na nedostatečné financování segmentu domácí zdravotní péče a jako přijatelné navrhovali navýšení</w:t>
      </w:r>
      <w:r w:rsidR="00542CED">
        <w:t xml:space="preserve"> financí          </w:t>
      </w:r>
      <w:r w:rsidR="008966E5">
        <w:t xml:space="preserve"> o 40 %. Během proje</w:t>
      </w:r>
      <w:r w:rsidR="001E767A">
        <w:t>dnávání bylo dosaženo kompromisu v tom smyslu, že z roku na rok půjde navýšit finance pro tuto oblast o 20 % a situaci bude nutné dále sledovat. Skokové navýšení o 40 % ale možné není.</w:t>
      </w:r>
    </w:p>
    <w:p w:rsidR="00C17130" w:rsidRDefault="00C17130" w:rsidP="00C17130">
      <w:pPr>
        <w:jc w:val="both"/>
        <w:rPr>
          <w:b/>
        </w:rPr>
      </w:pPr>
    </w:p>
    <w:p w:rsidR="00532176" w:rsidRPr="00FA0F80" w:rsidRDefault="001E767A" w:rsidP="00C17130">
      <w:pPr>
        <w:jc w:val="both"/>
      </w:pPr>
      <w:r>
        <w:t>3. Dne 6. 9. 2019</w:t>
      </w:r>
      <w:r w:rsidR="00532176">
        <w:t xml:space="preserve"> převzal petiční výbor</w:t>
      </w:r>
      <w:r>
        <w:t xml:space="preserve"> od pana poslance P. Bělobrádka</w:t>
      </w:r>
      <w:r w:rsidR="00532176">
        <w:t xml:space="preserve"> </w:t>
      </w:r>
      <w:r>
        <w:rPr>
          <w:b/>
        </w:rPr>
        <w:t xml:space="preserve">„Petici za vybudování pobytového a rehabilitačního zařízení pro nemocné </w:t>
      </w:r>
      <w:r w:rsidR="008D3705" w:rsidRPr="0036495B">
        <w:rPr>
          <w:b/>
        </w:rPr>
        <w:t>s</w:t>
      </w:r>
      <w:r w:rsidR="008D3705">
        <w:rPr>
          <w:b/>
        </w:rPr>
        <w:t xml:space="preserve"> </w:t>
      </w:r>
      <w:r>
        <w:rPr>
          <w:b/>
        </w:rPr>
        <w:t>roztroušenou mozkomíšní sklerózou“</w:t>
      </w:r>
      <w:r w:rsidR="00FA0F80">
        <w:rPr>
          <w:b/>
        </w:rPr>
        <w:t xml:space="preserve"> </w:t>
      </w:r>
      <w:r w:rsidR="00FA0F80">
        <w:t>s tím,</w:t>
      </w:r>
      <w:r w:rsidR="00086284">
        <w:t xml:space="preserve"> že </w:t>
      </w:r>
      <w:r w:rsidR="00FA0F80">
        <w:t>příslušné podpisové archy</w:t>
      </w:r>
      <w:r w:rsidR="00086284">
        <w:t xml:space="preserve"> budou dodány</w:t>
      </w:r>
      <w:r w:rsidR="00FA0F80">
        <w:t>. Dodatečným šetřením pan poslanec zji</w:t>
      </w:r>
      <w:r w:rsidR="009D0F9E">
        <w:t>stil, že šlo o petici z roku 201</w:t>
      </w:r>
      <w:r w:rsidR="00FA0F80">
        <w:t xml:space="preserve">5 směrovanou na Ministerstvo práce a sociálních věcí a na Ministerstvo zdravotnictví a </w:t>
      </w:r>
      <w:r w:rsidR="00086284">
        <w:t xml:space="preserve">že </w:t>
      </w:r>
      <w:r w:rsidR="00FA0F80">
        <w:t xml:space="preserve">údaje v ní uvedené už nejsou aktuální. Petenti na jeho opakovanou urgenci nedodali ani jeden podepsaný arch, proto pan poslanec P. Bělobrádek požádal o </w:t>
      </w:r>
      <w:r w:rsidR="00FA0F80" w:rsidRPr="00FA0F80">
        <w:rPr>
          <w:b/>
        </w:rPr>
        <w:t xml:space="preserve">ukončení této </w:t>
      </w:r>
      <w:r w:rsidR="00FA0F80" w:rsidRPr="0036495B">
        <w:rPr>
          <w:b/>
        </w:rPr>
        <w:t>petice</w:t>
      </w:r>
      <w:r w:rsidR="008D3705" w:rsidRPr="0036495B">
        <w:rPr>
          <w:b/>
        </w:rPr>
        <w:t xml:space="preserve"> v důsledku procesní i věcné zmatečnosti.</w:t>
      </w:r>
    </w:p>
    <w:p w:rsidR="00532176" w:rsidRDefault="00532176" w:rsidP="00C17130">
      <w:pPr>
        <w:jc w:val="both"/>
        <w:rPr>
          <w:b/>
        </w:rPr>
      </w:pPr>
    </w:p>
    <w:p w:rsidR="00FA0F80" w:rsidRDefault="00FA0F80" w:rsidP="00C17130">
      <w:pPr>
        <w:jc w:val="both"/>
      </w:pPr>
      <w:r>
        <w:t>4. Dne 24. 9. 2019</w:t>
      </w:r>
      <w:r w:rsidR="007C7752">
        <w:t xml:space="preserve"> byla petičnímu výboru doručena </w:t>
      </w:r>
      <w:r>
        <w:rPr>
          <w:b/>
        </w:rPr>
        <w:t>„Petice za svobodnou volbu školy pro vzdělávání cizinců“</w:t>
      </w:r>
      <w:r w:rsidR="005376BB">
        <w:rPr>
          <w:b/>
        </w:rPr>
        <w:t>,</w:t>
      </w:r>
      <w:r>
        <w:rPr>
          <w:b/>
        </w:rPr>
        <w:t xml:space="preserve"> kterou podepsalo 145</w:t>
      </w:r>
      <w:r w:rsidR="007C7752">
        <w:rPr>
          <w:b/>
        </w:rPr>
        <w:t xml:space="preserve"> petentů.</w:t>
      </w:r>
      <w:r w:rsidR="007C7752">
        <w:t xml:space="preserve"> </w:t>
      </w:r>
      <w:r>
        <w:t xml:space="preserve">Petice shodného obsahu </w:t>
      </w:r>
      <w:r>
        <w:rPr>
          <w:b/>
        </w:rPr>
        <w:t>s 55 po</w:t>
      </w:r>
      <w:r w:rsidR="00DE56BB">
        <w:rPr>
          <w:b/>
        </w:rPr>
        <w:t xml:space="preserve">dpisy </w:t>
      </w:r>
      <w:r w:rsidR="00DE56BB">
        <w:t xml:space="preserve">byla doručena 26. 9. 2019. Zástupce petentů ze společnosti Pražské vzdělávací středisko v Liberci poukazoval na možné znevýhodňování tohoto střediska v poskytování jazykové </w:t>
      </w:r>
      <w:r w:rsidR="00DE56BB" w:rsidRPr="0036495B">
        <w:t xml:space="preserve">přípravy </w:t>
      </w:r>
      <w:r w:rsidR="008D3705" w:rsidRPr="0036495B">
        <w:t xml:space="preserve">češtiny </w:t>
      </w:r>
      <w:r w:rsidR="00DE56BB" w:rsidRPr="0036495B">
        <w:t>pro</w:t>
      </w:r>
      <w:r w:rsidR="00DE56BB">
        <w:t xml:space="preserve"> cizince. Zpravodaj obou těchto petic si vyžádal k uvedené problematice stanovisko Ministerstva zahraničních věcí a Ministerstva vnitra. Ministerstvo zahraničních věcí sdělilo, že striktně postupuje dle směrnic Evropského parlamentu a Rady EU a že gestorem této problematiky je Ministerstvo vnitra. Z odpovědi min</w:t>
      </w:r>
      <w:r w:rsidR="00542CED">
        <w:t xml:space="preserve">istra vnitra je zřejmé, že </w:t>
      </w:r>
      <w:r w:rsidR="003D12BB">
        <w:t>p</w:t>
      </w:r>
      <w:r w:rsidR="00DE56BB">
        <w:t xml:space="preserve">etenti nesplňují </w:t>
      </w:r>
      <w:r w:rsidR="00DE56BB">
        <w:lastRenderedPageBreak/>
        <w:t>podmínky definice studia ze zákona, a proto podávají žádosti o udělení dlouhodobého víza nad 90 dnů za účelem „ostatní“</w:t>
      </w:r>
      <w:r w:rsidR="00542CED">
        <w:t xml:space="preserve">. </w:t>
      </w:r>
      <w:r w:rsidR="00542CED" w:rsidRPr="0036495B">
        <w:t>T</w:t>
      </w:r>
      <w:r w:rsidR="00DE56BB" w:rsidRPr="0036495B">
        <w:t>oto středisko</w:t>
      </w:r>
      <w:r w:rsidR="00542CED" w:rsidRPr="0036495B">
        <w:t xml:space="preserve"> tedy</w:t>
      </w:r>
      <w:r w:rsidR="00DE56BB" w:rsidRPr="0036495B">
        <w:t xml:space="preserve"> nemůže být srovnáváno s ostatními školami, které podmínky zákona splňují. </w:t>
      </w:r>
      <w:r w:rsidR="00542CED" w:rsidRPr="0036495B">
        <w:t xml:space="preserve">Petiční výbor dospěl k závěru, že petenti nesplňují zákonné podmínky pro udělování studijních víz, </w:t>
      </w:r>
      <w:r w:rsidR="003D12BB" w:rsidRPr="0036495B">
        <w:t>o</w:t>
      </w:r>
      <w:r w:rsidR="00542CED" w:rsidRPr="0036495B">
        <w:t>dkazovat se</w:t>
      </w:r>
      <w:r w:rsidR="000A6A2C" w:rsidRPr="0036495B">
        <w:t xml:space="preserve"> zde</w:t>
      </w:r>
      <w:r w:rsidR="00542CED" w:rsidRPr="0036495B">
        <w:t xml:space="preserve"> na nerovný přístup k volbě </w:t>
      </w:r>
      <w:r w:rsidR="000A6A2C" w:rsidRPr="0036495B">
        <w:t xml:space="preserve">vzdělání </w:t>
      </w:r>
      <w:r w:rsidR="003D12BB" w:rsidRPr="0036495B">
        <w:t>není důvodné a petice proto není opodstatněná.</w:t>
      </w:r>
    </w:p>
    <w:p w:rsidR="00C17130" w:rsidRDefault="00C17130" w:rsidP="00C17130">
      <w:pPr>
        <w:jc w:val="both"/>
      </w:pPr>
    </w:p>
    <w:p w:rsidR="000A6A2C" w:rsidRPr="000A6A2C" w:rsidRDefault="000A6A2C" w:rsidP="00C17130">
      <w:pPr>
        <w:jc w:val="both"/>
        <w:rPr>
          <w:b/>
        </w:rPr>
      </w:pPr>
      <w:r>
        <w:t>5. Dne 7. 10. 2019</w:t>
      </w:r>
      <w:r w:rsidR="00D76FE2">
        <w:t xml:space="preserve"> převzal petiční výbor </w:t>
      </w:r>
      <w:r w:rsidR="008D4C2C">
        <w:rPr>
          <w:b/>
        </w:rPr>
        <w:t>petici</w:t>
      </w:r>
      <w:r w:rsidR="00D76FE2">
        <w:rPr>
          <w:b/>
        </w:rPr>
        <w:t xml:space="preserve"> s</w:t>
      </w:r>
      <w:r>
        <w:rPr>
          <w:b/>
        </w:rPr>
        <w:t>e 181</w:t>
      </w:r>
      <w:r w:rsidR="00D76FE2">
        <w:rPr>
          <w:b/>
        </w:rPr>
        <w:t xml:space="preserve"> </w:t>
      </w:r>
      <w:r w:rsidR="00D159C2">
        <w:rPr>
          <w:b/>
        </w:rPr>
        <w:t>podpis</w:t>
      </w:r>
      <w:r>
        <w:rPr>
          <w:b/>
        </w:rPr>
        <w:t xml:space="preserve">y „Proti postupu orgánů státní správy města a samosprávy města Tábor ve věci Zoologická zahrada Tábor, a.s. </w:t>
      </w:r>
      <w:r>
        <w:t xml:space="preserve">Předmětem petice je nesouhlas občanů s vybudováním Zoologické zahrady v rozporu s územním plánem, kdy na řadu staveb pro chov zvířat, včetně kočkovitých šelem, nebylo vydáno stavební povolení. Přesto státní veterinární správa vydala ZOO licenci. Dalším problémem je příjezdová cesta k ZOO, která vede přes celou osadu Větrovy a část vede po prašné účelové cestě. Petenti tvrdí, že dochází ke znehodnocení domů a pozemků a výrazně se zhoršily životní podmínky. </w:t>
      </w:r>
      <w:r w:rsidRPr="0036495B">
        <w:t>Zpravodajka se spojila</w:t>
      </w:r>
      <w:r>
        <w:t xml:space="preserve"> s předkladatelem této petice a požádala o analýzu celé situace Ministerstvo zemědělství, Ministerstvo životního prostředí, Ministerstvo dopravy a Ministerstvo pro místní rozvoj. </w:t>
      </w:r>
      <w:r w:rsidRPr="0036495B">
        <w:t>Nyní se čeká na vyžádaná stanoviska</w:t>
      </w:r>
      <w:r w:rsidR="003D12BB" w:rsidRPr="0036495B">
        <w:t>;</w:t>
      </w:r>
      <w:r w:rsidRPr="0036495B">
        <w:t xml:space="preserve"> vyřízení petice </w:t>
      </w:r>
      <w:r w:rsidR="003D12BB" w:rsidRPr="0036495B">
        <w:t xml:space="preserve">proto </w:t>
      </w:r>
      <w:r w:rsidR="003D12BB" w:rsidRPr="0036495B">
        <w:rPr>
          <w:b/>
          <w:bCs/>
        </w:rPr>
        <w:t>p</w:t>
      </w:r>
      <w:r w:rsidRPr="0036495B">
        <w:rPr>
          <w:b/>
          <w:bCs/>
        </w:rPr>
        <w:t>e</w:t>
      </w:r>
      <w:r w:rsidRPr="0036495B">
        <w:rPr>
          <w:b/>
        </w:rPr>
        <w:t>tiční výbor prodloužil do konce ledna 2020.</w:t>
      </w:r>
    </w:p>
    <w:p w:rsidR="00C17130" w:rsidRDefault="00C17130" w:rsidP="00C17130">
      <w:pPr>
        <w:jc w:val="both"/>
      </w:pPr>
    </w:p>
    <w:p w:rsidR="00D76FE2" w:rsidRPr="00086284" w:rsidRDefault="00086284" w:rsidP="00D76FE2">
      <w:pPr>
        <w:jc w:val="both"/>
      </w:pPr>
      <w:r>
        <w:t>6. Dne 16</w:t>
      </w:r>
      <w:r w:rsidR="00D76FE2">
        <w:t xml:space="preserve">. </w:t>
      </w:r>
      <w:r>
        <w:t xml:space="preserve">10. 2019 byla petičnímu výboru předána </w:t>
      </w:r>
      <w:r>
        <w:rPr>
          <w:b/>
        </w:rPr>
        <w:t>„Petice za ukončení genocidy praktikujících metody Falun Gong páchaná čínským režimem“ s 10 287</w:t>
      </w:r>
      <w:r w:rsidR="00D76FE2">
        <w:rPr>
          <w:b/>
        </w:rPr>
        <w:t xml:space="preserve"> podpisy. Tato p</w:t>
      </w:r>
      <w:r>
        <w:rPr>
          <w:b/>
        </w:rPr>
        <w:t xml:space="preserve">etice bude projednána veřejným slyšením během prvního čtvrtletí roku 2020. </w:t>
      </w:r>
      <w:r>
        <w:t xml:space="preserve">Petenti </w:t>
      </w:r>
      <w:r w:rsidR="00507A42">
        <w:t xml:space="preserve">rovněž </w:t>
      </w:r>
      <w:r>
        <w:t>žádají, aby</w:t>
      </w:r>
      <w:r w:rsidR="00507A42">
        <w:t xml:space="preserve"> na základě uvedené</w:t>
      </w:r>
      <w:r>
        <w:t xml:space="preserve"> petice </w:t>
      </w:r>
      <w:r w:rsidR="00507A42">
        <w:t>Poslanecká sněmovna vyjádřila nesouhlas s pronásledováním Falun Gongu a vyjádřila morální podporu lidem, kteří jsou v Číně pronásledováni, mučeni a zabíjeni jen proto, že se věnují meditační praxi Falun Gong.</w:t>
      </w:r>
      <w:r>
        <w:t xml:space="preserve"> </w:t>
      </w:r>
      <w:r w:rsidR="00507A42">
        <w:t>Opakovaný návrh na z</w:t>
      </w:r>
      <w:r>
        <w:t xml:space="preserve">ařazení projednání této petice na jednání schůze Poslanecké sněmovny </w:t>
      </w:r>
      <w:r w:rsidR="00507A42">
        <w:t>byl neúspěšný</w:t>
      </w:r>
      <w:r>
        <w:t>.</w:t>
      </w:r>
    </w:p>
    <w:p w:rsidR="00C17130" w:rsidRDefault="00C17130" w:rsidP="00C17130">
      <w:pPr>
        <w:jc w:val="both"/>
      </w:pPr>
    </w:p>
    <w:p w:rsidR="00D159C2" w:rsidRDefault="00507A42" w:rsidP="00C17130">
      <w:pPr>
        <w:jc w:val="both"/>
      </w:pPr>
      <w:r>
        <w:t>7. Dne 14. 11. 2019</w:t>
      </w:r>
      <w:r w:rsidR="00D159C2">
        <w:t xml:space="preserve"> přijal petiční výbor </w:t>
      </w:r>
      <w:r>
        <w:rPr>
          <w:b/>
        </w:rPr>
        <w:t xml:space="preserve">„Petici za povinnou identifikaci a registraci koček“ s 20 podpisy. Petici podpořilo ještě 980 petentů připojením mailové adresy. </w:t>
      </w:r>
      <w:r>
        <w:t>Zpravodaj této petice požádal o prodloužení lhůty na vyřízení do konce ledna 2020.</w:t>
      </w:r>
    </w:p>
    <w:p w:rsidR="00D159C2" w:rsidRPr="00605644" w:rsidRDefault="00D159C2" w:rsidP="00C17130">
      <w:pPr>
        <w:jc w:val="both"/>
      </w:pPr>
    </w:p>
    <w:p w:rsidR="00507A42" w:rsidRPr="00507A42" w:rsidRDefault="00D159C2" w:rsidP="00091DB6">
      <w:pPr>
        <w:jc w:val="both"/>
      </w:pPr>
      <w:r>
        <w:t xml:space="preserve">8. Dne </w:t>
      </w:r>
      <w:r w:rsidR="00507A42">
        <w:t>5. 12. 2019 bylo doručeno</w:t>
      </w:r>
      <w:r w:rsidR="00C17130">
        <w:t xml:space="preserve"> petičnímu </w:t>
      </w:r>
      <w:r>
        <w:t>výb</w:t>
      </w:r>
      <w:r w:rsidR="00507A42">
        <w:t xml:space="preserve">oru Poslanecké sněmovny </w:t>
      </w:r>
      <w:r w:rsidR="00507A42">
        <w:rPr>
          <w:b/>
        </w:rPr>
        <w:t xml:space="preserve">„Petiční podání za změnu právní úpravy exekučního řízení“ s jedním podpisem. </w:t>
      </w:r>
      <w:r w:rsidR="00507A42">
        <w:t xml:space="preserve">Spíše než o petici se však jedná o legislativní podnět, který může být využit při legislativně úpravě zákona o exekučním řízení. </w:t>
      </w:r>
      <w:r w:rsidR="00FF0E8A">
        <w:t>Tento podnět upozorňuje na nynější nedostatky právní úpravy zhoršující již tak špatné postavení některých dlužníků, kteří pak řeší svou situaci odchodem do zóny tzv. šedé ekonomiky. Zpravodajka pisateli odpověděla se závěrem, že se jeho námětem budou poslanci zabývat a o dalším vývoji legislativních změn této problematiky ho bude informovat.</w:t>
      </w:r>
    </w:p>
    <w:p w:rsidR="00507A42" w:rsidRDefault="00507A42" w:rsidP="00091DB6">
      <w:pPr>
        <w:jc w:val="both"/>
        <w:rPr>
          <w:b/>
        </w:rPr>
      </w:pPr>
    </w:p>
    <w:p w:rsidR="002A7CC9" w:rsidRDefault="002A7CC9" w:rsidP="00C17130">
      <w:pPr>
        <w:jc w:val="both"/>
      </w:pPr>
      <w:r>
        <w:t>9.</w:t>
      </w:r>
      <w:r w:rsidR="00906A34">
        <w:t xml:space="preserve"> </w:t>
      </w:r>
      <w:r w:rsidR="00636224">
        <w:t>Dne 6. 12. 2019</w:t>
      </w:r>
      <w:r w:rsidR="000823F2">
        <w:t xml:space="preserve"> přijal petiční výbor </w:t>
      </w:r>
      <w:r w:rsidR="00636224">
        <w:rPr>
          <w:b/>
        </w:rPr>
        <w:t>„Petici za odstranění diskriminace dětí v přístupu do kolektivů v rámci povinného očkování“ s 4 618</w:t>
      </w:r>
      <w:r w:rsidR="000823F2">
        <w:rPr>
          <w:b/>
        </w:rPr>
        <w:t xml:space="preserve"> podpisy.</w:t>
      </w:r>
      <w:r w:rsidR="000823F2">
        <w:t xml:space="preserve"> Petenti v petici</w:t>
      </w:r>
      <w:r w:rsidR="00636224">
        <w:t xml:space="preserve"> požadují umožnit přijímání </w:t>
      </w:r>
      <w:r w:rsidR="003109CD">
        <w:t xml:space="preserve">všech </w:t>
      </w:r>
      <w:r w:rsidR="00636224">
        <w:t>dětí do p</w:t>
      </w:r>
      <w:r w:rsidR="003109CD">
        <w:t xml:space="preserve">ředškolních zařízení </w:t>
      </w:r>
      <w:r w:rsidR="00636224">
        <w:t xml:space="preserve">bez omezení a zrušit podmínku řádného očkování pro účast </w:t>
      </w:r>
      <w:r w:rsidR="003109CD">
        <w:t>na školách v přírodě a na zotavovacích akcích. Podepisování této petice stále pokračuje, pet</w:t>
      </w:r>
      <w:r w:rsidR="003F4BD3">
        <w:t xml:space="preserve">enti chtějí další archy předat </w:t>
      </w:r>
      <w:r w:rsidR="003109CD">
        <w:t>petičnímu výboru během ledna roku 2020.</w:t>
      </w:r>
    </w:p>
    <w:p w:rsidR="003D12BB" w:rsidRDefault="003F4BD3" w:rsidP="00C17130">
      <w:pPr>
        <w:jc w:val="both"/>
      </w:pPr>
      <w:r>
        <w:t xml:space="preserve">       </w:t>
      </w:r>
    </w:p>
    <w:p w:rsidR="00EF3403" w:rsidRDefault="003D12BB" w:rsidP="00C17130">
      <w:pPr>
        <w:jc w:val="both"/>
      </w:pPr>
      <w:r>
        <w:t xml:space="preserve">10. </w:t>
      </w:r>
      <w:r w:rsidR="003F4BD3">
        <w:t>Ve 2. pololetí</w:t>
      </w:r>
      <w:r w:rsidR="00347C28">
        <w:t xml:space="preserve"> roku 2019 uspořádal petiční výbor </w:t>
      </w:r>
      <w:r>
        <w:t xml:space="preserve">i </w:t>
      </w:r>
      <w:r w:rsidR="00347C28">
        <w:t xml:space="preserve">veřejné slyšení k </w:t>
      </w:r>
      <w:r w:rsidR="00347C28">
        <w:rPr>
          <w:b/>
        </w:rPr>
        <w:t>„Petici za posílení práv společenství vlastníků jednotek a vlastníků bytových jednotek“ s 48 468 podpisy.</w:t>
      </w:r>
      <w:r w:rsidR="00347C28">
        <w:t xml:space="preserve"> Tato petice byla petičnímu výboru předána 18. 6. </w:t>
      </w:r>
      <w:r w:rsidR="008C3E61">
        <w:t xml:space="preserve">2019. Došlo ale k pochybení - petičnímu výboru byl </w:t>
      </w:r>
      <w:r w:rsidRPr="0036495B">
        <w:t>omylem</w:t>
      </w:r>
      <w:r>
        <w:t xml:space="preserve"> </w:t>
      </w:r>
      <w:r w:rsidR="008C3E61">
        <w:t xml:space="preserve">zaslán Ministerstvem spravedlnosti jiný text, než obsahovala petice zaslaná předsedovi vlády, kterou chtěli petenti řešit. </w:t>
      </w:r>
      <w:r>
        <w:t xml:space="preserve">Proto se veřejné slyšení konalo až </w:t>
      </w:r>
      <w:r w:rsidR="008C3E61">
        <w:t xml:space="preserve">dne 12. 11. 2019 </w:t>
      </w:r>
      <w:r w:rsidR="005441DD" w:rsidRPr="0036495B">
        <w:lastRenderedPageBreak/>
        <w:t xml:space="preserve">a jeho </w:t>
      </w:r>
      <w:r w:rsidR="008C3E61" w:rsidRPr="0036495B">
        <w:rPr>
          <w:b/>
        </w:rPr>
        <w:t>výsledkem bylo přijetí usnesení</w:t>
      </w:r>
      <w:r w:rsidR="008C3E61" w:rsidRPr="0036495B">
        <w:t xml:space="preserve">, kterým petiční výbor podporuje požadavek petentů na </w:t>
      </w:r>
      <w:r w:rsidR="005441DD" w:rsidRPr="0036495B">
        <w:t>legislativní změny s cílem:</w:t>
      </w:r>
    </w:p>
    <w:p w:rsidR="008C3E61" w:rsidRDefault="008C3E61" w:rsidP="008C3E61">
      <w:pPr>
        <w:pStyle w:val="Odstavecseseznamem"/>
        <w:numPr>
          <w:ilvl w:val="0"/>
          <w:numId w:val="8"/>
        </w:numPr>
        <w:jc w:val="both"/>
      </w:pPr>
      <w:r>
        <w:t>přednostní</w:t>
      </w:r>
      <w:r w:rsidR="005441DD">
        <w:t>ho</w:t>
      </w:r>
      <w:r>
        <w:t xml:space="preserve"> uspokojování pohledávek z užívání bytů,</w:t>
      </w:r>
    </w:p>
    <w:p w:rsidR="008C3E61" w:rsidRDefault="008C3E61" w:rsidP="008C3E61">
      <w:pPr>
        <w:pStyle w:val="Odstavecseseznamem"/>
        <w:numPr>
          <w:ilvl w:val="0"/>
          <w:numId w:val="8"/>
        </w:numPr>
        <w:jc w:val="both"/>
      </w:pPr>
      <w:r>
        <w:t>stanovení maximální délky jednotlivých úkonů v exekučním řízení,</w:t>
      </w:r>
    </w:p>
    <w:p w:rsidR="008C3E61" w:rsidRDefault="008C3E61" w:rsidP="008C3E61">
      <w:pPr>
        <w:pStyle w:val="Odstavecseseznamem"/>
        <w:numPr>
          <w:ilvl w:val="0"/>
          <w:numId w:val="8"/>
        </w:numPr>
        <w:jc w:val="both"/>
      </w:pPr>
      <w:r>
        <w:t>povinnost Úřadu práce zasílat část dávek na bydlení přímo BD a SVJ na základě jejich žádosti, případně potvrzení bezdlužnosti majitele bytu při žádosti o dávku na bydlení, podmínění sociálních dávek a nutnost spolupráce se sociálními pracovníky</w:t>
      </w:r>
      <w:r w:rsidR="005441DD">
        <w:t>,</w:t>
      </w:r>
    </w:p>
    <w:p w:rsidR="008C3E61" w:rsidRPr="008C3E61" w:rsidRDefault="008C3E61" w:rsidP="008C3E61">
      <w:pPr>
        <w:pStyle w:val="Odstavecseseznamem"/>
        <w:numPr>
          <w:ilvl w:val="0"/>
          <w:numId w:val="8"/>
        </w:numPr>
        <w:jc w:val="both"/>
      </w:pPr>
      <w:r>
        <w:t>povinnost obyvatele bytu strpět vstup a nezbytné konání oprávněných osob za účelem deratizace škodlivého hmyzu a podobných opatření.</w:t>
      </w:r>
    </w:p>
    <w:p w:rsidR="00CC1EFD" w:rsidRDefault="00CC1EFD" w:rsidP="00546531">
      <w:pPr>
        <w:jc w:val="both"/>
      </w:pPr>
    </w:p>
    <w:p w:rsidR="00275FF6" w:rsidRDefault="00275FF6" w:rsidP="00546531">
      <w:pPr>
        <w:jc w:val="both"/>
      </w:pPr>
    </w:p>
    <w:p w:rsidR="00EE191F" w:rsidRPr="00546531" w:rsidRDefault="00EE191F" w:rsidP="00EE191F">
      <w:pPr>
        <w:jc w:val="both"/>
      </w:pPr>
      <w:r>
        <w:rPr>
          <w:b/>
        </w:rPr>
        <w:t>II.</w:t>
      </w:r>
      <w:r>
        <w:rPr>
          <w:b/>
        </w:rPr>
        <w:tab/>
      </w:r>
      <w:r w:rsidRPr="00046098">
        <w:rPr>
          <w:b/>
        </w:rPr>
        <w:t>Postup při vyřizování petic</w:t>
      </w:r>
    </w:p>
    <w:p w:rsidR="00EE191F" w:rsidRDefault="00EE191F" w:rsidP="00EE191F">
      <w:pPr>
        <w:pStyle w:val="Normlnweb"/>
        <w:jc w:val="both"/>
      </w:pPr>
      <w:r>
        <w:t xml:space="preserve">Při vyřizování petic se postupuje dle </w:t>
      </w:r>
      <w:r w:rsidRPr="00761BA3">
        <w:rPr>
          <w:b/>
        </w:rPr>
        <w:t>zákona č 85/1990 Sb., o právu petičním, zákona č. 90/1995 Sb., o jednacím řádu Poslanecké sněmovny</w:t>
      </w:r>
      <w:r>
        <w:rPr>
          <w:b/>
        </w:rPr>
        <w:t xml:space="preserve"> a </w:t>
      </w:r>
      <w:r w:rsidRPr="00761BA3">
        <w:rPr>
          <w:b/>
        </w:rPr>
        <w:t xml:space="preserve">Zásad petičního výboru pro vyřizování petic doručených Poslanecké sněmovně a jejím orgánům, </w:t>
      </w:r>
      <w:r w:rsidR="003109CD">
        <w:t>které</w:t>
      </w:r>
      <w:r w:rsidRPr="00046098">
        <w:t xml:space="preserve"> byl</w:t>
      </w:r>
      <w:r w:rsidR="003109CD">
        <w:t>y</w:t>
      </w:r>
      <w:r w:rsidRPr="00046098">
        <w:t xml:space="preserve"> pro 8. volební období schválen</w:t>
      </w:r>
      <w:r w:rsidR="003109CD">
        <w:t>y</w:t>
      </w:r>
      <w:r w:rsidRPr="00046098">
        <w:t xml:space="preserve"> dne 6. prosince 2017 na 2. schůzi petičního výboru</w:t>
      </w:r>
      <w:r w:rsidRPr="00046098">
        <w:rPr>
          <w:rFonts w:ascii="Consolas" w:hAnsi="Consolas" w:cs="Consolas"/>
        </w:rPr>
        <w:t>.</w:t>
      </w:r>
      <w:r>
        <w:t xml:space="preserve"> </w:t>
      </w:r>
      <w:r w:rsidR="003109CD">
        <w:t xml:space="preserve">Uvedené Zásady petičního výboru byly zpřesněny dne 19. února 2019 na 17. schůzi petičního výboru. </w:t>
      </w:r>
      <w:r>
        <w:t xml:space="preserve">Petiční výbor, kterému jsou vždy doručeny všechny petice adresované Poslanecké sněmovně, posoudí, zda petice obsahuje veškeré náležitosti stanovené zákonem o právu petičním a rozhoduje o postupu vyřízení došlé petice. </w:t>
      </w:r>
    </w:p>
    <w:p w:rsidR="00EE191F" w:rsidRDefault="00EE191F" w:rsidP="00EE191F">
      <w:pPr>
        <w:pStyle w:val="Normlnweb"/>
        <w:jc w:val="both"/>
      </w:pPr>
      <w:r w:rsidRPr="00FF5CB0">
        <w:rPr>
          <w:b/>
        </w:rPr>
        <w:t>K peticím s</w:t>
      </w:r>
      <w:r w:rsidRPr="00761BA3">
        <w:rPr>
          <w:b/>
        </w:rPr>
        <w:t xml:space="preserve"> více než 10 000 podpisy</w:t>
      </w:r>
      <w:r>
        <w:t xml:space="preserve">, případně </w:t>
      </w:r>
      <w:r w:rsidRPr="00FF5CB0">
        <w:rPr>
          <w:b/>
        </w:rPr>
        <w:t>k petici se závažným společenským tématem,</w:t>
      </w:r>
      <w:r>
        <w:t xml:space="preserve"> </w:t>
      </w:r>
      <w:r w:rsidRPr="00FF5CB0">
        <w:t>je uspořádáno</w:t>
      </w:r>
      <w:r w:rsidRPr="00761BA3">
        <w:rPr>
          <w:b/>
        </w:rPr>
        <w:t xml:space="preserve"> veřejné slyšení</w:t>
      </w:r>
      <w:r w:rsidRPr="0024325F">
        <w:rPr>
          <w:rFonts w:ascii="Rockwell Condensed" w:hAnsi="Rockwell Condensed"/>
        </w:rPr>
        <w:t>,</w:t>
      </w:r>
      <w:r>
        <w:t xml:space="preserve"> na které jsou přizváni zástupci petentů a zástupci příslušného ministerstva a dalších dotčených orgánů.  </w:t>
      </w:r>
    </w:p>
    <w:p w:rsidR="00EE191F" w:rsidRDefault="00EE191F" w:rsidP="00EE191F">
      <w:pPr>
        <w:pStyle w:val="Normlnweb"/>
        <w:jc w:val="both"/>
      </w:pPr>
      <w:r>
        <w:t>Petiční výbor dále rozhoduje o postoupení došlé petice k vyřízení nebo využití sněmovnímu výboru, který se danou problematikou zabývá. Některé petice, které požadují změnu či doplnění zákona, jsou postoupeny všem parlamentním klubům Poslanecké sněmovny jako připomínky a podněty k zákonodárné činnosti poslanců. Petice jsou také postupovány příslušnému ministerstvu, které zváží zapracování námětu do vládní předlohy zákona nebo vyhlášky. O některých významnějších a početnějších peticích jsou poslanci informováni přímo na zasedání Sněmovny. K propagaci petic přispívají informace o peticích na internetu.</w:t>
      </w:r>
    </w:p>
    <w:p w:rsidR="00EE191F" w:rsidRDefault="00EE191F" w:rsidP="00EE191F">
      <w:pPr>
        <w:pStyle w:val="western"/>
        <w:jc w:val="both"/>
        <w:rPr>
          <w:b w:val="0"/>
          <w:bCs w:val="0"/>
        </w:rPr>
      </w:pPr>
      <w:r>
        <w:rPr>
          <w:b w:val="0"/>
          <w:bCs w:val="0"/>
        </w:rPr>
        <w:t xml:space="preserve">Program evidence petic byl vypracován v informačním systému Poslanecké sněmovny a je k dispozici všem poslancům a výborům Poslanecké sněmovny. Evidence je realizována v prostředí Lotus Notes s uvedením, </w:t>
      </w:r>
      <w:r w:rsidRPr="00761BA3">
        <w:rPr>
          <w:bCs w:val="0"/>
        </w:rPr>
        <w:t>kdo petici podal, kdy byla doručena, čeho se týkala, jak, kdy a kým byla projednána a vyřízena</w:t>
      </w:r>
      <w:r w:rsidRPr="00761BA3">
        <w:rPr>
          <w:b w:val="0"/>
          <w:bCs w:val="0"/>
        </w:rPr>
        <w:t>.</w:t>
      </w:r>
      <w:r>
        <w:rPr>
          <w:b w:val="0"/>
          <w:bCs w:val="0"/>
        </w:rPr>
        <w:t xml:space="preserve"> Program lze využít nejen pro evidenci petic, ale i ke sledování pohybu jednotlivých dokumentů, stavu zpracování, k dotazům na jednotlivé dokumenty a selekci dokumentů dle různých klíčů. V informačním systému Poslanecké sněmovny jsou přehledně řazené pololetní zprávy tak, jak jsou projednávány petičním výborem a schváleny na plénu Poslanecké sněmovny.</w:t>
      </w:r>
    </w:p>
    <w:p w:rsidR="00EE191F" w:rsidRDefault="00EE191F" w:rsidP="00EE191F">
      <w:pPr>
        <w:pStyle w:val="Normlnweb"/>
        <w:jc w:val="both"/>
        <w:rPr>
          <w:b/>
          <w:i/>
        </w:rPr>
      </w:pPr>
      <w:r w:rsidRPr="00761BA3">
        <w:rPr>
          <w:b/>
        </w:rPr>
        <w:t>Obsah petic</w:t>
      </w:r>
      <w:r>
        <w:t xml:space="preserve"> je zachycen v tabulce, ve které se zároveň uvádí </w:t>
      </w:r>
      <w:r w:rsidRPr="00761BA3">
        <w:rPr>
          <w:b/>
        </w:rPr>
        <w:t>počet petic a podpisů</w:t>
      </w:r>
      <w:r w:rsidRPr="00761BA3">
        <w:t xml:space="preserve">. </w:t>
      </w:r>
      <w:r w:rsidRPr="00046098">
        <w:t>V tomto</w:t>
      </w:r>
      <w:r w:rsidRPr="00761BA3">
        <w:t xml:space="preserve"> přehledu </w:t>
      </w:r>
      <w:r w:rsidRPr="00761BA3">
        <w:rPr>
          <w:b/>
        </w:rPr>
        <w:t>jsou petice tříděny podle klasifikačních znaků přebíraných v tezauru Eurovoc</w:t>
      </w:r>
      <w:r>
        <w:t>, které vyjadřují hlavní téma petice. Každý klasifikační znak obsahuje číslo, které slouží pro jeho přesnou identifikaci a systematické členění seznamu petic.</w:t>
      </w:r>
      <w:r>
        <w:rPr>
          <w:b/>
          <w:i/>
        </w:rPr>
        <w:t xml:space="preserve"> </w:t>
      </w:r>
    </w:p>
    <w:p w:rsidR="00EE191F" w:rsidRDefault="00EE191F" w:rsidP="00EE191F">
      <w:pPr>
        <w:rPr>
          <w:rFonts w:eastAsia="Times New Roman" w:cs="Times New Roman"/>
          <w:color w:val="000000"/>
          <w:szCs w:val="24"/>
          <w:lang w:eastAsia="cs-CZ"/>
        </w:rPr>
      </w:pPr>
    </w:p>
    <w:p w:rsidR="00EE191F" w:rsidRDefault="00EE191F" w:rsidP="00EE191F">
      <w:pPr>
        <w:rPr>
          <w:rFonts w:eastAsia="Times New Roman" w:cs="Times New Roman"/>
          <w:color w:val="000000"/>
          <w:szCs w:val="24"/>
          <w:lang w:eastAsia="cs-CZ"/>
        </w:rPr>
      </w:pPr>
    </w:p>
    <w:p w:rsidR="0017259C" w:rsidRDefault="0017259C" w:rsidP="00EE191F">
      <w:pPr>
        <w:jc w:val="both"/>
      </w:pPr>
    </w:p>
    <w:p w:rsidR="007A4C2E" w:rsidRDefault="007A4C2E" w:rsidP="007A4C2E">
      <w:pPr>
        <w:ind w:left="141"/>
        <w:rPr>
          <w:rFonts w:eastAsia="Times New Roman" w:cs="Times New Roman"/>
          <w:b/>
          <w:color w:val="000000"/>
          <w:szCs w:val="24"/>
          <w:lang w:eastAsia="cs-CZ"/>
        </w:rPr>
      </w:pPr>
      <w:r>
        <w:rPr>
          <w:rFonts w:eastAsia="Times New Roman" w:cs="Times New Roman"/>
          <w:b/>
          <w:color w:val="000000"/>
          <w:szCs w:val="24"/>
          <w:lang w:eastAsia="cs-CZ"/>
        </w:rPr>
        <w:lastRenderedPageBreak/>
        <w:t>III. Tabulková část</w:t>
      </w:r>
    </w:p>
    <w:p w:rsidR="007A4C2E" w:rsidRDefault="007A4C2E" w:rsidP="007A4C2E">
      <w:pPr>
        <w:tabs>
          <w:tab w:val="left" w:pos="1080"/>
        </w:tabs>
      </w:pPr>
    </w:p>
    <w:p w:rsidR="007A4C2E" w:rsidRDefault="007A4C2E" w:rsidP="007A4C2E">
      <w:pPr>
        <w:tabs>
          <w:tab w:val="left" w:pos="1080"/>
        </w:tabs>
      </w:pPr>
    </w:p>
    <w:p w:rsidR="007A4C2E" w:rsidRDefault="007A4C2E" w:rsidP="007A4C2E">
      <w:pPr>
        <w:tabs>
          <w:tab w:val="left" w:pos="1080"/>
        </w:tabs>
        <w:jc w:val="right"/>
        <w:rPr>
          <w:b/>
        </w:rPr>
      </w:pPr>
      <w:r>
        <w:rPr>
          <w:b/>
        </w:rPr>
        <w:t>Tabulka č. 1</w:t>
      </w:r>
    </w:p>
    <w:p w:rsidR="007A4C2E" w:rsidRDefault="007A4C2E" w:rsidP="007A4C2E">
      <w:pPr>
        <w:tabs>
          <w:tab w:val="left" w:pos="1080"/>
        </w:tabs>
        <w:jc w:val="right"/>
        <w:rPr>
          <w:b/>
        </w:rPr>
      </w:pPr>
    </w:p>
    <w:p w:rsidR="007A4C2E" w:rsidRDefault="007A4C2E" w:rsidP="007A4C2E">
      <w:pPr>
        <w:tabs>
          <w:tab w:val="left" w:pos="1080"/>
        </w:tabs>
        <w:jc w:val="right"/>
        <w:rPr>
          <w:b/>
        </w:rPr>
      </w:pPr>
    </w:p>
    <w:p w:rsidR="007A4C2E" w:rsidRDefault="007A4C2E" w:rsidP="007A4C2E">
      <w:pPr>
        <w:tabs>
          <w:tab w:val="left" w:pos="1080"/>
        </w:tabs>
        <w:jc w:val="right"/>
        <w:rPr>
          <w:b/>
        </w:rPr>
      </w:pPr>
    </w:p>
    <w:p w:rsidR="007A4C2E" w:rsidRDefault="007A4C2E" w:rsidP="007A4C2E">
      <w:pPr>
        <w:tabs>
          <w:tab w:val="left" w:pos="1080"/>
        </w:tabs>
        <w:jc w:val="center"/>
        <w:rPr>
          <w:b/>
          <w:u w:val="single"/>
        </w:rPr>
      </w:pPr>
      <w:r>
        <w:rPr>
          <w:b/>
          <w:u w:val="single"/>
        </w:rPr>
        <w:t>Přehled petic došlých Poslanecké sněmovně</w:t>
      </w:r>
    </w:p>
    <w:p w:rsidR="007A4C2E" w:rsidRDefault="0099683F" w:rsidP="007A4C2E">
      <w:pPr>
        <w:tabs>
          <w:tab w:val="left" w:pos="1286"/>
        </w:tabs>
        <w:jc w:val="center"/>
        <w:rPr>
          <w:b/>
          <w:u w:val="single"/>
        </w:rPr>
      </w:pPr>
      <w:r>
        <w:rPr>
          <w:b/>
          <w:u w:val="single"/>
        </w:rPr>
        <w:t>za období od 1. 7. 2019 do 31. 12. 2019</w:t>
      </w:r>
    </w:p>
    <w:tbl>
      <w:tblPr>
        <w:tblStyle w:val="Mkatabulky"/>
        <w:tblpPr w:leftFromText="141" w:rightFromText="141" w:vertAnchor="text" w:horzAnchor="margin" w:tblpXSpec="center" w:tblpY="438"/>
        <w:tblW w:w="9776" w:type="dxa"/>
        <w:tblLook w:val="04A0" w:firstRow="1" w:lastRow="0" w:firstColumn="1" w:lastColumn="0" w:noHBand="0" w:noVBand="1"/>
      </w:tblPr>
      <w:tblGrid>
        <w:gridCol w:w="1469"/>
        <w:gridCol w:w="1090"/>
        <w:gridCol w:w="1377"/>
        <w:gridCol w:w="1307"/>
        <w:gridCol w:w="1161"/>
        <w:gridCol w:w="821"/>
        <w:gridCol w:w="1134"/>
        <w:gridCol w:w="1417"/>
      </w:tblGrid>
      <w:tr w:rsidR="007A4C2E" w:rsidTr="007A4C2E">
        <w:trPr>
          <w:trHeight w:val="419"/>
        </w:trPr>
        <w:tc>
          <w:tcPr>
            <w:tcW w:w="1469" w:type="dxa"/>
            <w:vMerge w:val="restart"/>
            <w:tcBorders>
              <w:top w:val="single" w:sz="4" w:space="0" w:color="auto"/>
              <w:left w:val="single" w:sz="4" w:space="0" w:color="auto"/>
              <w:bottom w:val="single" w:sz="4" w:space="0" w:color="auto"/>
              <w:right w:val="single" w:sz="4" w:space="0" w:color="auto"/>
            </w:tcBorders>
          </w:tcPr>
          <w:p w:rsidR="007A4C2E" w:rsidRDefault="007A4C2E">
            <w:pPr>
              <w:jc w:val="both"/>
            </w:pPr>
          </w:p>
          <w:p w:rsidR="007A4C2E" w:rsidRDefault="007A4C2E">
            <w:pPr>
              <w:jc w:val="both"/>
            </w:pPr>
          </w:p>
          <w:p w:rsidR="007A4C2E" w:rsidRDefault="007A4C2E">
            <w:pPr>
              <w:jc w:val="both"/>
            </w:pPr>
            <w:r>
              <w:t xml:space="preserve">Výbory, komise </w:t>
            </w:r>
          </w:p>
        </w:tc>
        <w:tc>
          <w:tcPr>
            <w:tcW w:w="1090" w:type="dxa"/>
            <w:vMerge w:val="restart"/>
            <w:tcBorders>
              <w:top w:val="single" w:sz="4" w:space="0" w:color="auto"/>
              <w:left w:val="single" w:sz="4" w:space="0" w:color="auto"/>
              <w:bottom w:val="single" w:sz="4" w:space="0" w:color="auto"/>
              <w:right w:val="single" w:sz="4" w:space="0" w:color="auto"/>
            </w:tcBorders>
          </w:tcPr>
          <w:p w:rsidR="007A4C2E" w:rsidRDefault="007A4C2E">
            <w:pPr>
              <w:jc w:val="both"/>
            </w:pPr>
          </w:p>
          <w:p w:rsidR="007A4C2E" w:rsidRDefault="007A4C2E">
            <w:pPr>
              <w:jc w:val="both"/>
            </w:pPr>
            <w:r>
              <w:t xml:space="preserve"> </w:t>
            </w:r>
          </w:p>
          <w:p w:rsidR="007A4C2E" w:rsidRDefault="007A4C2E">
            <w:pPr>
              <w:jc w:val="both"/>
            </w:pPr>
            <w:r>
              <w:t xml:space="preserve">  Došlo </w:t>
            </w:r>
          </w:p>
        </w:tc>
        <w:tc>
          <w:tcPr>
            <w:tcW w:w="5800" w:type="dxa"/>
            <w:gridSpan w:val="5"/>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Vyřízeno</w:t>
            </w:r>
          </w:p>
          <w:p w:rsidR="007A4C2E" w:rsidRDefault="007A4C2E">
            <w:pPr>
              <w:jc w:val="center"/>
            </w:pPr>
          </w:p>
        </w:tc>
        <w:tc>
          <w:tcPr>
            <w:tcW w:w="1417" w:type="dxa"/>
            <w:vMerge w:val="restart"/>
            <w:tcBorders>
              <w:top w:val="single" w:sz="4" w:space="0" w:color="auto"/>
              <w:left w:val="single" w:sz="4" w:space="0" w:color="auto"/>
              <w:bottom w:val="single" w:sz="4" w:space="0" w:color="auto"/>
              <w:right w:val="single" w:sz="4" w:space="0" w:color="auto"/>
            </w:tcBorders>
          </w:tcPr>
          <w:p w:rsidR="007A4C2E" w:rsidRDefault="007A4C2E"/>
          <w:p w:rsidR="007A4C2E" w:rsidRDefault="007A4C2E"/>
          <w:p w:rsidR="007A4C2E" w:rsidRDefault="007A4C2E">
            <w:r>
              <w:t>Dosud</w:t>
            </w:r>
          </w:p>
          <w:p w:rsidR="007A4C2E" w:rsidRDefault="007A4C2E">
            <w:r>
              <w:t>nevyřízeno</w:t>
            </w:r>
          </w:p>
        </w:tc>
      </w:tr>
      <w:tr w:rsidR="007A4C2E" w:rsidTr="007A4C2E">
        <w:trPr>
          <w:trHeight w:val="2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C2E" w:rsidRDefault="007A4C2E">
            <w:pPr>
              <w:suppressAutoHyphens w:val="0"/>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4C2E" w:rsidRDefault="007A4C2E">
            <w:pPr>
              <w:suppressAutoHyphens w:val="0"/>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p w:rsidR="007A4C2E" w:rsidRDefault="007A4C2E">
            <w:pPr>
              <w:jc w:val="both"/>
            </w:pPr>
            <w:r>
              <w:t>postoupeno</w:t>
            </w:r>
          </w:p>
        </w:tc>
        <w:tc>
          <w:tcPr>
            <w:tcW w:w="1307"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dopisem výboru</w:t>
            </w:r>
          </w:p>
        </w:tc>
        <w:tc>
          <w:tcPr>
            <w:tcW w:w="1161"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veřejným</w:t>
            </w:r>
          </w:p>
          <w:p w:rsidR="007A4C2E" w:rsidRDefault="007A4C2E">
            <w:pPr>
              <w:jc w:val="both"/>
            </w:pPr>
            <w:r>
              <w:t>slyšením</w:t>
            </w:r>
          </w:p>
        </w:tc>
        <w:tc>
          <w:tcPr>
            <w:tcW w:w="821"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 xml:space="preserve">  </w:t>
            </w:r>
          </w:p>
          <w:p w:rsidR="007A4C2E" w:rsidRDefault="007A4C2E">
            <w:pPr>
              <w:jc w:val="both"/>
            </w:pPr>
            <w:r>
              <w:t xml:space="preserve"> jinak </w:t>
            </w: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p w:rsidR="007A4C2E" w:rsidRDefault="007A4C2E">
            <w:pPr>
              <w:jc w:val="both"/>
            </w:pPr>
            <w:r>
              <w:t xml:space="preserve"> celkem</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4C2E" w:rsidRDefault="007A4C2E">
            <w:pPr>
              <w:suppressAutoHyphens w:val="0"/>
            </w:pPr>
          </w:p>
        </w:tc>
      </w:tr>
      <w:tr w:rsidR="007A4C2E" w:rsidTr="007A4C2E">
        <w:trPr>
          <w:trHeight w:val="255"/>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 xml:space="preserve">ÚPV </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55"/>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VO</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55"/>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VOV</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VB</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55"/>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PV</w:t>
            </w:r>
          </w:p>
        </w:tc>
        <w:tc>
          <w:tcPr>
            <w:tcW w:w="1090" w:type="dxa"/>
            <w:tcBorders>
              <w:top w:val="single" w:sz="4" w:space="0" w:color="auto"/>
              <w:left w:val="single" w:sz="4" w:space="0" w:color="auto"/>
              <w:bottom w:val="single" w:sz="4" w:space="0" w:color="auto"/>
              <w:right w:val="single" w:sz="4" w:space="0" w:color="auto"/>
            </w:tcBorders>
            <w:hideMark/>
          </w:tcPr>
          <w:p w:rsidR="007A4C2E" w:rsidRDefault="0099683F">
            <w:pPr>
              <w:jc w:val="center"/>
            </w:pPr>
            <w:r>
              <w:t>10</w:t>
            </w:r>
          </w:p>
        </w:tc>
        <w:tc>
          <w:tcPr>
            <w:tcW w:w="1377" w:type="dxa"/>
            <w:tcBorders>
              <w:top w:val="single" w:sz="4" w:space="0" w:color="auto"/>
              <w:left w:val="single" w:sz="4" w:space="0" w:color="auto"/>
              <w:bottom w:val="single" w:sz="4" w:space="0" w:color="auto"/>
              <w:right w:val="single" w:sz="4" w:space="0" w:color="auto"/>
            </w:tcBorders>
          </w:tcPr>
          <w:p w:rsidR="007A4C2E" w:rsidRDefault="0099683F">
            <w:pPr>
              <w:jc w:val="center"/>
            </w:pPr>
            <w:r>
              <w:t>0</w:t>
            </w:r>
          </w:p>
        </w:tc>
        <w:tc>
          <w:tcPr>
            <w:tcW w:w="1307" w:type="dxa"/>
            <w:tcBorders>
              <w:top w:val="single" w:sz="4" w:space="0" w:color="auto"/>
              <w:left w:val="single" w:sz="4" w:space="0" w:color="auto"/>
              <w:bottom w:val="single" w:sz="4" w:space="0" w:color="auto"/>
              <w:right w:val="single" w:sz="4" w:space="0" w:color="auto"/>
            </w:tcBorders>
            <w:hideMark/>
          </w:tcPr>
          <w:p w:rsidR="007A4C2E" w:rsidRDefault="007A4C2E">
            <w:pPr>
              <w:jc w:val="center"/>
            </w:pPr>
            <w:r>
              <w:t>3</w:t>
            </w:r>
          </w:p>
        </w:tc>
        <w:tc>
          <w:tcPr>
            <w:tcW w:w="1161" w:type="dxa"/>
            <w:tcBorders>
              <w:top w:val="single" w:sz="4" w:space="0" w:color="auto"/>
              <w:left w:val="single" w:sz="4" w:space="0" w:color="auto"/>
              <w:bottom w:val="single" w:sz="4" w:space="0" w:color="auto"/>
              <w:right w:val="single" w:sz="4" w:space="0" w:color="auto"/>
            </w:tcBorders>
            <w:hideMark/>
          </w:tcPr>
          <w:p w:rsidR="007A4C2E" w:rsidRDefault="0099683F">
            <w:pPr>
              <w:jc w:val="center"/>
            </w:pPr>
            <w:r>
              <w:t>1</w:t>
            </w:r>
          </w:p>
        </w:tc>
        <w:tc>
          <w:tcPr>
            <w:tcW w:w="821" w:type="dxa"/>
            <w:tcBorders>
              <w:top w:val="single" w:sz="4" w:space="0" w:color="auto"/>
              <w:left w:val="single" w:sz="4" w:space="0" w:color="auto"/>
              <w:bottom w:val="single" w:sz="4" w:space="0" w:color="auto"/>
              <w:right w:val="single" w:sz="4" w:space="0" w:color="auto"/>
            </w:tcBorders>
            <w:hideMark/>
          </w:tcPr>
          <w:p w:rsidR="007A4C2E" w:rsidRDefault="0099683F">
            <w:pPr>
              <w:jc w:val="center"/>
            </w:pPr>
            <w:r>
              <w:t>2</w:t>
            </w:r>
          </w:p>
        </w:tc>
        <w:tc>
          <w:tcPr>
            <w:tcW w:w="1134" w:type="dxa"/>
            <w:tcBorders>
              <w:top w:val="single" w:sz="4" w:space="0" w:color="auto"/>
              <w:left w:val="single" w:sz="4" w:space="0" w:color="auto"/>
              <w:bottom w:val="single" w:sz="4" w:space="0" w:color="auto"/>
              <w:right w:val="single" w:sz="4" w:space="0" w:color="auto"/>
            </w:tcBorders>
            <w:hideMark/>
          </w:tcPr>
          <w:p w:rsidR="007A4C2E" w:rsidRDefault="0099683F">
            <w:pPr>
              <w:jc w:val="center"/>
            </w:pPr>
            <w:r>
              <w:t>6</w:t>
            </w:r>
          </w:p>
        </w:tc>
        <w:tc>
          <w:tcPr>
            <w:tcW w:w="1417"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 xml:space="preserve">       </w:t>
            </w:r>
            <w:r w:rsidR="0099683F">
              <w:t>4</w:t>
            </w: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RV</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KV</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HV</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ZEV</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VVSRR</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VŽP</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 xml:space="preserve">        </w:t>
            </w: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VSP</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 xml:space="preserve">        </w:t>
            </w: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VZ</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VVVKMT</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ZAV</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r w:rsidR="007A4C2E" w:rsidTr="007A4C2E">
        <w:trPr>
          <w:trHeight w:val="238"/>
        </w:trPr>
        <w:tc>
          <w:tcPr>
            <w:tcW w:w="1469" w:type="dxa"/>
            <w:tcBorders>
              <w:top w:val="single" w:sz="4" w:space="0" w:color="auto"/>
              <w:left w:val="single" w:sz="4" w:space="0" w:color="auto"/>
              <w:bottom w:val="single" w:sz="4" w:space="0" w:color="auto"/>
              <w:right w:val="single" w:sz="4" w:space="0" w:color="auto"/>
            </w:tcBorders>
            <w:hideMark/>
          </w:tcPr>
          <w:p w:rsidR="007A4C2E" w:rsidRDefault="007A4C2E">
            <w:pPr>
              <w:jc w:val="both"/>
            </w:pPr>
            <w:r>
              <w:t xml:space="preserve">VEZ </w:t>
            </w:r>
          </w:p>
        </w:tc>
        <w:tc>
          <w:tcPr>
            <w:tcW w:w="1090"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7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307"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6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821"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134" w:type="dxa"/>
            <w:tcBorders>
              <w:top w:val="single" w:sz="4" w:space="0" w:color="auto"/>
              <w:left w:val="single" w:sz="4" w:space="0" w:color="auto"/>
              <w:bottom w:val="single" w:sz="4" w:space="0" w:color="auto"/>
              <w:right w:val="single" w:sz="4" w:space="0" w:color="auto"/>
            </w:tcBorders>
          </w:tcPr>
          <w:p w:rsidR="007A4C2E" w:rsidRDefault="007A4C2E">
            <w:pPr>
              <w:jc w:val="both"/>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p>
        </w:tc>
      </w:tr>
    </w:tbl>
    <w:p w:rsidR="007A4C2E" w:rsidRDefault="007A4C2E" w:rsidP="007A4C2E">
      <w:pPr>
        <w:rPr>
          <w:b/>
        </w:rPr>
      </w:pPr>
    </w:p>
    <w:p w:rsidR="00353ED6" w:rsidRDefault="00353ED6" w:rsidP="00353ED6">
      <w:pPr>
        <w:rPr>
          <w:b/>
        </w:rPr>
      </w:pPr>
    </w:p>
    <w:p w:rsidR="00353ED6" w:rsidRDefault="00353ED6" w:rsidP="00353ED6">
      <w:pPr>
        <w:jc w:val="right"/>
        <w:rPr>
          <w:b/>
        </w:rPr>
      </w:pPr>
    </w:p>
    <w:p w:rsidR="005441DD" w:rsidRDefault="005441DD" w:rsidP="00353ED6">
      <w:pPr>
        <w:rPr>
          <w:b/>
          <w:u w:val="single"/>
        </w:rPr>
      </w:pPr>
    </w:p>
    <w:p w:rsidR="005441DD" w:rsidRDefault="005441DD" w:rsidP="00353ED6">
      <w:pPr>
        <w:rPr>
          <w:b/>
          <w:u w:val="single"/>
        </w:rPr>
      </w:pPr>
    </w:p>
    <w:p w:rsidR="005441DD" w:rsidRDefault="005441DD" w:rsidP="00353ED6">
      <w:pPr>
        <w:rPr>
          <w:b/>
          <w:u w:val="single"/>
        </w:rPr>
      </w:pPr>
    </w:p>
    <w:p w:rsidR="005441DD" w:rsidRDefault="005441DD" w:rsidP="00353ED6">
      <w:pPr>
        <w:rPr>
          <w:b/>
          <w:u w:val="single"/>
        </w:rPr>
      </w:pPr>
    </w:p>
    <w:p w:rsidR="005441DD" w:rsidRDefault="005441DD" w:rsidP="00353ED6">
      <w:pPr>
        <w:rPr>
          <w:b/>
          <w:u w:val="single"/>
        </w:rPr>
      </w:pPr>
    </w:p>
    <w:p w:rsidR="005441DD" w:rsidRDefault="005441DD" w:rsidP="00353ED6">
      <w:pPr>
        <w:rPr>
          <w:b/>
          <w:u w:val="single"/>
        </w:rPr>
      </w:pPr>
    </w:p>
    <w:p w:rsidR="005441DD" w:rsidRDefault="005441DD" w:rsidP="00353ED6">
      <w:pPr>
        <w:rPr>
          <w:b/>
          <w:u w:val="single"/>
        </w:rPr>
      </w:pPr>
    </w:p>
    <w:p w:rsidR="005441DD" w:rsidRDefault="005441DD" w:rsidP="00353ED6">
      <w:pPr>
        <w:rPr>
          <w:b/>
          <w:u w:val="single"/>
        </w:rPr>
      </w:pPr>
    </w:p>
    <w:p w:rsidR="005441DD" w:rsidRDefault="005441DD" w:rsidP="00353ED6">
      <w:pPr>
        <w:rPr>
          <w:b/>
          <w:u w:val="single"/>
        </w:rPr>
      </w:pPr>
    </w:p>
    <w:p w:rsidR="005441DD" w:rsidRDefault="005441DD" w:rsidP="00353ED6">
      <w:pPr>
        <w:rPr>
          <w:b/>
          <w:u w:val="single"/>
        </w:rPr>
      </w:pPr>
    </w:p>
    <w:p w:rsidR="005441DD" w:rsidRDefault="005441DD" w:rsidP="00353ED6">
      <w:pPr>
        <w:rPr>
          <w:b/>
          <w:u w:val="single"/>
        </w:rPr>
      </w:pPr>
    </w:p>
    <w:p w:rsidR="005441DD" w:rsidRDefault="005441DD" w:rsidP="00353ED6">
      <w:pPr>
        <w:rPr>
          <w:b/>
          <w:u w:val="single"/>
        </w:rPr>
      </w:pPr>
    </w:p>
    <w:p w:rsidR="005441DD" w:rsidRDefault="005441DD" w:rsidP="00353ED6">
      <w:pPr>
        <w:rPr>
          <w:b/>
          <w:u w:val="single"/>
        </w:rPr>
      </w:pPr>
    </w:p>
    <w:p w:rsidR="005441DD" w:rsidRDefault="005441DD" w:rsidP="00353ED6">
      <w:pPr>
        <w:rPr>
          <w:b/>
          <w:u w:val="single"/>
        </w:rPr>
      </w:pPr>
    </w:p>
    <w:p w:rsidR="00ED0A12" w:rsidRDefault="00ED0A12" w:rsidP="00353ED6">
      <w:pPr>
        <w:rPr>
          <w:b/>
          <w:u w:val="single"/>
        </w:rPr>
      </w:pPr>
      <w:bookmarkStart w:id="0" w:name="_GoBack"/>
      <w:bookmarkEnd w:id="0"/>
    </w:p>
    <w:p w:rsidR="0036495B" w:rsidRDefault="0036495B" w:rsidP="00353ED6">
      <w:pPr>
        <w:rPr>
          <w:b/>
          <w:u w:val="single"/>
        </w:rPr>
      </w:pPr>
    </w:p>
    <w:p w:rsidR="0036495B" w:rsidRDefault="0036495B" w:rsidP="0036495B">
      <w:pPr>
        <w:jc w:val="right"/>
        <w:rPr>
          <w:b/>
        </w:rPr>
      </w:pPr>
      <w:r>
        <w:rPr>
          <w:b/>
        </w:rPr>
        <w:lastRenderedPageBreak/>
        <w:t>Tabulka č. 2</w:t>
      </w:r>
    </w:p>
    <w:p w:rsidR="005441DD" w:rsidRDefault="005441DD" w:rsidP="00353ED6">
      <w:pPr>
        <w:rPr>
          <w:b/>
          <w:u w:val="single"/>
        </w:rPr>
      </w:pPr>
    </w:p>
    <w:p w:rsidR="009B68E5" w:rsidRPr="009B68E5" w:rsidRDefault="009B68E5" w:rsidP="00353ED6">
      <w:pPr>
        <w:rPr>
          <w:b/>
          <w:u w:val="single"/>
        </w:rPr>
      </w:pPr>
      <w:r>
        <w:rPr>
          <w:b/>
          <w:u w:val="single"/>
        </w:rPr>
        <w:t>PŘEHLED PETIC DOŠLÝCH POSLANECKÉ SNĚMOVNĚ VE II. POLOLETÍ 2019</w:t>
      </w:r>
    </w:p>
    <w:p w:rsidR="007A4C2E" w:rsidRDefault="007A4C2E" w:rsidP="009B68E5">
      <w:pPr>
        <w:rPr>
          <w:b/>
        </w:rPr>
      </w:pPr>
    </w:p>
    <w:p w:rsidR="007A4C2E" w:rsidRDefault="007A4C2E" w:rsidP="009504D9">
      <w:pPr>
        <w:rPr>
          <w:b/>
        </w:rPr>
      </w:pPr>
    </w:p>
    <w:p w:rsidR="007A4C2E" w:rsidRDefault="007A4C2E" w:rsidP="007A4C2E">
      <w:pPr>
        <w:rPr>
          <w:b/>
        </w:rPr>
      </w:pPr>
    </w:p>
    <w:p w:rsidR="007A4C2E" w:rsidRDefault="007A4C2E" w:rsidP="007A4C2E">
      <w:pPr>
        <w:jc w:val="right"/>
        <w:rPr>
          <w:b/>
        </w:rPr>
      </w:pPr>
    </w:p>
    <w:p w:rsidR="009B68E5" w:rsidRDefault="009B68E5" w:rsidP="009B68E5">
      <w:pPr>
        <w:jc w:val="center"/>
        <w:rPr>
          <w:b/>
          <w:u w:val="single"/>
        </w:rPr>
      </w:pPr>
    </w:p>
    <w:tbl>
      <w:tblPr>
        <w:tblStyle w:val="Mkatabulky"/>
        <w:tblpPr w:leftFromText="141" w:rightFromText="141" w:vertAnchor="page" w:horzAnchor="margin" w:tblpY="2551"/>
        <w:tblW w:w="8690" w:type="dxa"/>
        <w:tblLayout w:type="fixed"/>
        <w:tblLook w:val="04A0" w:firstRow="1" w:lastRow="0" w:firstColumn="1" w:lastColumn="0" w:noHBand="0" w:noVBand="1"/>
      </w:tblPr>
      <w:tblGrid>
        <w:gridCol w:w="5524"/>
        <w:gridCol w:w="1749"/>
        <w:gridCol w:w="1417"/>
      </w:tblGrid>
      <w:tr w:rsidR="00DF34CD" w:rsidTr="009B68E5">
        <w:tc>
          <w:tcPr>
            <w:tcW w:w="5524" w:type="dxa"/>
            <w:tcBorders>
              <w:top w:val="single" w:sz="4" w:space="0" w:color="auto"/>
              <w:left w:val="single" w:sz="4" w:space="0" w:color="auto"/>
              <w:bottom w:val="single" w:sz="4" w:space="0" w:color="auto"/>
              <w:right w:val="single" w:sz="4" w:space="0" w:color="auto"/>
            </w:tcBorders>
          </w:tcPr>
          <w:p w:rsidR="00DF34CD" w:rsidRPr="00DF34CD" w:rsidRDefault="00DF34CD">
            <w:pPr>
              <w:tabs>
                <w:tab w:val="left" w:pos="1286"/>
              </w:tabs>
              <w:rPr>
                <w:sz w:val="20"/>
                <w:szCs w:val="20"/>
              </w:rPr>
            </w:pPr>
            <w:r>
              <w:rPr>
                <w:sz w:val="20"/>
                <w:szCs w:val="20"/>
              </w:rPr>
              <w:t>3211 školství; 4421 práce a mzdy</w:t>
            </w:r>
          </w:p>
        </w:tc>
        <w:tc>
          <w:tcPr>
            <w:tcW w:w="1749" w:type="dxa"/>
            <w:tcBorders>
              <w:top w:val="single" w:sz="4" w:space="0" w:color="auto"/>
              <w:left w:val="single" w:sz="4" w:space="0" w:color="auto"/>
              <w:bottom w:val="single" w:sz="4" w:space="0" w:color="auto"/>
              <w:right w:val="single" w:sz="4" w:space="0" w:color="auto"/>
            </w:tcBorders>
          </w:tcPr>
          <w:p w:rsidR="00DF34CD" w:rsidRDefault="002E656F">
            <w:pPr>
              <w:jc w:val="center"/>
            </w:pPr>
            <w:r>
              <w:t>Počet petic</w:t>
            </w:r>
          </w:p>
        </w:tc>
        <w:tc>
          <w:tcPr>
            <w:tcW w:w="1417" w:type="dxa"/>
            <w:tcBorders>
              <w:top w:val="single" w:sz="4" w:space="0" w:color="auto"/>
              <w:left w:val="single" w:sz="4" w:space="0" w:color="auto"/>
              <w:bottom w:val="single" w:sz="4" w:space="0" w:color="auto"/>
              <w:right w:val="single" w:sz="4" w:space="0" w:color="auto"/>
            </w:tcBorders>
          </w:tcPr>
          <w:p w:rsidR="00DF34CD" w:rsidRDefault="002E656F">
            <w:r>
              <w:t xml:space="preserve">  Podpisy</w:t>
            </w:r>
          </w:p>
        </w:tc>
      </w:tr>
      <w:tr w:rsidR="007A4C2E" w:rsidTr="009B68E5">
        <w:tc>
          <w:tcPr>
            <w:tcW w:w="5524" w:type="dxa"/>
            <w:tcBorders>
              <w:top w:val="single" w:sz="4" w:space="0" w:color="auto"/>
              <w:left w:val="single" w:sz="4" w:space="0" w:color="auto"/>
              <w:bottom w:val="single" w:sz="4" w:space="0" w:color="auto"/>
              <w:right w:val="single" w:sz="4" w:space="0" w:color="auto"/>
            </w:tcBorders>
            <w:hideMark/>
          </w:tcPr>
          <w:p w:rsidR="007A4C2E" w:rsidRDefault="00DF34CD">
            <w:pPr>
              <w:tabs>
                <w:tab w:val="left" w:pos="1286"/>
              </w:tabs>
              <w:rPr>
                <w:b/>
                <w:szCs w:val="24"/>
              </w:rPr>
            </w:pPr>
            <w:r>
              <w:rPr>
                <w:b/>
                <w:szCs w:val="24"/>
              </w:rPr>
              <w:t>Petice „Podpůrná opatření handicapovaným</w:t>
            </w:r>
          </w:p>
          <w:p w:rsidR="00A82DF4" w:rsidRDefault="00DF34CD" w:rsidP="00DF34CD">
            <w:pPr>
              <w:tabs>
                <w:tab w:val="left" w:pos="1286"/>
              </w:tabs>
              <w:rPr>
                <w:b/>
                <w:szCs w:val="24"/>
              </w:rPr>
            </w:pPr>
            <w:r>
              <w:rPr>
                <w:b/>
                <w:szCs w:val="24"/>
              </w:rPr>
              <w:t xml:space="preserve">dětem </w:t>
            </w:r>
            <w:r w:rsidR="00A82DF4">
              <w:rPr>
                <w:b/>
                <w:szCs w:val="24"/>
              </w:rPr>
              <w:t>bez ohledu na typ školského zařízení,</w:t>
            </w:r>
          </w:p>
          <w:p w:rsidR="007A4C2E" w:rsidRDefault="00A82DF4" w:rsidP="00DF34CD">
            <w:pPr>
              <w:tabs>
                <w:tab w:val="left" w:pos="1286"/>
              </w:tabs>
              <w:rPr>
                <w:sz w:val="20"/>
                <w:szCs w:val="20"/>
              </w:rPr>
            </w:pPr>
            <w:r>
              <w:rPr>
                <w:b/>
                <w:szCs w:val="24"/>
              </w:rPr>
              <w:t xml:space="preserve">kde se vzdělávají“                                          </w:t>
            </w:r>
            <w:r w:rsidR="00DF34CD">
              <w:rPr>
                <w:sz w:val="20"/>
                <w:szCs w:val="20"/>
              </w:rPr>
              <w:t>19. 8. 2019</w:t>
            </w:r>
          </w:p>
          <w:p w:rsidR="00D01382" w:rsidRDefault="00D01382" w:rsidP="00DF34CD">
            <w:pPr>
              <w:tabs>
                <w:tab w:val="left" w:pos="1286"/>
              </w:tabs>
              <w:rPr>
                <w:sz w:val="20"/>
                <w:szCs w:val="20"/>
              </w:rPr>
            </w:pP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1</w:t>
            </w:r>
          </w:p>
        </w:tc>
        <w:tc>
          <w:tcPr>
            <w:tcW w:w="1417" w:type="dxa"/>
            <w:tcBorders>
              <w:top w:val="single" w:sz="4" w:space="0" w:color="auto"/>
              <w:left w:val="single" w:sz="4" w:space="0" w:color="auto"/>
              <w:bottom w:val="single" w:sz="4" w:space="0" w:color="auto"/>
              <w:right w:val="single" w:sz="4" w:space="0" w:color="auto"/>
            </w:tcBorders>
          </w:tcPr>
          <w:p w:rsidR="007A4C2E" w:rsidRDefault="007A4C2E"/>
          <w:p w:rsidR="007A4C2E" w:rsidRDefault="007A4C2E">
            <w:pPr>
              <w:jc w:val="both"/>
            </w:pPr>
            <w:r>
              <w:t xml:space="preserve">  </w:t>
            </w:r>
            <w:r w:rsidR="00D01382">
              <w:t xml:space="preserve"> </w:t>
            </w:r>
            <w:r>
              <w:t xml:space="preserve"> </w:t>
            </w:r>
            <w:r w:rsidR="00DF34CD">
              <w:t>8 356</w:t>
            </w:r>
            <w:r>
              <w:t xml:space="preserve"> </w:t>
            </w:r>
          </w:p>
        </w:tc>
      </w:tr>
      <w:tr w:rsidR="007A4C2E" w:rsidTr="009B68E5">
        <w:tc>
          <w:tcPr>
            <w:tcW w:w="5524" w:type="dxa"/>
            <w:tcBorders>
              <w:top w:val="single" w:sz="4" w:space="0" w:color="auto"/>
              <w:left w:val="single" w:sz="4" w:space="0" w:color="auto"/>
              <w:bottom w:val="single" w:sz="4" w:space="0" w:color="auto"/>
              <w:right w:val="single" w:sz="4" w:space="0" w:color="auto"/>
            </w:tcBorders>
            <w:hideMark/>
          </w:tcPr>
          <w:p w:rsidR="007A4C2E" w:rsidRDefault="00D01382">
            <w:pPr>
              <w:tabs>
                <w:tab w:val="left" w:pos="1286"/>
              </w:tabs>
              <w:rPr>
                <w:sz w:val="20"/>
                <w:szCs w:val="20"/>
              </w:rPr>
            </w:pPr>
            <w:r>
              <w:rPr>
                <w:sz w:val="20"/>
                <w:szCs w:val="20"/>
              </w:rPr>
              <w:t>2841 zdraví; 2806 rodina</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tc>
      </w:tr>
      <w:tr w:rsidR="007A4C2E" w:rsidTr="009B68E5">
        <w:trPr>
          <w:trHeight w:val="719"/>
        </w:trPr>
        <w:tc>
          <w:tcPr>
            <w:tcW w:w="5524" w:type="dxa"/>
            <w:tcBorders>
              <w:top w:val="single" w:sz="4" w:space="0" w:color="auto"/>
              <w:left w:val="single" w:sz="4" w:space="0" w:color="auto"/>
              <w:bottom w:val="single" w:sz="4" w:space="0" w:color="auto"/>
              <w:right w:val="single" w:sz="4" w:space="0" w:color="auto"/>
            </w:tcBorders>
            <w:hideMark/>
          </w:tcPr>
          <w:p w:rsidR="00D01382" w:rsidRDefault="00D01382" w:rsidP="00D01382">
            <w:pPr>
              <w:tabs>
                <w:tab w:val="left" w:pos="1286"/>
              </w:tabs>
              <w:rPr>
                <w:b/>
                <w:szCs w:val="24"/>
              </w:rPr>
            </w:pPr>
            <w:r>
              <w:rPr>
                <w:b/>
                <w:szCs w:val="24"/>
              </w:rPr>
              <w:t>Petice za záchranu domácí zdravotní péče</w:t>
            </w:r>
          </w:p>
          <w:p w:rsidR="007A4C2E" w:rsidRPr="00D01382" w:rsidRDefault="00D01382" w:rsidP="00D01382">
            <w:pPr>
              <w:tabs>
                <w:tab w:val="left" w:pos="1286"/>
              </w:tabs>
              <w:rPr>
                <w:b/>
                <w:szCs w:val="24"/>
              </w:rPr>
            </w:pPr>
            <w:r>
              <w:rPr>
                <w:b/>
                <w:szCs w:val="24"/>
              </w:rPr>
              <w:t>„DOMA JE DOMA“</w:t>
            </w:r>
            <w:r w:rsidR="007A4C2E">
              <w:rPr>
                <w:b/>
                <w:szCs w:val="24"/>
              </w:rPr>
              <w:t xml:space="preserve">             </w:t>
            </w:r>
            <w:r>
              <w:rPr>
                <w:b/>
                <w:szCs w:val="24"/>
              </w:rPr>
              <w:t xml:space="preserve">                        </w:t>
            </w:r>
            <w:r>
              <w:rPr>
                <w:sz w:val="20"/>
                <w:szCs w:val="20"/>
              </w:rPr>
              <w:t>26. 8. 2019</w:t>
            </w:r>
          </w:p>
        </w:tc>
        <w:tc>
          <w:tcPr>
            <w:tcW w:w="1749" w:type="dxa"/>
            <w:tcBorders>
              <w:top w:val="single" w:sz="4" w:space="0" w:color="auto"/>
              <w:left w:val="single" w:sz="4" w:space="0" w:color="auto"/>
              <w:bottom w:val="single" w:sz="4" w:space="0" w:color="auto"/>
              <w:right w:val="single" w:sz="4" w:space="0" w:color="auto"/>
            </w:tcBorders>
          </w:tcPr>
          <w:p w:rsidR="007A4C2E" w:rsidRDefault="007A4C2E" w:rsidP="00D01382"/>
          <w:p w:rsidR="007A4C2E" w:rsidRDefault="00D01382" w:rsidP="00D01382">
            <w:pPr>
              <w:jc w:val="center"/>
            </w:pPr>
            <w:r>
              <w:t>1</w:t>
            </w:r>
          </w:p>
        </w:tc>
        <w:tc>
          <w:tcPr>
            <w:tcW w:w="1417" w:type="dxa"/>
            <w:tcBorders>
              <w:top w:val="single" w:sz="4" w:space="0" w:color="auto"/>
              <w:left w:val="single" w:sz="4" w:space="0" w:color="auto"/>
              <w:bottom w:val="single" w:sz="4" w:space="0" w:color="auto"/>
              <w:right w:val="single" w:sz="4" w:space="0" w:color="auto"/>
            </w:tcBorders>
          </w:tcPr>
          <w:p w:rsidR="007A4C2E" w:rsidRDefault="007A4C2E">
            <w:r>
              <w:t xml:space="preserve">       </w:t>
            </w:r>
          </w:p>
          <w:p w:rsidR="007A4C2E" w:rsidRDefault="00D01382">
            <w:r>
              <w:t xml:space="preserve"> </w:t>
            </w:r>
            <w:r w:rsidR="007A4C2E">
              <w:t xml:space="preserve"> </w:t>
            </w:r>
            <w:r>
              <w:t>36 261</w:t>
            </w:r>
          </w:p>
          <w:p w:rsidR="007A4C2E" w:rsidRDefault="007A4C2E">
            <w:pPr>
              <w:jc w:val="both"/>
            </w:pPr>
            <w:r>
              <w:t xml:space="preserve">      </w:t>
            </w:r>
          </w:p>
        </w:tc>
      </w:tr>
      <w:tr w:rsidR="007A4C2E" w:rsidTr="009B68E5">
        <w:tc>
          <w:tcPr>
            <w:tcW w:w="5524" w:type="dxa"/>
            <w:tcBorders>
              <w:top w:val="single" w:sz="4" w:space="0" w:color="auto"/>
              <w:left w:val="single" w:sz="4" w:space="0" w:color="auto"/>
              <w:bottom w:val="single" w:sz="4" w:space="0" w:color="auto"/>
              <w:right w:val="single" w:sz="4" w:space="0" w:color="auto"/>
            </w:tcBorders>
            <w:hideMark/>
          </w:tcPr>
          <w:p w:rsidR="007A4C2E" w:rsidRDefault="005861B3">
            <w:pPr>
              <w:tabs>
                <w:tab w:val="left" w:pos="1286"/>
              </w:tabs>
              <w:rPr>
                <w:sz w:val="20"/>
                <w:szCs w:val="20"/>
              </w:rPr>
            </w:pPr>
            <w:r>
              <w:rPr>
                <w:sz w:val="20"/>
                <w:szCs w:val="20"/>
              </w:rPr>
              <w:t>2841 zdraví; 2836 sociální ochrana</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tc>
      </w:tr>
      <w:tr w:rsidR="007A4C2E" w:rsidTr="009B68E5">
        <w:tc>
          <w:tcPr>
            <w:tcW w:w="5524" w:type="dxa"/>
            <w:tcBorders>
              <w:top w:val="single" w:sz="4" w:space="0" w:color="auto"/>
              <w:left w:val="single" w:sz="4" w:space="0" w:color="auto"/>
              <w:bottom w:val="single" w:sz="4" w:space="0" w:color="auto"/>
              <w:right w:val="single" w:sz="4" w:space="0" w:color="auto"/>
            </w:tcBorders>
            <w:hideMark/>
          </w:tcPr>
          <w:p w:rsidR="00EE241F" w:rsidRDefault="005861B3" w:rsidP="005861B3">
            <w:pPr>
              <w:tabs>
                <w:tab w:val="left" w:pos="1286"/>
              </w:tabs>
              <w:rPr>
                <w:sz w:val="20"/>
                <w:szCs w:val="20"/>
              </w:rPr>
            </w:pPr>
            <w:r>
              <w:rPr>
                <w:b/>
                <w:szCs w:val="24"/>
              </w:rPr>
              <w:t>Petice za vybudování pobytového a rehabilitačního zařízení pro nemocné roztroušenou mozkomíšní sklerózou</w:t>
            </w:r>
            <w:r>
              <w:rPr>
                <w:sz w:val="20"/>
                <w:szCs w:val="20"/>
              </w:rPr>
              <w:t xml:space="preserve">                                                                      6. 9. 2019</w:t>
            </w:r>
          </w:p>
          <w:p w:rsidR="007A4C2E" w:rsidRPr="005861B3" w:rsidRDefault="005861B3" w:rsidP="005861B3">
            <w:pPr>
              <w:tabs>
                <w:tab w:val="left" w:pos="1286"/>
              </w:tabs>
              <w:rPr>
                <w:sz w:val="20"/>
                <w:szCs w:val="20"/>
              </w:rPr>
            </w:pPr>
            <w:r>
              <w:rPr>
                <w:sz w:val="20"/>
                <w:szCs w:val="20"/>
              </w:rPr>
              <w:t xml:space="preserve">  </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p>
          <w:p w:rsidR="00EE241F" w:rsidRDefault="00EE241F">
            <w:pPr>
              <w:jc w:val="center"/>
            </w:pPr>
            <w:r>
              <w:t>1</w:t>
            </w:r>
          </w:p>
        </w:tc>
        <w:tc>
          <w:tcPr>
            <w:tcW w:w="1417" w:type="dxa"/>
            <w:tcBorders>
              <w:top w:val="single" w:sz="4" w:space="0" w:color="auto"/>
              <w:left w:val="single" w:sz="4" w:space="0" w:color="auto"/>
              <w:bottom w:val="single" w:sz="4" w:space="0" w:color="auto"/>
              <w:right w:val="single" w:sz="4" w:space="0" w:color="auto"/>
            </w:tcBorders>
          </w:tcPr>
          <w:p w:rsidR="007A4C2E" w:rsidRDefault="007A4C2E"/>
          <w:p w:rsidR="00EE241F" w:rsidRDefault="00EE241F">
            <w:pPr>
              <w:jc w:val="both"/>
            </w:pPr>
            <w:r>
              <w:t xml:space="preserve">  </w:t>
            </w:r>
          </w:p>
          <w:p w:rsidR="007A4C2E" w:rsidRDefault="00EE241F">
            <w:pPr>
              <w:jc w:val="both"/>
            </w:pPr>
            <w:r>
              <w:t xml:space="preserve">       </w:t>
            </w:r>
            <w:r w:rsidR="003E6F80">
              <w:t xml:space="preserve">   0</w:t>
            </w:r>
            <w:r w:rsidR="007A4C2E">
              <w:t xml:space="preserve"> </w:t>
            </w:r>
          </w:p>
          <w:p w:rsidR="007A4C2E" w:rsidRDefault="007A4C2E">
            <w:pPr>
              <w:jc w:val="both"/>
            </w:pPr>
            <w:r>
              <w:t xml:space="preserve">  </w:t>
            </w:r>
          </w:p>
        </w:tc>
      </w:tr>
      <w:tr w:rsidR="007A4C2E" w:rsidTr="009B68E5">
        <w:tc>
          <w:tcPr>
            <w:tcW w:w="5524" w:type="dxa"/>
            <w:tcBorders>
              <w:top w:val="single" w:sz="4" w:space="0" w:color="auto"/>
              <w:left w:val="single" w:sz="4" w:space="0" w:color="auto"/>
              <w:bottom w:val="single" w:sz="4" w:space="0" w:color="auto"/>
              <w:right w:val="single" w:sz="4" w:space="0" w:color="auto"/>
            </w:tcBorders>
            <w:hideMark/>
          </w:tcPr>
          <w:p w:rsidR="007A4C2E" w:rsidRDefault="00FF7BCD">
            <w:pPr>
              <w:tabs>
                <w:tab w:val="left" w:pos="1286"/>
              </w:tabs>
              <w:rPr>
                <w:sz w:val="20"/>
                <w:szCs w:val="20"/>
              </w:rPr>
            </w:pPr>
            <w:r>
              <w:rPr>
                <w:sz w:val="20"/>
                <w:szCs w:val="20"/>
              </w:rPr>
              <w:t>3211 školství; 1231 mezinárodní právo</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tc>
      </w:tr>
      <w:tr w:rsidR="007A4C2E" w:rsidTr="009B68E5">
        <w:tc>
          <w:tcPr>
            <w:tcW w:w="5524" w:type="dxa"/>
            <w:tcBorders>
              <w:top w:val="single" w:sz="4" w:space="0" w:color="auto"/>
              <w:left w:val="single" w:sz="4" w:space="0" w:color="auto"/>
              <w:bottom w:val="single" w:sz="4" w:space="0" w:color="auto"/>
              <w:right w:val="single" w:sz="4" w:space="0" w:color="auto"/>
            </w:tcBorders>
            <w:hideMark/>
          </w:tcPr>
          <w:p w:rsidR="007A4C2E" w:rsidRDefault="00FF7BCD" w:rsidP="00DF34CD">
            <w:pPr>
              <w:tabs>
                <w:tab w:val="left" w:pos="1286"/>
              </w:tabs>
              <w:rPr>
                <w:sz w:val="20"/>
                <w:szCs w:val="20"/>
              </w:rPr>
            </w:pPr>
            <w:r>
              <w:rPr>
                <w:b/>
                <w:szCs w:val="24"/>
              </w:rPr>
              <w:t xml:space="preserve">Petice za svobodnou volbu školy pro vzdělávání cizinců                                                           </w:t>
            </w:r>
            <w:r>
              <w:rPr>
                <w:sz w:val="20"/>
                <w:szCs w:val="20"/>
              </w:rPr>
              <w:t xml:space="preserve">  24. 9. 2019</w:t>
            </w:r>
          </w:p>
          <w:p w:rsidR="00FF7BCD" w:rsidRPr="00DF34CD" w:rsidRDefault="00FF7BCD" w:rsidP="00DF34CD">
            <w:pPr>
              <w:tabs>
                <w:tab w:val="left" w:pos="1286"/>
              </w:tabs>
              <w:rPr>
                <w:b/>
                <w:szCs w:val="24"/>
              </w:rPr>
            </w:pP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1</w:t>
            </w: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both"/>
            </w:pPr>
            <w:r>
              <w:t xml:space="preserve"> </w:t>
            </w:r>
          </w:p>
          <w:p w:rsidR="00FF7BCD" w:rsidRDefault="00FF7BCD">
            <w:pPr>
              <w:jc w:val="both"/>
            </w:pPr>
            <w:r>
              <w:t xml:space="preserve">      145</w:t>
            </w:r>
          </w:p>
        </w:tc>
      </w:tr>
      <w:tr w:rsidR="007A4C2E" w:rsidTr="009B68E5">
        <w:tc>
          <w:tcPr>
            <w:tcW w:w="5524" w:type="dxa"/>
            <w:tcBorders>
              <w:top w:val="single" w:sz="4" w:space="0" w:color="auto"/>
              <w:left w:val="single" w:sz="4" w:space="0" w:color="auto"/>
              <w:bottom w:val="single" w:sz="4" w:space="0" w:color="auto"/>
              <w:right w:val="single" w:sz="4" w:space="0" w:color="auto"/>
            </w:tcBorders>
            <w:hideMark/>
          </w:tcPr>
          <w:p w:rsidR="007A4C2E" w:rsidRDefault="00FF7BCD">
            <w:pPr>
              <w:rPr>
                <w:sz w:val="20"/>
                <w:szCs w:val="20"/>
              </w:rPr>
            </w:pPr>
            <w:r>
              <w:rPr>
                <w:sz w:val="20"/>
                <w:szCs w:val="20"/>
              </w:rPr>
              <w:t>3211 školství; 1231 mezinárodní právo</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tc>
      </w:tr>
      <w:tr w:rsidR="007A4C2E" w:rsidTr="009B68E5">
        <w:tc>
          <w:tcPr>
            <w:tcW w:w="5524" w:type="dxa"/>
            <w:tcBorders>
              <w:top w:val="single" w:sz="4" w:space="0" w:color="auto"/>
              <w:left w:val="single" w:sz="4" w:space="0" w:color="auto"/>
              <w:bottom w:val="single" w:sz="4" w:space="0" w:color="auto"/>
              <w:right w:val="single" w:sz="4" w:space="0" w:color="auto"/>
            </w:tcBorders>
            <w:hideMark/>
          </w:tcPr>
          <w:p w:rsidR="007A4C2E" w:rsidRPr="00FF7BCD" w:rsidRDefault="00FF7BCD">
            <w:pPr>
              <w:rPr>
                <w:sz w:val="20"/>
                <w:szCs w:val="20"/>
              </w:rPr>
            </w:pPr>
            <w:r>
              <w:rPr>
                <w:b/>
                <w:szCs w:val="20"/>
              </w:rPr>
              <w:t xml:space="preserve">Petice za svobodnou volbu školy pro vzdělávání cizinců     </w:t>
            </w:r>
            <w:r>
              <w:rPr>
                <w:b/>
                <w:sz w:val="20"/>
                <w:szCs w:val="20"/>
              </w:rPr>
              <w:t xml:space="preserve">                                                                   </w:t>
            </w:r>
            <w:r>
              <w:rPr>
                <w:sz w:val="20"/>
                <w:szCs w:val="20"/>
              </w:rPr>
              <w:t>26. 9. 2019</w:t>
            </w:r>
          </w:p>
          <w:p w:rsidR="007A4C2E" w:rsidRDefault="007A4C2E">
            <w:pPr>
              <w:jc w:val="right"/>
              <w:rPr>
                <w:sz w:val="20"/>
                <w:szCs w:val="20"/>
              </w:rPr>
            </w:pPr>
            <w:r>
              <w:rPr>
                <w:sz w:val="20"/>
                <w:szCs w:val="20"/>
              </w:rPr>
              <w:t xml:space="preserve"> </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1</w:t>
            </w:r>
          </w:p>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 w:rsidR="007A4C2E" w:rsidRDefault="007A4C2E">
            <w:r>
              <w:t xml:space="preserve">       </w:t>
            </w:r>
            <w:r w:rsidR="00FF7BCD">
              <w:t xml:space="preserve"> 55</w:t>
            </w:r>
          </w:p>
        </w:tc>
      </w:tr>
      <w:tr w:rsidR="007A4C2E" w:rsidTr="009B68E5">
        <w:tc>
          <w:tcPr>
            <w:tcW w:w="5524" w:type="dxa"/>
            <w:tcBorders>
              <w:top w:val="single" w:sz="4" w:space="0" w:color="auto"/>
              <w:left w:val="single" w:sz="4" w:space="0" w:color="auto"/>
              <w:bottom w:val="single" w:sz="4" w:space="0" w:color="auto"/>
              <w:right w:val="single" w:sz="4" w:space="0" w:color="auto"/>
            </w:tcBorders>
            <w:hideMark/>
          </w:tcPr>
          <w:p w:rsidR="007A4C2E" w:rsidRDefault="004537C2">
            <w:pPr>
              <w:rPr>
                <w:szCs w:val="20"/>
              </w:rPr>
            </w:pPr>
            <w:r>
              <w:rPr>
                <w:sz w:val="20"/>
                <w:szCs w:val="20"/>
              </w:rPr>
              <w:t>1616 regiony; 5216 poškozování životního prostředí</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tc>
      </w:tr>
      <w:tr w:rsidR="007A4C2E" w:rsidTr="009B68E5">
        <w:tc>
          <w:tcPr>
            <w:tcW w:w="5524" w:type="dxa"/>
            <w:tcBorders>
              <w:top w:val="single" w:sz="4" w:space="0" w:color="auto"/>
              <w:left w:val="single" w:sz="4" w:space="0" w:color="auto"/>
              <w:bottom w:val="single" w:sz="4" w:space="0" w:color="auto"/>
              <w:right w:val="single" w:sz="4" w:space="0" w:color="auto"/>
            </w:tcBorders>
            <w:hideMark/>
          </w:tcPr>
          <w:p w:rsidR="004537C2" w:rsidRPr="004537C2" w:rsidRDefault="004537C2" w:rsidP="004537C2">
            <w:pPr>
              <w:rPr>
                <w:sz w:val="20"/>
                <w:szCs w:val="20"/>
              </w:rPr>
            </w:pPr>
            <w:r>
              <w:rPr>
                <w:b/>
                <w:szCs w:val="24"/>
              </w:rPr>
              <w:t>Petice proti postupu orgánů státní správy města a samosprávy města Tábor ve věci Zoologická zahrada Tábor, a.s.</w:t>
            </w:r>
            <w:r>
              <w:rPr>
                <w:sz w:val="20"/>
                <w:szCs w:val="20"/>
              </w:rPr>
              <w:t xml:space="preserve">                                                7. 10. 2019</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rsidP="005A7033">
            <w:pPr>
              <w:jc w:val="center"/>
            </w:pPr>
            <w:r>
              <w:t>1</w:t>
            </w:r>
          </w:p>
        </w:tc>
        <w:tc>
          <w:tcPr>
            <w:tcW w:w="1417" w:type="dxa"/>
            <w:tcBorders>
              <w:top w:val="single" w:sz="4" w:space="0" w:color="auto"/>
              <w:left w:val="single" w:sz="4" w:space="0" w:color="auto"/>
              <w:bottom w:val="single" w:sz="4" w:space="0" w:color="auto"/>
              <w:right w:val="single" w:sz="4" w:space="0" w:color="auto"/>
            </w:tcBorders>
          </w:tcPr>
          <w:p w:rsidR="007A4C2E" w:rsidRDefault="007A4C2E"/>
          <w:p w:rsidR="007A4C2E" w:rsidRDefault="004537C2">
            <w:r>
              <w:t xml:space="preserve">      </w:t>
            </w:r>
            <w:r w:rsidR="000638AC">
              <w:t xml:space="preserve"> </w:t>
            </w:r>
            <w:r>
              <w:t>181</w:t>
            </w:r>
          </w:p>
          <w:p w:rsidR="007A4C2E" w:rsidRDefault="007A4C2E">
            <w:r>
              <w:t xml:space="preserve">  </w:t>
            </w:r>
          </w:p>
        </w:tc>
      </w:tr>
      <w:tr w:rsidR="007A4C2E" w:rsidTr="009B68E5">
        <w:tc>
          <w:tcPr>
            <w:tcW w:w="5524" w:type="dxa"/>
            <w:tcBorders>
              <w:top w:val="single" w:sz="4" w:space="0" w:color="auto"/>
              <w:left w:val="single" w:sz="4" w:space="0" w:color="auto"/>
              <w:bottom w:val="single" w:sz="4" w:space="0" w:color="auto"/>
              <w:right w:val="single" w:sz="4" w:space="0" w:color="auto"/>
            </w:tcBorders>
            <w:hideMark/>
          </w:tcPr>
          <w:p w:rsidR="007A4C2E" w:rsidRDefault="000638AC">
            <w:pPr>
              <w:rPr>
                <w:szCs w:val="20"/>
              </w:rPr>
            </w:pPr>
            <w:r>
              <w:rPr>
                <w:sz w:val="20"/>
                <w:szCs w:val="20"/>
              </w:rPr>
              <w:t>1236 práva a svobody</w:t>
            </w:r>
          </w:p>
        </w:tc>
        <w:tc>
          <w:tcPr>
            <w:tcW w:w="1749" w:type="dxa"/>
            <w:tcBorders>
              <w:top w:val="single" w:sz="4" w:space="0" w:color="auto"/>
              <w:left w:val="single" w:sz="4" w:space="0" w:color="auto"/>
              <w:bottom w:val="single" w:sz="4" w:space="0" w:color="auto"/>
              <w:right w:val="single" w:sz="4" w:space="0" w:color="auto"/>
            </w:tcBorders>
          </w:tcPr>
          <w:p w:rsidR="007A4C2E" w:rsidRDefault="007A4C2E" w:rsidP="005A7033"/>
        </w:tc>
        <w:tc>
          <w:tcPr>
            <w:tcW w:w="1417" w:type="dxa"/>
            <w:tcBorders>
              <w:top w:val="single" w:sz="4" w:space="0" w:color="auto"/>
              <w:left w:val="single" w:sz="4" w:space="0" w:color="auto"/>
              <w:bottom w:val="single" w:sz="4" w:space="0" w:color="auto"/>
              <w:right w:val="single" w:sz="4" w:space="0" w:color="auto"/>
            </w:tcBorders>
          </w:tcPr>
          <w:p w:rsidR="007A4C2E" w:rsidRDefault="007A4C2E"/>
        </w:tc>
      </w:tr>
      <w:tr w:rsidR="007A4C2E" w:rsidTr="009B68E5">
        <w:tc>
          <w:tcPr>
            <w:tcW w:w="5524" w:type="dxa"/>
            <w:tcBorders>
              <w:top w:val="single" w:sz="4" w:space="0" w:color="auto"/>
              <w:left w:val="single" w:sz="4" w:space="0" w:color="auto"/>
              <w:bottom w:val="single" w:sz="4" w:space="0" w:color="auto"/>
              <w:right w:val="single" w:sz="4" w:space="0" w:color="auto"/>
            </w:tcBorders>
            <w:hideMark/>
          </w:tcPr>
          <w:p w:rsidR="000638AC" w:rsidRDefault="000638AC" w:rsidP="00D01382">
            <w:pPr>
              <w:rPr>
                <w:sz w:val="20"/>
                <w:szCs w:val="20"/>
              </w:rPr>
            </w:pPr>
            <w:r>
              <w:rPr>
                <w:b/>
                <w:szCs w:val="20"/>
              </w:rPr>
              <w:t>Petice za ukončení genocidy praktikujících metody Falun Gong páchané čínským režimem</w:t>
            </w:r>
            <w:r w:rsidR="007A4C2E">
              <w:rPr>
                <w:sz w:val="20"/>
                <w:szCs w:val="20"/>
              </w:rPr>
              <w:t xml:space="preserve">        </w:t>
            </w:r>
          </w:p>
          <w:p w:rsidR="007A4C2E" w:rsidRPr="00D01382" w:rsidRDefault="007A4C2E" w:rsidP="000638AC">
            <w:pPr>
              <w:jc w:val="right"/>
              <w:rPr>
                <w:b/>
                <w:szCs w:val="20"/>
              </w:rPr>
            </w:pPr>
            <w:r>
              <w:rPr>
                <w:sz w:val="20"/>
                <w:szCs w:val="20"/>
              </w:rPr>
              <w:t xml:space="preserve"> </w:t>
            </w:r>
            <w:r w:rsidR="000638AC">
              <w:rPr>
                <w:sz w:val="20"/>
                <w:szCs w:val="20"/>
              </w:rPr>
              <w:t>16. 10. 2019</w:t>
            </w:r>
            <w:r>
              <w:rPr>
                <w:sz w:val="20"/>
                <w:szCs w:val="20"/>
              </w:rPr>
              <w:t xml:space="preserve"> </w:t>
            </w:r>
          </w:p>
        </w:tc>
        <w:tc>
          <w:tcPr>
            <w:tcW w:w="1749" w:type="dxa"/>
            <w:tcBorders>
              <w:top w:val="single" w:sz="4" w:space="0" w:color="auto"/>
              <w:left w:val="single" w:sz="4" w:space="0" w:color="auto"/>
              <w:bottom w:val="single" w:sz="4" w:space="0" w:color="auto"/>
              <w:right w:val="single" w:sz="4" w:space="0" w:color="auto"/>
            </w:tcBorders>
          </w:tcPr>
          <w:p w:rsidR="007A4C2E" w:rsidRDefault="007A4C2E" w:rsidP="004537C2"/>
          <w:p w:rsidR="000638AC" w:rsidRDefault="000638AC" w:rsidP="004537C2">
            <w:r>
              <w:t xml:space="preserve">            1</w:t>
            </w:r>
          </w:p>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0638AC" w:rsidRDefault="000638AC" w:rsidP="000638AC"/>
          <w:p w:rsidR="007A4C2E" w:rsidRDefault="000638AC" w:rsidP="000638AC">
            <w:r>
              <w:t xml:space="preserve">  10 287</w:t>
            </w:r>
            <w:r w:rsidR="007A4C2E">
              <w:t xml:space="preserve"> </w:t>
            </w:r>
          </w:p>
        </w:tc>
      </w:tr>
      <w:tr w:rsidR="007A4C2E" w:rsidTr="009B68E5">
        <w:tc>
          <w:tcPr>
            <w:tcW w:w="5524" w:type="dxa"/>
            <w:tcBorders>
              <w:top w:val="single" w:sz="4" w:space="0" w:color="auto"/>
              <w:left w:val="single" w:sz="4" w:space="0" w:color="auto"/>
              <w:bottom w:val="single" w:sz="4" w:space="0" w:color="auto"/>
              <w:right w:val="single" w:sz="4" w:space="0" w:color="auto"/>
            </w:tcBorders>
            <w:hideMark/>
          </w:tcPr>
          <w:p w:rsidR="007A4C2E" w:rsidRDefault="000638AC">
            <w:pPr>
              <w:rPr>
                <w:szCs w:val="20"/>
              </w:rPr>
            </w:pPr>
            <w:r>
              <w:rPr>
                <w:sz w:val="20"/>
                <w:szCs w:val="20"/>
              </w:rPr>
              <w:t>1211</w:t>
            </w:r>
            <w:r w:rsidR="007A4C2E">
              <w:rPr>
                <w:sz w:val="20"/>
                <w:szCs w:val="20"/>
              </w:rPr>
              <w:t xml:space="preserve"> </w:t>
            </w:r>
            <w:r>
              <w:rPr>
                <w:sz w:val="20"/>
                <w:szCs w:val="20"/>
              </w:rPr>
              <w:t>občanské právo</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tc>
      </w:tr>
      <w:tr w:rsidR="007A4C2E" w:rsidTr="009B68E5">
        <w:tc>
          <w:tcPr>
            <w:tcW w:w="5524" w:type="dxa"/>
            <w:tcBorders>
              <w:top w:val="single" w:sz="4" w:space="0" w:color="auto"/>
              <w:left w:val="single" w:sz="4" w:space="0" w:color="auto"/>
              <w:bottom w:val="single" w:sz="4" w:space="0" w:color="auto"/>
              <w:right w:val="single" w:sz="4" w:space="0" w:color="auto"/>
            </w:tcBorders>
            <w:hideMark/>
          </w:tcPr>
          <w:p w:rsidR="000638AC" w:rsidRDefault="000638AC" w:rsidP="000638AC">
            <w:pPr>
              <w:tabs>
                <w:tab w:val="left" w:pos="1286"/>
              </w:tabs>
              <w:rPr>
                <w:sz w:val="20"/>
              </w:rPr>
            </w:pPr>
            <w:r>
              <w:rPr>
                <w:b/>
                <w:szCs w:val="28"/>
              </w:rPr>
              <w:t>Petice za povinnou identifikaci a registraci koček</w:t>
            </w:r>
            <w:r w:rsidR="007A4C2E">
              <w:rPr>
                <w:sz w:val="20"/>
              </w:rPr>
              <w:t xml:space="preserve"> </w:t>
            </w:r>
          </w:p>
          <w:p w:rsidR="007A4C2E" w:rsidRPr="00D01382" w:rsidRDefault="000638AC" w:rsidP="000638AC">
            <w:pPr>
              <w:tabs>
                <w:tab w:val="left" w:pos="1286"/>
              </w:tabs>
              <w:jc w:val="right"/>
              <w:rPr>
                <w:b/>
                <w:szCs w:val="28"/>
              </w:rPr>
            </w:pPr>
            <w:r>
              <w:rPr>
                <w:sz w:val="20"/>
              </w:rPr>
              <w:t xml:space="preserve">                        14. 11. 2019         </w:t>
            </w:r>
            <w:r w:rsidR="007A4C2E">
              <w:rPr>
                <w:sz w:val="20"/>
              </w:rPr>
              <w:t xml:space="preserve">      </w:t>
            </w:r>
            <w:r>
              <w:rPr>
                <w:sz w:val="20"/>
              </w:rPr>
              <w:t xml:space="preserve"> </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1</w:t>
            </w:r>
          </w:p>
        </w:tc>
        <w:tc>
          <w:tcPr>
            <w:tcW w:w="1417" w:type="dxa"/>
            <w:tcBorders>
              <w:top w:val="single" w:sz="4" w:space="0" w:color="auto"/>
              <w:left w:val="single" w:sz="4" w:space="0" w:color="auto"/>
              <w:bottom w:val="single" w:sz="4" w:space="0" w:color="auto"/>
              <w:right w:val="single" w:sz="4" w:space="0" w:color="auto"/>
            </w:tcBorders>
          </w:tcPr>
          <w:p w:rsidR="007A4C2E" w:rsidRDefault="007A4C2E"/>
          <w:p w:rsidR="007A4C2E" w:rsidRDefault="000638AC">
            <w:r>
              <w:t xml:space="preserve">         20</w:t>
            </w:r>
          </w:p>
        </w:tc>
      </w:tr>
      <w:tr w:rsidR="007A4C2E" w:rsidTr="009B68E5">
        <w:tc>
          <w:tcPr>
            <w:tcW w:w="5524" w:type="dxa"/>
            <w:tcBorders>
              <w:top w:val="single" w:sz="4" w:space="0" w:color="auto"/>
              <w:left w:val="single" w:sz="4" w:space="0" w:color="auto"/>
              <w:bottom w:val="single" w:sz="4" w:space="0" w:color="auto"/>
              <w:right w:val="single" w:sz="4" w:space="0" w:color="auto"/>
            </w:tcBorders>
            <w:hideMark/>
          </w:tcPr>
          <w:p w:rsidR="007A4C2E" w:rsidRDefault="007A4C2E">
            <w:pPr>
              <w:tabs>
                <w:tab w:val="left" w:pos="1286"/>
              </w:tabs>
              <w:jc w:val="both"/>
              <w:rPr>
                <w:sz w:val="20"/>
                <w:szCs w:val="20"/>
              </w:rPr>
            </w:pPr>
            <w:r>
              <w:rPr>
                <w:sz w:val="20"/>
                <w:szCs w:val="20"/>
              </w:rPr>
              <w:t>1211 občanské právo</w:t>
            </w:r>
            <w:r w:rsidR="00737236">
              <w:rPr>
                <w:sz w:val="20"/>
                <w:szCs w:val="20"/>
              </w:rPr>
              <w:t>; 1221 soudnictví</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tc>
      </w:tr>
      <w:tr w:rsidR="007A4C2E" w:rsidTr="009B68E5">
        <w:tc>
          <w:tcPr>
            <w:tcW w:w="5524" w:type="dxa"/>
            <w:tcBorders>
              <w:top w:val="single" w:sz="4" w:space="0" w:color="auto"/>
              <w:left w:val="single" w:sz="4" w:space="0" w:color="auto"/>
              <w:bottom w:val="single" w:sz="4" w:space="0" w:color="auto"/>
              <w:right w:val="single" w:sz="4" w:space="0" w:color="auto"/>
            </w:tcBorders>
            <w:hideMark/>
          </w:tcPr>
          <w:p w:rsidR="00737236" w:rsidRDefault="00737236" w:rsidP="00D01382">
            <w:pPr>
              <w:tabs>
                <w:tab w:val="left" w:pos="1286"/>
              </w:tabs>
              <w:rPr>
                <w:sz w:val="20"/>
                <w:szCs w:val="20"/>
              </w:rPr>
            </w:pPr>
            <w:r>
              <w:rPr>
                <w:b/>
                <w:szCs w:val="24"/>
              </w:rPr>
              <w:t xml:space="preserve">Petiční podání - právní úprava exekucí      </w:t>
            </w:r>
            <w:r>
              <w:rPr>
                <w:sz w:val="20"/>
                <w:szCs w:val="20"/>
              </w:rPr>
              <w:t xml:space="preserve"> </w:t>
            </w:r>
          </w:p>
          <w:p w:rsidR="007A4C2E" w:rsidRPr="00737236" w:rsidRDefault="00737236" w:rsidP="00737236">
            <w:pPr>
              <w:tabs>
                <w:tab w:val="left" w:pos="1286"/>
              </w:tabs>
              <w:jc w:val="right"/>
              <w:rPr>
                <w:sz w:val="20"/>
                <w:szCs w:val="20"/>
              </w:rPr>
            </w:pPr>
            <w:r>
              <w:rPr>
                <w:sz w:val="20"/>
                <w:szCs w:val="20"/>
              </w:rPr>
              <w:t>6. 12. 2019</w:t>
            </w:r>
          </w:p>
        </w:tc>
        <w:tc>
          <w:tcPr>
            <w:tcW w:w="1749" w:type="dxa"/>
            <w:tcBorders>
              <w:top w:val="single" w:sz="4" w:space="0" w:color="auto"/>
              <w:left w:val="single" w:sz="4" w:space="0" w:color="auto"/>
              <w:bottom w:val="single" w:sz="4" w:space="0" w:color="auto"/>
              <w:right w:val="single" w:sz="4" w:space="0" w:color="auto"/>
            </w:tcBorders>
          </w:tcPr>
          <w:p w:rsidR="007A4C2E" w:rsidRDefault="007A4C2E" w:rsidP="004537C2"/>
          <w:p w:rsidR="007A4C2E" w:rsidRDefault="00737236">
            <w:pPr>
              <w:jc w:val="center"/>
            </w:pPr>
            <w:r>
              <w:t>1</w:t>
            </w:r>
          </w:p>
        </w:tc>
        <w:tc>
          <w:tcPr>
            <w:tcW w:w="1417" w:type="dxa"/>
            <w:tcBorders>
              <w:top w:val="single" w:sz="4" w:space="0" w:color="auto"/>
              <w:left w:val="single" w:sz="4" w:space="0" w:color="auto"/>
              <w:bottom w:val="single" w:sz="4" w:space="0" w:color="auto"/>
              <w:right w:val="single" w:sz="4" w:space="0" w:color="auto"/>
            </w:tcBorders>
          </w:tcPr>
          <w:p w:rsidR="007A4C2E" w:rsidRDefault="007A4C2E"/>
          <w:p w:rsidR="007A4C2E" w:rsidRDefault="00737236">
            <w:pPr>
              <w:jc w:val="center"/>
            </w:pPr>
            <w:r>
              <w:t xml:space="preserve">    1</w:t>
            </w:r>
          </w:p>
        </w:tc>
      </w:tr>
      <w:tr w:rsidR="007A4C2E" w:rsidTr="009B68E5">
        <w:tc>
          <w:tcPr>
            <w:tcW w:w="5524" w:type="dxa"/>
            <w:tcBorders>
              <w:top w:val="single" w:sz="4" w:space="0" w:color="auto"/>
              <w:left w:val="single" w:sz="4" w:space="0" w:color="auto"/>
              <w:bottom w:val="single" w:sz="4" w:space="0" w:color="auto"/>
              <w:right w:val="single" w:sz="4" w:space="0" w:color="auto"/>
            </w:tcBorders>
            <w:hideMark/>
          </w:tcPr>
          <w:p w:rsidR="007A4C2E" w:rsidRDefault="00035D5C">
            <w:pPr>
              <w:tabs>
                <w:tab w:val="left" w:pos="1286"/>
              </w:tabs>
              <w:rPr>
                <w:sz w:val="20"/>
                <w:szCs w:val="20"/>
              </w:rPr>
            </w:pPr>
            <w:r>
              <w:rPr>
                <w:sz w:val="20"/>
                <w:szCs w:val="20"/>
              </w:rPr>
              <w:t>2841 zdraví</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tc>
        <w:tc>
          <w:tcPr>
            <w:tcW w:w="1417" w:type="dxa"/>
            <w:tcBorders>
              <w:top w:val="single" w:sz="4" w:space="0" w:color="auto"/>
              <w:left w:val="single" w:sz="4" w:space="0" w:color="auto"/>
              <w:bottom w:val="single" w:sz="4" w:space="0" w:color="auto"/>
              <w:right w:val="single" w:sz="4" w:space="0" w:color="auto"/>
            </w:tcBorders>
          </w:tcPr>
          <w:p w:rsidR="007A4C2E" w:rsidRDefault="007A4C2E">
            <w:pPr>
              <w:jc w:val="center"/>
            </w:pPr>
          </w:p>
        </w:tc>
      </w:tr>
      <w:tr w:rsidR="007A4C2E" w:rsidTr="009B68E5">
        <w:tc>
          <w:tcPr>
            <w:tcW w:w="5524" w:type="dxa"/>
            <w:tcBorders>
              <w:top w:val="single" w:sz="4" w:space="0" w:color="auto"/>
              <w:left w:val="single" w:sz="4" w:space="0" w:color="auto"/>
              <w:bottom w:val="single" w:sz="4" w:space="0" w:color="auto"/>
              <w:right w:val="single" w:sz="4" w:space="0" w:color="auto"/>
            </w:tcBorders>
            <w:hideMark/>
          </w:tcPr>
          <w:p w:rsidR="007A4C2E" w:rsidRDefault="00BB0D6C">
            <w:pPr>
              <w:tabs>
                <w:tab w:val="left" w:pos="1286"/>
              </w:tabs>
              <w:rPr>
                <w:b/>
                <w:szCs w:val="24"/>
              </w:rPr>
            </w:pPr>
            <w:r>
              <w:rPr>
                <w:b/>
                <w:szCs w:val="24"/>
              </w:rPr>
              <w:t>Petice za odstranění diskriminace dětí v přístupu</w:t>
            </w:r>
          </w:p>
          <w:p w:rsidR="007A4C2E" w:rsidRDefault="00BB0D6C" w:rsidP="00BB0D6C">
            <w:pPr>
              <w:tabs>
                <w:tab w:val="left" w:pos="1286"/>
              </w:tabs>
              <w:rPr>
                <w:sz w:val="20"/>
                <w:szCs w:val="20"/>
              </w:rPr>
            </w:pPr>
            <w:r>
              <w:rPr>
                <w:b/>
                <w:szCs w:val="24"/>
              </w:rPr>
              <w:t xml:space="preserve">do kolektivů v rámci povinného očkování   </w:t>
            </w:r>
            <w:r w:rsidR="00035D5C">
              <w:rPr>
                <w:sz w:val="20"/>
                <w:szCs w:val="20"/>
              </w:rPr>
              <w:t>6. 12. 2019</w:t>
            </w:r>
          </w:p>
        </w:tc>
        <w:tc>
          <w:tcPr>
            <w:tcW w:w="1749" w:type="dxa"/>
            <w:tcBorders>
              <w:top w:val="single" w:sz="4" w:space="0" w:color="auto"/>
              <w:left w:val="single" w:sz="4" w:space="0" w:color="auto"/>
              <w:bottom w:val="single" w:sz="4" w:space="0" w:color="auto"/>
              <w:right w:val="single" w:sz="4" w:space="0" w:color="auto"/>
            </w:tcBorders>
          </w:tcPr>
          <w:p w:rsidR="007A4C2E" w:rsidRDefault="007A4C2E">
            <w:pPr>
              <w:jc w:val="center"/>
            </w:pPr>
          </w:p>
          <w:p w:rsidR="007A4C2E" w:rsidRDefault="007A4C2E">
            <w:pPr>
              <w:jc w:val="center"/>
            </w:pPr>
            <w:r>
              <w:t>1</w:t>
            </w:r>
          </w:p>
        </w:tc>
        <w:tc>
          <w:tcPr>
            <w:tcW w:w="1417" w:type="dxa"/>
            <w:tcBorders>
              <w:top w:val="single" w:sz="4" w:space="0" w:color="auto"/>
              <w:left w:val="single" w:sz="4" w:space="0" w:color="auto"/>
              <w:bottom w:val="single" w:sz="4" w:space="0" w:color="auto"/>
              <w:right w:val="single" w:sz="4" w:space="0" w:color="auto"/>
            </w:tcBorders>
            <w:hideMark/>
          </w:tcPr>
          <w:p w:rsidR="007A4C2E" w:rsidRDefault="007A4C2E">
            <w:r>
              <w:t xml:space="preserve">            </w:t>
            </w:r>
          </w:p>
          <w:p w:rsidR="007A4C2E" w:rsidRDefault="007A4C2E">
            <w:r>
              <w:t xml:space="preserve">  </w:t>
            </w:r>
            <w:r w:rsidR="00035D5C">
              <w:t xml:space="preserve">   4 618</w:t>
            </w:r>
          </w:p>
        </w:tc>
      </w:tr>
      <w:tr w:rsidR="007A4C2E" w:rsidTr="009B68E5">
        <w:tc>
          <w:tcPr>
            <w:tcW w:w="5524" w:type="dxa"/>
            <w:tcBorders>
              <w:top w:val="single" w:sz="4" w:space="0" w:color="auto"/>
              <w:left w:val="single" w:sz="4" w:space="0" w:color="auto"/>
              <w:bottom w:val="single" w:sz="4" w:space="0" w:color="auto"/>
              <w:right w:val="single" w:sz="4" w:space="0" w:color="auto"/>
            </w:tcBorders>
          </w:tcPr>
          <w:p w:rsidR="00035D5C" w:rsidRDefault="00035D5C">
            <w:pPr>
              <w:tabs>
                <w:tab w:val="left" w:pos="1286"/>
              </w:tabs>
              <w:rPr>
                <w:b/>
                <w:szCs w:val="24"/>
              </w:rPr>
            </w:pPr>
          </w:p>
          <w:p w:rsidR="007A4C2E" w:rsidRDefault="007A4C2E">
            <w:pPr>
              <w:tabs>
                <w:tab w:val="left" w:pos="1286"/>
              </w:tabs>
              <w:rPr>
                <w:b/>
                <w:szCs w:val="24"/>
              </w:rPr>
            </w:pPr>
            <w:r>
              <w:rPr>
                <w:b/>
                <w:szCs w:val="24"/>
              </w:rPr>
              <w:t>P E T I C E  CELKEM</w:t>
            </w:r>
          </w:p>
          <w:p w:rsidR="007A4C2E" w:rsidRDefault="007A4C2E">
            <w:pPr>
              <w:tabs>
                <w:tab w:val="left" w:pos="1286"/>
              </w:tabs>
              <w:rPr>
                <w:b/>
                <w:szCs w:val="24"/>
              </w:rPr>
            </w:pPr>
          </w:p>
        </w:tc>
        <w:tc>
          <w:tcPr>
            <w:tcW w:w="1749" w:type="dxa"/>
            <w:tcBorders>
              <w:top w:val="single" w:sz="4" w:space="0" w:color="auto"/>
              <w:left w:val="single" w:sz="4" w:space="0" w:color="auto"/>
              <w:bottom w:val="single" w:sz="4" w:space="0" w:color="auto"/>
              <w:right w:val="single" w:sz="4" w:space="0" w:color="auto"/>
            </w:tcBorders>
            <w:hideMark/>
          </w:tcPr>
          <w:p w:rsidR="007A4C2E" w:rsidRDefault="007A4C2E">
            <w:r>
              <w:t xml:space="preserve">          </w:t>
            </w:r>
          </w:p>
          <w:p w:rsidR="007A4C2E" w:rsidRDefault="007A4C2E">
            <w:pPr>
              <w:rPr>
                <w:b/>
              </w:rPr>
            </w:pPr>
            <w:r>
              <w:rPr>
                <w:b/>
              </w:rPr>
              <w:t xml:space="preserve">          </w:t>
            </w:r>
            <w:r w:rsidR="003A5D50">
              <w:rPr>
                <w:b/>
              </w:rPr>
              <w:t>10</w:t>
            </w:r>
          </w:p>
        </w:tc>
        <w:tc>
          <w:tcPr>
            <w:tcW w:w="1417" w:type="dxa"/>
            <w:tcBorders>
              <w:top w:val="single" w:sz="4" w:space="0" w:color="auto"/>
              <w:left w:val="single" w:sz="4" w:space="0" w:color="auto"/>
              <w:bottom w:val="single" w:sz="4" w:space="0" w:color="auto"/>
              <w:right w:val="single" w:sz="4" w:space="0" w:color="auto"/>
            </w:tcBorders>
          </w:tcPr>
          <w:p w:rsidR="007A4C2E" w:rsidRDefault="007A4C2E"/>
          <w:p w:rsidR="007A4C2E" w:rsidRDefault="003A5D50">
            <w:pPr>
              <w:rPr>
                <w:b/>
              </w:rPr>
            </w:pPr>
            <w:r>
              <w:rPr>
                <w:b/>
              </w:rPr>
              <w:t xml:space="preserve">  </w:t>
            </w:r>
            <w:r w:rsidR="005861B3">
              <w:rPr>
                <w:b/>
              </w:rPr>
              <w:t xml:space="preserve"> </w:t>
            </w:r>
            <w:r>
              <w:rPr>
                <w:b/>
              </w:rPr>
              <w:t>59 924</w:t>
            </w:r>
          </w:p>
        </w:tc>
      </w:tr>
    </w:tbl>
    <w:p w:rsidR="007A4C2E" w:rsidRDefault="007A4C2E" w:rsidP="0036495B">
      <w:pPr>
        <w:jc w:val="both"/>
      </w:pPr>
    </w:p>
    <w:sectPr w:rsidR="007A4C2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4818" w:rsidRDefault="00744818" w:rsidP="00091DB6">
      <w:r>
        <w:separator/>
      </w:r>
    </w:p>
  </w:endnote>
  <w:endnote w:type="continuationSeparator" w:id="0">
    <w:p w:rsidR="00744818" w:rsidRDefault="00744818" w:rsidP="00091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Rockwell Condensed">
    <w:altName w:val="Century"/>
    <w:panose1 w:val="02060603050405020104"/>
    <w:charset w:val="00"/>
    <w:family w:val="roman"/>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7300969"/>
      <w:docPartObj>
        <w:docPartGallery w:val="Page Numbers (Bottom of Page)"/>
        <w:docPartUnique/>
      </w:docPartObj>
    </w:sdtPr>
    <w:sdtEndPr/>
    <w:sdtContent>
      <w:p w:rsidR="00091DB6" w:rsidRDefault="00091DB6">
        <w:pPr>
          <w:pStyle w:val="Zpat"/>
          <w:jc w:val="center"/>
        </w:pPr>
        <w:r>
          <w:fldChar w:fldCharType="begin"/>
        </w:r>
        <w:r>
          <w:instrText>PAGE   \* MERGEFORMAT</w:instrText>
        </w:r>
        <w:r>
          <w:fldChar w:fldCharType="separate"/>
        </w:r>
        <w:r w:rsidR="00184706">
          <w:rPr>
            <w:noProof/>
          </w:rPr>
          <w:t>4</w:t>
        </w:r>
        <w:r>
          <w:fldChar w:fldCharType="end"/>
        </w:r>
      </w:p>
    </w:sdtContent>
  </w:sdt>
  <w:p w:rsidR="00091DB6" w:rsidRDefault="00091DB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4818" w:rsidRDefault="00744818" w:rsidP="00091DB6">
      <w:r>
        <w:separator/>
      </w:r>
    </w:p>
  </w:footnote>
  <w:footnote w:type="continuationSeparator" w:id="0">
    <w:p w:rsidR="00744818" w:rsidRDefault="00744818" w:rsidP="00091D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14707"/>
    <w:multiLevelType w:val="hybridMultilevel"/>
    <w:tmpl w:val="4B3CC9E0"/>
    <w:lvl w:ilvl="0" w:tplc="1CECF67A">
      <w:start w:val="9"/>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F510FDD"/>
    <w:multiLevelType w:val="hybridMultilevel"/>
    <w:tmpl w:val="3186353C"/>
    <w:lvl w:ilvl="0" w:tplc="6D78F71A">
      <w:start w:val="1"/>
      <w:numFmt w:val="decimal"/>
      <w:lvlText w:val="%1."/>
      <w:lvlJc w:val="left"/>
      <w:pPr>
        <w:ind w:left="3504" w:hanging="360"/>
      </w:pPr>
      <w:rPr>
        <w:rFonts w:hint="default"/>
      </w:rPr>
    </w:lvl>
    <w:lvl w:ilvl="1" w:tplc="04050019" w:tentative="1">
      <w:start w:val="1"/>
      <w:numFmt w:val="lowerLetter"/>
      <w:lvlText w:val="%2."/>
      <w:lvlJc w:val="left"/>
      <w:pPr>
        <w:ind w:left="4224" w:hanging="360"/>
      </w:pPr>
    </w:lvl>
    <w:lvl w:ilvl="2" w:tplc="0405001B" w:tentative="1">
      <w:start w:val="1"/>
      <w:numFmt w:val="lowerRoman"/>
      <w:lvlText w:val="%3."/>
      <w:lvlJc w:val="right"/>
      <w:pPr>
        <w:ind w:left="4944" w:hanging="180"/>
      </w:pPr>
    </w:lvl>
    <w:lvl w:ilvl="3" w:tplc="0405000F" w:tentative="1">
      <w:start w:val="1"/>
      <w:numFmt w:val="decimal"/>
      <w:lvlText w:val="%4."/>
      <w:lvlJc w:val="left"/>
      <w:pPr>
        <w:ind w:left="5664" w:hanging="360"/>
      </w:pPr>
    </w:lvl>
    <w:lvl w:ilvl="4" w:tplc="04050019" w:tentative="1">
      <w:start w:val="1"/>
      <w:numFmt w:val="lowerLetter"/>
      <w:lvlText w:val="%5."/>
      <w:lvlJc w:val="left"/>
      <w:pPr>
        <w:ind w:left="6384" w:hanging="360"/>
      </w:pPr>
    </w:lvl>
    <w:lvl w:ilvl="5" w:tplc="0405001B" w:tentative="1">
      <w:start w:val="1"/>
      <w:numFmt w:val="lowerRoman"/>
      <w:lvlText w:val="%6."/>
      <w:lvlJc w:val="right"/>
      <w:pPr>
        <w:ind w:left="7104" w:hanging="180"/>
      </w:pPr>
    </w:lvl>
    <w:lvl w:ilvl="6" w:tplc="0405000F" w:tentative="1">
      <w:start w:val="1"/>
      <w:numFmt w:val="decimal"/>
      <w:lvlText w:val="%7."/>
      <w:lvlJc w:val="left"/>
      <w:pPr>
        <w:ind w:left="7824" w:hanging="360"/>
      </w:pPr>
    </w:lvl>
    <w:lvl w:ilvl="7" w:tplc="04050019" w:tentative="1">
      <w:start w:val="1"/>
      <w:numFmt w:val="lowerLetter"/>
      <w:lvlText w:val="%8."/>
      <w:lvlJc w:val="left"/>
      <w:pPr>
        <w:ind w:left="8544" w:hanging="360"/>
      </w:pPr>
    </w:lvl>
    <w:lvl w:ilvl="8" w:tplc="0405001B" w:tentative="1">
      <w:start w:val="1"/>
      <w:numFmt w:val="lowerRoman"/>
      <w:lvlText w:val="%9."/>
      <w:lvlJc w:val="right"/>
      <w:pPr>
        <w:ind w:left="9264" w:hanging="180"/>
      </w:pPr>
    </w:lvl>
  </w:abstractNum>
  <w:abstractNum w:abstractNumId="2" w15:restartNumberingAfterBreak="0">
    <w:nsid w:val="284053FD"/>
    <w:multiLevelType w:val="hybridMultilevel"/>
    <w:tmpl w:val="6166034A"/>
    <w:lvl w:ilvl="0" w:tplc="699282D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372E2B14"/>
    <w:multiLevelType w:val="hybridMultilevel"/>
    <w:tmpl w:val="1102CB16"/>
    <w:lvl w:ilvl="0" w:tplc="CFF46736">
      <w:start w:val="1"/>
      <w:numFmt w:val="decimal"/>
      <w:lvlText w:val="%1."/>
      <w:lvlJc w:val="left"/>
      <w:pPr>
        <w:ind w:left="3864" w:hanging="360"/>
      </w:pPr>
      <w:rPr>
        <w:rFonts w:hint="default"/>
      </w:rPr>
    </w:lvl>
    <w:lvl w:ilvl="1" w:tplc="04050019" w:tentative="1">
      <w:start w:val="1"/>
      <w:numFmt w:val="lowerLetter"/>
      <w:lvlText w:val="%2."/>
      <w:lvlJc w:val="left"/>
      <w:pPr>
        <w:ind w:left="4584" w:hanging="360"/>
      </w:pPr>
    </w:lvl>
    <w:lvl w:ilvl="2" w:tplc="0405001B" w:tentative="1">
      <w:start w:val="1"/>
      <w:numFmt w:val="lowerRoman"/>
      <w:lvlText w:val="%3."/>
      <w:lvlJc w:val="right"/>
      <w:pPr>
        <w:ind w:left="5304" w:hanging="180"/>
      </w:pPr>
    </w:lvl>
    <w:lvl w:ilvl="3" w:tplc="0405000F" w:tentative="1">
      <w:start w:val="1"/>
      <w:numFmt w:val="decimal"/>
      <w:lvlText w:val="%4."/>
      <w:lvlJc w:val="left"/>
      <w:pPr>
        <w:ind w:left="6024" w:hanging="360"/>
      </w:pPr>
    </w:lvl>
    <w:lvl w:ilvl="4" w:tplc="04050019" w:tentative="1">
      <w:start w:val="1"/>
      <w:numFmt w:val="lowerLetter"/>
      <w:lvlText w:val="%5."/>
      <w:lvlJc w:val="left"/>
      <w:pPr>
        <w:ind w:left="6744" w:hanging="360"/>
      </w:pPr>
    </w:lvl>
    <w:lvl w:ilvl="5" w:tplc="0405001B" w:tentative="1">
      <w:start w:val="1"/>
      <w:numFmt w:val="lowerRoman"/>
      <w:lvlText w:val="%6."/>
      <w:lvlJc w:val="right"/>
      <w:pPr>
        <w:ind w:left="7464" w:hanging="180"/>
      </w:pPr>
    </w:lvl>
    <w:lvl w:ilvl="6" w:tplc="0405000F" w:tentative="1">
      <w:start w:val="1"/>
      <w:numFmt w:val="decimal"/>
      <w:lvlText w:val="%7."/>
      <w:lvlJc w:val="left"/>
      <w:pPr>
        <w:ind w:left="8184" w:hanging="360"/>
      </w:pPr>
    </w:lvl>
    <w:lvl w:ilvl="7" w:tplc="04050019" w:tentative="1">
      <w:start w:val="1"/>
      <w:numFmt w:val="lowerLetter"/>
      <w:lvlText w:val="%8."/>
      <w:lvlJc w:val="left"/>
      <w:pPr>
        <w:ind w:left="8904" w:hanging="360"/>
      </w:pPr>
    </w:lvl>
    <w:lvl w:ilvl="8" w:tplc="0405001B" w:tentative="1">
      <w:start w:val="1"/>
      <w:numFmt w:val="lowerRoman"/>
      <w:lvlText w:val="%9."/>
      <w:lvlJc w:val="right"/>
      <w:pPr>
        <w:ind w:left="9624" w:hanging="180"/>
      </w:pPr>
    </w:lvl>
  </w:abstractNum>
  <w:abstractNum w:abstractNumId="4" w15:restartNumberingAfterBreak="0">
    <w:nsid w:val="3F804C8F"/>
    <w:multiLevelType w:val="hybridMultilevel"/>
    <w:tmpl w:val="1F0EA7DE"/>
    <w:lvl w:ilvl="0" w:tplc="8B4AF772">
      <w:start w:val="1"/>
      <w:numFmt w:val="upperRoman"/>
      <w:lvlText w:val="%1."/>
      <w:lvlJc w:val="left"/>
      <w:pPr>
        <w:ind w:left="86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31D4D09"/>
    <w:multiLevelType w:val="hybridMultilevel"/>
    <w:tmpl w:val="1F0EA7DE"/>
    <w:lvl w:ilvl="0" w:tplc="8B4AF772">
      <w:start w:val="1"/>
      <w:numFmt w:val="upperRoman"/>
      <w:lvlText w:val="%1."/>
      <w:lvlJc w:val="left"/>
      <w:pPr>
        <w:ind w:left="86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49514C9"/>
    <w:multiLevelType w:val="hybridMultilevel"/>
    <w:tmpl w:val="E1E6E798"/>
    <w:lvl w:ilvl="0" w:tplc="670481D8">
      <w:start w:val="1"/>
      <w:numFmt w:val="decimal"/>
      <w:lvlText w:val="%1."/>
      <w:lvlJc w:val="left"/>
      <w:pPr>
        <w:ind w:left="4008" w:hanging="360"/>
      </w:pPr>
      <w:rPr>
        <w:rFonts w:hint="default"/>
      </w:rPr>
    </w:lvl>
    <w:lvl w:ilvl="1" w:tplc="04050019" w:tentative="1">
      <w:start w:val="1"/>
      <w:numFmt w:val="lowerLetter"/>
      <w:lvlText w:val="%2."/>
      <w:lvlJc w:val="left"/>
      <w:pPr>
        <w:ind w:left="4728" w:hanging="360"/>
      </w:pPr>
    </w:lvl>
    <w:lvl w:ilvl="2" w:tplc="0405001B" w:tentative="1">
      <w:start w:val="1"/>
      <w:numFmt w:val="lowerRoman"/>
      <w:lvlText w:val="%3."/>
      <w:lvlJc w:val="right"/>
      <w:pPr>
        <w:ind w:left="5448" w:hanging="180"/>
      </w:pPr>
    </w:lvl>
    <w:lvl w:ilvl="3" w:tplc="0405000F" w:tentative="1">
      <w:start w:val="1"/>
      <w:numFmt w:val="decimal"/>
      <w:lvlText w:val="%4."/>
      <w:lvlJc w:val="left"/>
      <w:pPr>
        <w:ind w:left="6168" w:hanging="360"/>
      </w:pPr>
    </w:lvl>
    <w:lvl w:ilvl="4" w:tplc="04050019" w:tentative="1">
      <w:start w:val="1"/>
      <w:numFmt w:val="lowerLetter"/>
      <w:lvlText w:val="%5."/>
      <w:lvlJc w:val="left"/>
      <w:pPr>
        <w:ind w:left="6888" w:hanging="360"/>
      </w:pPr>
    </w:lvl>
    <w:lvl w:ilvl="5" w:tplc="0405001B" w:tentative="1">
      <w:start w:val="1"/>
      <w:numFmt w:val="lowerRoman"/>
      <w:lvlText w:val="%6."/>
      <w:lvlJc w:val="right"/>
      <w:pPr>
        <w:ind w:left="7608" w:hanging="180"/>
      </w:pPr>
    </w:lvl>
    <w:lvl w:ilvl="6" w:tplc="0405000F" w:tentative="1">
      <w:start w:val="1"/>
      <w:numFmt w:val="decimal"/>
      <w:lvlText w:val="%7."/>
      <w:lvlJc w:val="left"/>
      <w:pPr>
        <w:ind w:left="8328" w:hanging="360"/>
      </w:pPr>
    </w:lvl>
    <w:lvl w:ilvl="7" w:tplc="04050019" w:tentative="1">
      <w:start w:val="1"/>
      <w:numFmt w:val="lowerLetter"/>
      <w:lvlText w:val="%8."/>
      <w:lvlJc w:val="left"/>
      <w:pPr>
        <w:ind w:left="9048" w:hanging="360"/>
      </w:pPr>
    </w:lvl>
    <w:lvl w:ilvl="8" w:tplc="0405001B" w:tentative="1">
      <w:start w:val="1"/>
      <w:numFmt w:val="lowerRoman"/>
      <w:lvlText w:val="%9."/>
      <w:lvlJc w:val="right"/>
      <w:pPr>
        <w:ind w:left="9768" w:hanging="180"/>
      </w:pPr>
    </w:lvl>
  </w:abstractNum>
  <w:abstractNum w:abstractNumId="7" w15:restartNumberingAfterBreak="0">
    <w:nsid w:val="57EA691B"/>
    <w:multiLevelType w:val="hybridMultilevel"/>
    <w:tmpl w:val="71ECE7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3"/>
  </w:num>
  <w:num w:numId="5">
    <w:abstractNumId w:val="7"/>
  </w:num>
  <w:num w:numId="6">
    <w:abstractNumId w:val="2"/>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130"/>
    <w:rsid w:val="0000136E"/>
    <w:rsid w:val="0001549B"/>
    <w:rsid w:val="00023752"/>
    <w:rsid w:val="0003192E"/>
    <w:rsid w:val="00035D5C"/>
    <w:rsid w:val="00041256"/>
    <w:rsid w:val="00043C37"/>
    <w:rsid w:val="0005529D"/>
    <w:rsid w:val="00055AAF"/>
    <w:rsid w:val="000638AC"/>
    <w:rsid w:val="000643A5"/>
    <w:rsid w:val="000823F2"/>
    <w:rsid w:val="00086284"/>
    <w:rsid w:val="000907F6"/>
    <w:rsid w:val="00091DB6"/>
    <w:rsid w:val="00092102"/>
    <w:rsid w:val="00097282"/>
    <w:rsid w:val="000A4A85"/>
    <w:rsid w:val="000A6A2C"/>
    <w:rsid w:val="000B63A4"/>
    <w:rsid w:val="000C292A"/>
    <w:rsid w:val="000F073B"/>
    <w:rsid w:val="000F0A0C"/>
    <w:rsid w:val="000F71EB"/>
    <w:rsid w:val="00107B00"/>
    <w:rsid w:val="00110C33"/>
    <w:rsid w:val="0011318B"/>
    <w:rsid w:val="00116545"/>
    <w:rsid w:val="001171EE"/>
    <w:rsid w:val="00127D69"/>
    <w:rsid w:val="00132280"/>
    <w:rsid w:val="00160644"/>
    <w:rsid w:val="00163345"/>
    <w:rsid w:val="00165D57"/>
    <w:rsid w:val="00167390"/>
    <w:rsid w:val="0017259C"/>
    <w:rsid w:val="00175CCE"/>
    <w:rsid w:val="00182E15"/>
    <w:rsid w:val="00184706"/>
    <w:rsid w:val="001A1049"/>
    <w:rsid w:val="001A1FC7"/>
    <w:rsid w:val="001B197C"/>
    <w:rsid w:val="001B5452"/>
    <w:rsid w:val="001C370D"/>
    <w:rsid w:val="001D3152"/>
    <w:rsid w:val="001E1F40"/>
    <w:rsid w:val="001E767A"/>
    <w:rsid w:val="001F6747"/>
    <w:rsid w:val="0020337E"/>
    <w:rsid w:val="00223BA3"/>
    <w:rsid w:val="002261F9"/>
    <w:rsid w:val="00243E6E"/>
    <w:rsid w:val="002743DB"/>
    <w:rsid w:val="00275FF6"/>
    <w:rsid w:val="002A17FA"/>
    <w:rsid w:val="002A3116"/>
    <w:rsid w:val="002A7CC9"/>
    <w:rsid w:val="002B4B13"/>
    <w:rsid w:val="002E656F"/>
    <w:rsid w:val="003050B2"/>
    <w:rsid w:val="0030564A"/>
    <w:rsid w:val="003109CD"/>
    <w:rsid w:val="003212B7"/>
    <w:rsid w:val="00323BF8"/>
    <w:rsid w:val="00330AC2"/>
    <w:rsid w:val="00335464"/>
    <w:rsid w:val="00341C43"/>
    <w:rsid w:val="00347C28"/>
    <w:rsid w:val="00353ED6"/>
    <w:rsid w:val="0036495B"/>
    <w:rsid w:val="0037065E"/>
    <w:rsid w:val="0038012F"/>
    <w:rsid w:val="00381263"/>
    <w:rsid w:val="00387EC0"/>
    <w:rsid w:val="00395263"/>
    <w:rsid w:val="003A5D50"/>
    <w:rsid w:val="003B13E2"/>
    <w:rsid w:val="003B56BC"/>
    <w:rsid w:val="003D12BB"/>
    <w:rsid w:val="003E1040"/>
    <w:rsid w:val="003E52C6"/>
    <w:rsid w:val="003E6F80"/>
    <w:rsid w:val="003F4BD3"/>
    <w:rsid w:val="00414583"/>
    <w:rsid w:val="0041490D"/>
    <w:rsid w:val="00436C5E"/>
    <w:rsid w:val="00442DB5"/>
    <w:rsid w:val="0044552F"/>
    <w:rsid w:val="00446F1B"/>
    <w:rsid w:val="004537C2"/>
    <w:rsid w:val="00457A05"/>
    <w:rsid w:val="00481C75"/>
    <w:rsid w:val="0049269F"/>
    <w:rsid w:val="004A3EB1"/>
    <w:rsid w:val="004A5FDB"/>
    <w:rsid w:val="004A6053"/>
    <w:rsid w:val="004C6079"/>
    <w:rsid w:val="004E6AC4"/>
    <w:rsid w:val="004E72C0"/>
    <w:rsid w:val="00501371"/>
    <w:rsid w:val="00507A42"/>
    <w:rsid w:val="00515E1E"/>
    <w:rsid w:val="00532176"/>
    <w:rsid w:val="005376BB"/>
    <w:rsid w:val="00542CED"/>
    <w:rsid w:val="005441DD"/>
    <w:rsid w:val="00546531"/>
    <w:rsid w:val="005520E5"/>
    <w:rsid w:val="00555BA0"/>
    <w:rsid w:val="00564B04"/>
    <w:rsid w:val="0056590E"/>
    <w:rsid w:val="005669BA"/>
    <w:rsid w:val="00576F01"/>
    <w:rsid w:val="00584405"/>
    <w:rsid w:val="005861B3"/>
    <w:rsid w:val="00595371"/>
    <w:rsid w:val="005A7033"/>
    <w:rsid w:val="005E0184"/>
    <w:rsid w:val="005F1FEF"/>
    <w:rsid w:val="005F32FF"/>
    <w:rsid w:val="00610E33"/>
    <w:rsid w:val="00634E77"/>
    <w:rsid w:val="00636224"/>
    <w:rsid w:val="006522AB"/>
    <w:rsid w:val="00674149"/>
    <w:rsid w:val="00677A19"/>
    <w:rsid w:val="00677BC2"/>
    <w:rsid w:val="006A186D"/>
    <w:rsid w:val="006C2F71"/>
    <w:rsid w:val="006C5E38"/>
    <w:rsid w:val="007000B3"/>
    <w:rsid w:val="0071056B"/>
    <w:rsid w:val="00724604"/>
    <w:rsid w:val="00736D20"/>
    <w:rsid w:val="00737236"/>
    <w:rsid w:val="007417DC"/>
    <w:rsid w:val="007442D6"/>
    <w:rsid w:val="00744818"/>
    <w:rsid w:val="00746A6E"/>
    <w:rsid w:val="00746BB8"/>
    <w:rsid w:val="00752AAA"/>
    <w:rsid w:val="007905E7"/>
    <w:rsid w:val="007A2C6C"/>
    <w:rsid w:val="007A4C2E"/>
    <w:rsid w:val="007C7752"/>
    <w:rsid w:val="007D173A"/>
    <w:rsid w:val="008409E3"/>
    <w:rsid w:val="00842967"/>
    <w:rsid w:val="00895D15"/>
    <w:rsid w:val="008966E5"/>
    <w:rsid w:val="008A6857"/>
    <w:rsid w:val="008C3E61"/>
    <w:rsid w:val="008D3705"/>
    <w:rsid w:val="008D4C2C"/>
    <w:rsid w:val="008F7EF5"/>
    <w:rsid w:val="00900048"/>
    <w:rsid w:val="00906A34"/>
    <w:rsid w:val="00934959"/>
    <w:rsid w:val="00941618"/>
    <w:rsid w:val="00946A85"/>
    <w:rsid w:val="009504D9"/>
    <w:rsid w:val="0099683F"/>
    <w:rsid w:val="009B68E5"/>
    <w:rsid w:val="009C2005"/>
    <w:rsid w:val="009D0F9E"/>
    <w:rsid w:val="00A16107"/>
    <w:rsid w:val="00A5299F"/>
    <w:rsid w:val="00A758EF"/>
    <w:rsid w:val="00A82DF4"/>
    <w:rsid w:val="00A830D0"/>
    <w:rsid w:val="00A87CF3"/>
    <w:rsid w:val="00A97957"/>
    <w:rsid w:val="00AB7EA3"/>
    <w:rsid w:val="00AD084A"/>
    <w:rsid w:val="00AD305A"/>
    <w:rsid w:val="00B0607D"/>
    <w:rsid w:val="00B16BE9"/>
    <w:rsid w:val="00B22769"/>
    <w:rsid w:val="00B52299"/>
    <w:rsid w:val="00B66F3B"/>
    <w:rsid w:val="00B724D4"/>
    <w:rsid w:val="00B84C46"/>
    <w:rsid w:val="00B92B5F"/>
    <w:rsid w:val="00B96311"/>
    <w:rsid w:val="00BA44BB"/>
    <w:rsid w:val="00BB0D6C"/>
    <w:rsid w:val="00BF5246"/>
    <w:rsid w:val="00BF5A51"/>
    <w:rsid w:val="00C06A08"/>
    <w:rsid w:val="00C16051"/>
    <w:rsid w:val="00C17130"/>
    <w:rsid w:val="00C20DD0"/>
    <w:rsid w:val="00C33A9E"/>
    <w:rsid w:val="00C47EE1"/>
    <w:rsid w:val="00C661C1"/>
    <w:rsid w:val="00C67B51"/>
    <w:rsid w:val="00C8069A"/>
    <w:rsid w:val="00C84C31"/>
    <w:rsid w:val="00C87241"/>
    <w:rsid w:val="00C87875"/>
    <w:rsid w:val="00C950DD"/>
    <w:rsid w:val="00CA3E63"/>
    <w:rsid w:val="00CA4830"/>
    <w:rsid w:val="00CA6F68"/>
    <w:rsid w:val="00CC1ECE"/>
    <w:rsid w:val="00CC1EFD"/>
    <w:rsid w:val="00CC6A95"/>
    <w:rsid w:val="00CD07FE"/>
    <w:rsid w:val="00D01382"/>
    <w:rsid w:val="00D0494C"/>
    <w:rsid w:val="00D1353A"/>
    <w:rsid w:val="00D159C2"/>
    <w:rsid w:val="00D167ED"/>
    <w:rsid w:val="00D4635E"/>
    <w:rsid w:val="00D76FE2"/>
    <w:rsid w:val="00D971B4"/>
    <w:rsid w:val="00DC0108"/>
    <w:rsid w:val="00DE2A4D"/>
    <w:rsid w:val="00DE2DD7"/>
    <w:rsid w:val="00DE56BB"/>
    <w:rsid w:val="00DE67BA"/>
    <w:rsid w:val="00DF34CD"/>
    <w:rsid w:val="00E4380B"/>
    <w:rsid w:val="00E44EAC"/>
    <w:rsid w:val="00E54B4F"/>
    <w:rsid w:val="00E6402F"/>
    <w:rsid w:val="00E854E2"/>
    <w:rsid w:val="00EB30A7"/>
    <w:rsid w:val="00ED0A12"/>
    <w:rsid w:val="00ED4D95"/>
    <w:rsid w:val="00EE191F"/>
    <w:rsid w:val="00EE241F"/>
    <w:rsid w:val="00EE287D"/>
    <w:rsid w:val="00EE3E67"/>
    <w:rsid w:val="00EF3403"/>
    <w:rsid w:val="00F02D78"/>
    <w:rsid w:val="00F15223"/>
    <w:rsid w:val="00F1684A"/>
    <w:rsid w:val="00F17593"/>
    <w:rsid w:val="00F31CE3"/>
    <w:rsid w:val="00F73E8B"/>
    <w:rsid w:val="00FA0826"/>
    <w:rsid w:val="00FA0F80"/>
    <w:rsid w:val="00FF0E8A"/>
    <w:rsid w:val="00FF7B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523C1"/>
  <w15:chartTrackingRefBased/>
  <w15:docId w15:val="{CAA06FDA-2559-499D-BD38-7C1B4155D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17130"/>
    <w:pPr>
      <w:suppressAutoHyphens/>
      <w:spacing w:after="0" w:line="240" w:lineRule="auto"/>
    </w:pPr>
    <w:rPr>
      <w:rFonts w:ascii="Times New Roman" w:eastAsia="Calibri" w:hAnsi="Times New Roman"/>
      <w:color w:val="00000A"/>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C17130"/>
    <w:pPr>
      <w:spacing w:before="280"/>
      <w:jc w:val="center"/>
    </w:pPr>
    <w:rPr>
      <w:rFonts w:eastAsia="Times New Roman" w:cs="Times New Roman"/>
      <w:color w:val="000000"/>
      <w:szCs w:val="24"/>
      <w:lang w:eastAsia="cs-CZ"/>
    </w:rPr>
  </w:style>
  <w:style w:type="paragraph" w:customStyle="1" w:styleId="western">
    <w:name w:val="western"/>
    <w:basedOn w:val="Normln"/>
    <w:rsid w:val="00C17130"/>
    <w:pPr>
      <w:spacing w:before="280"/>
      <w:jc w:val="center"/>
    </w:pPr>
    <w:rPr>
      <w:rFonts w:eastAsia="Times New Roman" w:cs="Times New Roman"/>
      <w:b/>
      <w:bCs/>
      <w:color w:val="000000"/>
      <w:szCs w:val="24"/>
      <w:lang w:eastAsia="cs-CZ"/>
    </w:rPr>
  </w:style>
  <w:style w:type="paragraph" w:styleId="Odstavecseseznamem">
    <w:name w:val="List Paragraph"/>
    <w:basedOn w:val="Normln"/>
    <w:uiPriority w:val="34"/>
    <w:qFormat/>
    <w:rsid w:val="00C17130"/>
    <w:pPr>
      <w:ind w:left="720"/>
      <w:contextualSpacing/>
    </w:pPr>
  </w:style>
  <w:style w:type="paragraph" w:styleId="Textbubliny">
    <w:name w:val="Balloon Text"/>
    <w:basedOn w:val="Normln"/>
    <w:link w:val="TextbublinyChar"/>
    <w:uiPriority w:val="99"/>
    <w:semiHidden/>
    <w:unhideWhenUsed/>
    <w:rsid w:val="00AD305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305A"/>
    <w:rPr>
      <w:rFonts w:ascii="Segoe UI" w:eastAsia="Calibri" w:hAnsi="Segoe UI" w:cs="Segoe UI"/>
      <w:color w:val="00000A"/>
      <w:sz w:val="18"/>
      <w:szCs w:val="18"/>
    </w:rPr>
  </w:style>
  <w:style w:type="table" w:styleId="Mkatabulky">
    <w:name w:val="Table Grid"/>
    <w:basedOn w:val="Normlntabulka"/>
    <w:uiPriority w:val="39"/>
    <w:rsid w:val="00D0494C"/>
    <w:pPr>
      <w:spacing w:after="0" w:line="240" w:lineRule="auto"/>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091DB6"/>
    <w:pPr>
      <w:tabs>
        <w:tab w:val="center" w:pos="4536"/>
        <w:tab w:val="right" w:pos="9072"/>
      </w:tabs>
    </w:pPr>
  </w:style>
  <w:style w:type="character" w:customStyle="1" w:styleId="ZhlavChar">
    <w:name w:val="Záhlaví Char"/>
    <w:basedOn w:val="Standardnpsmoodstavce"/>
    <w:link w:val="Zhlav"/>
    <w:uiPriority w:val="99"/>
    <w:rsid w:val="00091DB6"/>
    <w:rPr>
      <w:rFonts w:ascii="Times New Roman" w:eastAsia="Calibri" w:hAnsi="Times New Roman"/>
      <w:color w:val="00000A"/>
      <w:sz w:val="24"/>
    </w:rPr>
  </w:style>
  <w:style w:type="paragraph" w:styleId="Zpat">
    <w:name w:val="footer"/>
    <w:basedOn w:val="Normln"/>
    <w:link w:val="ZpatChar"/>
    <w:uiPriority w:val="99"/>
    <w:unhideWhenUsed/>
    <w:rsid w:val="00091DB6"/>
    <w:pPr>
      <w:tabs>
        <w:tab w:val="center" w:pos="4536"/>
        <w:tab w:val="right" w:pos="9072"/>
      </w:tabs>
    </w:pPr>
  </w:style>
  <w:style w:type="character" w:customStyle="1" w:styleId="ZpatChar">
    <w:name w:val="Zápatí Char"/>
    <w:basedOn w:val="Standardnpsmoodstavce"/>
    <w:link w:val="Zpat"/>
    <w:uiPriority w:val="99"/>
    <w:rsid w:val="00091DB6"/>
    <w:rPr>
      <w:rFonts w:ascii="Times New Roman" w:eastAsia="Calibri" w:hAnsi="Times New Roman"/>
      <w:color w:val="00000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27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810A1-3022-440A-990A-F3A24F1C8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1837</Words>
  <Characters>10845</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ZelenkovaM</dc:creator>
  <cp:keywords/>
  <dc:description/>
  <cp:lastModifiedBy>Krickova Dana</cp:lastModifiedBy>
  <cp:revision>2</cp:revision>
  <cp:lastPrinted>2020-01-21T11:52:00Z</cp:lastPrinted>
  <dcterms:created xsi:type="dcterms:W3CDTF">2020-01-22T06:57:00Z</dcterms:created>
  <dcterms:modified xsi:type="dcterms:W3CDTF">2020-01-22T06:57:00Z</dcterms:modified>
</cp:coreProperties>
</file>