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4820" w:rsidRPr="00DB19FC" w:rsidRDefault="00324820" w:rsidP="00324820">
      <w:pPr>
        <w:spacing w:after="120"/>
        <w:jc w:val="center"/>
        <w:rPr>
          <w:b/>
        </w:rPr>
      </w:pPr>
      <w:bookmarkStart w:id="0" w:name="_GoBack"/>
      <w:bookmarkEnd w:id="0"/>
      <w:r w:rsidRPr="00DB19FC">
        <w:rPr>
          <w:b/>
        </w:rPr>
        <w:t>ZÁKON</w:t>
      </w:r>
    </w:p>
    <w:p w:rsidR="00324820" w:rsidRPr="00DB19FC" w:rsidRDefault="00324820" w:rsidP="00324820">
      <w:pPr>
        <w:spacing w:after="120"/>
        <w:jc w:val="center"/>
      </w:pPr>
      <w:r w:rsidRPr="00DB19FC">
        <w:t xml:space="preserve">ze dne </w:t>
      </w:r>
      <w:r w:rsidRPr="00DB19FC">
        <w:rPr>
          <w:bCs/>
        </w:rPr>
        <w:t>……………20</w:t>
      </w:r>
      <w:r>
        <w:rPr>
          <w:bCs/>
        </w:rPr>
        <w:t>20</w:t>
      </w:r>
      <w:r w:rsidRPr="00DB19FC">
        <w:t>,</w:t>
      </w:r>
    </w:p>
    <w:p w:rsidR="00324820" w:rsidRDefault="00324820" w:rsidP="00324820">
      <w:pPr>
        <w:spacing w:after="120"/>
        <w:jc w:val="center"/>
        <w:rPr>
          <w:b/>
        </w:rPr>
      </w:pPr>
      <w:r w:rsidRPr="00DB19FC">
        <w:rPr>
          <w:b/>
        </w:rPr>
        <w:t>kterým se mění zákon č. 592/1992 Sb., o pojistném na veřejné zdravotní pojištění, ve znění pozdějších předpisů</w:t>
      </w:r>
    </w:p>
    <w:p w:rsidR="009D46A4" w:rsidRPr="00DB19FC" w:rsidRDefault="009D46A4" w:rsidP="00324820">
      <w:pPr>
        <w:spacing w:after="120"/>
        <w:jc w:val="center"/>
        <w:rPr>
          <w:b/>
          <w:bCs/>
        </w:rPr>
      </w:pPr>
    </w:p>
    <w:p w:rsidR="009500D4" w:rsidRDefault="009500D4" w:rsidP="009500D4">
      <w:pPr>
        <w:pStyle w:val="Parlament"/>
      </w:pPr>
      <w:r>
        <w:t>Parlament se usnesl na tomto zákoně České republiky:</w:t>
      </w:r>
    </w:p>
    <w:p w:rsidR="00324820" w:rsidRDefault="009500D4" w:rsidP="009500D4">
      <w:pPr>
        <w:pStyle w:val="lnek"/>
      </w:pPr>
      <w:r>
        <w:t xml:space="preserve">Čl. </w:t>
      </w:r>
      <w:r w:rsidR="00324820" w:rsidRPr="00DB19FC">
        <w:t>I</w:t>
      </w:r>
    </w:p>
    <w:p w:rsidR="009D46A4" w:rsidRPr="009D46A4" w:rsidRDefault="009D46A4" w:rsidP="009D46A4">
      <w:pPr>
        <w:pStyle w:val="Textodstavce"/>
        <w:numPr>
          <w:ilvl w:val="0"/>
          <w:numId w:val="0"/>
        </w:numPr>
        <w:ind w:left="425"/>
      </w:pPr>
    </w:p>
    <w:p w:rsidR="00324820" w:rsidRDefault="00324820" w:rsidP="009D46A4">
      <w:pPr>
        <w:pStyle w:val="Textlnku"/>
        <w:spacing w:line="360" w:lineRule="auto"/>
      </w:pPr>
      <w:r>
        <w:t>V zákoně</w:t>
      </w:r>
      <w:r w:rsidRPr="00DB19FC">
        <w:t xml:space="preserve"> č. 592/1992 Sb., o pojistném na veřejné zdravotní pojištění</w:t>
      </w:r>
      <w:r w:rsidRPr="00E633B5">
        <w:t>, ve znění zákona č. 10/1993 Sb., zákona č. 15/1993 Sb., zákona č. 161/1993 Sb., zákona č. 324/1993 Sb., zákona č. 42/1994 Sb., zákona č. 241/1994 Sb., zákona č. 59/1995 Sb., zákona č. 149/1996 Sb., zákona č. 48/1997 Sb., zákona č. 127/1998 Sb., zákona č. 29/2000 Sb., zákona č. 118/2000 Sb., zákona č. 258/2000 Sb., zákona č. 492/2000 Sb., zákona č.  138/2001 Sb., zákona č. 49/2002 Sb., zákona č. 176/2002 Sb., zákona č. 424/2003 Sb., zákona č. 437/2003 Sb., zákona č.</w:t>
      </w:r>
      <w:r>
        <w:t> </w:t>
      </w:r>
      <w:r w:rsidRPr="00E633B5">
        <w:t>455/2003</w:t>
      </w:r>
      <w:r>
        <w:t> </w:t>
      </w:r>
      <w:r w:rsidRPr="00E633B5">
        <w:t>Sb., zákona č. 53/2004 Sb., zákona č. 438/2004 Sb., zákona č. 123/2005 Sb., zákona č. 381/2005 Sb., zákona č. 413/2005 Sb., zákona č. 545/2005 Sb., zákona č.</w:t>
      </w:r>
      <w:r>
        <w:t> </w:t>
      </w:r>
      <w:r w:rsidRPr="00E633B5">
        <w:t>62/2006</w:t>
      </w:r>
      <w:r>
        <w:t> </w:t>
      </w:r>
      <w:r w:rsidRPr="00E633B5">
        <w:t>Sb., zákona č. 117/2006 Sb., zákona č. 189/2006 Sb., zákona č. 214/2006 Sb., zákona č. 264/2006 Sb., zákona č. 261/2007 Sb., zákona č. 296/2007 Sb., zákona č.</w:t>
      </w:r>
      <w:r>
        <w:t> </w:t>
      </w:r>
      <w:r w:rsidRPr="00E633B5">
        <w:t>306/2008</w:t>
      </w:r>
      <w:r>
        <w:t> </w:t>
      </w:r>
      <w:r w:rsidRPr="00E633B5">
        <w:t>Sb., zákona č. 227/2009 Sb., zákona č. 281/2009 Sb., zákona č. 285/2009 Sb., zákona č. 362/2009 Sb., zákona č. 73/2011 Sb., zákona č. 138/2011 Sb., zákona č.</w:t>
      </w:r>
      <w:r w:rsidR="009500D4">
        <w:t> </w:t>
      </w:r>
      <w:r w:rsidRPr="00E633B5">
        <w:t>298/2011</w:t>
      </w:r>
      <w:r>
        <w:t> </w:t>
      </w:r>
      <w:r w:rsidRPr="00E633B5">
        <w:t>Sb., zákona č. 329/2011 Sb., zákona č. 369/2011 Sb., zákona č. 458/2011 Sb., zákona č.</w:t>
      </w:r>
      <w:r>
        <w:t> </w:t>
      </w:r>
      <w:r w:rsidRPr="00E633B5">
        <w:t>401/2012</w:t>
      </w:r>
      <w:r>
        <w:t> </w:t>
      </w:r>
      <w:r w:rsidRPr="00E633B5">
        <w:t>Sb., zákona č. 500/2012 Sb., zákona č. 11/2013 Sb., zákonného opatření Senátu č.</w:t>
      </w:r>
      <w:r>
        <w:t> </w:t>
      </w:r>
      <w:r w:rsidRPr="00E633B5">
        <w:t xml:space="preserve">342/2013 Sb., zákonného opatření Senátu č. 344/2013 Sb., zákona č. 109/2014 Sb., zákona č. 250/2014 Sb., zákona č. 267/2014 Sb., zákona č. 200/2015 Sb., zákona č. 145/2017 Sb., zákona č. 183/2017 Sb. a zákona č. 297/2017 Sb., se </w:t>
      </w:r>
      <w:r>
        <w:t>za § 28b vkládá nový § 28c, který zní:</w:t>
      </w:r>
    </w:p>
    <w:p w:rsidR="009D46A4" w:rsidRPr="0092364F" w:rsidRDefault="009D46A4" w:rsidP="009D46A4">
      <w:pPr>
        <w:pStyle w:val="Textlnku"/>
        <w:spacing w:line="360" w:lineRule="auto"/>
      </w:pPr>
    </w:p>
    <w:p w:rsidR="00324820" w:rsidRDefault="00324820" w:rsidP="009D46A4">
      <w:pPr>
        <w:spacing w:before="120" w:line="360" w:lineRule="auto"/>
        <w:jc w:val="center"/>
      </w:pPr>
      <w:r>
        <w:t>„§ 28c</w:t>
      </w:r>
    </w:p>
    <w:p w:rsidR="009D46A4" w:rsidRDefault="00324820" w:rsidP="009D46A4">
      <w:pPr>
        <w:pStyle w:val="Textodstavce"/>
        <w:spacing w:line="360" w:lineRule="auto"/>
      </w:pPr>
      <w:r>
        <w:t>Lhůta pro podání přehledu podle § 24 odst. 2 stanovená osobám samostatně výdělečně činným v § 24 odst. 2 se pro podání tohoto přehledu za rok 2019 nepoužije. Přehled podle § 24 odst. 2 za rok 2019 je osoba samostatně výdělečně činná povinna předložit všem zdravotním pojišťovnám, u kterých byla v tomto období pojištěna, nejpozději do 3. srpna 2020.</w:t>
      </w:r>
    </w:p>
    <w:p w:rsidR="00324820" w:rsidRDefault="00324820" w:rsidP="009D46A4">
      <w:pPr>
        <w:pStyle w:val="Textodstavce"/>
        <w:numPr>
          <w:ilvl w:val="0"/>
          <w:numId w:val="0"/>
        </w:numPr>
        <w:ind w:left="425"/>
      </w:pPr>
    </w:p>
    <w:p w:rsidR="009D46A4" w:rsidRDefault="009D46A4" w:rsidP="009D46A4">
      <w:pPr>
        <w:pStyle w:val="Textodstavce"/>
        <w:numPr>
          <w:ilvl w:val="0"/>
          <w:numId w:val="0"/>
        </w:numPr>
        <w:ind w:left="425"/>
      </w:pPr>
    </w:p>
    <w:p w:rsidR="00324820" w:rsidRDefault="00324820" w:rsidP="009D46A4">
      <w:pPr>
        <w:pStyle w:val="Textodstavce"/>
        <w:spacing w:line="360" w:lineRule="auto"/>
      </w:pPr>
      <w:r>
        <w:t xml:space="preserve">Pro penále, které je příslušenstvím pojistného nebo zálohy na pojistné za období od začátku března 2020 do konce srpna 2020, se do 21. září 2020 § 18 odst. 1 nepoužije. Penále za pojistné nebo za zálohu na pojistné podle věty první, které nebyly zaplaceny v období podle věty první, vzniká nejdříve od 22. září 2020. </w:t>
      </w:r>
    </w:p>
    <w:p w:rsidR="00324820" w:rsidRDefault="00324820" w:rsidP="009D46A4">
      <w:pPr>
        <w:pStyle w:val="Textodstavce"/>
        <w:spacing w:line="360" w:lineRule="auto"/>
      </w:pPr>
      <w:r>
        <w:t>Zálohu na pojistné do výše pojistného vypočítaného z jedné dvanáctiny minimálního vyměřovacího základu podle § 3a za období od začátku března 2020 do konce srpna 2020 osoba samostatně výdělečně činná neplatí.</w:t>
      </w:r>
    </w:p>
    <w:p w:rsidR="00324820" w:rsidRDefault="00324820" w:rsidP="009D46A4">
      <w:pPr>
        <w:pStyle w:val="Textodstavce"/>
        <w:spacing w:line="360" w:lineRule="auto"/>
      </w:pPr>
      <w:r>
        <w:t>Osoba samostatně výdělečně činná, jejíž záloha na pojistné v období podle odstavce 3 je vyšší než výše pojistného vypočítaného z jedné dvanáctiny minimálního vyměřovacího základu podle § 3a, je povinna zaplatit pouze rozdíl mezi výší zálohy na pojistné a výší pojistného vypočítaného z jedné dvanáctiny minimálního vyměřovacího základu podle § 3a.</w:t>
      </w:r>
    </w:p>
    <w:p w:rsidR="00324820" w:rsidRDefault="00324820" w:rsidP="009D46A4">
      <w:pPr>
        <w:pStyle w:val="Textodstavce"/>
        <w:spacing w:line="360" w:lineRule="auto"/>
      </w:pPr>
      <w:r>
        <w:t>Pojistné, které by osoba samostatně výdělečně činná byla povinna platit formou záloh podle odstavce 4 za období od začátku března 2020 do konce srpna 2020, lze zaplatit až formou doplatku pojistného, a to nejpozději do 8 dnů po dni, ve kterém byl, popřípadě měl být podán přehled podle § 24 odst. 2 za rok 2020. Postupuje-li osoba samostatně výdělečně činná podle věty první, ustanovení § 7 odst. 2 se pro zálohy na pojistné v období podle věty první v roce 2020 nepoužije.</w:t>
      </w:r>
    </w:p>
    <w:p w:rsidR="00324820" w:rsidRDefault="00324820" w:rsidP="009D46A4">
      <w:pPr>
        <w:pStyle w:val="Textodstavce"/>
        <w:spacing w:line="360" w:lineRule="auto"/>
      </w:pPr>
      <w:r>
        <w:t>Záloha na pojistné, kterou by zaplatila za období od března 2020 do srpna 2020 osoba samostatně výdělečně činná, se považuje za zaplacenou do výše pojistného vypočítaného z jedné dvanáctiny minimálního vyměřovacího základu podle § 3a odst. 2.</w:t>
      </w:r>
    </w:p>
    <w:p w:rsidR="00324820" w:rsidRDefault="00324820" w:rsidP="009D46A4">
      <w:pPr>
        <w:pStyle w:val="Textodstavce"/>
        <w:spacing w:line="360" w:lineRule="auto"/>
      </w:pPr>
      <w:r>
        <w:t>Provedla-li osoba samostatně výdělečně činná platbu zálohy na pojistné za měsíc březen 2020, považuje se tato záloha za zálohu za měsíc září 2020.“.</w:t>
      </w:r>
    </w:p>
    <w:p w:rsidR="009500D4" w:rsidRDefault="009500D4" w:rsidP="009500D4">
      <w:pPr>
        <w:pStyle w:val="Textodstavce"/>
        <w:numPr>
          <w:ilvl w:val="0"/>
          <w:numId w:val="0"/>
        </w:numPr>
        <w:ind w:left="425"/>
      </w:pPr>
    </w:p>
    <w:p w:rsidR="009D46A4" w:rsidRDefault="009D46A4">
      <w:pPr>
        <w:jc w:val="left"/>
      </w:pPr>
      <w:r>
        <w:br w:type="page"/>
      </w:r>
    </w:p>
    <w:p w:rsidR="00324820" w:rsidRPr="00DB19FC" w:rsidRDefault="009500D4" w:rsidP="009500D4">
      <w:pPr>
        <w:pStyle w:val="lnek"/>
      </w:pPr>
      <w:r>
        <w:lastRenderedPageBreak/>
        <w:t xml:space="preserve">Čl. </w:t>
      </w:r>
      <w:r w:rsidR="00324820" w:rsidRPr="00DB19FC">
        <w:t>II</w:t>
      </w:r>
    </w:p>
    <w:p w:rsidR="00324820" w:rsidRDefault="00324820" w:rsidP="009500D4">
      <w:pPr>
        <w:pStyle w:val="Nadpislnku"/>
      </w:pPr>
      <w:r w:rsidRPr="00DB19FC">
        <w:t>Účinnost</w:t>
      </w:r>
    </w:p>
    <w:p w:rsidR="009D46A4" w:rsidRPr="009D46A4" w:rsidRDefault="009D46A4" w:rsidP="009D46A4">
      <w:pPr>
        <w:pStyle w:val="Textodstavce"/>
        <w:numPr>
          <w:ilvl w:val="0"/>
          <w:numId w:val="0"/>
        </w:numPr>
        <w:ind w:left="425"/>
      </w:pPr>
    </w:p>
    <w:p w:rsidR="00324820" w:rsidRDefault="00324820" w:rsidP="009500D4">
      <w:pPr>
        <w:pStyle w:val="Textlnku"/>
      </w:pPr>
      <w:r w:rsidRPr="00DB19FC">
        <w:t>Tento zákon nabývá účinnosti dnem</w:t>
      </w:r>
      <w:r>
        <w:t xml:space="preserve"> jeho vyhlášení</w:t>
      </w:r>
      <w:r w:rsidRPr="00DB19FC">
        <w:t>.</w:t>
      </w:r>
    </w:p>
    <w:p w:rsidR="00A73D85" w:rsidRDefault="00A73D85"/>
    <w:p w:rsidR="009D46A4" w:rsidRDefault="009D46A4"/>
    <w:p w:rsidR="009D46A4" w:rsidRDefault="009D46A4"/>
    <w:p w:rsidR="009D46A4" w:rsidRDefault="009D46A4"/>
    <w:p w:rsidR="009D46A4" w:rsidRDefault="009D46A4"/>
    <w:p w:rsidR="009D46A4" w:rsidRDefault="009D46A4"/>
    <w:p w:rsidR="009D46A4" w:rsidRDefault="009D46A4"/>
    <w:p w:rsidR="009D46A4" w:rsidRDefault="009D46A4"/>
    <w:p w:rsidR="009D46A4" w:rsidRDefault="009D46A4"/>
    <w:p w:rsidR="009D46A4" w:rsidRDefault="009D46A4"/>
    <w:sectPr w:rsidR="009D46A4">
      <w:headerReference w:type="even" r:id="rId7"/>
      <w:headerReference w:type="default" r:id="rId8"/>
      <w:pgSz w:w="11906" w:h="16838"/>
      <w:pgMar w:top="1417" w:right="1417" w:bottom="1417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4820" w:rsidRDefault="00324820">
      <w:r>
        <w:separator/>
      </w:r>
    </w:p>
  </w:endnote>
  <w:endnote w:type="continuationSeparator" w:id="0">
    <w:p w:rsidR="00324820" w:rsidRDefault="003248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4820" w:rsidRDefault="00324820">
      <w:r>
        <w:separator/>
      </w:r>
    </w:p>
  </w:footnote>
  <w:footnote w:type="continuationSeparator" w:id="0">
    <w:p w:rsidR="00324820" w:rsidRDefault="003248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D85" w:rsidRDefault="00A73D8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A73D85" w:rsidRDefault="00A73D8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D85" w:rsidRDefault="00A73D85">
    <w:pPr>
      <w:pStyle w:val="Zhlav"/>
      <w:framePr w:wrap="around" w:vAnchor="text" w:hAnchor="margin" w:xAlign="center" w:y="1"/>
      <w:rPr>
        <w:rStyle w:val="slostrnky"/>
      </w:rPr>
    </w:pPr>
  </w:p>
  <w:p w:rsidR="00A73D85" w:rsidRDefault="00A73D8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378CE"/>
    <w:multiLevelType w:val="singleLevel"/>
    <w:tmpl w:val="4D58B58E"/>
    <w:lvl w:ilvl="0">
      <w:start w:val="1"/>
      <w:numFmt w:val="decimal"/>
      <w:pStyle w:val="Text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1" w15:restartNumberingAfterBreak="0">
    <w:nsid w:val="06092730"/>
    <w:multiLevelType w:val="singleLevel"/>
    <w:tmpl w:val="1C926EF8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" w15:restartNumberingAfterBreak="0">
    <w:nsid w:val="19371BD0"/>
    <w:multiLevelType w:val="singleLevel"/>
    <w:tmpl w:val="4C501DB0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</w:abstractNum>
  <w:abstractNum w:abstractNumId="3" w15:restartNumberingAfterBreak="0">
    <w:nsid w:val="358F7D0B"/>
    <w:multiLevelType w:val="singleLevel"/>
    <w:tmpl w:val="15A0EFFC"/>
    <w:lvl w:ilvl="0">
      <w:start w:val="1"/>
      <w:numFmt w:val="decimal"/>
      <w:pStyle w:val="Novelizanbodvpozmn"/>
      <w:lvlText w:val="%1."/>
      <w:lvlJc w:val="left"/>
      <w:pPr>
        <w:tabs>
          <w:tab w:val="num" w:pos="851"/>
        </w:tabs>
        <w:ind w:left="851" w:hanging="851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  <w:num w:numId="6">
    <w:abstractNumId w:val="4"/>
  </w:num>
  <w:num w:numId="7">
    <w:abstractNumId w:val="4"/>
  </w:num>
  <w:num w:numId="8">
    <w:abstractNumId w:val="4"/>
  </w:num>
  <w:num w:numId="9">
    <w:abstractNumId w:val="2"/>
  </w:num>
  <w:num w:numId="10">
    <w:abstractNumId w:val="3"/>
  </w:num>
  <w:num w:numId="11">
    <w:abstractNumId w:val="0"/>
  </w:num>
  <w:num w:numId="12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ttachedTemplate r:id="rId1"/>
  <w:linkStyl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Verze_sablony" w:val="2.1"/>
  </w:docVars>
  <w:rsids>
    <w:rsidRoot w:val="00324820"/>
    <w:rsid w:val="00016158"/>
    <w:rsid w:val="00266D0A"/>
    <w:rsid w:val="00324820"/>
    <w:rsid w:val="009500D4"/>
    <w:rsid w:val="009D46A4"/>
    <w:rsid w:val="00A73D85"/>
    <w:rsid w:val="00B16C4B"/>
    <w:rsid w:val="00D31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A16F1B-21A4-468F-83DB-9713A6F7B4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16158"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ormln"/>
    <w:qFormat/>
    <w:rsid w:val="00016158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Standardnpsmoodstavce">
    <w:name w:val="Default Paragraph Font"/>
    <w:semiHidden/>
    <w:rsid w:val="00016158"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  <w:rsid w:val="00016158"/>
  </w:style>
  <w:style w:type="paragraph" w:styleId="Zhlav">
    <w:name w:val="header"/>
    <w:basedOn w:val="Normln"/>
    <w:semiHidden/>
    <w:rsid w:val="00016158"/>
    <w:pPr>
      <w:tabs>
        <w:tab w:val="center" w:pos="4536"/>
        <w:tab w:val="right" w:pos="9072"/>
      </w:tabs>
    </w:pPr>
  </w:style>
  <w:style w:type="paragraph" w:customStyle="1" w:styleId="Textparagrafu">
    <w:name w:val="Text paragrafu"/>
    <w:basedOn w:val="Normln"/>
    <w:rsid w:val="00016158"/>
    <w:pPr>
      <w:spacing w:before="240"/>
      <w:ind w:firstLine="425"/>
      <w:outlineLvl w:val="5"/>
    </w:pPr>
  </w:style>
  <w:style w:type="paragraph" w:customStyle="1" w:styleId="Paragraf">
    <w:name w:val="Paragraf"/>
    <w:basedOn w:val="Normln"/>
    <w:next w:val="Textodstavce"/>
    <w:rsid w:val="00016158"/>
    <w:pPr>
      <w:keepNext/>
      <w:keepLines/>
      <w:spacing w:before="240"/>
      <w:jc w:val="center"/>
      <w:outlineLvl w:val="5"/>
    </w:pPr>
  </w:style>
  <w:style w:type="paragraph" w:customStyle="1" w:styleId="Oddl">
    <w:name w:val="Oddíl"/>
    <w:basedOn w:val="Normln"/>
    <w:next w:val="Nadpisoddlu"/>
    <w:rsid w:val="00016158"/>
    <w:pPr>
      <w:keepNext/>
      <w:keepLines/>
      <w:spacing w:before="240"/>
      <w:jc w:val="center"/>
      <w:outlineLvl w:val="4"/>
    </w:pPr>
  </w:style>
  <w:style w:type="paragraph" w:customStyle="1" w:styleId="Nadpisoddlu">
    <w:name w:val="Nadpis oddílu"/>
    <w:basedOn w:val="Normln"/>
    <w:next w:val="Paragraf"/>
    <w:rsid w:val="00016158"/>
    <w:pPr>
      <w:keepNext/>
      <w:keepLines/>
      <w:jc w:val="center"/>
      <w:outlineLvl w:val="4"/>
    </w:pPr>
    <w:rPr>
      <w:b/>
    </w:rPr>
  </w:style>
  <w:style w:type="paragraph" w:customStyle="1" w:styleId="Dl">
    <w:name w:val="Díl"/>
    <w:basedOn w:val="Normln"/>
    <w:next w:val="Nadpisdlu"/>
    <w:rsid w:val="00016158"/>
    <w:pPr>
      <w:keepNext/>
      <w:keepLines/>
      <w:spacing w:before="240"/>
      <w:jc w:val="center"/>
      <w:outlineLvl w:val="3"/>
    </w:pPr>
  </w:style>
  <w:style w:type="paragraph" w:customStyle="1" w:styleId="Nadpisdlu">
    <w:name w:val="Nadpis dílu"/>
    <w:basedOn w:val="Normln"/>
    <w:next w:val="Oddl"/>
    <w:rsid w:val="00016158"/>
    <w:pPr>
      <w:keepNext/>
      <w:keepLines/>
      <w:jc w:val="center"/>
      <w:outlineLvl w:val="3"/>
    </w:pPr>
    <w:rPr>
      <w:b/>
    </w:rPr>
  </w:style>
  <w:style w:type="paragraph" w:customStyle="1" w:styleId="Hlava">
    <w:name w:val="Hlava"/>
    <w:basedOn w:val="Normln"/>
    <w:next w:val="Nadpishlavy"/>
    <w:rsid w:val="00016158"/>
    <w:pPr>
      <w:keepNext/>
      <w:keepLines/>
      <w:spacing w:before="240"/>
      <w:jc w:val="center"/>
      <w:outlineLvl w:val="2"/>
    </w:pPr>
  </w:style>
  <w:style w:type="paragraph" w:customStyle="1" w:styleId="Nadpishlavy">
    <w:name w:val="Nadpis hlavy"/>
    <w:basedOn w:val="Normln"/>
    <w:next w:val="Dl"/>
    <w:rsid w:val="00016158"/>
    <w:pPr>
      <w:keepNext/>
      <w:keepLines/>
      <w:jc w:val="center"/>
      <w:outlineLvl w:val="2"/>
    </w:pPr>
    <w:rPr>
      <w:b/>
    </w:rPr>
  </w:style>
  <w:style w:type="paragraph" w:customStyle="1" w:styleId="ST">
    <w:name w:val="ČÁST"/>
    <w:basedOn w:val="Normln"/>
    <w:next w:val="NADPISSTI"/>
    <w:rsid w:val="00016158"/>
    <w:pPr>
      <w:keepNext/>
      <w:keepLines/>
      <w:spacing w:before="240" w:after="120"/>
      <w:jc w:val="center"/>
      <w:outlineLvl w:val="1"/>
    </w:pPr>
    <w:rPr>
      <w:caps/>
    </w:rPr>
  </w:style>
  <w:style w:type="paragraph" w:customStyle="1" w:styleId="NADPISSTI">
    <w:name w:val="NADPIS ČÁSTI"/>
    <w:basedOn w:val="Normln"/>
    <w:next w:val="Hlava"/>
    <w:rsid w:val="00016158"/>
    <w:pPr>
      <w:keepNext/>
      <w:keepLines/>
      <w:jc w:val="center"/>
      <w:outlineLvl w:val="1"/>
    </w:pPr>
    <w:rPr>
      <w:b/>
    </w:rPr>
  </w:style>
  <w:style w:type="paragraph" w:customStyle="1" w:styleId="ZKON">
    <w:name w:val="ZÁKON"/>
    <w:basedOn w:val="Normln"/>
    <w:next w:val="nadpiszkona"/>
    <w:rsid w:val="00016158"/>
    <w:pPr>
      <w:keepNext/>
      <w:keepLines/>
      <w:jc w:val="center"/>
      <w:outlineLvl w:val="0"/>
    </w:pPr>
    <w:rPr>
      <w:b/>
      <w:caps/>
    </w:rPr>
  </w:style>
  <w:style w:type="paragraph" w:customStyle="1" w:styleId="nadpiszkona">
    <w:name w:val="nadpis zákona"/>
    <w:basedOn w:val="Normln"/>
    <w:next w:val="Parlament"/>
    <w:rsid w:val="00016158"/>
    <w:pPr>
      <w:keepNext/>
      <w:keepLines/>
      <w:spacing w:before="120"/>
      <w:jc w:val="center"/>
      <w:outlineLvl w:val="0"/>
    </w:pPr>
    <w:rPr>
      <w:b/>
    </w:rPr>
  </w:style>
  <w:style w:type="paragraph" w:customStyle="1" w:styleId="Parlament">
    <w:name w:val="Parlament"/>
    <w:basedOn w:val="Normln"/>
    <w:next w:val="ST"/>
    <w:rsid w:val="00016158"/>
    <w:pPr>
      <w:keepNext/>
      <w:keepLines/>
      <w:spacing w:before="360" w:after="240"/>
    </w:pPr>
  </w:style>
  <w:style w:type="paragraph" w:customStyle="1" w:styleId="Textlnku">
    <w:name w:val="Text článku"/>
    <w:basedOn w:val="Normln"/>
    <w:rsid w:val="00016158"/>
    <w:pPr>
      <w:spacing w:before="240"/>
      <w:ind w:firstLine="425"/>
      <w:outlineLvl w:val="5"/>
    </w:pPr>
  </w:style>
  <w:style w:type="paragraph" w:customStyle="1" w:styleId="lnek">
    <w:name w:val="Článek"/>
    <w:basedOn w:val="Normln"/>
    <w:next w:val="Textodstavce"/>
    <w:rsid w:val="00016158"/>
    <w:pPr>
      <w:keepNext/>
      <w:keepLines/>
      <w:spacing w:before="240"/>
      <w:jc w:val="center"/>
      <w:outlineLvl w:val="5"/>
    </w:pPr>
  </w:style>
  <w:style w:type="paragraph" w:customStyle="1" w:styleId="CELEX">
    <w:name w:val="CELEX"/>
    <w:basedOn w:val="Normln"/>
    <w:next w:val="Normln"/>
    <w:rsid w:val="00016158"/>
    <w:pPr>
      <w:spacing w:before="60"/>
    </w:pPr>
    <w:rPr>
      <w:i/>
      <w:sz w:val="20"/>
    </w:rPr>
  </w:style>
  <w:style w:type="paragraph" w:customStyle="1" w:styleId="funkce">
    <w:name w:val="funkce"/>
    <w:basedOn w:val="Normln"/>
    <w:rsid w:val="00016158"/>
    <w:pPr>
      <w:keepLines/>
      <w:jc w:val="center"/>
    </w:pPr>
  </w:style>
  <w:style w:type="paragraph" w:customStyle="1" w:styleId="Psmeno">
    <w:name w:val="&quot;Písmeno&quot;"/>
    <w:basedOn w:val="Normln"/>
    <w:next w:val="Normln"/>
    <w:rsid w:val="00016158"/>
    <w:pPr>
      <w:keepNext/>
      <w:keepLines/>
      <w:ind w:left="425" w:hanging="425"/>
    </w:pPr>
  </w:style>
  <w:style w:type="paragraph" w:customStyle="1" w:styleId="Oznaenpozmn">
    <w:name w:val="Označení pozm.n."/>
    <w:basedOn w:val="Normln"/>
    <w:next w:val="Normln"/>
    <w:rsid w:val="00016158"/>
    <w:pPr>
      <w:numPr>
        <w:numId w:val="2"/>
      </w:numPr>
      <w:spacing w:after="120"/>
    </w:pPr>
    <w:rPr>
      <w:b/>
    </w:rPr>
  </w:style>
  <w:style w:type="paragraph" w:customStyle="1" w:styleId="Textpozmn">
    <w:name w:val="Text pozm.n."/>
    <w:basedOn w:val="Normln"/>
    <w:next w:val="Normln"/>
    <w:rsid w:val="00016158"/>
    <w:pPr>
      <w:numPr>
        <w:numId w:val="3"/>
      </w:numPr>
      <w:tabs>
        <w:tab w:val="clear" w:pos="425"/>
        <w:tab w:val="left" w:pos="851"/>
      </w:tabs>
      <w:spacing w:after="120"/>
      <w:ind w:left="850"/>
    </w:pPr>
  </w:style>
  <w:style w:type="paragraph" w:customStyle="1" w:styleId="Novelizanbod">
    <w:name w:val="Novelizační bod"/>
    <w:basedOn w:val="Normln"/>
    <w:next w:val="Normln"/>
    <w:rsid w:val="00016158"/>
    <w:pPr>
      <w:keepNext/>
      <w:keepLines/>
      <w:numPr>
        <w:numId w:val="4"/>
      </w:numPr>
      <w:tabs>
        <w:tab w:val="left" w:pos="851"/>
      </w:tabs>
      <w:spacing w:before="480" w:after="120"/>
    </w:pPr>
  </w:style>
  <w:style w:type="paragraph" w:customStyle="1" w:styleId="Novelizanbodvpozmn">
    <w:name w:val="Novelizační bod v pozm.n."/>
    <w:basedOn w:val="Normln"/>
    <w:next w:val="Normln"/>
    <w:rsid w:val="00016158"/>
    <w:pPr>
      <w:keepNext/>
      <w:keepLines/>
      <w:numPr>
        <w:numId w:val="1"/>
      </w:numPr>
      <w:tabs>
        <w:tab w:val="clear" w:pos="851"/>
        <w:tab w:val="left" w:pos="1418"/>
      </w:tabs>
      <w:spacing w:before="240"/>
      <w:ind w:left="1418" w:hanging="567"/>
    </w:pPr>
  </w:style>
  <w:style w:type="paragraph" w:customStyle="1" w:styleId="Nadpispozmn">
    <w:name w:val="Nadpis pozm.n."/>
    <w:basedOn w:val="Normln"/>
    <w:next w:val="Normln"/>
    <w:rsid w:val="00016158"/>
    <w:pPr>
      <w:keepNext/>
      <w:keepLines/>
      <w:spacing w:after="120"/>
      <w:jc w:val="center"/>
    </w:pPr>
    <w:rPr>
      <w:b/>
      <w:sz w:val="32"/>
    </w:rPr>
  </w:style>
  <w:style w:type="paragraph" w:customStyle="1" w:styleId="Textbodu">
    <w:name w:val="Text bodu"/>
    <w:basedOn w:val="Normln"/>
    <w:rsid w:val="00016158"/>
    <w:pPr>
      <w:numPr>
        <w:ilvl w:val="2"/>
        <w:numId w:val="5"/>
      </w:numPr>
      <w:outlineLvl w:val="8"/>
    </w:pPr>
  </w:style>
  <w:style w:type="paragraph" w:customStyle="1" w:styleId="Textpsmene">
    <w:name w:val="Text písmene"/>
    <w:basedOn w:val="Normln"/>
    <w:rsid w:val="00016158"/>
    <w:pPr>
      <w:numPr>
        <w:ilvl w:val="1"/>
        <w:numId w:val="5"/>
      </w:numPr>
      <w:outlineLvl w:val="7"/>
    </w:pPr>
  </w:style>
  <w:style w:type="character" w:customStyle="1" w:styleId="Odkaznapoznpodarou">
    <w:name w:val="Odkaz na pozn. pod čarou"/>
    <w:rsid w:val="00016158"/>
    <w:rPr>
      <w:vertAlign w:val="superscript"/>
    </w:rPr>
  </w:style>
  <w:style w:type="paragraph" w:customStyle="1" w:styleId="Nadpissti0">
    <w:name w:val="Nadpis části"/>
    <w:basedOn w:val="Normln"/>
    <w:rsid w:val="00324820"/>
    <w:pPr>
      <w:keepNext/>
      <w:widowControl w:val="0"/>
      <w:suppressAutoHyphens/>
      <w:autoSpaceDN w:val="0"/>
      <w:jc w:val="center"/>
      <w:textAlignment w:val="baseline"/>
    </w:pPr>
    <w:rPr>
      <w:rFonts w:eastAsia="Arial Unicode MS" w:cs="Mangal"/>
      <w:b/>
      <w:kern w:val="3"/>
      <w:lang w:eastAsia="zh-CN" w:bidi="hi-IN"/>
    </w:rPr>
  </w:style>
  <w:style w:type="paragraph" w:customStyle="1" w:styleId="Textodstavce">
    <w:name w:val="Text odstavce"/>
    <w:basedOn w:val="Normln"/>
    <w:rsid w:val="00016158"/>
    <w:pPr>
      <w:numPr>
        <w:numId w:val="5"/>
      </w:numPr>
      <w:tabs>
        <w:tab w:val="left" w:pos="851"/>
      </w:tabs>
      <w:spacing w:before="120" w:after="120"/>
      <w:outlineLvl w:val="6"/>
    </w:pPr>
  </w:style>
  <w:style w:type="paragraph" w:customStyle="1" w:styleId="Textbodunovely">
    <w:name w:val="Text bodu novely"/>
    <w:basedOn w:val="Normln"/>
    <w:next w:val="Normln"/>
    <w:rsid w:val="00016158"/>
    <w:pPr>
      <w:ind w:left="567" w:hanging="567"/>
    </w:pPr>
  </w:style>
  <w:style w:type="character" w:styleId="slostrnky">
    <w:name w:val="page number"/>
    <w:basedOn w:val="Standardnpsmoodstavce"/>
    <w:semiHidden/>
    <w:rsid w:val="00016158"/>
  </w:style>
  <w:style w:type="paragraph" w:styleId="Zpat">
    <w:name w:val="footer"/>
    <w:basedOn w:val="Normln"/>
    <w:semiHidden/>
    <w:rsid w:val="00016158"/>
    <w:pPr>
      <w:tabs>
        <w:tab w:val="center" w:pos="4536"/>
        <w:tab w:val="right" w:pos="9072"/>
      </w:tabs>
    </w:pPr>
  </w:style>
  <w:style w:type="paragraph" w:styleId="Textpoznpodarou">
    <w:name w:val="footnote text"/>
    <w:basedOn w:val="Normln"/>
    <w:semiHidden/>
    <w:rsid w:val="00016158"/>
    <w:pPr>
      <w:tabs>
        <w:tab w:val="left" w:pos="425"/>
      </w:tabs>
      <w:ind w:left="425" w:hanging="425"/>
    </w:pPr>
    <w:rPr>
      <w:sz w:val="20"/>
    </w:rPr>
  </w:style>
  <w:style w:type="character" w:styleId="Znakapoznpodarou">
    <w:name w:val="footnote reference"/>
    <w:semiHidden/>
    <w:rsid w:val="00016158"/>
    <w:rPr>
      <w:vertAlign w:val="superscript"/>
    </w:rPr>
  </w:style>
  <w:style w:type="paragraph" w:styleId="Titulek">
    <w:name w:val="caption"/>
    <w:basedOn w:val="Normln"/>
    <w:next w:val="Normln"/>
    <w:qFormat/>
    <w:rsid w:val="00016158"/>
    <w:pPr>
      <w:spacing w:before="120" w:after="120"/>
    </w:pPr>
    <w:rPr>
      <w:b/>
    </w:rPr>
  </w:style>
  <w:style w:type="paragraph" w:customStyle="1" w:styleId="Nvrh">
    <w:name w:val="Návrh"/>
    <w:basedOn w:val="Normln"/>
    <w:next w:val="ZKON"/>
    <w:rsid w:val="00016158"/>
    <w:pPr>
      <w:keepNext/>
      <w:keepLines/>
      <w:spacing w:after="240"/>
      <w:jc w:val="center"/>
      <w:outlineLvl w:val="0"/>
    </w:pPr>
    <w:rPr>
      <w:spacing w:val="40"/>
    </w:rPr>
  </w:style>
  <w:style w:type="paragraph" w:customStyle="1" w:styleId="Podpis">
    <w:name w:val="Podpis_"/>
    <w:basedOn w:val="Normln"/>
    <w:next w:val="funkce"/>
    <w:rsid w:val="00016158"/>
    <w:pPr>
      <w:keepNext/>
      <w:keepLines/>
      <w:spacing w:before="720"/>
      <w:jc w:val="center"/>
    </w:pPr>
  </w:style>
  <w:style w:type="paragraph" w:customStyle="1" w:styleId="VARIANTA">
    <w:name w:val="VARIANTA"/>
    <w:basedOn w:val="Normln"/>
    <w:next w:val="Normln"/>
    <w:rsid w:val="00016158"/>
    <w:pPr>
      <w:keepNext/>
      <w:spacing w:before="120" w:after="120"/>
    </w:pPr>
    <w:rPr>
      <w:caps/>
      <w:spacing w:val="60"/>
    </w:rPr>
  </w:style>
  <w:style w:type="paragraph" w:customStyle="1" w:styleId="VARIANTA-konec">
    <w:name w:val="VARIANTA - konec"/>
    <w:basedOn w:val="Normln"/>
    <w:next w:val="Normln"/>
    <w:rsid w:val="00016158"/>
    <w:rPr>
      <w:caps/>
      <w:spacing w:val="60"/>
    </w:rPr>
  </w:style>
  <w:style w:type="paragraph" w:customStyle="1" w:styleId="Nadpisparagrafu">
    <w:name w:val="Nadpis paragrafu"/>
    <w:basedOn w:val="Paragraf"/>
    <w:next w:val="Textodstavce"/>
    <w:rsid w:val="00016158"/>
    <w:rPr>
      <w:b/>
    </w:rPr>
  </w:style>
  <w:style w:type="paragraph" w:customStyle="1" w:styleId="Nadpislnku">
    <w:name w:val="Nadpis článku"/>
    <w:basedOn w:val="lnek"/>
    <w:next w:val="Textodstavce"/>
    <w:rsid w:val="00016158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D46A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D46A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vetonova\Documents\Vlastn&#237;%20&#353;ablony%20Office\LN_Z&#225;kon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LN_Zákon.dot</Template>
  <TotalTime>0</TotalTime>
  <Pages>3</Pages>
  <Words>640</Words>
  <Characters>3231</Characters>
  <Application>Microsoft Office Word</Application>
  <DocSecurity>0</DocSecurity>
  <Lines>26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Šablona pro zápis návrhů zákonů</vt:lpstr>
      <vt:lpstr>Šablona pro zápis návrhů zákonů</vt:lpstr>
    </vt:vector>
  </TitlesOfParts>
  <Manager>Petr Pilař</Manager>
  <Company>Kancelář Senátu PČR</Company>
  <LinksUpToDate>false</LinksUpToDate>
  <CharactersWithSpaces>3864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Šablona pro zápis návrhů zákonů</dc:title>
  <dc:subject>LN_Zákon verze 2.1</dc:subject>
  <dc:creator>Kvetonova Hana</dc:creator>
  <cp:keywords>šablona LN_Zákon legislativní pomůcka zákon</cp:keywords>
  <dc:description>Šablona verze 2.1, vytvořená v prosinci 2002</dc:description>
  <cp:lastModifiedBy>Kvetonova Hana</cp:lastModifiedBy>
  <cp:revision>2</cp:revision>
  <cp:lastPrinted>2020-03-24T10:20:00Z</cp:lastPrinted>
  <dcterms:created xsi:type="dcterms:W3CDTF">2020-03-24T19:15:00Z</dcterms:created>
  <dcterms:modified xsi:type="dcterms:W3CDTF">2020-03-24T19:15:00Z</dcterms:modified>
  <cp:category>šablona</cp:category>
</cp:coreProperties>
</file>