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37E" w:rsidRDefault="00AB737E" w:rsidP="00AB737E">
      <w:pPr>
        <w:autoSpaceDE w:val="0"/>
        <w:adjustRightInd w:val="0"/>
        <w:spacing w:line="254" w:lineRule="auto"/>
        <w:ind w:left="0" w:firstLine="0"/>
        <w:jc w:val="center"/>
        <w:rPr>
          <w:rFonts w:ascii="Times New Roman" w:hAnsi="Times New Roman"/>
          <w:b/>
          <w:sz w:val="28"/>
          <w:szCs w:val="28"/>
        </w:rPr>
      </w:pPr>
      <w:r w:rsidRPr="00764545">
        <w:rPr>
          <w:rFonts w:ascii="Times New Roman" w:hAnsi="Times New Roman"/>
          <w:b/>
          <w:sz w:val="28"/>
          <w:szCs w:val="28"/>
        </w:rPr>
        <w:t>PLATNÉ ZNĚNÍ S VYZNAČENÍM ZMĚN</w:t>
      </w:r>
    </w:p>
    <w:p w:rsidR="00E7096C" w:rsidRDefault="00E7096C" w:rsidP="00AB737E">
      <w:pPr>
        <w:autoSpaceDE w:val="0"/>
        <w:adjustRightInd w:val="0"/>
        <w:spacing w:line="254" w:lineRule="auto"/>
        <w:ind w:left="0" w:firstLine="0"/>
        <w:jc w:val="center"/>
        <w:rPr>
          <w:rFonts w:ascii="Times New Roman" w:hAnsi="Times New Roman"/>
          <w:b/>
          <w:sz w:val="28"/>
          <w:szCs w:val="28"/>
        </w:rPr>
      </w:pPr>
    </w:p>
    <w:p w:rsidR="005C7310" w:rsidRPr="005C7310" w:rsidRDefault="005C7310" w:rsidP="00034B4F">
      <w:pPr>
        <w:spacing w:before="0"/>
        <w:ind w:left="0" w:firstLine="0"/>
        <w:rPr>
          <w:rFonts w:ascii="Times New Roman" w:hAnsi="Times New Roman"/>
          <w:sz w:val="24"/>
          <w:szCs w:val="24"/>
        </w:rPr>
      </w:pPr>
    </w:p>
    <w:p w:rsidR="00034B4F" w:rsidRDefault="00034B4F" w:rsidP="00034B4F">
      <w:pPr>
        <w:pStyle w:val="Textlnku"/>
        <w:spacing w:before="0"/>
        <w:ind w:firstLine="0"/>
        <w:rPr>
          <w:b/>
          <w:bCs/>
          <w:sz w:val="28"/>
          <w:szCs w:val="28"/>
        </w:rPr>
      </w:pPr>
      <w:r w:rsidRPr="00E536C7">
        <w:rPr>
          <w:sz w:val="28"/>
          <w:szCs w:val="28"/>
        </w:rPr>
        <w:t xml:space="preserve">Zákon č. 586/1992 Sb., o daních z příjmů, ve znění zákona č. 35/1993 Sb., </w:t>
      </w:r>
      <w:r>
        <w:rPr>
          <w:sz w:val="28"/>
          <w:szCs w:val="28"/>
        </w:rPr>
        <w:br/>
      </w:r>
      <w:r w:rsidRPr="00E536C7">
        <w:rPr>
          <w:sz w:val="28"/>
          <w:szCs w:val="28"/>
        </w:rPr>
        <w:t xml:space="preserve">zákona č. 96/1993 Sb., zákona č. 157/1993 Sb., zákona č. 196/1993 Sb., </w:t>
      </w:r>
      <w:r>
        <w:rPr>
          <w:sz w:val="28"/>
          <w:szCs w:val="28"/>
        </w:rPr>
        <w:br/>
      </w:r>
      <w:r w:rsidRPr="00E536C7">
        <w:rPr>
          <w:sz w:val="28"/>
          <w:szCs w:val="28"/>
        </w:rPr>
        <w:t xml:space="preserve">zákona č. 323/1993 Sb., zákona č. 42/1994 Sb., zákona č. 85/1994 Sb., </w:t>
      </w:r>
      <w:r>
        <w:rPr>
          <w:sz w:val="28"/>
          <w:szCs w:val="28"/>
        </w:rPr>
        <w:br/>
      </w:r>
      <w:r w:rsidRPr="00E536C7">
        <w:rPr>
          <w:sz w:val="28"/>
          <w:szCs w:val="28"/>
        </w:rPr>
        <w:t xml:space="preserve">zákona č. 114/1994 Sb., zákona č. 259/1994 Sb., zákona č. 32/1995 Sb., </w:t>
      </w:r>
      <w:r>
        <w:rPr>
          <w:sz w:val="28"/>
          <w:szCs w:val="28"/>
        </w:rPr>
        <w:br/>
      </w:r>
      <w:r w:rsidRPr="00E536C7">
        <w:rPr>
          <w:sz w:val="28"/>
          <w:szCs w:val="28"/>
        </w:rPr>
        <w:t xml:space="preserve">zákona č. 87/1995 Sb., zákona č. 118/1995 Sb., zákona č. 149/1995 Sb., </w:t>
      </w:r>
      <w:r>
        <w:rPr>
          <w:sz w:val="28"/>
          <w:szCs w:val="28"/>
        </w:rPr>
        <w:br/>
      </w:r>
      <w:r w:rsidRPr="00E536C7">
        <w:rPr>
          <w:sz w:val="28"/>
          <w:szCs w:val="28"/>
        </w:rPr>
        <w:t xml:space="preserve">zákona č. 248/1995 Sb., zákona č. 316/1996 Sb., zákona č. 18/1997 Sb., </w:t>
      </w:r>
      <w:r>
        <w:rPr>
          <w:sz w:val="28"/>
          <w:szCs w:val="28"/>
        </w:rPr>
        <w:br/>
      </w:r>
      <w:r w:rsidRPr="00E536C7">
        <w:rPr>
          <w:sz w:val="28"/>
          <w:szCs w:val="28"/>
        </w:rPr>
        <w:t xml:space="preserve">zákona č. 151/1997 Sb., zákona č. 209/1997 Sb., zákona č. 210/1997 Sb., </w:t>
      </w:r>
      <w:r>
        <w:rPr>
          <w:sz w:val="28"/>
          <w:szCs w:val="28"/>
        </w:rPr>
        <w:br/>
      </w:r>
      <w:r w:rsidRPr="00E536C7">
        <w:rPr>
          <w:sz w:val="28"/>
          <w:szCs w:val="28"/>
        </w:rPr>
        <w:t xml:space="preserve">zákona č. 227/1997 Sb., zákona č. 111/1998 Sb., zákona č. 149/1998 Sb., </w:t>
      </w:r>
      <w:r>
        <w:rPr>
          <w:sz w:val="28"/>
          <w:szCs w:val="28"/>
        </w:rPr>
        <w:br/>
      </w:r>
      <w:r w:rsidRPr="00E536C7">
        <w:rPr>
          <w:sz w:val="28"/>
          <w:szCs w:val="28"/>
        </w:rPr>
        <w:t xml:space="preserve">zákona č. 168/1998 Sb., zákona č. 333/1998 Sb., zákona č. 63/1999 Sb., </w:t>
      </w:r>
      <w:r>
        <w:rPr>
          <w:sz w:val="28"/>
          <w:szCs w:val="28"/>
        </w:rPr>
        <w:br/>
      </w:r>
      <w:r w:rsidRPr="00E536C7">
        <w:rPr>
          <w:sz w:val="28"/>
          <w:szCs w:val="28"/>
        </w:rPr>
        <w:t xml:space="preserve">zákona č. 129/1999 Sb., zákona č. 144/1999 Sb., zákona č. 170/1999 Sb., </w:t>
      </w:r>
      <w:r>
        <w:rPr>
          <w:sz w:val="28"/>
          <w:szCs w:val="28"/>
        </w:rPr>
        <w:br/>
      </w:r>
      <w:r w:rsidRPr="00E536C7">
        <w:rPr>
          <w:sz w:val="28"/>
          <w:szCs w:val="28"/>
        </w:rPr>
        <w:t xml:space="preserve">zákona č. 225/1999 Sb., nálezu Ústavního soudu, vyhlášeného pod č. 3/2000 Sb., zákona č. 17/2000 Sb., zákona č. 27/2000 Sb., zákona č. 72/2000 Sb., </w:t>
      </w:r>
      <w:r>
        <w:rPr>
          <w:sz w:val="28"/>
          <w:szCs w:val="28"/>
        </w:rPr>
        <w:br/>
      </w:r>
      <w:r w:rsidRPr="00E536C7">
        <w:rPr>
          <w:sz w:val="28"/>
          <w:szCs w:val="28"/>
        </w:rPr>
        <w:t xml:space="preserve">zákona č. 100/2000 Sb., zákona č. 103/2000 Sb., zákona č. 121/2000 Sb., </w:t>
      </w:r>
      <w:r>
        <w:rPr>
          <w:sz w:val="28"/>
          <w:szCs w:val="28"/>
        </w:rPr>
        <w:br/>
      </w:r>
      <w:r w:rsidRPr="00E536C7">
        <w:rPr>
          <w:sz w:val="28"/>
          <w:szCs w:val="28"/>
        </w:rPr>
        <w:t xml:space="preserve">zákona č. 132/2000 Sb., zákona č. 241/2000 Sb., zákona č. 340/2000 Sb., </w:t>
      </w:r>
      <w:r>
        <w:rPr>
          <w:sz w:val="28"/>
          <w:szCs w:val="28"/>
        </w:rPr>
        <w:br/>
      </w:r>
      <w:r w:rsidRPr="00E536C7">
        <w:rPr>
          <w:sz w:val="28"/>
          <w:szCs w:val="28"/>
        </w:rPr>
        <w:t xml:space="preserve">zákona č. 492/2000 Sb., zákona č. 117/2001 Sb., zákona č. 120/2001 Sb., </w:t>
      </w:r>
      <w:r>
        <w:rPr>
          <w:sz w:val="28"/>
          <w:szCs w:val="28"/>
        </w:rPr>
        <w:br/>
      </w:r>
      <w:r w:rsidRPr="00E536C7">
        <w:rPr>
          <w:sz w:val="28"/>
          <w:szCs w:val="28"/>
        </w:rPr>
        <w:t xml:space="preserve">zákona č. 239/2001 Sb., zákona č. 453/2001 Sb., zákona č. 483/2001 Sb., </w:t>
      </w:r>
      <w:r>
        <w:rPr>
          <w:sz w:val="28"/>
          <w:szCs w:val="28"/>
        </w:rPr>
        <w:br/>
      </w:r>
      <w:r w:rsidRPr="00E536C7">
        <w:rPr>
          <w:sz w:val="28"/>
          <w:szCs w:val="28"/>
        </w:rPr>
        <w:t xml:space="preserve">zákona č. 50/2002 Sb., zákona č.128/2002 Sb., zákona č. 198/2002 Sb., </w:t>
      </w:r>
      <w:r>
        <w:rPr>
          <w:sz w:val="28"/>
          <w:szCs w:val="28"/>
        </w:rPr>
        <w:br/>
      </w:r>
      <w:r w:rsidRPr="00E536C7">
        <w:rPr>
          <w:sz w:val="28"/>
          <w:szCs w:val="28"/>
        </w:rPr>
        <w:t xml:space="preserve">zákona č. 210/2002 Sb., zákona č. 260/2002 Sb., zákona č. 308/2002 Sb., </w:t>
      </w:r>
      <w:r>
        <w:rPr>
          <w:sz w:val="28"/>
          <w:szCs w:val="28"/>
        </w:rPr>
        <w:br/>
      </w:r>
      <w:r w:rsidRPr="00E536C7">
        <w:rPr>
          <w:sz w:val="28"/>
          <w:szCs w:val="28"/>
        </w:rPr>
        <w:t xml:space="preserve">zákona č. 575/2002 Sb., zákona č. 162/2003 Sb., zákona č. 362/2003 Sb., </w:t>
      </w:r>
      <w:r>
        <w:rPr>
          <w:sz w:val="28"/>
          <w:szCs w:val="28"/>
        </w:rPr>
        <w:br/>
      </w:r>
      <w:r w:rsidRPr="00E536C7">
        <w:rPr>
          <w:sz w:val="28"/>
          <w:szCs w:val="28"/>
        </w:rPr>
        <w:t xml:space="preserve">zákona č. 438/2003 Sb., zákona č. 19/2004 Sb., zákona č. 47/2004 Sb., </w:t>
      </w:r>
      <w:r>
        <w:rPr>
          <w:sz w:val="28"/>
          <w:szCs w:val="28"/>
        </w:rPr>
        <w:br/>
      </w:r>
      <w:r w:rsidRPr="00E536C7">
        <w:rPr>
          <w:sz w:val="28"/>
          <w:szCs w:val="28"/>
        </w:rPr>
        <w:t xml:space="preserve">zákona č. 49/2004 Sb., zákona č. 257/2004 Sb., zákona č. 280/2004 Sb., </w:t>
      </w:r>
      <w:r>
        <w:rPr>
          <w:sz w:val="28"/>
          <w:szCs w:val="28"/>
        </w:rPr>
        <w:br/>
      </w:r>
      <w:r w:rsidRPr="00E536C7">
        <w:rPr>
          <w:sz w:val="28"/>
          <w:szCs w:val="28"/>
        </w:rPr>
        <w:t xml:space="preserve">zákona č. 359/2004 Sb., zákona č. 360/2004 Sb., zákona č. 436/2004 Sb., </w:t>
      </w:r>
      <w:r>
        <w:rPr>
          <w:sz w:val="28"/>
          <w:szCs w:val="28"/>
        </w:rPr>
        <w:br/>
      </w:r>
      <w:r w:rsidRPr="00E536C7">
        <w:rPr>
          <w:sz w:val="28"/>
          <w:szCs w:val="28"/>
        </w:rPr>
        <w:t xml:space="preserve">zákona č. 562/2004 Sb., zákona č. 628/2004 Sb., zákona č. 669/2004 Sb., </w:t>
      </w:r>
      <w:r>
        <w:rPr>
          <w:sz w:val="28"/>
          <w:szCs w:val="28"/>
        </w:rPr>
        <w:br/>
      </w:r>
      <w:r w:rsidRPr="00E536C7">
        <w:rPr>
          <w:sz w:val="28"/>
          <w:szCs w:val="28"/>
        </w:rPr>
        <w:t xml:space="preserve">zákona č. 676/2004 Sb., zákona č. 179/2005 Sb., zákona č. 217/2005 Sb., </w:t>
      </w:r>
      <w:r>
        <w:rPr>
          <w:sz w:val="28"/>
          <w:szCs w:val="28"/>
        </w:rPr>
        <w:br/>
      </w:r>
      <w:r w:rsidRPr="00E536C7">
        <w:rPr>
          <w:sz w:val="28"/>
          <w:szCs w:val="28"/>
        </w:rPr>
        <w:t xml:space="preserve">zákona č. 342/2005 Sb., zákona č. 357/2005 Sb., zákona č. 441/2005 Sb., </w:t>
      </w:r>
      <w:r>
        <w:rPr>
          <w:sz w:val="28"/>
          <w:szCs w:val="28"/>
        </w:rPr>
        <w:br/>
      </w:r>
      <w:r w:rsidRPr="00E536C7">
        <w:rPr>
          <w:sz w:val="28"/>
          <w:szCs w:val="28"/>
        </w:rPr>
        <w:t xml:space="preserve">zákona č. 530/2005 Sb., zákona č. 545/2005 Sb., zákona č. 552/2005 Sb., </w:t>
      </w:r>
      <w:r>
        <w:rPr>
          <w:sz w:val="28"/>
          <w:szCs w:val="28"/>
        </w:rPr>
        <w:br/>
      </w:r>
      <w:r w:rsidRPr="00E536C7">
        <w:rPr>
          <w:sz w:val="28"/>
          <w:szCs w:val="28"/>
        </w:rPr>
        <w:t xml:space="preserve">zákona č. 56/2006 Sb., zákona č. 57/2006 Sb., zákona č. 109/2006 Sb., </w:t>
      </w:r>
      <w:r>
        <w:rPr>
          <w:sz w:val="28"/>
          <w:szCs w:val="28"/>
        </w:rPr>
        <w:br/>
      </w:r>
      <w:r w:rsidRPr="00E536C7">
        <w:rPr>
          <w:sz w:val="28"/>
          <w:szCs w:val="28"/>
        </w:rPr>
        <w:t xml:space="preserve">zákona č. 112/2006 Sb., zákona č. 179/2006 Sb., zákona č. 189/2006 Sb., </w:t>
      </w:r>
      <w:r>
        <w:rPr>
          <w:sz w:val="28"/>
          <w:szCs w:val="28"/>
        </w:rPr>
        <w:br/>
      </w:r>
      <w:r w:rsidRPr="00E536C7">
        <w:rPr>
          <w:sz w:val="28"/>
          <w:szCs w:val="28"/>
        </w:rPr>
        <w:t xml:space="preserve">zákona č. 203/2006 Sb., zákona č. 223/2006 Sb., zákona č. 245/2006 Sb., </w:t>
      </w:r>
      <w:r>
        <w:rPr>
          <w:sz w:val="28"/>
          <w:szCs w:val="28"/>
        </w:rPr>
        <w:br/>
      </w:r>
      <w:r w:rsidRPr="00E536C7">
        <w:rPr>
          <w:sz w:val="28"/>
          <w:szCs w:val="28"/>
        </w:rPr>
        <w:t xml:space="preserve">zákona č. 264/2006 Sb., zákona č. 29/2007 Sb., zákona č. 67/2007 Sb., </w:t>
      </w:r>
      <w:r>
        <w:rPr>
          <w:sz w:val="28"/>
          <w:szCs w:val="28"/>
        </w:rPr>
        <w:br/>
      </w:r>
      <w:r w:rsidRPr="00E536C7">
        <w:rPr>
          <w:sz w:val="28"/>
          <w:szCs w:val="28"/>
        </w:rPr>
        <w:t xml:space="preserve">zákona č. 159/2007 Sb., zákona č. 261/2007 Sb., zákona č. 296/2007 Sb., </w:t>
      </w:r>
      <w:r>
        <w:rPr>
          <w:sz w:val="28"/>
          <w:szCs w:val="28"/>
        </w:rPr>
        <w:br/>
      </w:r>
      <w:r w:rsidRPr="00E536C7">
        <w:rPr>
          <w:sz w:val="28"/>
          <w:szCs w:val="28"/>
        </w:rPr>
        <w:t xml:space="preserve">zákona č. 362/2007 Sb., zákona č. 126/2008 Sb., zákona č. 306/2008 Sb., </w:t>
      </w:r>
      <w:r>
        <w:rPr>
          <w:sz w:val="28"/>
          <w:szCs w:val="28"/>
        </w:rPr>
        <w:br/>
      </w:r>
      <w:r w:rsidRPr="00E536C7">
        <w:rPr>
          <w:sz w:val="28"/>
          <w:szCs w:val="28"/>
        </w:rPr>
        <w:lastRenderedPageBreak/>
        <w:t xml:space="preserve">zákona č. 482/2008 Sb., zákona č. 2/2009 Sb., zákona č. 87/2009 Sb., </w:t>
      </w:r>
      <w:r>
        <w:rPr>
          <w:sz w:val="28"/>
          <w:szCs w:val="28"/>
        </w:rPr>
        <w:br/>
      </w:r>
      <w:r w:rsidRPr="00E536C7">
        <w:rPr>
          <w:sz w:val="28"/>
          <w:szCs w:val="28"/>
        </w:rPr>
        <w:t xml:space="preserve">zákona č. 216/2009 Sb., zákona č. 221/2009 Sb., zákona č. 227/2009 Sb., </w:t>
      </w:r>
      <w:r>
        <w:rPr>
          <w:sz w:val="28"/>
          <w:szCs w:val="28"/>
        </w:rPr>
        <w:br/>
      </w:r>
      <w:r w:rsidRPr="00E536C7">
        <w:rPr>
          <w:sz w:val="28"/>
          <w:szCs w:val="28"/>
        </w:rPr>
        <w:t xml:space="preserve">zákona č. 281/2009 Sb., zákona č. 289/2009 Sb., zákona č. 303/2009 Sb., </w:t>
      </w:r>
      <w:r>
        <w:rPr>
          <w:sz w:val="28"/>
          <w:szCs w:val="28"/>
        </w:rPr>
        <w:br/>
      </w:r>
      <w:r w:rsidRPr="00E536C7">
        <w:rPr>
          <w:sz w:val="28"/>
          <w:szCs w:val="28"/>
        </w:rPr>
        <w:t xml:space="preserve">zákona č. 304/2009 Sb., zákona č. 326/2009 Sb., zákona č. 362/2009 Sb., </w:t>
      </w:r>
      <w:r>
        <w:rPr>
          <w:sz w:val="28"/>
          <w:szCs w:val="28"/>
        </w:rPr>
        <w:br/>
      </w:r>
      <w:r w:rsidRPr="00E536C7">
        <w:rPr>
          <w:sz w:val="28"/>
          <w:szCs w:val="28"/>
        </w:rPr>
        <w:t xml:space="preserve">zákona č. 199/2010 Sb., zákona č. 346/2010 Sb., zákona č. 348/2010 Sb., </w:t>
      </w:r>
      <w:r>
        <w:rPr>
          <w:sz w:val="28"/>
          <w:szCs w:val="28"/>
        </w:rPr>
        <w:br/>
      </w:r>
      <w:r w:rsidRPr="00E536C7">
        <w:rPr>
          <w:sz w:val="28"/>
          <w:szCs w:val="28"/>
        </w:rPr>
        <w:t xml:space="preserve">zákona č. 73/2011 Sb., nálezu Ústavního soudu, vyhlášeného pod č. 119/2011 Sb., zákona č. 188/2011 Sb., zákona č. 329/2011 Sb., zákona č. 353/2011 Sb., </w:t>
      </w:r>
      <w:r>
        <w:rPr>
          <w:sz w:val="28"/>
          <w:szCs w:val="28"/>
        </w:rPr>
        <w:br/>
      </w:r>
      <w:r w:rsidRPr="00E536C7">
        <w:rPr>
          <w:sz w:val="28"/>
          <w:szCs w:val="28"/>
        </w:rPr>
        <w:t xml:space="preserve">zákona č. 355/2011 Sb., zákona č. 370/2011 Sb., zákona č. 375/2011 Sb., </w:t>
      </w:r>
      <w:r>
        <w:rPr>
          <w:sz w:val="28"/>
          <w:szCs w:val="28"/>
        </w:rPr>
        <w:br/>
      </w:r>
      <w:r w:rsidRPr="00E536C7">
        <w:rPr>
          <w:sz w:val="28"/>
          <w:szCs w:val="28"/>
        </w:rPr>
        <w:t xml:space="preserve">zákona č. 420/2011 Sb., zákona č. 428/2011 Sb., zákona č. 458/2011 Sb., </w:t>
      </w:r>
      <w:r>
        <w:rPr>
          <w:sz w:val="28"/>
          <w:szCs w:val="28"/>
        </w:rPr>
        <w:br/>
      </w:r>
      <w:r w:rsidRPr="00E536C7">
        <w:rPr>
          <w:sz w:val="28"/>
          <w:szCs w:val="28"/>
        </w:rPr>
        <w:t xml:space="preserve">zákona č. 466/2011 Sb., zákona č. 470/2011 Sb., zákona č. 192/2012 Sb., </w:t>
      </w:r>
      <w:r>
        <w:rPr>
          <w:sz w:val="28"/>
          <w:szCs w:val="28"/>
        </w:rPr>
        <w:br/>
      </w:r>
      <w:r w:rsidRPr="00E536C7">
        <w:rPr>
          <w:sz w:val="28"/>
          <w:szCs w:val="28"/>
        </w:rPr>
        <w:t xml:space="preserve">zákona č. 399/2012 Sb., zákona č. 401/2012 Sb., zákona č. 403/2012 Sb., </w:t>
      </w:r>
      <w:r>
        <w:rPr>
          <w:sz w:val="28"/>
          <w:szCs w:val="28"/>
        </w:rPr>
        <w:br/>
      </w:r>
      <w:r w:rsidRPr="00E536C7">
        <w:rPr>
          <w:sz w:val="28"/>
          <w:szCs w:val="28"/>
        </w:rPr>
        <w:t xml:space="preserve">zákona č. 428/2012 Sb., zákona č. 500/2012 Sb., zákona č. 503/2012 - 2 - Sb., zákona č. 44/2013 Sb., zákona č. 80/2013 Sb., zákona č. 105/2013 Sb., </w:t>
      </w:r>
      <w:r>
        <w:rPr>
          <w:sz w:val="28"/>
          <w:szCs w:val="28"/>
        </w:rPr>
        <w:br/>
      </w:r>
      <w:r w:rsidRPr="00E536C7">
        <w:rPr>
          <w:sz w:val="28"/>
          <w:szCs w:val="28"/>
        </w:rPr>
        <w:t xml:space="preserve">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w:t>
      </w:r>
      <w:r>
        <w:rPr>
          <w:sz w:val="28"/>
          <w:szCs w:val="28"/>
        </w:rPr>
        <w:br/>
      </w:r>
      <w:r w:rsidRPr="00E536C7">
        <w:rPr>
          <w:sz w:val="28"/>
          <w:szCs w:val="28"/>
        </w:rPr>
        <w:t xml:space="preserve">zákona č. 47/2016 Sb., zákona č. 105/2016 Sb., zákona č. 113/2016 Sb., </w:t>
      </w:r>
      <w:r>
        <w:rPr>
          <w:sz w:val="28"/>
          <w:szCs w:val="28"/>
        </w:rPr>
        <w:br/>
      </w:r>
      <w:r w:rsidRPr="00E536C7">
        <w:rPr>
          <w:sz w:val="28"/>
          <w:szCs w:val="28"/>
        </w:rPr>
        <w:t xml:space="preserve">zákona č. 125/2016 Sb., zákona č. 148/2016 Sb., zákona č. 188/2016 Sb., </w:t>
      </w:r>
      <w:r>
        <w:rPr>
          <w:sz w:val="28"/>
          <w:szCs w:val="28"/>
        </w:rPr>
        <w:br/>
      </w:r>
      <w:r w:rsidRPr="00E536C7">
        <w:rPr>
          <w:sz w:val="28"/>
          <w:szCs w:val="28"/>
        </w:rPr>
        <w:t xml:space="preserve">nálezu Ústavního soudu, vyhlášeného pod č. 271/2016 Sb., zákona č. 321/2016 Sb., zákona č. 454/2016 Sb., zákona č. 170/2017 Sb., zákona č. 200/2017 Sb., zákona č. 225/2017 Sb., zákona č. 246/2017 Sb., zákona č. 254/2017 Sb., </w:t>
      </w:r>
      <w:r>
        <w:rPr>
          <w:sz w:val="28"/>
          <w:szCs w:val="28"/>
        </w:rPr>
        <w:br/>
      </w:r>
      <w:r w:rsidRPr="00E536C7">
        <w:rPr>
          <w:sz w:val="28"/>
          <w:szCs w:val="28"/>
        </w:rPr>
        <w:t>zákona č. 293</w:t>
      </w:r>
      <w:r>
        <w:rPr>
          <w:sz w:val="28"/>
          <w:szCs w:val="28"/>
        </w:rPr>
        <w:t xml:space="preserve">/2017 Sb. zákona č. 92/2018 Sb., zákona č.  174/2018 Sb., zákona č. 306/2018 Sb., zákona č. 80/2019 Sb., zákona č. 32/2019 Sb., zákona č. 80/2019 Sb. a zákona č. 364/2019 Sb., </w:t>
      </w:r>
      <w:r>
        <w:rPr>
          <w:b/>
          <w:bCs/>
          <w:sz w:val="28"/>
          <w:szCs w:val="28"/>
        </w:rPr>
        <w:t>s vyznačením</w:t>
      </w:r>
      <w:r w:rsidRPr="00764545">
        <w:rPr>
          <w:b/>
          <w:bCs/>
          <w:sz w:val="28"/>
          <w:szCs w:val="28"/>
        </w:rPr>
        <w:t xml:space="preserve"> navrhovaných změn:</w:t>
      </w:r>
    </w:p>
    <w:p w:rsidR="00801FAC" w:rsidRDefault="00801FAC" w:rsidP="00034B4F">
      <w:pPr>
        <w:pStyle w:val="Textlnku"/>
        <w:spacing w:before="0"/>
        <w:ind w:firstLine="0"/>
        <w:rPr>
          <w:b/>
          <w:bCs/>
          <w:sz w:val="28"/>
          <w:szCs w:val="28"/>
        </w:rPr>
      </w:pPr>
    </w:p>
    <w:p w:rsidR="00A913A0" w:rsidRPr="007C3D21" w:rsidRDefault="00A913A0" w:rsidP="00A913A0">
      <w:pPr>
        <w:pStyle w:val="l2"/>
        <w:spacing w:before="0" w:beforeAutospacing="0" w:after="0" w:afterAutospacing="0" w:line="276" w:lineRule="auto"/>
        <w:jc w:val="both"/>
        <w:rPr>
          <w:bCs/>
          <w:color w:val="000000" w:themeColor="text1"/>
          <w:sz w:val="28"/>
          <w:szCs w:val="28"/>
        </w:rPr>
      </w:pPr>
      <w:r w:rsidRPr="007C3D21">
        <w:rPr>
          <w:bCs/>
          <w:color w:val="000000" w:themeColor="text1"/>
          <w:sz w:val="28"/>
          <w:szCs w:val="28"/>
        </w:rPr>
        <w:t>§ 19</w:t>
      </w:r>
    </w:p>
    <w:p w:rsidR="00A913A0" w:rsidRPr="007C3D21" w:rsidRDefault="00A913A0" w:rsidP="00A913A0">
      <w:pPr>
        <w:pStyle w:val="Nadpis3"/>
        <w:spacing w:before="0" w:beforeAutospacing="0" w:after="0" w:afterAutospacing="0" w:line="276" w:lineRule="auto"/>
        <w:jc w:val="both"/>
        <w:rPr>
          <w:b w:val="0"/>
          <w:color w:val="000000" w:themeColor="text1"/>
          <w:sz w:val="28"/>
          <w:szCs w:val="28"/>
        </w:rPr>
      </w:pPr>
      <w:r w:rsidRPr="007C3D21">
        <w:rPr>
          <w:b w:val="0"/>
          <w:color w:val="000000" w:themeColor="text1"/>
          <w:sz w:val="28"/>
          <w:szCs w:val="28"/>
        </w:rPr>
        <w:t>Osvobození od daně</w:t>
      </w:r>
    </w:p>
    <w:p w:rsidR="00A913A0" w:rsidRPr="007C3D21" w:rsidRDefault="00A913A0" w:rsidP="00A913A0">
      <w:pPr>
        <w:pStyle w:val="l3"/>
        <w:spacing w:before="0" w:beforeAutospacing="0" w:after="0" w:afterAutospacing="0" w:line="276" w:lineRule="auto"/>
        <w:jc w:val="both"/>
        <w:rPr>
          <w:color w:val="000000" w:themeColor="text1"/>
          <w:sz w:val="28"/>
          <w:szCs w:val="28"/>
        </w:rPr>
      </w:pPr>
      <w:r w:rsidRPr="007C3D21">
        <w:rPr>
          <w:rStyle w:val="PromnnHTML"/>
          <w:rFonts w:eastAsia="Calibri"/>
          <w:bCs/>
          <w:i w:val="0"/>
          <w:iCs w:val="0"/>
          <w:color w:val="000000" w:themeColor="text1"/>
          <w:sz w:val="28"/>
          <w:szCs w:val="28"/>
        </w:rPr>
        <w:t>(1)</w:t>
      </w:r>
      <w:r w:rsidRPr="007C3D21">
        <w:rPr>
          <w:color w:val="000000" w:themeColor="text1"/>
          <w:sz w:val="28"/>
          <w:szCs w:val="28"/>
        </w:rPr>
        <w:t> Od daně jsou osvobozeny</w:t>
      </w:r>
    </w:p>
    <w:p w:rsidR="00A913A0" w:rsidRPr="007C3D21" w:rsidRDefault="00A913A0" w:rsidP="00A913A0">
      <w:pPr>
        <w:pStyle w:val="l4"/>
        <w:spacing w:before="0" w:beforeAutospacing="0" w:after="0" w:afterAutospacing="0" w:line="276" w:lineRule="auto"/>
        <w:jc w:val="both"/>
        <w:rPr>
          <w:color w:val="000000" w:themeColor="text1"/>
          <w:sz w:val="28"/>
          <w:szCs w:val="28"/>
        </w:rPr>
      </w:pPr>
      <w:r w:rsidRPr="007C3D21">
        <w:rPr>
          <w:rStyle w:val="PromnnHTML"/>
          <w:rFonts w:eastAsia="Calibri"/>
          <w:bCs/>
          <w:i w:val="0"/>
          <w:iCs w:val="0"/>
          <w:color w:val="000000" w:themeColor="text1"/>
          <w:sz w:val="28"/>
          <w:szCs w:val="28"/>
        </w:rPr>
        <w:t>a)</w:t>
      </w:r>
      <w:r w:rsidRPr="007C3D21">
        <w:rPr>
          <w:color w:val="000000" w:themeColor="text1"/>
          <w:sz w:val="28"/>
          <w:szCs w:val="28"/>
        </w:rPr>
        <w:t> členský příspěvek podle stanov, statutu, zřizovacích nebo zakladatelských listin, přijatý</w:t>
      </w:r>
    </w:p>
    <w:p w:rsidR="00A913A0" w:rsidRPr="007C3D21" w:rsidRDefault="00A913A0" w:rsidP="00A913A0">
      <w:pPr>
        <w:pStyle w:val="l5"/>
        <w:spacing w:before="0" w:beforeAutospacing="0" w:after="0" w:afterAutospacing="0" w:line="276" w:lineRule="auto"/>
        <w:jc w:val="both"/>
        <w:rPr>
          <w:color w:val="000000" w:themeColor="text1"/>
          <w:sz w:val="28"/>
          <w:szCs w:val="28"/>
        </w:rPr>
      </w:pPr>
      <w:r w:rsidRPr="007C3D21">
        <w:rPr>
          <w:rStyle w:val="PromnnHTML"/>
          <w:rFonts w:eastAsia="Calibri"/>
          <w:bCs/>
          <w:i w:val="0"/>
          <w:iCs w:val="0"/>
          <w:color w:val="000000" w:themeColor="text1"/>
          <w:sz w:val="28"/>
          <w:szCs w:val="28"/>
        </w:rPr>
        <w:t>1.</w:t>
      </w:r>
      <w:r w:rsidRPr="007C3D21">
        <w:rPr>
          <w:color w:val="000000" w:themeColor="text1"/>
          <w:sz w:val="28"/>
          <w:szCs w:val="28"/>
        </w:rPr>
        <w:t> zájmovým sdružením právnických osob, u něhož členství není nutnou podmínkou k provozování předmětu podnikání nebo výkonu činnosti,</w:t>
      </w:r>
    </w:p>
    <w:p w:rsidR="00A913A0" w:rsidRPr="007C3D21" w:rsidRDefault="00A913A0" w:rsidP="00A913A0">
      <w:pPr>
        <w:pStyle w:val="l5"/>
        <w:spacing w:before="0" w:beforeAutospacing="0" w:after="0" w:afterAutospacing="0" w:line="276" w:lineRule="auto"/>
        <w:jc w:val="both"/>
        <w:rPr>
          <w:color w:val="000000" w:themeColor="text1"/>
          <w:sz w:val="28"/>
          <w:szCs w:val="28"/>
        </w:rPr>
      </w:pPr>
      <w:r w:rsidRPr="007C3D21">
        <w:rPr>
          <w:rStyle w:val="PromnnHTML"/>
          <w:rFonts w:eastAsia="Calibri"/>
          <w:bCs/>
          <w:i w:val="0"/>
          <w:iCs w:val="0"/>
          <w:color w:val="000000" w:themeColor="text1"/>
          <w:sz w:val="28"/>
          <w:szCs w:val="28"/>
        </w:rPr>
        <w:t>2.</w:t>
      </w:r>
      <w:r w:rsidRPr="007C3D21">
        <w:rPr>
          <w:color w:val="000000" w:themeColor="text1"/>
          <w:sz w:val="28"/>
          <w:szCs w:val="28"/>
        </w:rPr>
        <w:t> spolkem, který není organizací zaměstnavatelů, nebo evropskou politickou nadací,</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lastRenderedPageBreak/>
        <w:t>3.</w:t>
      </w:r>
      <w:r w:rsidRPr="007C3D21">
        <w:rPr>
          <w:color w:val="000000"/>
          <w:sz w:val="28"/>
          <w:szCs w:val="28"/>
        </w:rPr>
        <w:t> odborovou organizací,</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4.</w:t>
      </w:r>
      <w:r w:rsidRPr="007C3D21">
        <w:rPr>
          <w:color w:val="000000"/>
          <w:sz w:val="28"/>
          <w:szCs w:val="28"/>
        </w:rPr>
        <w:t> politickou stranou, politickým hnutím nebo evropskou politickou stranou, nebo</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5.</w:t>
      </w:r>
      <w:r w:rsidRPr="007C3D21">
        <w:rPr>
          <w:color w:val="000000"/>
          <w:sz w:val="28"/>
          <w:szCs w:val="28"/>
        </w:rPr>
        <w:t> profesní komorou s nepovinným členstvím s výjimkou Hospodářské komory České republiky a Agrární komory České republiky,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b)</w:t>
      </w:r>
      <w:r w:rsidRPr="007C3D21">
        <w:rPr>
          <w:color w:val="000000"/>
          <w:sz w:val="28"/>
          <w:szCs w:val="28"/>
        </w:rPr>
        <w:t> výnosy kostelních sbírek, příjmy za církevní úkony a příspěvky členů registrovaných církví a náboženských společností,</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c)</w:t>
      </w:r>
      <w:r w:rsidRPr="007C3D21">
        <w:rPr>
          <w:color w:val="000000"/>
          <w:sz w:val="28"/>
          <w:szCs w:val="28"/>
        </w:rPr>
        <w:t> příjem z nájemného družstevního bytu nebo družstevního nebytového prostoru a z úhrady za plnění poskytované s užíváním tohoto bytu nebo nebytového prostoru plynoucí na základě nájemní smlouvy mezi bytovým družstvem a jeho členem; obdobně to platí pro společnost s ručením omezeným a jejího společníka a pro spolek a jeho člena,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d)</w:t>
      </w:r>
      <w:r w:rsidRPr="007C3D21">
        <w:rPr>
          <w:color w:val="000000"/>
          <w:sz w:val="28"/>
          <w:szCs w:val="28"/>
        </w:rPr>
        <w:t> příjmy, z nichž je daň vybírána srážkou podle zvláštní sazby daně, plynoucí</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fondu penzijní společnosti,</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instituci penzijního pojištění, která je skutečným vlastníkem zdaňovaných příjmů podle odstavce 6, s výjimkou penzijní společnosti nebo obdobné společnosti obhospodařující fondy obdobné fondům penzijního pojištění,</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e)</w:t>
      </w:r>
      <w:r w:rsidRPr="007C3D21">
        <w:rPr>
          <w:color w:val="000000"/>
          <w:sz w:val="28"/>
          <w:szCs w:val="28"/>
        </w:rPr>
        <w:t> příjmy státních fondů stanovené zvláštními předpisy,</w:t>
      </w:r>
      <w:hyperlink r:id="rId8" w:anchor="f1462691" w:history="1">
        <w:r w:rsidRPr="007C3D21">
          <w:rPr>
            <w:rStyle w:val="Hypertextovodkaz"/>
            <w:bCs/>
            <w:color w:val="15679C"/>
            <w:sz w:val="28"/>
            <w:szCs w:val="28"/>
            <w:vertAlign w:val="superscript"/>
          </w:rPr>
          <w:t>19</w:t>
        </w:r>
        <w:r w:rsidRPr="007C3D21">
          <w:rPr>
            <w:rStyle w:val="Hypertextovodkaz"/>
            <w:bCs/>
            <w:color w:val="15679C"/>
            <w:sz w:val="28"/>
            <w:szCs w:val="28"/>
          </w:rPr>
          <w:t>)</w:t>
        </w:r>
      </w:hyperlink>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f)</w:t>
      </w:r>
      <w:r w:rsidRPr="007C3D21">
        <w:rPr>
          <w:color w:val="000000"/>
          <w:sz w:val="28"/>
          <w:szCs w:val="28"/>
        </w:rPr>
        <w:t> příjem České národní banky, příjem Garančního systému finančního trhu a příjem fondu ve správě Garančního systému finančního trhu podle zákona upravujícího ozdravné postupy a řešení krize na finančním trhu,</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g)</w:t>
      </w:r>
      <w:r w:rsidRPr="007C3D21">
        <w:rPr>
          <w:color w:val="000000"/>
          <w:sz w:val="28"/>
          <w:szCs w:val="28"/>
        </w:rPr>
        <w:t> výnos z operací na finančním trhu s prostředky zvláštního účtu rezervy důchodového pojištění podle rozpočtových pravidel,</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h)</w:t>
      </w:r>
      <w:r w:rsidRPr="007C3D21">
        <w:rPr>
          <w:color w:val="000000"/>
          <w:sz w:val="28"/>
          <w:szCs w:val="28"/>
        </w:rPr>
        <w:t> příjmy plynoucí z odpisu dluhů při oddlužení nebo reorganizaci provedené podle zvláštního právního předpisu</w:t>
      </w:r>
      <w:hyperlink r:id="rId9" w:anchor="f1462692" w:history="1">
        <w:r w:rsidRPr="007C3D21">
          <w:rPr>
            <w:rStyle w:val="Hypertextovodkaz"/>
            <w:bCs/>
            <w:color w:val="15679C"/>
            <w:sz w:val="28"/>
            <w:szCs w:val="28"/>
            <w:vertAlign w:val="superscript"/>
          </w:rPr>
          <w:t>19a</w:t>
        </w:r>
        <w:r w:rsidRPr="007C3D21">
          <w:rPr>
            <w:rStyle w:val="Hypertextovodkaz"/>
            <w:bCs/>
            <w:color w:val="15679C"/>
            <w:sz w:val="28"/>
            <w:szCs w:val="28"/>
          </w:rPr>
          <w:t>)</w:t>
        </w:r>
      </w:hyperlink>
      <w:r w:rsidRPr="007C3D21">
        <w:rPr>
          <w:color w:val="000000"/>
          <w:sz w:val="28"/>
          <w:szCs w:val="28"/>
        </w:rPr>
        <w:t>, pokud jsou podle zvláštního právního předpisu</w:t>
      </w:r>
      <w:r w:rsidRPr="007C3D21">
        <w:rPr>
          <w:color w:val="000000"/>
          <w:sz w:val="28"/>
          <w:szCs w:val="28"/>
          <w:vertAlign w:val="superscript"/>
        </w:rPr>
        <w:t>20</w:t>
      </w:r>
      <w:r w:rsidRPr="007C3D21">
        <w:rPr>
          <w:color w:val="000000"/>
          <w:sz w:val="28"/>
          <w:szCs w:val="28"/>
        </w:rPr>
        <w:t>) zaúčtovány ve prospěch výnosů,</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i)</w:t>
      </w:r>
      <w:r w:rsidRPr="007C3D21">
        <w:rPr>
          <w:color w:val="000000"/>
          <w:sz w:val="28"/>
          <w:szCs w:val="28"/>
        </w:rPr>
        <w:t> úrokové příjmy poplatníků uvedených v § 17 odst. 4, které jim plynou z dluhopisů vydávaných v zahraničí poplatníky se sídlem v České republice nebo Českou republikou,</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j)</w:t>
      </w:r>
      <w:r w:rsidRPr="007C3D21">
        <w:rPr>
          <w:color w:val="000000"/>
          <w:sz w:val="28"/>
          <w:szCs w:val="28"/>
        </w:rPr>
        <w:t> příjmy Podpůrného a garančního rolnického a lesnického fondu, a. s., plynoucí z prodeje cenných papírů v majetku fondu.</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k)</w:t>
      </w:r>
      <w:r w:rsidRPr="007C3D21">
        <w:rPr>
          <w:color w:val="000000"/>
          <w:sz w:val="28"/>
          <w:szCs w:val="28"/>
        </w:rPr>
        <w:t> podíly na zisku tichého společníka z účasti na podnikání, pokud jsou použity k doplnění vkladu sníženého o podíly na ztrátách do původní výše,</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l)</w:t>
      </w:r>
      <w:r w:rsidRPr="007C3D21">
        <w:rPr>
          <w:color w:val="000000"/>
          <w:sz w:val="28"/>
          <w:szCs w:val="28"/>
        </w:rPr>
        <w:t> příjmy plynoucí v souvislosti s privatizovaným majetkem, které jsou vedeny Ministerstvem financí na zvláštních účtech podle zvláštního právního předpisu</w:t>
      </w:r>
      <w:hyperlink r:id="rId10" w:anchor="f1462951" w:history="1">
        <w:r w:rsidRPr="007C3D21">
          <w:rPr>
            <w:rStyle w:val="Hypertextovodkaz"/>
            <w:bCs/>
            <w:color w:val="15679C"/>
            <w:sz w:val="28"/>
            <w:szCs w:val="28"/>
            <w:vertAlign w:val="superscript"/>
          </w:rPr>
          <w:t>125</w:t>
        </w:r>
        <w:r w:rsidRPr="007C3D21">
          <w:rPr>
            <w:rStyle w:val="Hypertextovodkaz"/>
            <w:bCs/>
            <w:color w:val="15679C"/>
            <w:sz w:val="28"/>
            <w:szCs w:val="28"/>
          </w:rPr>
          <w:t>)</w:t>
        </w:r>
      </w:hyperlink>
      <w:r w:rsidRPr="007C3D21">
        <w:rPr>
          <w:color w:val="000000"/>
          <w:sz w:val="28"/>
          <w:szCs w:val="28"/>
        </w:rPr>
        <w:t xml:space="preserve"> a příjmy plynoucí z nakládání s prostředky těchto zvláštních účtů na finančním trhu, a dále příjmy plynoucí z práv, která přešla ze zaniklé České konsolidační agentury na stát podle zvláštního právního předpisu, a příjmy </w:t>
      </w:r>
      <w:r w:rsidRPr="007C3D21">
        <w:rPr>
          <w:color w:val="000000"/>
          <w:sz w:val="28"/>
          <w:szCs w:val="28"/>
        </w:rPr>
        <w:lastRenderedPageBreak/>
        <w:t>plynoucí z práv, která přešla ze zaniklé České inkasní, s.r.o., nebo ze zrušeného Zajišťovacího fondu družstevních záložen na stát,</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m)</w:t>
      </w:r>
      <w:r w:rsidRPr="007C3D21">
        <w:rPr>
          <w:color w:val="000000"/>
          <w:sz w:val="28"/>
          <w:szCs w:val="28"/>
        </w:rPr>
        <w:t> příjem Garančního fondu obchodníků s cennými papíry,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n)</w:t>
      </w:r>
      <w:r w:rsidRPr="007C3D21">
        <w:rPr>
          <w:color w:val="000000"/>
          <w:sz w:val="28"/>
          <w:szCs w:val="28"/>
        </w:rPr>
        <w:t> příjmy z úroků z přeplatků zaviněných správcem daně</w:t>
      </w:r>
      <w:hyperlink r:id="rId11" w:anchor="f1462845" w:history="1">
        <w:r w:rsidRPr="007C3D21">
          <w:rPr>
            <w:rStyle w:val="Hypertextovodkaz"/>
            <w:bCs/>
            <w:color w:val="15679C"/>
            <w:sz w:val="28"/>
            <w:szCs w:val="28"/>
            <w:vertAlign w:val="superscript"/>
          </w:rPr>
          <w:t>49</w:t>
        </w:r>
        <w:r w:rsidRPr="007C3D21">
          <w:rPr>
            <w:rStyle w:val="Hypertextovodkaz"/>
            <w:bCs/>
            <w:color w:val="15679C"/>
            <w:sz w:val="28"/>
            <w:szCs w:val="28"/>
          </w:rPr>
          <w:t>)</w:t>
        </w:r>
      </w:hyperlink>
      <w:r w:rsidRPr="007C3D21">
        <w:rPr>
          <w:color w:val="000000"/>
          <w:sz w:val="28"/>
          <w:szCs w:val="28"/>
        </w:rPr>
        <w:t> a z úroků z přeplatků zaviněných orgánem sociálního zabezpečení,</w:t>
      </w:r>
      <w:hyperlink r:id="rId12" w:anchor="f1462846" w:history="1">
        <w:r w:rsidRPr="007C3D21">
          <w:rPr>
            <w:rStyle w:val="Hypertextovodkaz"/>
            <w:bCs/>
            <w:color w:val="15679C"/>
            <w:sz w:val="28"/>
            <w:szCs w:val="28"/>
            <w:vertAlign w:val="superscript"/>
          </w:rPr>
          <w:t>50</w:t>
        </w:r>
        <w:r w:rsidRPr="007C3D21">
          <w:rPr>
            <w:rStyle w:val="Hypertextovodkaz"/>
            <w:bCs/>
            <w:color w:val="15679C"/>
            <w:sz w:val="28"/>
            <w:szCs w:val="28"/>
          </w:rPr>
          <w:t>)</w:t>
        </w:r>
      </w:hyperlink>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o)</w:t>
      </w:r>
      <w:r w:rsidRPr="007C3D21">
        <w:rPr>
          <w:color w:val="000000"/>
          <w:sz w:val="28"/>
          <w:szCs w:val="28"/>
        </w:rPr>
        <w:t> příjem Zajišťovacího fondu,</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p)</w:t>
      </w:r>
      <w:r w:rsidRPr="007C3D21">
        <w:rPr>
          <w:color w:val="000000"/>
          <w:sz w:val="28"/>
          <w:szCs w:val="28"/>
        </w:rPr>
        <w:t> výnos z operací s prostředky jaderného účtu na finančním trhu podle atomového zákona,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r)</w:t>
      </w:r>
      <w:r w:rsidRPr="007C3D21">
        <w:rPr>
          <w:color w:val="000000"/>
          <w:sz w:val="28"/>
          <w:szCs w:val="28"/>
        </w:rPr>
        <w:t> výnos nadace, která je veřejně prospěšným poplatníkem, z majetku vloženého do nadační jistiny a příjem z jeho prodeje, pokud tento příjem slouží jen k účelu, ke kterému byla nadace zřízena, a pokud se nejedná o příjem, který byl nadací použit v rozporu se zákonem,</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s)</w:t>
      </w:r>
      <w:r w:rsidRPr="007C3D21">
        <w:rPr>
          <w:color w:val="000000"/>
          <w:sz w:val="28"/>
          <w:szCs w:val="28"/>
        </w:rPr>
        <w:t> příspěvky do fondu zábrany škod České kanceláře pojistitelů,</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t)</w:t>
      </w:r>
      <w:r w:rsidRPr="007C3D21">
        <w:rPr>
          <w:color w:val="000000"/>
          <w:sz w:val="28"/>
          <w:szCs w:val="28"/>
        </w:rPr>
        <w:t> příjmy z úroků plynoucí zdravotní pojišťovně zřízené zvláštním právním předpisem nebo podle zvláštního právního předpisu</w:t>
      </w:r>
      <w:hyperlink r:id="rId13" w:anchor="f1462669" w:history="1">
        <w:r w:rsidRPr="007C3D21">
          <w:rPr>
            <w:rStyle w:val="Hypertextovodkaz"/>
            <w:bCs/>
            <w:color w:val="15679C"/>
            <w:sz w:val="28"/>
            <w:szCs w:val="28"/>
            <w:vertAlign w:val="superscript"/>
          </w:rPr>
          <w:t>17e</w:t>
        </w:r>
        <w:r w:rsidRPr="007C3D21">
          <w:rPr>
            <w:rStyle w:val="Hypertextovodkaz"/>
            <w:bCs/>
            <w:color w:val="15679C"/>
            <w:sz w:val="28"/>
            <w:szCs w:val="28"/>
          </w:rPr>
          <w:t>)</w:t>
        </w:r>
      </w:hyperlink>
      <w:r w:rsidRPr="007C3D21">
        <w:rPr>
          <w:color w:val="000000"/>
          <w:sz w:val="28"/>
          <w:szCs w:val="28"/>
        </w:rPr>
        <w:t> z vkladů u bank, pokud jsou vložené prostředky získány ze zdrojů veřejného zdravotního pojištění,</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u)</w:t>
      </w:r>
      <w:r w:rsidRPr="007C3D21">
        <w:rPr>
          <w:color w:val="000000"/>
          <w:sz w:val="28"/>
          <w:szCs w:val="28"/>
        </w:rPr>
        <w:t> příjmy regionální rady regionu soudržnosti stanovené zvláštním právním předpisem</w:t>
      </w:r>
      <w:hyperlink r:id="rId14" w:anchor="f1462950" w:history="1">
        <w:r w:rsidRPr="007C3D21">
          <w:rPr>
            <w:rStyle w:val="Hypertextovodkaz"/>
            <w:bCs/>
            <w:color w:val="15679C"/>
            <w:sz w:val="28"/>
            <w:szCs w:val="28"/>
            <w:vertAlign w:val="superscript"/>
          </w:rPr>
          <w:t>124</w:t>
        </w:r>
        <w:r w:rsidRPr="007C3D21">
          <w:rPr>
            <w:rStyle w:val="Hypertextovodkaz"/>
            <w:bCs/>
            <w:color w:val="15679C"/>
            <w:sz w:val="28"/>
            <w:szCs w:val="28"/>
          </w:rPr>
          <w:t>)</w:t>
        </w:r>
      </w:hyperlink>
      <w:r w:rsidRPr="007C3D21">
        <w:rPr>
          <w:color w:val="000000"/>
          <w:sz w:val="28"/>
          <w:szCs w:val="28"/>
        </w:rPr>
        <w:t>,</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v)</w:t>
      </w:r>
      <w:r w:rsidRPr="007C3D21">
        <w:rPr>
          <w:color w:val="000000"/>
          <w:sz w:val="28"/>
          <w:szCs w:val="28"/>
        </w:rPr>
        <w:t> příjmy fondu Energetického regulačního úřadu z příspěvku na úhradu prokazatelné ztráty držitele licence plnícího povinnost dodávky nad rámec licence,</w:t>
      </w:r>
      <w:hyperlink r:id="rId15" w:anchor="f1462903" w:history="1">
        <w:r w:rsidRPr="007C3D21">
          <w:rPr>
            <w:rStyle w:val="Hypertextovodkaz"/>
            <w:bCs/>
            <w:color w:val="15679C"/>
            <w:sz w:val="28"/>
            <w:szCs w:val="28"/>
            <w:vertAlign w:val="superscript"/>
          </w:rPr>
          <w:t>85</w:t>
        </w:r>
        <w:r w:rsidRPr="007C3D21">
          <w:rPr>
            <w:rStyle w:val="Hypertextovodkaz"/>
            <w:bCs/>
            <w:color w:val="15679C"/>
            <w:sz w:val="28"/>
            <w:szCs w:val="28"/>
          </w:rPr>
          <w:t>)</w:t>
        </w:r>
      </w:hyperlink>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w)</w:t>
      </w:r>
      <w:r w:rsidRPr="007C3D21">
        <w:rPr>
          <w:color w:val="000000"/>
          <w:sz w:val="28"/>
          <w:szCs w:val="28"/>
        </w:rPr>
        <w:t> úrokové příjmy Česko-německého fondu budoucnosti,</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x)</w:t>
      </w:r>
      <w:r w:rsidRPr="007C3D21">
        <w:rPr>
          <w:color w:val="000000"/>
          <w:sz w:val="28"/>
          <w:szCs w:val="28"/>
        </w:rPr>
        <w:t> úrokové příjmy plynoucí orgánu státní správy, samosprávy a subjektu pověřenému Ministerstvem financí zabezpečováním realizace programů pomoci Evropských společenství, a to z vkladu na vkladovém účtu zřízeném pro uložení prostředků poskytnutých České republice Evropskými společenstvími, a dále úrokové příjmy plynoucí orgánu státní správy a samosprávy z vkladu na vkladovém účtu zřízeném pro uložení prostředků poskytnutých České republice Světovou bankou, Evropskou bankou pro obnovu a rozvoj a Evropskou investiční bankou,</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y)</w:t>
      </w:r>
      <w:r w:rsidRPr="007C3D21">
        <w:rPr>
          <w:color w:val="000000"/>
          <w:sz w:val="28"/>
          <w:szCs w:val="28"/>
        </w:rPr>
        <w:t> úrokové příjmy plynoucí z prostředků veřejné sbírky</w:t>
      </w:r>
      <w:hyperlink r:id="rId16" w:anchor="f1462654" w:history="1">
        <w:r w:rsidRPr="007C3D21">
          <w:rPr>
            <w:rStyle w:val="Hypertextovodkaz"/>
            <w:bCs/>
            <w:color w:val="15679C"/>
            <w:sz w:val="28"/>
            <w:szCs w:val="28"/>
            <w:vertAlign w:val="superscript"/>
          </w:rPr>
          <w:t>14e</w:t>
        </w:r>
        <w:r w:rsidRPr="007C3D21">
          <w:rPr>
            <w:rStyle w:val="Hypertextovodkaz"/>
            <w:bCs/>
            <w:color w:val="15679C"/>
            <w:sz w:val="28"/>
            <w:szCs w:val="28"/>
          </w:rPr>
          <w:t>)</w:t>
        </w:r>
      </w:hyperlink>
      <w:r w:rsidRPr="007C3D21">
        <w:rPr>
          <w:color w:val="000000"/>
          <w:sz w:val="28"/>
          <w:szCs w:val="28"/>
        </w:rPr>
        <w:t> pořádané k účelům vymezeným v § 15 odst. 1 a § 20 odst. 8,</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w:t>
      </w:r>
      <w:r w:rsidRPr="007C3D21">
        <w:rPr>
          <w:color w:val="000000"/>
          <w:sz w:val="28"/>
          <w:szCs w:val="28"/>
        </w:rPr>
        <w:t> příjem Vinařského fondu stanovený zákonem upravujícím vinohradnictví a vinařství,</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za)</w:t>
      </w:r>
      <w:r w:rsidRPr="007C3D21">
        <w:rPr>
          <w:color w:val="000000"/>
          <w:sz w:val="28"/>
          <w:szCs w:val="28"/>
        </w:rPr>
        <w:t> příjem z podpory od Vinařského fondu,</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zb)</w:t>
      </w:r>
      <w:r w:rsidRPr="007C3D21">
        <w:rPr>
          <w:color w:val="000000"/>
          <w:sz w:val="28"/>
          <w:szCs w:val="28"/>
        </w:rPr>
        <w:t> příjmy plynoucí v souvislosti s výkonem dobrovolnické služby poskytované podle zvláštního právního předpisu,</w:t>
      </w:r>
      <w:hyperlink r:id="rId17" w:anchor="f1462597" w:history="1">
        <w:r w:rsidRPr="007C3D21">
          <w:rPr>
            <w:rStyle w:val="Hypertextovodkaz"/>
            <w:bCs/>
            <w:color w:val="15679C"/>
            <w:sz w:val="28"/>
            <w:szCs w:val="28"/>
            <w:vertAlign w:val="superscript"/>
          </w:rPr>
          <w:t>4h</w:t>
        </w:r>
        <w:r w:rsidRPr="007C3D21">
          <w:rPr>
            <w:rStyle w:val="Hypertextovodkaz"/>
            <w:bCs/>
            <w:color w:val="15679C"/>
            <w:sz w:val="28"/>
            <w:szCs w:val="28"/>
          </w:rPr>
          <w:t>)</w:t>
        </w:r>
      </w:hyperlink>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lastRenderedPageBreak/>
        <w:t>zc)</w:t>
      </w:r>
      <w:r w:rsidRPr="007C3D21">
        <w:rPr>
          <w:color w:val="000000"/>
          <w:sz w:val="28"/>
          <w:szCs w:val="28"/>
        </w:rPr>
        <w:t> příspěvky výrobců nebo provozovatelů solárních elektráren podle zákona upravujícího odpady plynoucí provozovatelům kolektivního systému zajišťujícího zpětný odběr, zpracování, využití a odstranění elektrozařízení nebo oddělený sběr, zpracování, využití a odstranění elektroodpadu, pokud jsou zaregistrováni podle zákona upravujícího odpady; osvobození lze uplatnit za předpokladu použití příspěvků pouze na zpracování elektroodpadů a odpadu ze solárních panelů a nezbytných nákladů souvisejících s tímto účelem s výjimkou nákladů na zřízení sběrného místa provozovatele solární elektrárny,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zd)</w:t>
      </w:r>
      <w:r w:rsidRPr="007C3D21">
        <w:rPr>
          <w:color w:val="000000"/>
          <w:sz w:val="28"/>
          <w:szCs w:val="28"/>
        </w:rPr>
        <w:t> ocenění v oblasti kultury podle zvláštních právních předpisů</w:t>
      </w:r>
      <w:hyperlink r:id="rId18" w:anchor="f1462642" w:history="1">
        <w:r w:rsidRPr="007C3D21">
          <w:rPr>
            <w:rStyle w:val="Hypertextovodkaz"/>
            <w:bCs/>
            <w:color w:val="15679C"/>
            <w:sz w:val="28"/>
            <w:szCs w:val="28"/>
            <w:vertAlign w:val="superscript"/>
          </w:rPr>
          <w:t>12a</w:t>
        </w:r>
        <w:r w:rsidRPr="007C3D21">
          <w:rPr>
            <w:rStyle w:val="Hypertextovodkaz"/>
            <w:bCs/>
            <w:color w:val="15679C"/>
            <w:sz w:val="28"/>
            <w:szCs w:val="28"/>
          </w:rPr>
          <w:t>)</w:t>
        </w:r>
      </w:hyperlink>
      <w:r w:rsidRPr="007C3D21">
        <w:rPr>
          <w:color w:val="000000"/>
          <w:sz w:val="28"/>
          <w:szCs w:val="28"/>
        </w:rPr>
        <w:t>,</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ze)</w:t>
      </w:r>
      <w:r w:rsidRPr="007C3D21">
        <w:rPr>
          <w:color w:val="000000"/>
          <w:sz w:val="28"/>
          <w:szCs w:val="28"/>
        </w:rPr>
        <w:t> příjmy z</w:t>
      </w:r>
    </w:p>
    <w:p w:rsidR="00A913A0" w:rsidRPr="007C3D21" w:rsidRDefault="00A913A0" w:rsidP="00A913A0">
      <w:pPr>
        <w:pStyle w:val="l5"/>
        <w:spacing w:before="0" w:beforeAutospacing="0" w:after="0" w:afterAutospacing="0" w:line="276" w:lineRule="auto"/>
        <w:jc w:val="both"/>
        <w:rPr>
          <w:b/>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podílu na zisku, vyplácené dceřinou společností, která je poplatníkem uvedeným v § 17 odst. 3, mateřské společnosti</w:t>
      </w:r>
      <w:r w:rsidR="007C3D21">
        <w:rPr>
          <w:color w:val="000000"/>
          <w:sz w:val="28"/>
          <w:szCs w:val="28"/>
        </w:rPr>
        <w:t xml:space="preserve">, </w:t>
      </w:r>
      <w:r w:rsidR="007C3D21" w:rsidRPr="007C3D21">
        <w:rPr>
          <w:b/>
          <w:color w:val="000000"/>
          <w:sz w:val="28"/>
          <w:szCs w:val="28"/>
        </w:rPr>
        <w:t>pokud je mateřská společnost daňovým rezidentem České republiky,</w:t>
      </w:r>
      <w:bookmarkStart w:id="0" w:name="_GoBack"/>
      <w:bookmarkEnd w:id="0"/>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převodu podílu mateřské společnosti v dceřiné společnosti plynoucí poplatníkovi uvedenému v § 17 odst. 3 nebo společnosti, která je daňovým rezidentem jiného členského státu Evropské unie než České republiky,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zf)</w:t>
      </w:r>
      <w:r w:rsidRPr="007C3D21">
        <w:rPr>
          <w:color w:val="000000"/>
          <w:sz w:val="28"/>
          <w:szCs w:val="28"/>
        </w:rPr>
        <w:t> příjmy mateřské společnosti při snížení základního kapitálu dceřiné společnosti, a to nejvýše do částky, o kterou byl zvýšen vklad společníka nebo jmenovitá hodnota akcie při zvýšení základního kapitálu z vlastních zdrojů společnosti podle zvláštního právního předpisu, byl-li zdrojem tohoto zvýšení zisk společnosti nebo fond vytvořený ze zisku; obdobně se postupuje u příjmů mateřské společnosti z rozpuštění rezervního fondu nebo obdobného fondu dceřiné společnosti,</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zg)</w:t>
      </w:r>
      <w:r w:rsidRPr="007C3D21">
        <w:rPr>
          <w:color w:val="000000"/>
          <w:sz w:val="28"/>
          <w:szCs w:val="28"/>
        </w:rPr>
        <w:t> příjem plynoucí jako náhrada za služebnost vzniklou ze zákona nebo rozhodnutím státního orgánu podle jiných právních předpisů a příjem plynoucí jako náhrada za vyvlastnění na základě jiných právních předpisů,</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zh)</w:t>
      </w:r>
      <w:r w:rsidRPr="007C3D21">
        <w:rPr>
          <w:color w:val="000000"/>
          <w:sz w:val="28"/>
          <w:szCs w:val="28"/>
        </w:rPr>
        <w:t> příjem České republiky z operací řízení likvidity státní pokladny a řízení státního dluhu podle zákona upravujícího rozpočtová pravidla,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zi)</w:t>
      </w:r>
      <w:r w:rsidRPr="007C3D21">
        <w:rPr>
          <w:color w:val="000000"/>
          <w:sz w:val="28"/>
          <w:szCs w:val="28"/>
        </w:rPr>
        <w:t> příjmy z podílu na zisku, plynoucí od dceřiné společnosti, která je daňovým rezidentem jiného členského státu Evropské unie než České republiky, mateřské společnosti, která je poplatníkem uvedeným v § 17 odst. 3, a stálé provozovně mateřské společnosti, která je poplatníkem uvedeným v § 17 odst. 4 a je umístěna na území České republiky; toto se nevztahuje na podíly na likvidačním zůstatku, vypořádací podíly, podíly na zisku vyplácené dceřinou společností, která je v likvidaci, a na podíly na zisku, pokud má dceřiná společnost možnost snížit o ně základ daně,</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lastRenderedPageBreak/>
        <w:t>zj)</w:t>
      </w:r>
      <w:r w:rsidRPr="007C3D21">
        <w:rPr>
          <w:color w:val="000000"/>
          <w:sz w:val="28"/>
          <w:szCs w:val="28"/>
        </w:rPr>
        <w:t> licenční poplatky plynoucí obchodní korporaci, která je daňovým rezidentem jiného členského státu Evropské unie než České republiky, od</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obchodní korporace, která je daňovým rezidentem České republiky, nebo</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stálé provozovny obchodní korporace, která je daňovým rezidentem jiného členského státu Evropské unie než České republiky, na území České republiky,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zk)</w:t>
      </w:r>
      <w:r w:rsidRPr="007C3D21">
        <w:rPr>
          <w:color w:val="000000"/>
          <w:sz w:val="28"/>
          <w:szCs w:val="28"/>
        </w:rPr>
        <w:t> úrok z úvěrového finančního nástroje plynoucí obchodní korporaci, která je daňovým rezidentem jiného členského státu Evropské unie než České republiky, od obchodní korporace, která je daňovým rezidentem České republiky, nebo od stálé provozovny obchodní korporace, která je daňovým rezidentem jiného členského státu Evropské unie než České republiky, umístěné na území České republiky; úvěrovým finančním nástrojem se pro účely tohoto zákona rozumí závazkový právní vztah, jehož předmětem je vrácení přenechaných nebo poskytnutých peněžních prostředků; úvěrovým finančním nástrojem je vždy</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úvěr,</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zápůjčka,</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3.</w:t>
      </w:r>
      <w:r w:rsidRPr="007C3D21">
        <w:rPr>
          <w:color w:val="000000"/>
          <w:sz w:val="28"/>
          <w:szCs w:val="28"/>
        </w:rPr>
        <w:t> dluhopis,</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4.</w:t>
      </w:r>
      <w:r w:rsidRPr="007C3D21">
        <w:rPr>
          <w:color w:val="000000"/>
          <w:sz w:val="28"/>
          <w:szCs w:val="28"/>
        </w:rPr>
        <w:t> vkladní list, vkladový certifikát a vklad jim na roveň postavený a</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5.</w:t>
      </w:r>
      <w:r w:rsidRPr="007C3D21">
        <w:rPr>
          <w:color w:val="000000"/>
          <w:sz w:val="28"/>
          <w:szCs w:val="28"/>
        </w:rPr>
        <w:t> směnka, jejímž vydáním získává směnečný dlužník peněžní prostředky.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zl)</w:t>
      </w:r>
      <w:r w:rsidRPr="007C3D21">
        <w:rPr>
          <w:color w:val="000000"/>
          <w:sz w:val="28"/>
          <w:szCs w:val="28"/>
        </w:rPr>
        <w:t> výnosy z prostředků rezerv uložených na zvláštním vázaném účtu v bance podle zvláštního právního předpisu</w:t>
      </w:r>
      <w:hyperlink r:id="rId19" w:anchor="f1462718" w:history="1">
        <w:r w:rsidRPr="007C3D21">
          <w:rPr>
            <w:rStyle w:val="Hypertextovodkaz"/>
            <w:bCs/>
            <w:color w:val="15679C"/>
            <w:sz w:val="28"/>
            <w:szCs w:val="28"/>
            <w:vertAlign w:val="superscript"/>
          </w:rPr>
          <w:t>22a</w:t>
        </w:r>
        <w:r w:rsidRPr="007C3D21">
          <w:rPr>
            <w:rStyle w:val="Hypertextovodkaz"/>
            <w:bCs/>
            <w:color w:val="15679C"/>
            <w:sz w:val="28"/>
            <w:szCs w:val="28"/>
          </w:rPr>
          <w:t>)</w:t>
        </w:r>
      </w:hyperlink>
      <w:r w:rsidRPr="007C3D21">
        <w:rPr>
          <w:color w:val="000000"/>
          <w:sz w:val="28"/>
          <w:szCs w:val="28"/>
        </w:rPr>
        <w:t> a výnosy ze státních dluhopisů pořízených z prostředků zvláštního vázaného účtu v bance podle zvláštního právního předpisu</w:t>
      </w:r>
      <w:hyperlink r:id="rId20" w:anchor="f1462718" w:history="1">
        <w:r w:rsidRPr="007C3D21">
          <w:rPr>
            <w:rStyle w:val="Hypertextovodkaz"/>
            <w:bCs/>
            <w:color w:val="15679C"/>
            <w:sz w:val="28"/>
            <w:szCs w:val="28"/>
            <w:vertAlign w:val="superscript"/>
          </w:rPr>
          <w:t>22a</w:t>
        </w:r>
        <w:r w:rsidRPr="007C3D21">
          <w:rPr>
            <w:rStyle w:val="Hypertextovodkaz"/>
            <w:bCs/>
            <w:color w:val="15679C"/>
            <w:sz w:val="28"/>
            <w:szCs w:val="28"/>
          </w:rPr>
          <w:t>)</w:t>
        </w:r>
      </w:hyperlink>
      <w:r w:rsidRPr="007C3D21">
        <w:rPr>
          <w:color w:val="000000"/>
          <w:sz w:val="28"/>
          <w:szCs w:val="28"/>
        </w:rPr>
        <w:t> a vedených na samostatném účtu u České národní banky, ve Středisku cenných papírů nebo v centrálním depozitáři, na který Česká republika jednající prostřednictvím Ministerstva financí převede evidence Střediska cenných papírů (dále jen "centrální depozitář"), v případě, stanou-li se příjmem zvláštního vázaného účtu podle zvláštního právního předpisu</w:t>
      </w:r>
      <w:hyperlink r:id="rId21" w:anchor="f1462718" w:history="1">
        <w:r w:rsidRPr="007C3D21">
          <w:rPr>
            <w:rStyle w:val="Hypertextovodkaz"/>
            <w:bCs/>
            <w:color w:val="15679C"/>
            <w:sz w:val="28"/>
            <w:szCs w:val="28"/>
            <w:vertAlign w:val="superscript"/>
          </w:rPr>
          <w:t>22a</w:t>
        </w:r>
        <w:r w:rsidRPr="007C3D21">
          <w:rPr>
            <w:rStyle w:val="Hypertextovodkaz"/>
            <w:bCs/>
            <w:color w:val="15679C"/>
            <w:sz w:val="28"/>
            <w:szCs w:val="28"/>
          </w:rPr>
          <w:t>)</w:t>
        </w:r>
      </w:hyperlink>
      <w:r w:rsidRPr="007C3D21">
        <w:rPr>
          <w:color w:val="000000"/>
          <w:sz w:val="28"/>
          <w:szCs w:val="28"/>
        </w:rPr>
        <w:t>,</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zm)</w:t>
      </w:r>
      <w:r w:rsidRPr="007C3D21">
        <w:rPr>
          <w:color w:val="000000"/>
          <w:sz w:val="28"/>
          <w:szCs w:val="28"/>
        </w:rPr>
        <w:t> příjmy Státního ústavu pro kontrolu léčiv a Ústavu pro státní kontrolu veterinárních biopreparátů a léčiv plynoucí z úkonů vykonávaných podle zvláštního právního předpisu,</w:t>
      </w:r>
      <w:hyperlink r:id="rId22" w:anchor="f1462939" w:history="1">
        <w:r w:rsidRPr="007C3D21">
          <w:rPr>
            <w:rStyle w:val="Hypertextovodkaz"/>
            <w:bCs/>
            <w:color w:val="15679C"/>
            <w:sz w:val="28"/>
            <w:szCs w:val="28"/>
            <w:vertAlign w:val="superscript"/>
          </w:rPr>
          <w:t>112</w:t>
        </w:r>
        <w:r w:rsidRPr="007C3D21">
          <w:rPr>
            <w:rStyle w:val="Hypertextovodkaz"/>
            <w:bCs/>
            <w:color w:val="15679C"/>
            <w:sz w:val="28"/>
            <w:szCs w:val="28"/>
          </w:rPr>
          <w:t>)</w:t>
        </w:r>
      </w:hyperlink>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zn)</w:t>
      </w:r>
      <w:r w:rsidRPr="007C3D21">
        <w:rPr>
          <w:color w:val="000000"/>
          <w:sz w:val="28"/>
          <w:szCs w:val="28"/>
        </w:rPr>
        <w:t> příjem v podobě ceny z účtenkové loterie, jejíž hodnota nepřevyšuje 1000000 Kč.</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Osvobození podle odstavce 1 písm. ze) a podle odstavců 8 až 10 se nevztahuje na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a)</w:t>
      </w:r>
      <w:r w:rsidRPr="007C3D21">
        <w:rPr>
          <w:color w:val="000000"/>
          <w:sz w:val="28"/>
          <w:szCs w:val="28"/>
        </w:rPr>
        <w:t> podíly na zisku vyplácené dceřinou společností, která je v likvidaci, mateřské společnosti, není-li mateřská společnost společností, která je daňovým rezidentem jiného členského státu Evropské unie než České republiky,</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lastRenderedPageBreak/>
        <w:t>b)</w:t>
      </w:r>
      <w:r w:rsidRPr="007C3D21">
        <w:rPr>
          <w:color w:val="000000"/>
          <w:sz w:val="28"/>
          <w:szCs w:val="28"/>
        </w:rPr>
        <w:t> příjmy z převodu podílu mateřské společnosti v dceřiné společnosti, pokud je dceřiná společnost poplatníkem uvedeným v § 17 odst. 3 a je v likvidaci.</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(3)</w:t>
      </w:r>
      <w:r w:rsidRPr="007C3D21">
        <w:rPr>
          <w:color w:val="000000"/>
          <w:sz w:val="28"/>
          <w:szCs w:val="28"/>
        </w:rPr>
        <w:t> Pro účely tohoto zákona se rozumí</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a)</w:t>
      </w:r>
      <w:r w:rsidRPr="007C3D21">
        <w:rPr>
          <w:color w:val="000000"/>
          <w:sz w:val="28"/>
          <w:szCs w:val="28"/>
        </w:rPr>
        <w:t> společností, která je daňovým rezidentem jiného členského státu Evropské unie než České republiky, obchodní korporace, která není poplatníkem uvedeným v § 17 odst. 3 a</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má některou z forem uvedených v předpisech Evropských společenství;</w:t>
      </w:r>
      <w:hyperlink r:id="rId23" w:anchor="f1462911" w:history="1">
        <w:r w:rsidRPr="007C3D21">
          <w:rPr>
            <w:rStyle w:val="Hypertextovodkaz"/>
            <w:bCs/>
            <w:color w:val="15679C"/>
            <w:sz w:val="28"/>
            <w:szCs w:val="28"/>
            <w:vertAlign w:val="superscript"/>
          </w:rPr>
          <w:t>93</w:t>
        </w:r>
        <w:r w:rsidRPr="007C3D21">
          <w:rPr>
            <w:rStyle w:val="Hypertextovodkaz"/>
            <w:bCs/>
            <w:color w:val="15679C"/>
            <w:sz w:val="28"/>
            <w:szCs w:val="28"/>
          </w:rPr>
          <w:t>)</w:t>
        </w:r>
      </w:hyperlink>
      <w:r w:rsidRPr="007C3D21">
        <w:rPr>
          <w:color w:val="000000"/>
          <w:sz w:val="28"/>
          <w:szCs w:val="28"/>
        </w:rPr>
        <w:t> tyto formy uveřejní Ministerstvo financí ve Finančním zpravodaji a v informačním systému s dálkovým přístupem a</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podle daňových zákonů členských států Evropské unie je považována za daňového rezidenta a není považována za daňového rezidenta mimo Evropskou unii podle ustanovení smlouvy o zamezení dvojího zdanění s třetím státem a</w:t>
      </w:r>
    </w:p>
    <w:p w:rsidR="00A913A0" w:rsidRPr="007C3D21" w:rsidRDefault="00A913A0" w:rsidP="00A913A0">
      <w:pPr>
        <w:pStyle w:val="l5"/>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3.</w:t>
      </w:r>
      <w:r w:rsidRPr="007C3D21">
        <w:rPr>
          <w:color w:val="000000"/>
          <w:sz w:val="28"/>
          <w:szCs w:val="28"/>
        </w:rPr>
        <w:t> podléhá některé z daní uvedených v příslušném právním předpisu Evropských společenství,</w:t>
      </w:r>
      <w:hyperlink r:id="rId24" w:anchor="f1462911" w:history="1">
        <w:r w:rsidRPr="007C3D21">
          <w:rPr>
            <w:rStyle w:val="Hypertextovodkaz"/>
            <w:bCs/>
            <w:color w:val="15679C"/>
            <w:sz w:val="28"/>
            <w:szCs w:val="28"/>
            <w:vertAlign w:val="superscript"/>
          </w:rPr>
          <w:t>93</w:t>
        </w:r>
        <w:r w:rsidRPr="007C3D21">
          <w:rPr>
            <w:rStyle w:val="Hypertextovodkaz"/>
            <w:bCs/>
            <w:color w:val="15679C"/>
            <w:sz w:val="28"/>
            <w:szCs w:val="28"/>
          </w:rPr>
          <w:t>)</w:t>
        </w:r>
      </w:hyperlink>
      <w:r w:rsidRPr="007C3D21">
        <w:rPr>
          <w:color w:val="000000"/>
          <w:sz w:val="28"/>
          <w:szCs w:val="28"/>
        </w:rPr>
        <w:t> které mají stejný nebo podobný charakter jako daň z příjmů. Seznam těchto daní uveřejní Ministerstvo financí ve Finančním zpravodaji a v informačním systému s dálkovým přístupem; za obchodní korporaci podléhající těmto daním se nepovažuje obchodní korporace, která je od daně osvobozena nebo si může zvolit osvobození od daně,</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b)</w:t>
      </w:r>
      <w:r w:rsidRPr="007C3D21">
        <w:rPr>
          <w:color w:val="000000"/>
          <w:sz w:val="28"/>
          <w:szCs w:val="28"/>
        </w:rPr>
        <w:t> mateřskou společností obchodní korporace, je-li poplatníkem uvedeným v § 17 odst. 3 a má některou z forem uvedených v předpisech Evropské unie</w:t>
      </w:r>
      <w:hyperlink r:id="rId25" w:anchor="f1462911" w:history="1">
        <w:r w:rsidRPr="007C3D21">
          <w:rPr>
            <w:rStyle w:val="Hypertextovodkaz"/>
            <w:bCs/>
            <w:color w:val="15679C"/>
            <w:sz w:val="28"/>
            <w:szCs w:val="28"/>
            <w:vertAlign w:val="superscript"/>
          </w:rPr>
          <w:t>93</w:t>
        </w:r>
        <w:r w:rsidRPr="007C3D21">
          <w:rPr>
            <w:rStyle w:val="Hypertextovodkaz"/>
            <w:bCs/>
            <w:color w:val="15679C"/>
            <w:sz w:val="28"/>
            <w:szCs w:val="28"/>
          </w:rPr>
          <w:t>)</w:t>
        </w:r>
      </w:hyperlink>
      <w:r w:rsidRPr="007C3D21">
        <w:rPr>
          <w:color w:val="000000"/>
          <w:sz w:val="28"/>
          <w:szCs w:val="28"/>
        </w:rPr>
        <w:t>nebo formu družstva svěřenský fond, rodinná fundace, obec, dobrovolný svazek obcí, kraj, Česká republika nebo společnost, která je daňovým rezidentem jiného členského státu Evropské unie než České republiky, pokud v jejich obchodním majetku je nejméně po dobu 12 měsíců nepřetržitě alespoň 10% podíl na základním kapitálu jiné obchodní korporace,</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c)</w:t>
      </w:r>
      <w:r w:rsidRPr="007C3D21">
        <w:rPr>
          <w:color w:val="000000"/>
          <w:sz w:val="28"/>
          <w:szCs w:val="28"/>
        </w:rPr>
        <w:t> dceřinou společností obchodní korporace, je-li poplatníkem uvedeným v § 17 odst. 3 a má některou z forem uvedených v předpisech Evropské unie</w:t>
      </w:r>
      <w:hyperlink r:id="rId26" w:anchor="f1462911" w:history="1">
        <w:r w:rsidRPr="007C3D21">
          <w:rPr>
            <w:rStyle w:val="Hypertextovodkaz"/>
            <w:bCs/>
            <w:color w:val="15679C"/>
            <w:sz w:val="28"/>
            <w:szCs w:val="28"/>
            <w:vertAlign w:val="superscript"/>
          </w:rPr>
          <w:t>93</w:t>
        </w:r>
        <w:r w:rsidRPr="007C3D21">
          <w:rPr>
            <w:rStyle w:val="Hypertextovodkaz"/>
            <w:bCs/>
            <w:color w:val="15679C"/>
            <w:sz w:val="28"/>
            <w:szCs w:val="28"/>
          </w:rPr>
          <w:t>)</w:t>
        </w:r>
      </w:hyperlink>
      <w:r w:rsidRPr="007C3D21">
        <w:rPr>
          <w:color w:val="000000"/>
          <w:sz w:val="28"/>
          <w:szCs w:val="28"/>
        </w:rPr>
        <w:t>nebo formu družstva, nebo obchodní korporace, která je daňovým rezidentem jiného členského státu Evropské unie než České republiky, na jejímž základním kapitálu má mateřská společnost nejméně po dobu 12 měsíců nepřetržitě alespoň 10% podíl,</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d)</w:t>
      </w:r>
      <w:r w:rsidRPr="007C3D21">
        <w:rPr>
          <w:color w:val="000000"/>
          <w:sz w:val="28"/>
          <w:szCs w:val="28"/>
        </w:rPr>
        <w:t> třetím státem stát, který není členským státem Evropské unie.</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(4)</w:t>
      </w:r>
      <w:r w:rsidRPr="007C3D21">
        <w:rPr>
          <w:color w:val="000000"/>
          <w:sz w:val="28"/>
          <w:szCs w:val="28"/>
        </w:rPr>
        <w:t xml:space="preserve"> Osvobození podle odstavce 1 písm. ze), zf) a zi) a podle odstavce 9 lze uplatnit při splnění podmínky 10% podílu na základním kapitálu, i před splněním podmínky 12 měsíců nepřetržitého trvání podle odstavce 3, avšak následně musí být tato podmínka splněna. Nebude-li splněna minimální výše podílu 10 % na </w:t>
      </w:r>
      <w:r w:rsidRPr="007C3D21">
        <w:rPr>
          <w:color w:val="000000"/>
          <w:sz w:val="28"/>
          <w:szCs w:val="28"/>
        </w:rPr>
        <w:lastRenderedPageBreak/>
        <w:t>základním kapitálu nepřetržitě po dobu nejméně 12 měsíců, posuzuje se osvobození od daně podle</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a)</w:t>
      </w:r>
      <w:r w:rsidRPr="007C3D21">
        <w:rPr>
          <w:color w:val="000000"/>
          <w:sz w:val="28"/>
          <w:szCs w:val="28"/>
        </w:rPr>
        <w:t> odstavce 1 písm. ze) bodu 2, písm. zf) a zi) uplatněné poplatníkem uvedeným v § 17 odst. 3 jako nesplnění jeho daňové povinnosti ve zdaňovacím období nebo období, za něž je podáváno daňové přiznání, za které bylo osvobození od daně uplatněno,</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b)</w:t>
      </w:r>
      <w:r w:rsidRPr="007C3D21">
        <w:rPr>
          <w:color w:val="000000"/>
          <w:sz w:val="28"/>
          <w:szCs w:val="28"/>
        </w:rPr>
        <w:t> odstavce 1 písm. ze) bodu 1 a písm. zf) uplatněné plátcem daně jako nesplnění povinnosti plátce daně a postupuje se podle § 38s.</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(5)</w:t>
      </w:r>
      <w:r w:rsidRPr="007C3D21">
        <w:rPr>
          <w:color w:val="000000"/>
          <w:sz w:val="28"/>
          <w:szCs w:val="28"/>
        </w:rPr>
        <w:t> Osvobození podle odstavce 1 písm. zj) a zk) lze uplatnit, pokud</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plátce úroků z úvěrového finančního nástroje nebo licenčních poplatků a příjemce úroků z úvěrového finančního nástroje nebo licenčních poplatků jsou osobami přímo kapitálově spojenými po dobu alespoň 24 měsíců nepřetržitě po sobě jdoucích 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příjemce úroků z úvěrového finančního nástroje nebo licenčních poplatků je jejich skutečným vlastníkem 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3.</w:t>
      </w:r>
      <w:r w:rsidRPr="007C3D21">
        <w:rPr>
          <w:color w:val="000000"/>
          <w:sz w:val="28"/>
          <w:szCs w:val="28"/>
        </w:rPr>
        <w:t> úroky z úvěrového finančního nástroje nebo licenční poplatky nejsou přičitatelné stálé provozovně umístěné na území České republiky nebo státu, který není členským státem Evropské unie, státem tvořícím Evropský hospodářský prostor nebo Švýcarskou konfederací, 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4.</w:t>
      </w:r>
      <w:r w:rsidRPr="007C3D21">
        <w:rPr>
          <w:color w:val="000000"/>
          <w:sz w:val="28"/>
          <w:szCs w:val="28"/>
        </w:rPr>
        <w:t> příjemci úroků z úvěrového finančního nástroje nebo licenčních poplatků bylo vydáno rozhodnutí podle § 38nb.</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color w:val="000000"/>
          <w:sz w:val="28"/>
          <w:szCs w:val="28"/>
        </w:rPr>
        <w:t>Osvobození lze uplatnit i před splněním podmínky uvedené v bodě 1, avšak následně musí být tato podmínka splněna. Při nedodržení této podmínky se postupuje přiměřeně podle odstavce 4.</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(6)</w:t>
      </w:r>
      <w:r w:rsidRPr="007C3D21">
        <w:rPr>
          <w:color w:val="000000"/>
          <w:sz w:val="28"/>
          <w:szCs w:val="28"/>
        </w:rPr>
        <w:t> Příjemce podílu na zisku, příjmu z převodu podílu mateřské společnosti v dceřiné společnosti, úroků z úvěrového finančního nástroje a licenčních poplatků je jejich skutečným vlastníkem, pokud tyto platby přijímá ve svůj vlastní prospěch a nikoliv jako zprostředkovatel, zástupce nebo zmocněnec pro jinou osobu.</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(7)</w:t>
      </w:r>
      <w:r w:rsidRPr="007C3D21">
        <w:rPr>
          <w:color w:val="000000"/>
          <w:sz w:val="28"/>
          <w:szCs w:val="28"/>
        </w:rPr>
        <w:t> Licenčním poplatkem se rozumí platba jakéhokoliv druhu, která představuje náhradu za užití nebo za poskytnutí práva na užití autorského nebo jiného obdobného práva k dílu literárnímu, uměleckému nebo vědeckému, včetně filmu a filmových děl, počítačového programu (software), dále práva na patent, ochrannou známku, průmyslový vzor, návrh nebo model, plán, tajný vzorec nebo výrobní postup, nebo za výrobně technické a obchodní poznatky (know-how). Licenčním poplatkem se rozumí také příjem za nájem nebo za jakékoliv jiné využití průmyslového, obchodního nebo vědeckého zařízení.</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lastRenderedPageBreak/>
        <w:t>(8)</w:t>
      </w:r>
      <w:r w:rsidRPr="007C3D21">
        <w:rPr>
          <w:color w:val="000000"/>
          <w:sz w:val="28"/>
          <w:szCs w:val="28"/>
        </w:rPr>
        <w:t> Osvobození podle odstavce 1 písm. ze) bodu 1 a písm. zj) a zk) lze za podmínek uvedených v odstavcích 3 až 7 pro společnost, která je daňovým rezidentem jiného členského státu Evropské unie než České republiky, použít obdobně i pro příjmy vyplácené obchodní korporací, která je poplatníkem uvedeným v § 17 odst. 3, obchodní korporaci, která je daňovým rezidentem Švýcarské konfederace, Norska, Islandu nebo Lichtenštejnska; přitom osvobození podle odstavce 1 písm. zj) lze použít počínaje dnem 1. ledna 2011. Při využití osvobození podle tohoto odstavce se použije obdobně ustanovení § 25 odst. 1 písm. zk).</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(9)</w:t>
      </w:r>
      <w:r w:rsidRPr="007C3D21">
        <w:rPr>
          <w:color w:val="000000"/>
          <w:sz w:val="28"/>
          <w:szCs w:val="28"/>
        </w:rPr>
        <w:t> Osvobození podle odstavce 1 písm. ze) a zi) platí i pro příjmy plynoucí poplatníkovi uvedenému v § 17 odst. 3 a společnosti, která je daňovým rezidentem jiného členského státu Evropské unie než České republiky, z podílu na zisku vypláceného obchodní korporací a z převodu podílu v obchodní korporaci, pokud tato obchodní korporace</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w:t>
      </w:r>
      <w:r w:rsidRPr="007C3D21">
        <w:rPr>
          <w:color w:val="000000"/>
          <w:sz w:val="28"/>
          <w:szCs w:val="28"/>
        </w:rPr>
        <w:t> je daňovým rezidentem třetího státu, se kterým má Česká republika uzavřenou účinnou smlouvu o zamezení dvojího zdanění, 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2.</w:t>
      </w:r>
      <w:r w:rsidRPr="007C3D21">
        <w:rPr>
          <w:color w:val="000000"/>
          <w:sz w:val="28"/>
          <w:szCs w:val="28"/>
        </w:rPr>
        <w:t> má právní formu se srovnatelnou právní charakteristikou jako společnost s ručením omezeným, akciová společnost nebo družstvo podle zvláštního právního předpisu, 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3.</w:t>
      </w:r>
      <w:r w:rsidRPr="007C3D21">
        <w:rPr>
          <w:color w:val="000000"/>
          <w:sz w:val="28"/>
          <w:szCs w:val="28"/>
        </w:rPr>
        <w:t> je v obdobném vztahu vůči poplatníkovi, kterému příjmy z podílu na zisku nebo z převodu podílu v obchodní korporaci plynou, jako dceřiná společnost vůči mateřské společnosti za podmínek stanovených v odstavcích 3 a 4, 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4.</w:t>
      </w:r>
      <w:r w:rsidRPr="007C3D21">
        <w:rPr>
          <w:color w:val="000000"/>
          <w:sz w:val="28"/>
          <w:szCs w:val="28"/>
        </w:rPr>
        <w:t> podléhá dani obdobné dani z příjmů právnických osob, u níž sazba daně není nižší než 12 %, a to alespoň ve zdaňovacím období, v němž poplatník uvedený v § 17 odst. 3 o příjmu z podílu na zisku nebo z převodu podílu v obchodní korporaci účtuje jako o pohledávce v souladu se zvláštním právním předpisem</w:t>
      </w:r>
      <w:r w:rsidRPr="007C3D21">
        <w:rPr>
          <w:color w:val="000000"/>
          <w:sz w:val="28"/>
          <w:szCs w:val="28"/>
          <w:vertAlign w:val="superscript"/>
        </w:rPr>
        <w:t>20</w:t>
      </w:r>
      <w:r w:rsidRPr="007C3D21">
        <w:rPr>
          <w:color w:val="000000"/>
          <w:sz w:val="28"/>
          <w:szCs w:val="28"/>
        </w:rPr>
        <w:t>), a ve zdaňovacím období předcházejícím tomuto zdaňovacímu období; přitom došlo-li u obchodní korporace k zániku bez provedení likvidace, posuzuje se splnění této podmínky u právního předchůdce; za obchodní korporaci podléhající takové dani se nepovažuje obchodní korporace, která je od daně osvobozena, nebo si může zvolit osvobození nebo obdobnou úlevu od této daně.</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color w:val="000000"/>
          <w:sz w:val="28"/>
          <w:szCs w:val="28"/>
        </w:rPr>
        <w:t xml:space="preserve">Osvobození podle odstavce 1 písm. ze) a zi) a podle tohoto odstavce lze uplatnit, pokud příjemce příjmu z podílu na zisku nebo z převodu podílu je jejich skutečný vlastník. Výdajem vynaloženým na příjem uvedený v odstavci 1 písm. ze) bodu 2 je vždy nabývací cena tohoto podílu stanovená podle tohoto zákona. Pro stanovení výdajů (nákladů) vynaložených na příjmy (výnosy) osvobozené podle tohoto odstavce se ustanovení § 25 odst. 1 písm. zk) použije přiměřeně. Osvobození </w:t>
      </w:r>
      <w:r w:rsidRPr="007C3D21">
        <w:rPr>
          <w:color w:val="000000"/>
          <w:sz w:val="28"/>
          <w:szCs w:val="28"/>
        </w:rPr>
        <w:lastRenderedPageBreak/>
        <w:t>podle odstavce 1 písm. ze) bodu 2 a podle tohoto odstavce nelze uplatnit u podílů v obchodní korporaci, které byly nabyty v rámci koupě obchodního závodu (§ 23 odst. 15).</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(10)</w:t>
      </w:r>
      <w:r w:rsidRPr="007C3D21">
        <w:rPr>
          <w:color w:val="000000"/>
          <w:sz w:val="28"/>
          <w:szCs w:val="28"/>
        </w:rPr>
        <w:t> Osvobození podle odstavce 1 písm. ze) bodu 2 a písm. zi) a podle odstavce 9 lze za podmínek uvedených v odstavcích 3, 4 a 6 pro obchodní korporaci, která je daňovým rezidentem jiného členského státu Evropské unie než České republiky, použít obdobně i pro obchodní korporaci, která je daňovým rezidentem Norska, Islandu nebo Lichtenštejnska. Při využití osvobození podle tohoto odstavce se použije obdobně ustanovení § 25 odst. 1 písm. zk).</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(11)</w:t>
      </w:r>
      <w:r w:rsidRPr="007C3D21">
        <w:rPr>
          <w:color w:val="000000"/>
          <w:sz w:val="28"/>
          <w:szCs w:val="28"/>
        </w:rPr>
        <w:t> Osvobození podle odstavce 1 písm. ze) a zi) a podle odstavce 10 nelze uplatnit, pokud dceřiná společnost nebo mateřská společnost</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a)</w:t>
      </w:r>
      <w:r w:rsidRPr="007C3D21">
        <w:rPr>
          <w:color w:val="000000"/>
          <w:sz w:val="28"/>
          <w:szCs w:val="28"/>
        </w:rPr>
        <w:t> je od daně z příjmu právnických osob nebo obdobné daně osvobozena,</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b)</w:t>
      </w:r>
      <w:r w:rsidRPr="007C3D21">
        <w:rPr>
          <w:color w:val="000000"/>
          <w:sz w:val="28"/>
          <w:szCs w:val="28"/>
        </w:rPr>
        <w:t> si může zvolit osvobození nebo obdobnou úlevu od daně z příjmů právnických osob nebo obdobné daně, nebo</w:t>
      </w:r>
    </w:p>
    <w:p w:rsidR="00A913A0" w:rsidRPr="007C3D21" w:rsidRDefault="00A913A0" w:rsidP="00A913A0">
      <w:pPr>
        <w:pStyle w:val="l4"/>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c)</w:t>
      </w:r>
      <w:r w:rsidRPr="007C3D21">
        <w:rPr>
          <w:color w:val="000000"/>
          <w:sz w:val="28"/>
          <w:szCs w:val="28"/>
        </w:rPr>
        <w:t> podléhá dani z příjmů právnických osob nebo obdobné dani se sazbou ve výši 0 %.</w:t>
      </w:r>
    </w:p>
    <w:p w:rsidR="00A913A0" w:rsidRPr="007C3D21" w:rsidRDefault="00A913A0" w:rsidP="00A913A0">
      <w:pPr>
        <w:pStyle w:val="l3"/>
        <w:spacing w:before="0" w:beforeAutospacing="0" w:after="0" w:afterAutospacing="0" w:line="276" w:lineRule="auto"/>
        <w:jc w:val="both"/>
        <w:rPr>
          <w:color w:val="000000"/>
          <w:sz w:val="28"/>
          <w:szCs w:val="28"/>
        </w:rPr>
      </w:pPr>
      <w:r w:rsidRPr="007C3D21">
        <w:rPr>
          <w:rStyle w:val="PromnnHTML"/>
          <w:rFonts w:eastAsia="Calibri"/>
          <w:bCs/>
          <w:i w:val="0"/>
          <w:iCs w:val="0"/>
          <w:color w:val="000000"/>
          <w:sz w:val="28"/>
          <w:szCs w:val="28"/>
        </w:rPr>
        <w:t>(12)</w:t>
      </w:r>
      <w:r w:rsidRPr="007C3D21">
        <w:rPr>
          <w:color w:val="000000"/>
          <w:sz w:val="28"/>
          <w:szCs w:val="28"/>
        </w:rPr>
        <w:t> U akciové společnosti s proměnným základním kapitálem tvořící podfondy se podmínky podle odstavce 3 písm. b) a c) posuzují za akciovou společnost a podfondy samostatně</w:t>
      </w:r>
    </w:p>
    <w:p w:rsidR="00A709A3" w:rsidRPr="004335B6" w:rsidRDefault="00A709A3" w:rsidP="00F2700F">
      <w:pPr>
        <w:tabs>
          <w:tab w:val="left" w:pos="426"/>
        </w:tabs>
        <w:spacing w:before="60" w:line="240" w:lineRule="auto"/>
        <w:ind w:left="0" w:firstLine="0"/>
        <w:contextualSpacing/>
        <w:jc w:val="left"/>
        <w:rPr>
          <w:rFonts w:ascii="Times New Roman" w:hAnsi="Times New Roman"/>
          <w:b/>
          <w:color w:val="000000" w:themeColor="text1"/>
        </w:rPr>
      </w:pPr>
    </w:p>
    <w:sectPr w:rsidR="00A709A3" w:rsidRPr="004335B6" w:rsidSect="00E7096C">
      <w:footerReference w:type="default" r:id="rId27"/>
      <w:footerReference w:type="first" r:id="rId28"/>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7A6" w:rsidRDefault="00A627A6" w:rsidP="00260897">
      <w:pPr>
        <w:spacing w:before="0" w:line="240" w:lineRule="auto"/>
      </w:pPr>
      <w:r>
        <w:separator/>
      </w:r>
    </w:p>
  </w:endnote>
  <w:endnote w:type="continuationSeparator" w:id="0">
    <w:p w:rsidR="00A627A6" w:rsidRDefault="00A627A6" w:rsidP="0026089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6C" w:rsidRPr="00131BD7" w:rsidRDefault="00E7096C">
    <w:pPr>
      <w:pStyle w:val="Zpat"/>
      <w:jc w:val="center"/>
      <w:rPr>
        <w:rFonts w:ascii="Times New Roman" w:hAnsi="Times New Roman"/>
      </w:rPr>
    </w:pPr>
    <w:r w:rsidRPr="00131BD7">
      <w:rPr>
        <w:rFonts w:ascii="Times New Roman" w:hAnsi="Times New Roman"/>
      </w:rPr>
      <w:fldChar w:fldCharType="begin"/>
    </w:r>
    <w:r w:rsidRPr="00131BD7">
      <w:rPr>
        <w:rFonts w:ascii="Times New Roman" w:hAnsi="Times New Roman"/>
      </w:rPr>
      <w:instrText xml:space="preserve"> PAGE   \* MERGEFORMAT </w:instrText>
    </w:r>
    <w:r w:rsidRPr="00131BD7">
      <w:rPr>
        <w:rFonts w:ascii="Times New Roman" w:hAnsi="Times New Roman"/>
      </w:rPr>
      <w:fldChar w:fldCharType="separate"/>
    </w:r>
    <w:r w:rsidR="007C3D21">
      <w:rPr>
        <w:rFonts w:ascii="Times New Roman" w:hAnsi="Times New Roman"/>
        <w:noProof/>
      </w:rPr>
      <w:t>5</w:t>
    </w:r>
    <w:r w:rsidRPr="00131BD7">
      <w:rPr>
        <w:rFonts w:ascii="Times New Roman" w:hAnsi="Times New Roman"/>
      </w:rPr>
      <w:fldChar w:fldCharType="end"/>
    </w:r>
  </w:p>
  <w:p w:rsidR="00E7096C" w:rsidRDefault="00E709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6C" w:rsidRPr="00131BD7" w:rsidRDefault="00E7096C">
    <w:pPr>
      <w:pStyle w:val="Zpat"/>
      <w:jc w:val="center"/>
      <w:rPr>
        <w:rFonts w:ascii="Times New Roman" w:hAnsi="Times New Roman"/>
      </w:rPr>
    </w:pPr>
  </w:p>
  <w:p w:rsidR="00E7096C" w:rsidRDefault="00E709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7A6" w:rsidRDefault="00A627A6" w:rsidP="00260897">
      <w:pPr>
        <w:spacing w:before="0" w:line="240" w:lineRule="auto"/>
      </w:pPr>
      <w:r>
        <w:separator/>
      </w:r>
    </w:p>
  </w:footnote>
  <w:footnote w:type="continuationSeparator" w:id="0">
    <w:p w:rsidR="00A627A6" w:rsidRDefault="00A627A6" w:rsidP="00260897">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D15"/>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977D31"/>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FB0D23"/>
    <w:multiLevelType w:val="hybridMultilevel"/>
    <w:tmpl w:val="78082C08"/>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1865B38"/>
    <w:multiLevelType w:val="hybridMultilevel"/>
    <w:tmpl w:val="78909FE0"/>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CB3AAA"/>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6C6134"/>
    <w:multiLevelType w:val="hybridMultilevel"/>
    <w:tmpl w:val="1DB657C0"/>
    <w:lvl w:ilvl="0" w:tplc="7DBADD46">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97"/>
    <w:rsid w:val="0001500D"/>
    <w:rsid w:val="00034B4F"/>
    <w:rsid w:val="000437E7"/>
    <w:rsid w:val="000F2475"/>
    <w:rsid w:val="00116FCA"/>
    <w:rsid w:val="00143472"/>
    <w:rsid w:val="001528BA"/>
    <w:rsid w:val="001D71B8"/>
    <w:rsid w:val="00260897"/>
    <w:rsid w:val="002B57E1"/>
    <w:rsid w:val="002F4C7A"/>
    <w:rsid w:val="003214BF"/>
    <w:rsid w:val="0037101C"/>
    <w:rsid w:val="003E2D8F"/>
    <w:rsid w:val="003F763C"/>
    <w:rsid w:val="004120C2"/>
    <w:rsid w:val="00421E64"/>
    <w:rsid w:val="004304D8"/>
    <w:rsid w:val="004335B6"/>
    <w:rsid w:val="00437129"/>
    <w:rsid w:val="00443F17"/>
    <w:rsid w:val="004767D3"/>
    <w:rsid w:val="00545E1C"/>
    <w:rsid w:val="00576147"/>
    <w:rsid w:val="00576F14"/>
    <w:rsid w:val="005B0A19"/>
    <w:rsid w:val="005C7310"/>
    <w:rsid w:val="005E561F"/>
    <w:rsid w:val="0060596E"/>
    <w:rsid w:val="0076128F"/>
    <w:rsid w:val="00762E22"/>
    <w:rsid w:val="00764545"/>
    <w:rsid w:val="007C31A1"/>
    <w:rsid w:val="007C3D21"/>
    <w:rsid w:val="007C468A"/>
    <w:rsid w:val="00801FAC"/>
    <w:rsid w:val="00877792"/>
    <w:rsid w:val="00951115"/>
    <w:rsid w:val="00A23435"/>
    <w:rsid w:val="00A627A6"/>
    <w:rsid w:val="00A66866"/>
    <w:rsid w:val="00A709A3"/>
    <w:rsid w:val="00A913A0"/>
    <w:rsid w:val="00A975DF"/>
    <w:rsid w:val="00AB737E"/>
    <w:rsid w:val="00CA6AE3"/>
    <w:rsid w:val="00CC2009"/>
    <w:rsid w:val="00CD111E"/>
    <w:rsid w:val="00D257F9"/>
    <w:rsid w:val="00D50155"/>
    <w:rsid w:val="00DB6ECB"/>
    <w:rsid w:val="00DE578A"/>
    <w:rsid w:val="00E7096C"/>
    <w:rsid w:val="00F05B25"/>
    <w:rsid w:val="00F2700F"/>
    <w:rsid w:val="00FE4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5F86B"/>
  <w15:chartTrackingRefBased/>
  <w15:docId w15:val="{329F9DAF-432A-4FB1-80AE-016DB09A7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897"/>
    <w:pPr>
      <w:spacing w:before="480" w:after="0" w:line="276" w:lineRule="auto"/>
      <w:ind w:left="1077" w:hanging="1077"/>
      <w:jc w:val="both"/>
    </w:pPr>
    <w:rPr>
      <w:rFonts w:ascii="Calibri" w:eastAsia="Calibri" w:hAnsi="Calibri" w:cs="Times New Roman"/>
    </w:rPr>
  </w:style>
  <w:style w:type="paragraph" w:styleId="Nadpis3">
    <w:name w:val="heading 3"/>
    <w:basedOn w:val="Normln"/>
    <w:link w:val="Nadpis3Char"/>
    <w:uiPriority w:val="9"/>
    <w:qFormat/>
    <w:rsid w:val="000437E7"/>
    <w:pPr>
      <w:spacing w:before="100" w:beforeAutospacing="1" w:after="100" w:afterAutospacing="1" w:line="240" w:lineRule="auto"/>
      <w:ind w:left="0" w:firstLine="0"/>
      <w:jc w:val="left"/>
      <w:outlineLvl w:val="2"/>
    </w:pPr>
    <w:rPr>
      <w:rFonts w:ascii="Times New Roman" w:eastAsia="Times New Roman" w:hAnsi="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260897"/>
    <w:pPr>
      <w:tabs>
        <w:tab w:val="center" w:pos="4536"/>
        <w:tab w:val="right" w:pos="9072"/>
      </w:tabs>
      <w:spacing w:before="0" w:line="240" w:lineRule="auto"/>
    </w:pPr>
  </w:style>
  <w:style w:type="character" w:customStyle="1" w:styleId="ZpatChar">
    <w:name w:val="Zápatí Char"/>
    <w:basedOn w:val="Standardnpsmoodstavce"/>
    <w:link w:val="Zpat"/>
    <w:uiPriority w:val="99"/>
    <w:rsid w:val="00260897"/>
    <w:rPr>
      <w:rFonts w:ascii="Calibri" w:eastAsia="Calibri" w:hAnsi="Calibri" w:cs="Times New Roman"/>
    </w:rPr>
  </w:style>
  <w:style w:type="paragraph" w:styleId="Odstavecseseznamem">
    <w:name w:val="List Paragraph"/>
    <w:aliases w:val="1 odstavecH"/>
    <w:basedOn w:val="Normln"/>
    <w:link w:val="OdstavecseseznamemChar"/>
    <w:uiPriority w:val="34"/>
    <w:qFormat/>
    <w:rsid w:val="00260897"/>
    <w:pPr>
      <w:ind w:left="720"/>
      <w:contextualSpacing/>
    </w:pPr>
  </w:style>
  <w:style w:type="paragraph" w:styleId="Textpoznpodarou">
    <w:name w:val="footnote text"/>
    <w:basedOn w:val="Normln"/>
    <w:link w:val="TextpoznpodarouChar"/>
    <w:uiPriority w:val="99"/>
    <w:semiHidden/>
    <w:unhideWhenUsed/>
    <w:rsid w:val="00260897"/>
    <w:rPr>
      <w:sz w:val="20"/>
      <w:szCs w:val="20"/>
    </w:rPr>
  </w:style>
  <w:style w:type="character" w:customStyle="1" w:styleId="TextpoznpodarouChar">
    <w:name w:val="Text pozn. pod čarou Char"/>
    <w:basedOn w:val="Standardnpsmoodstavce"/>
    <w:link w:val="Textpoznpodarou"/>
    <w:uiPriority w:val="99"/>
    <w:semiHidden/>
    <w:rsid w:val="00260897"/>
    <w:rPr>
      <w:rFonts w:ascii="Calibri" w:eastAsia="Calibri" w:hAnsi="Calibri" w:cs="Times New Roman"/>
      <w:sz w:val="20"/>
      <w:szCs w:val="20"/>
    </w:rPr>
  </w:style>
  <w:style w:type="character" w:styleId="Znakapoznpodarou">
    <w:name w:val="footnote reference"/>
    <w:uiPriority w:val="99"/>
    <w:semiHidden/>
    <w:unhideWhenUsed/>
    <w:rsid w:val="00260897"/>
    <w:rPr>
      <w:vertAlign w:val="superscript"/>
    </w:rPr>
  </w:style>
  <w:style w:type="character" w:customStyle="1" w:styleId="s10">
    <w:name w:val="s10"/>
    <w:basedOn w:val="Standardnpsmoodstavce"/>
    <w:rsid w:val="003F763C"/>
  </w:style>
  <w:style w:type="character" w:customStyle="1" w:styleId="s14">
    <w:name w:val="s14"/>
    <w:basedOn w:val="Standardnpsmoodstavce"/>
    <w:rsid w:val="003F763C"/>
  </w:style>
  <w:style w:type="character" w:customStyle="1" w:styleId="s15">
    <w:name w:val="s15"/>
    <w:basedOn w:val="Standardnpsmoodstavce"/>
    <w:rsid w:val="003F763C"/>
  </w:style>
  <w:style w:type="paragraph" w:styleId="Textbubliny">
    <w:name w:val="Balloon Text"/>
    <w:basedOn w:val="Normln"/>
    <w:link w:val="TextbublinyChar"/>
    <w:uiPriority w:val="99"/>
    <w:semiHidden/>
    <w:unhideWhenUsed/>
    <w:rsid w:val="003214BF"/>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14BF"/>
    <w:rPr>
      <w:rFonts w:ascii="Segoe UI" w:eastAsia="Calibri" w:hAnsi="Segoe UI" w:cs="Segoe UI"/>
      <w:sz w:val="18"/>
      <w:szCs w:val="18"/>
    </w:rPr>
  </w:style>
  <w:style w:type="paragraph" w:customStyle="1" w:styleId="Textlnku">
    <w:name w:val="Text článku"/>
    <w:basedOn w:val="Normln"/>
    <w:link w:val="TextlnkuChar"/>
    <w:rsid w:val="00764545"/>
    <w:pPr>
      <w:suppressAutoHyphens/>
      <w:spacing w:before="240" w:after="200"/>
      <w:ind w:left="0" w:firstLine="425"/>
      <w:outlineLvl w:val="5"/>
    </w:pPr>
    <w:rPr>
      <w:rFonts w:ascii="Times New Roman" w:eastAsia="Times New Roman" w:hAnsi="Times New Roman"/>
      <w:color w:val="00000A"/>
      <w:sz w:val="24"/>
      <w:szCs w:val="24"/>
      <w:lang w:eastAsia="cs-CZ"/>
    </w:rPr>
  </w:style>
  <w:style w:type="character" w:customStyle="1" w:styleId="Nadpis3Char">
    <w:name w:val="Nadpis 3 Char"/>
    <w:basedOn w:val="Standardnpsmoodstavce"/>
    <w:link w:val="Nadpis3"/>
    <w:uiPriority w:val="9"/>
    <w:rsid w:val="000437E7"/>
    <w:rPr>
      <w:rFonts w:ascii="Times New Roman" w:eastAsia="Times New Roman" w:hAnsi="Times New Roman" w:cs="Times New Roman"/>
      <w:b/>
      <w:bCs/>
      <w:sz w:val="27"/>
      <w:szCs w:val="27"/>
      <w:lang w:eastAsia="cs-CZ"/>
    </w:rPr>
  </w:style>
  <w:style w:type="paragraph" w:customStyle="1" w:styleId="l3">
    <w:name w:val="l3"/>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0437E7"/>
    <w:rPr>
      <w:i/>
      <w:iCs/>
    </w:rPr>
  </w:style>
  <w:style w:type="paragraph" w:customStyle="1" w:styleId="l4">
    <w:name w:val="l4"/>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5">
    <w:name w:val="l5"/>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Hypertextovodkaz">
    <w:name w:val="Hyperlink"/>
    <w:basedOn w:val="Standardnpsmoodstavce"/>
    <w:uiPriority w:val="99"/>
    <w:semiHidden/>
    <w:unhideWhenUsed/>
    <w:rsid w:val="000437E7"/>
    <w:rPr>
      <w:color w:val="0000FF"/>
      <w:u w:val="single"/>
    </w:rPr>
  </w:style>
  <w:style w:type="character" w:customStyle="1" w:styleId="Bodytext6">
    <w:name w:val="Body text (6)"/>
    <w:link w:val="Bodytext61"/>
    <w:uiPriority w:val="99"/>
    <w:locked/>
    <w:rsid w:val="004335B6"/>
    <w:rPr>
      <w:rFonts w:ascii="Arial" w:hAnsi="Arial" w:cs="Arial"/>
      <w:shd w:val="clear" w:color="auto" w:fill="FFFFFF"/>
    </w:rPr>
  </w:style>
  <w:style w:type="paragraph" w:customStyle="1" w:styleId="Bodytext61">
    <w:name w:val="Body text (6)1"/>
    <w:basedOn w:val="Normln"/>
    <w:link w:val="Bodytext6"/>
    <w:uiPriority w:val="99"/>
    <w:rsid w:val="004335B6"/>
    <w:pPr>
      <w:shd w:val="clear" w:color="auto" w:fill="FFFFFF"/>
      <w:suppressAutoHyphens/>
      <w:spacing w:before="240" w:after="200" w:line="274" w:lineRule="exact"/>
      <w:ind w:left="0" w:hanging="360"/>
    </w:pPr>
    <w:rPr>
      <w:rFonts w:ascii="Arial" w:eastAsiaTheme="minorHAnsi" w:hAnsi="Arial" w:cs="Arial"/>
    </w:rPr>
  </w:style>
  <w:style w:type="paragraph" w:customStyle="1" w:styleId="l1">
    <w:name w:val="l1"/>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2">
    <w:name w:val="l2"/>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q4">
    <w:name w:val="q4"/>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6">
    <w:name w:val="l6"/>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7">
    <w:name w:val="l7"/>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customStyle="1" w:styleId="OdstavecseseznamemChar">
    <w:name w:val="Odstavec se seznamem Char"/>
    <w:aliases w:val="1 odstavecH Char"/>
    <w:link w:val="Odstavecseseznamem"/>
    <w:uiPriority w:val="34"/>
    <w:rsid w:val="00E7096C"/>
    <w:rPr>
      <w:rFonts w:ascii="Calibri" w:eastAsia="Calibri" w:hAnsi="Calibri" w:cs="Times New Roman"/>
    </w:rPr>
  </w:style>
  <w:style w:type="character" w:customStyle="1" w:styleId="TextlnkuChar">
    <w:name w:val="Text článku Char"/>
    <w:link w:val="Textlnku"/>
    <w:rsid w:val="00034B4F"/>
    <w:rPr>
      <w:rFonts w:ascii="Times New Roman" w:eastAsia="Times New Roman" w:hAnsi="Times New Roman" w:cs="Times New Roman"/>
      <w:color w:val="00000A"/>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9777">
      <w:bodyDiv w:val="1"/>
      <w:marLeft w:val="0"/>
      <w:marRight w:val="0"/>
      <w:marTop w:val="0"/>
      <w:marBottom w:val="0"/>
      <w:divBdr>
        <w:top w:val="none" w:sz="0" w:space="0" w:color="auto"/>
        <w:left w:val="none" w:sz="0" w:space="0" w:color="auto"/>
        <w:bottom w:val="none" w:sz="0" w:space="0" w:color="auto"/>
        <w:right w:val="none" w:sz="0" w:space="0" w:color="auto"/>
      </w:divBdr>
    </w:div>
    <w:div w:id="108862915">
      <w:bodyDiv w:val="1"/>
      <w:marLeft w:val="0"/>
      <w:marRight w:val="0"/>
      <w:marTop w:val="0"/>
      <w:marBottom w:val="0"/>
      <w:divBdr>
        <w:top w:val="none" w:sz="0" w:space="0" w:color="auto"/>
        <w:left w:val="none" w:sz="0" w:space="0" w:color="auto"/>
        <w:bottom w:val="none" w:sz="0" w:space="0" w:color="auto"/>
        <w:right w:val="none" w:sz="0" w:space="0" w:color="auto"/>
      </w:divBdr>
    </w:div>
    <w:div w:id="150875310">
      <w:bodyDiv w:val="1"/>
      <w:marLeft w:val="0"/>
      <w:marRight w:val="0"/>
      <w:marTop w:val="0"/>
      <w:marBottom w:val="0"/>
      <w:divBdr>
        <w:top w:val="none" w:sz="0" w:space="0" w:color="auto"/>
        <w:left w:val="none" w:sz="0" w:space="0" w:color="auto"/>
        <w:bottom w:val="none" w:sz="0" w:space="0" w:color="auto"/>
        <w:right w:val="none" w:sz="0" w:space="0" w:color="auto"/>
      </w:divBdr>
    </w:div>
    <w:div w:id="187067352">
      <w:bodyDiv w:val="1"/>
      <w:marLeft w:val="0"/>
      <w:marRight w:val="0"/>
      <w:marTop w:val="0"/>
      <w:marBottom w:val="0"/>
      <w:divBdr>
        <w:top w:val="none" w:sz="0" w:space="0" w:color="auto"/>
        <w:left w:val="none" w:sz="0" w:space="0" w:color="auto"/>
        <w:bottom w:val="none" w:sz="0" w:space="0" w:color="auto"/>
        <w:right w:val="none" w:sz="0" w:space="0" w:color="auto"/>
      </w:divBdr>
    </w:div>
    <w:div w:id="268436834">
      <w:bodyDiv w:val="1"/>
      <w:marLeft w:val="0"/>
      <w:marRight w:val="0"/>
      <w:marTop w:val="0"/>
      <w:marBottom w:val="0"/>
      <w:divBdr>
        <w:top w:val="none" w:sz="0" w:space="0" w:color="auto"/>
        <w:left w:val="none" w:sz="0" w:space="0" w:color="auto"/>
        <w:bottom w:val="none" w:sz="0" w:space="0" w:color="auto"/>
        <w:right w:val="none" w:sz="0" w:space="0" w:color="auto"/>
      </w:divBdr>
      <w:divsChild>
        <w:div w:id="1305430797">
          <w:marLeft w:val="0"/>
          <w:marRight w:val="3075"/>
          <w:marTop w:val="0"/>
          <w:marBottom w:val="0"/>
          <w:divBdr>
            <w:top w:val="none" w:sz="0" w:space="0" w:color="auto"/>
            <w:left w:val="none" w:sz="0" w:space="0" w:color="auto"/>
            <w:bottom w:val="none" w:sz="0" w:space="0" w:color="auto"/>
            <w:right w:val="none" w:sz="0" w:space="0" w:color="auto"/>
          </w:divBdr>
        </w:div>
        <w:div w:id="1583876817">
          <w:marLeft w:val="0"/>
          <w:marRight w:val="0"/>
          <w:marTop w:val="0"/>
          <w:marBottom w:val="0"/>
          <w:divBdr>
            <w:top w:val="none" w:sz="0" w:space="0" w:color="auto"/>
            <w:left w:val="none" w:sz="0" w:space="0" w:color="auto"/>
            <w:bottom w:val="none" w:sz="0" w:space="0" w:color="auto"/>
            <w:right w:val="none" w:sz="0" w:space="0" w:color="auto"/>
          </w:divBdr>
        </w:div>
        <w:div w:id="255217203">
          <w:marLeft w:val="0"/>
          <w:marRight w:val="0"/>
          <w:marTop w:val="0"/>
          <w:marBottom w:val="0"/>
          <w:divBdr>
            <w:top w:val="none" w:sz="0" w:space="0" w:color="auto"/>
            <w:left w:val="none" w:sz="0" w:space="0" w:color="auto"/>
            <w:bottom w:val="none" w:sz="0" w:space="0" w:color="auto"/>
            <w:right w:val="none" w:sz="0" w:space="0" w:color="auto"/>
          </w:divBdr>
        </w:div>
      </w:divsChild>
    </w:div>
    <w:div w:id="303201174">
      <w:bodyDiv w:val="1"/>
      <w:marLeft w:val="0"/>
      <w:marRight w:val="0"/>
      <w:marTop w:val="0"/>
      <w:marBottom w:val="0"/>
      <w:divBdr>
        <w:top w:val="none" w:sz="0" w:space="0" w:color="auto"/>
        <w:left w:val="none" w:sz="0" w:space="0" w:color="auto"/>
        <w:bottom w:val="none" w:sz="0" w:space="0" w:color="auto"/>
        <w:right w:val="none" w:sz="0" w:space="0" w:color="auto"/>
      </w:divBdr>
    </w:div>
    <w:div w:id="768965827">
      <w:bodyDiv w:val="1"/>
      <w:marLeft w:val="0"/>
      <w:marRight w:val="0"/>
      <w:marTop w:val="0"/>
      <w:marBottom w:val="0"/>
      <w:divBdr>
        <w:top w:val="none" w:sz="0" w:space="0" w:color="auto"/>
        <w:left w:val="none" w:sz="0" w:space="0" w:color="auto"/>
        <w:bottom w:val="none" w:sz="0" w:space="0" w:color="auto"/>
        <w:right w:val="none" w:sz="0" w:space="0" w:color="auto"/>
      </w:divBdr>
    </w:div>
    <w:div w:id="906189469">
      <w:bodyDiv w:val="1"/>
      <w:marLeft w:val="0"/>
      <w:marRight w:val="0"/>
      <w:marTop w:val="0"/>
      <w:marBottom w:val="0"/>
      <w:divBdr>
        <w:top w:val="none" w:sz="0" w:space="0" w:color="auto"/>
        <w:left w:val="none" w:sz="0" w:space="0" w:color="auto"/>
        <w:bottom w:val="none" w:sz="0" w:space="0" w:color="auto"/>
        <w:right w:val="none" w:sz="0" w:space="0" w:color="auto"/>
      </w:divBdr>
    </w:div>
    <w:div w:id="1118529610">
      <w:bodyDiv w:val="1"/>
      <w:marLeft w:val="0"/>
      <w:marRight w:val="0"/>
      <w:marTop w:val="0"/>
      <w:marBottom w:val="0"/>
      <w:divBdr>
        <w:top w:val="none" w:sz="0" w:space="0" w:color="auto"/>
        <w:left w:val="none" w:sz="0" w:space="0" w:color="auto"/>
        <w:bottom w:val="none" w:sz="0" w:space="0" w:color="auto"/>
        <w:right w:val="none" w:sz="0" w:space="0" w:color="auto"/>
      </w:divBdr>
      <w:divsChild>
        <w:div w:id="725419689">
          <w:marLeft w:val="0"/>
          <w:marRight w:val="3075"/>
          <w:marTop w:val="0"/>
          <w:marBottom w:val="0"/>
          <w:divBdr>
            <w:top w:val="none" w:sz="0" w:space="0" w:color="auto"/>
            <w:left w:val="none" w:sz="0" w:space="0" w:color="auto"/>
            <w:bottom w:val="none" w:sz="0" w:space="0" w:color="auto"/>
            <w:right w:val="none" w:sz="0" w:space="0" w:color="auto"/>
          </w:divBdr>
        </w:div>
        <w:div w:id="255132963">
          <w:marLeft w:val="0"/>
          <w:marRight w:val="0"/>
          <w:marTop w:val="0"/>
          <w:marBottom w:val="0"/>
          <w:divBdr>
            <w:top w:val="none" w:sz="0" w:space="0" w:color="auto"/>
            <w:left w:val="none" w:sz="0" w:space="0" w:color="auto"/>
            <w:bottom w:val="none" w:sz="0" w:space="0" w:color="auto"/>
            <w:right w:val="none" w:sz="0" w:space="0" w:color="auto"/>
          </w:divBdr>
        </w:div>
        <w:div w:id="394820505">
          <w:marLeft w:val="0"/>
          <w:marRight w:val="0"/>
          <w:marTop w:val="0"/>
          <w:marBottom w:val="0"/>
          <w:divBdr>
            <w:top w:val="none" w:sz="0" w:space="0" w:color="auto"/>
            <w:left w:val="none" w:sz="0" w:space="0" w:color="auto"/>
            <w:bottom w:val="none" w:sz="0" w:space="0" w:color="auto"/>
            <w:right w:val="none" w:sz="0" w:space="0" w:color="auto"/>
          </w:divBdr>
        </w:div>
      </w:divsChild>
    </w:div>
    <w:div w:id="1321009379">
      <w:bodyDiv w:val="1"/>
      <w:marLeft w:val="0"/>
      <w:marRight w:val="0"/>
      <w:marTop w:val="0"/>
      <w:marBottom w:val="0"/>
      <w:divBdr>
        <w:top w:val="none" w:sz="0" w:space="0" w:color="auto"/>
        <w:left w:val="none" w:sz="0" w:space="0" w:color="auto"/>
        <w:bottom w:val="none" w:sz="0" w:space="0" w:color="auto"/>
        <w:right w:val="none" w:sz="0" w:space="0" w:color="auto"/>
      </w:divBdr>
    </w:div>
    <w:div w:id="1323116380">
      <w:bodyDiv w:val="1"/>
      <w:marLeft w:val="0"/>
      <w:marRight w:val="0"/>
      <w:marTop w:val="0"/>
      <w:marBottom w:val="0"/>
      <w:divBdr>
        <w:top w:val="none" w:sz="0" w:space="0" w:color="auto"/>
        <w:left w:val="none" w:sz="0" w:space="0" w:color="auto"/>
        <w:bottom w:val="none" w:sz="0" w:space="0" w:color="auto"/>
        <w:right w:val="none" w:sz="0" w:space="0" w:color="auto"/>
      </w:divBdr>
    </w:div>
    <w:div w:id="1830901736">
      <w:bodyDiv w:val="1"/>
      <w:marLeft w:val="0"/>
      <w:marRight w:val="0"/>
      <w:marTop w:val="0"/>
      <w:marBottom w:val="0"/>
      <w:divBdr>
        <w:top w:val="none" w:sz="0" w:space="0" w:color="auto"/>
        <w:left w:val="none" w:sz="0" w:space="0" w:color="auto"/>
        <w:bottom w:val="none" w:sz="0" w:space="0" w:color="auto"/>
        <w:right w:val="none" w:sz="0" w:space="0" w:color="auto"/>
      </w:divBdr>
      <w:divsChild>
        <w:div w:id="530385390">
          <w:marLeft w:val="0"/>
          <w:marRight w:val="3075"/>
          <w:marTop w:val="0"/>
          <w:marBottom w:val="0"/>
          <w:divBdr>
            <w:top w:val="none" w:sz="0" w:space="0" w:color="auto"/>
            <w:left w:val="none" w:sz="0" w:space="0" w:color="auto"/>
            <w:bottom w:val="none" w:sz="0" w:space="0" w:color="auto"/>
            <w:right w:val="none" w:sz="0" w:space="0" w:color="auto"/>
          </w:divBdr>
        </w:div>
        <w:div w:id="1957563412">
          <w:marLeft w:val="0"/>
          <w:marRight w:val="0"/>
          <w:marTop w:val="0"/>
          <w:marBottom w:val="0"/>
          <w:divBdr>
            <w:top w:val="none" w:sz="0" w:space="0" w:color="auto"/>
            <w:left w:val="none" w:sz="0" w:space="0" w:color="auto"/>
            <w:bottom w:val="none" w:sz="0" w:space="0" w:color="auto"/>
            <w:right w:val="none" w:sz="0" w:space="0" w:color="auto"/>
          </w:divBdr>
        </w:div>
        <w:div w:id="1807694661">
          <w:marLeft w:val="0"/>
          <w:marRight w:val="0"/>
          <w:marTop w:val="0"/>
          <w:marBottom w:val="0"/>
          <w:divBdr>
            <w:top w:val="none" w:sz="0" w:space="0" w:color="auto"/>
            <w:left w:val="none" w:sz="0" w:space="0" w:color="auto"/>
            <w:bottom w:val="none" w:sz="0" w:space="0" w:color="auto"/>
            <w:right w:val="none" w:sz="0" w:space="0" w:color="auto"/>
          </w:divBdr>
        </w:div>
        <w:div w:id="1876428105">
          <w:marLeft w:val="0"/>
          <w:marRight w:val="0"/>
          <w:marTop w:val="0"/>
          <w:marBottom w:val="0"/>
          <w:divBdr>
            <w:top w:val="none" w:sz="0" w:space="0" w:color="auto"/>
            <w:left w:val="none" w:sz="0" w:space="0" w:color="auto"/>
            <w:bottom w:val="none" w:sz="0" w:space="0" w:color="auto"/>
            <w:right w:val="none" w:sz="0" w:space="0" w:color="auto"/>
          </w:divBdr>
        </w:div>
        <w:div w:id="1267694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1992-586" TargetMode="External"/><Relationship Id="rId13" Type="http://schemas.openxmlformats.org/officeDocument/2006/relationships/hyperlink" Target="https://www.zakonyprolidi.cz/cs/1992-586" TargetMode="External"/><Relationship Id="rId18" Type="http://schemas.openxmlformats.org/officeDocument/2006/relationships/hyperlink" Target="https://www.zakonyprolidi.cz/cs/1992-586" TargetMode="External"/><Relationship Id="rId26" Type="http://schemas.openxmlformats.org/officeDocument/2006/relationships/hyperlink" Target="https://www.zakonyprolidi.cz/cs/1992-586" TargetMode="External"/><Relationship Id="rId3" Type="http://schemas.openxmlformats.org/officeDocument/2006/relationships/styles" Target="styles.xml"/><Relationship Id="rId21" Type="http://schemas.openxmlformats.org/officeDocument/2006/relationships/hyperlink" Target="https://www.zakonyprolidi.cz/cs/1992-586" TargetMode="External"/><Relationship Id="rId7" Type="http://schemas.openxmlformats.org/officeDocument/2006/relationships/endnotes" Target="endnotes.xml"/><Relationship Id="rId12" Type="http://schemas.openxmlformats.org/officeDocument/2006/relationships/hyperlink" Target="https://www.zakonyprolidi.cz/cs/1992-586" TargetMode="External"/><Relationship Id="rId17" Type="http://schemas.openxmlformats.org/officeDocument/2006/relationships/hyperlink" Target="https://www.zakonyprolidi.cz/cs/1992-586" TargetMode="External"/><Relationship Id="rId25" Type="http://schemas.openxmlformats.org/officeDocument/2006/relationships/hyperlink" Target="https://www.zakonyprolidi.cz/cs/1992-586" TargetMode="External"/><Relationship Id="rId2" Type="http://schemas.openxmlformats.org/officeDocument/2006/relationships/numbering" Target="numbering.xml"/><Relationship Id="rId16" Type="http://schemas.openxmlformats.org/officeDocument/2006/relationships/hyperlink" Target="https://www.zakonyprolidi.cz/cs/1992-586" TargetMode="External"/><Relationship Id="rId20" Type="http://schemas.openxmlformats.org/officeDocument/2006/relationships/hyperlink" Target="https://www.zakonyprolidi.cz/cs/1992-58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1992-586" TargetMode="External"/><Relationship Id="rId24" Type="http://schemas.openxmlformats.org/officeDocument/2006/relationships/hyperlink" Target="https://www.zakonyprolidi.cz/cs/1992-586" TargetMode="External"/><Relationship Id="rId5" Type="http://schemas.openxmlformats.org/officeDocument/2006/relationships/webSettings" Target="webSettings.xml"/><Relationship Id="rId15" Type="http://schemas.openxmlformats.org/officeDocument/2006/relationships/hyperlink" Target="https://www.zakonyprolidi.cz/cs/1992-586" TargetMode="External"/><Relationship Id="rId23" Type="http://schemas.openxmlformats.org/officeDocument/2006/relationships/hyperlink" Target="https://www.zakonyprolidi.cz/cs/1992-586" TargetMode="External"/><Relationship Id="rId28" Type="http://schemas.openxmlformats.org/officeDocument/2006/relationships/footer" Target="footer2.xml"/><Relationship Id="rId10" Type="http://schemas.openxmlformats.org/officeDocument/2006/relationships/hyperlink" Target="https://www.zakonyprolidi.cz/cs/1992-586" TargetMode="External"/><Relationship Id="rId19" Type="http://schemas.openxmlformats.org/officeDocument/2006/relationships/hyperlink" Target="https://www.zakonyprolidi.cz/cs/1992-586" TargetMode="External"/><Relationship Id="rId4" Type="http://schemas.openxmlformats.org/officeDocument/2006/relationships/settings" Target="settings.xml"/><Relationship Id="rId9" Type="http://schemas.openxmlformats.org/officeDocument/2006/relationships/hyperlink" Target="https://www.zakonyprolidi.cz/cs/1992-586" TargetMode="External"/><Relationship Id="rId14" Type="http://schemas.openxmlformats.org/officeDocument/2006/relationships/hyperlink" Target="https://www.zakonyprolidi.cz/cs/1992-586" TargetMode="External"/><Relationship Id="rId22" Type="http://schemas.openxmlformats.org/officeDocument/2006/relationships/hyperlink" Target="https://www.zakonyprolidi.cz/cs/1992-586"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CCE31-3BF7-44C6-9725-A33D9A07A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3470</Words>
  <Characters>20479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BondarenkovaV</dc:creator>
  <cp:keywords/>
  <dc:description/>
  <cp:lastModifiedBy>Kobza Jiří</cp:lastModifiedBy>
  <cp:revision>2</cp:revision>
  <cp:lastPrinted>2019-10-14T10:19:00Z</cp:lastPrinted>
  <dcterms:created xsi:type="dcterms:W3CDTF">2020-03-09T11:13:00Z</dcterms:created>
  <dcterms:modified xsi:type="dcterms:W3CDTF">2020-03-09T11:13:00Z</dcterms:modified>
</cp:coreProperties>
</file>