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24EB87" w14:textId="03060A01" w:rsidR="001C4FDE" w:rsidRPr="00C62438" w:rsidRDefault="00280863" w:rsidP="004F0341">
      <w:pPr>
        <w:pStyle w:val="WW-Zkladntext2"/>
        <w:spacing w:before="600" w:after="600"/>
        <w:jc w:val="center"/>
        <w:rPr>
          <w:b w:val="0"/>
          <w:spacing w:val="40"/>
          <w:szCs w:val="24"/>
        </w:rPr>
      </w:pPr>
      <w:r>
        <w:rPr>
          <w:b w:val="0"/>
          <w:spacing w:val="40"/>
          <w:szCs w:val="24"/>
        </w:rPr>
        <w:t>N</w:t>
      </w:r>
      <w:r w:rsidR="001C4FDE" w:rsidRPr="00C62438">
        <w:rPr>
          <w:b w:val="0"/>
          <w:spacing w:val="40"/>
          <w:szCs w:val="24"/>
        </w:rPr>
        <w:t>ávrh</w:t>
      </w:r>
    </w:p>
    <w:p w14:paraId="4D6C601A" w14:textId="77777777" w:rsidR="001C4FDE" w:rsidRPr="00C62438" w:rsidRDefault="001C4FDE" w:rsidP="004F0341">
      <w:pPr>
        <w:jc w:val="center"/>
        <w:rPr>
          <w:b/>
          <w:szCs w:val="24"/>
        </w:rPr>
      </w:pPr>
      <w:r w:rsidRPr="00C62438">
        <w:rPr>
          <w:b/>
          <w:szCs w:val="24"/>
        </w:rPr>
        <w:t>ZÁKON</w:t>
      </w:r>
    </w:p>
    <w:p w14:paraId="51AF98EA" w14:textId="32E84648" w:rsidR="001C4FDE" w:rsidRPr="00C62438" w:rsidRDefault="001C4FDE" w:rsidP="004F0341">
      <w:pPr>
        <w:jc w:val="center"/>
        <w:rPr>
          <w:szCs w:val="24"/>
        </w:rPr>
      </w:pPr>
      <w:r w:rsidRPr="00C62438">
        <w:rPr>
          <w:szCs w:val="24"/>
        </w:rPr>
        <w:t>ze dn</w:t>
      </w:r>
      <w:r w:rsidR="00FD7773" w:rsidRPr="00C62438">
        <w:rPr>
          <w:szCs w:val="24"/>
        </w:rPr>
        <w:t xml:space="preserve">e </w:t>
      </w:r>
      <w:r w:rsidR="00FD7773" w:rsidRPr="00C62438">
        <w:rPr>
          <w:bCs/>
          <w:szCs w:val="24"/>
        </w:rPr>
        <w:t xml:space="preserve">28. listopadu </w:t>
      </w:r>
      <w:r w:rsidRPr="00C62438">
        <w:rPr>
          <w:bCs/>
          <w:szCs w:val="24"/>
        </w:rPr>
        <w:t>2019</w:t>
      </w:r>
      <w:r w:rsidRPr="00C62438">
        <w:rPr>
          <w:szCs w:val="24"/>
        </w:rPr>
        <w:t>,</w:t>
      </w:r>
    </w:p>
    <w:p w14:paraId="588A302F" w14:textId="04AF3862" w:rsidR="001C4FDE" w:rsidRPr="00C62438" w:rsidRDefault="001C4FDE" w:rsidP="004F0341">
      <w:pPr>
        <w:spacing w:after="2040"/>
        <w:jc w:val="center"/>
        <w:rPr>
          <w:b/>
          <w:sz w:val="22"/>
          <w:szCs w:val="22"/>
        </w:rPr>
      </w:pPr>
      <w:r w:rsidRPr="00C62438">
        <w:rPr>
          <w:b/>
          <w:szCs w:val="24"/>
        </w:rPr>
        <w:t xml:space="preserve">kterým se mění </w:t>
      </w:r>
      <w:r w:rsidR="005F5EDF" w:rsidRPr="00C62438">
        <w:rPr>
          <w:b/>
          <w:bCs/>
          <w:color w:val="000000"/>
          <w:szCs w:val="24"/>
          <w:lang w:eastAsia="en-GB"/>
        </w:rPr>
        <w:t>zákon č</w:t>
      </w:r>
      <w:r w:rsidR="005A0A74" w:rsidRPr="00C62438">
        <w:rPr>
          <w:b/>
          <w:bCs/>
        </w:rPr>
        <w:t>. 329/2011 Sb., o poskytování dávek osobám se zdravotním postižením a o změně některých zákonů ve znění pozdějších předpisů</w:t>
      </w:r>
      <w:r w:rsidR="00D113FF" w:rsidRPr="00C62438">
        <w:rPr>
          <w:b/>
          <w:bCs/>
        </w:rPr>
        <w:t xml:space="preserve"> a zákon č. 108/2006 Sb., o sociálních službách ve znění pozdějších předpisů</w:t>
      </w:r>
    </w:p>
    <w:p w14:paraId="1C374FAD" w14:textId="77777777" w:rsidR="005A0A74" w:rsidRPr="00C62438" w:rsidRDefault="001C4FDE" w:rsidP="005A0A74">
      <w:pPr>
        <w:spacing w:after="840"/>
        <w:jc w:val="both"/>
        <w:rPr>
          <w:szCs w:val="24"/>
        </w:rPr>
      </w:pPr>
      <w:r w:rsidRPr="00C62438">
        <w:rPr>
          <w:szCs w:val="24"/>
        </w:rPr>
        <w:t>Parlament se usnesl na tomto zákoně České republiky:</w:t>
      </w:r>
    </w:p>
    <w:p w14:paraId="10F863D0" w14:textId="77777777" w:rsidR="005A0A74" w:rsidRPr="00C62438" w:rsidRDefault="005A0A74" w:rsidP="005A0A74">
      <w:pPr>
        <w:pStyle w:val="Nadpis1"/>
        <w:rPr>
          <w:rFonts w:cs="Times New Roman"/>
        </w:rPr>
      </w:pPr>
      <w:r w:rsidRPr="00C62438">
        <w:rPr>
          <w:rFonts w:cs="Times New Roman"/>
        </w:rPr>
        <w:t>ČÁST PRVNÍ</w:t>
      </w:r>
    </w:p>
    <w:p w14:paraId="2419CC60" w14:textId="77777777" w:rsidR="005A0A74" w:rsidRPr="00C62438" w:rsidRDefault="005A0A74" w:rsidP="005A0A74">
      <w:pPr>
        <w:jc w:val="center"/>
      </w:pPr>
      <w:r w:rsidRPr="00C62438">
        <w:t>Změna zákona o poskytování dávek osobám se zdravotním postižením</w:t>
      </w:r>
    </w:p>
    <w:p w14:paraId="131DA0D5" w14:textId="7C4BCCBC" w:rsidR="005A0A74" w:rsidRPr="00C62438" w:rsidRDefault="005A0A74" w:rsidP="005A0A74">
      <w:pPr>
        <w:pStyle w:val="Nadpis1"/>
        <w:jc w:val="both"/>
        <w:rPr>
          <w:rFonts w:cs="Times New Roman"/>
          <w:b/>
          <w:bCs/>
        </w:rPr>
      </w:pPr>
      <w:r w:rsidRPr="00C62438">
        <w:rPr>
          <w:rFonts w:cs="Times New Roman"/>
          <w:b/>
          <w:bCs/>
        </w:rPr>
        <w:t>Zákon č. 329/2011 Sb., o poskytování dávek osobám se zdravotním postižením a o změně některých zákonů, ve znění zákona č. 141/2012 Sb., zákona č. 331/2012 Sb., zákona č. 306/2013 Sb., zákona č. 313/2013 Sb., zákona č. 329/2014 Sb., zákona č. 140/2016 Sb., zákona č. 183/2017 Sb., zákona č. 301/2017 Sb., a zákona č. 228/2019 Sb.</w:t>
      </w:r>
      <w:r w:rsidR="00721A76" w:rsidRPr="00C62438">
        <w:rPr>
          <w:rFonts w:cs="Times New Roman"/>
          <w:b/>
          <w:bCs/>
        </w:rPr>
        <w:t xml:space="preserve">, se mění takto: </w:t>
      </w:r>
    </w:p>
    <w:p w14:paraId="02FA37F2" w14:textId="589A4F48" w:rsidR="00721A76" w:rsidRPr="00C62438" w:rsidRDefault="00721A76" w:rsidP="00721A76">
      <w:pPr>
        <w:jc w:val="center"/>
      </w:pPr>
      <w:r w:rsidRPr="00C62438">
        <w:t>Čl. I</w:t>
      </w:r>
    </w:p>
    <w:p w14:paraId="72AFCFA3" w14:textId="77777777" w:rsidR="005A0A74" w:rsidRPr="00C62438" w:rsidRDefault="005A0A74" w:rsidP="005A0A74">
      <w:pPr>
        <w:pStyle w:val="Odstavecseseznamem"/>
        <w:numPr>
          <w:ilvl w:val="0"/>
          <w:numId w:val="31"/>
        </w:numPr>
        <w:suppressAutoHyphens w:val="0"/>
        <w:spacing w:before="240" w:after="240"/>
        <w:ind w:left="426" w:hanging="426"/>
        <w:jc w:val="both"/>
        <w:outlineLvl w:val="0"/>
      </w:pPr>
      <w:r w:rsidRPr="00C62438">
        <w:t>V § 6 odst. 1 se zrušují slova „</w:t>
      </w:r>
      <w:r w:rsidRPr="00C62438">
        <w:rPr>
          <w:b/>
          <w:bCs/>
        </w:rPr>
        <w:t>starší 1 roku</w:t>
      </w:r>
      <w:r w:rsidRPr="00C62438">
        <w:t>“.</w:t>
      </w:r>
    </w:p>
    <w:p w14:paraId="5DBD8C43" w14:textId="77777777" w:rsidR="005A0A74" w:rsidRPr="00C62438" w:rsidRDefault="005A0A74" w:rsidP="005A0A74">
      <w:pPr>
        <w:pStyle w:val="Odstavecseseznamem"/>
        <w:numPr>
          <w:ilvl w:val="0"/>
          <w:numId w:val="31"/>
        </w:numPr>
        <w:suppressAutoHyphens w:val="0"/>
        <w:spacing w:before="240" w:after="240"/>
        <w:ind w:left="426" w:hanging="426"/>
        <w:jc w:val="both"/>
        <w:outlineLvl w:val="0"/>
      </w:pPr>
      <w:r w:rsidRPr="00C62438">
        <w:t>V § 9 odst. 5 písm. a) bodu 2 se zrušuje slovo „</w:t>
      </w:r>
      <w:r w:rsidRPr="00C62438">
        <w:rPr>
          <w:b/>
          <w:bCs/>
        </w:rPr>
        <w:t>nebo</w:t>
      </w:r>
      <w:r w:rsidRPr="00C62438">
        <w:t xml:space="preserve">“. </w:t>
      </w:r>
    </w:p>
    <w:p w14:paraId="4BBABD7B" w14:textId="77777777" w:rsidR="005A0A74" w:rsidRPr="00C62438" w:rsidRDefault="005A0A74" w:rsidP="005A0A74">
      <w:pPr>
        <w:pStyle w:val="Odstavecseseznamem"/>
        <w:numPr>
          <w:ilvl w:val="0"/>
          <w:numId w:val="31"/>
        </w:numPr>
        <w:suppressAutoHyphens w:val="0"/>
        <w:spacing w:before="240" w:after="240"/>
        <w:ind w:left="426" w:hanging="426"/>
        <w:jc w:val="both"/>
        <w:outlineLvl w:val="0"/>
      </w:pPr>
      <w:r w:rsidRPr="00C62438">
        <w:t>V § 9 odst. 5 písm. a) se zrušuje bod 3.</w:t>
      </w:r>
    </w:p>
    <w:p w14:paraId="5603FB0A" w14:textId="77777777" w:rsidR="005A0A74" w:rsidRPr="00C62438" w:rsidRDefault="005A0A74" w:rsidP="005A0A74">
      <w:pPr>
        <w:pStyle w:val="Odstavecseseznamem"/>
        <w:numPr>
          <w:ilvl w:val="0"/>
          <w:numId w:val="31"/>
        </w:numPr>
        <w:suppressAutoHyphens w:val="0"/>
        <w:spacing w:before="240" w:after="240"/>
        <w:ind w:left="426" w:hanging="426"/>
        <w:jc w:val="both"/>
        <w:outlineLvl w:val="0"/>
      </w:pPr>
      <w:r w:rsidRPr="00C62438">
        <w:t>V § 34 odst. 1 se zrušují slova „</w:t>
      </w:r>
      <w:r w:rsidRPr="00C62438">
        <w:rPr>
          <w:b/>
          <w:bCs/>
        </w:rPr>
        <w:t>starší 1 roku</w:t>
      </w:r>
      <w:r w:rsidRPr="00C62438">
        <w:t xml:space="preserve">“. </w:t>
      </w:r>
    </w:p>
    <w:p w14:paraId="71C282ED" w14:textId="77777777" w:rsidR="005A0A74" w:rsidRPr="00C62438" w:rsidRDefault="005A0A74" w:rsidP="005A0A74">
      <w:pPr>
        <w:jc w:val="center"/>
        <w:rPr>
          <w:b/>
          <w:bCs/>
        </w:rPr>
      </w:pPr>
      <w:r w:rsidRPr="00C62438">
        <w:t>Čl. II</w:t>
      </w:r>
      <w:r w:rsidRPr="00C62438">
        <w:br/>
      </w:r>
      <w:r w:rsidRPr="00C62438">
        <w:rPr>
          <w:b/>
          <w:bCs/>
        </w:rPr>
        <w:t>Přechodné ustanovení</w:t>
      </w:r>
    </w:p>
    <w:p w14:paraId="4E25A533" w14:textId="77777777" w:rsidR="005A0A74" w:rsidRPr="00C62438" w:rsidRDefault="005A0A74" w:rsidP="005A0A74">
      <w:r w:rsidRPr="00C62438">
        <w:lastRenderedPageBreak/>
        <w:t xml:space="preserve">Na právní vztahy přede dnem nabytí účinnosti nového právního předpisu se vztahují dosavadní právní předpisy. </w:t>
      </w:r>
    </w:p>
    <w:p w14:paraId="46A6B424" w14:textId="77777777" w:rsidR="00D113FF" w:rsidRPr="00C62438" w:rsidRDefault="005A0A74" w:rsidP="005A0A74">
      <w:pPr>
        <w:jc w:val="center"/>
      </w:pPr>
      <w:r w:rsidRPr="00C62438">
        <w:t>ČÁST DRUHÁ</w:t>
      </w:r>
    </w:p>
    <w:p w14:paraId="55368EF1" w14:textId="77777777" w:rsidR="00D113FF" w:rsidRPr="00C62438" w:rsidRDefault="00D113FF" w:rsidP="005A0A74">
      <w:pPr>
        <w:jc w:val="center"/>
      </w:pPr>
      <w:r w:rsidRPr="00C62438">
        <w:t>Změna zákona o sociálních službách</w:t>
      </w:r>
    </w:p>
    <w:p w14:paraId="4361BE6E" w14:textId="4BF5AF1F" w:rsidR="00D113FF" w:rsidRPr="00C62438" w:rsidRDefault="00D113FF" w:rsidP="00D113FF">
      <w:pPr>
        <w:jc w:val="both"/>
        <w:rPr>
          <w:b/>
          <w:bCs/>
        </w:rPr>
      </w:pPr>
      <w:r w:rsidRPr="00C62438">
        <w:rPr>
          <w:b/>
          <w:bCs/>
        </w:rPr>
        <w:t>Zákon č. 108/2006 Sb., o sociálních službách, ve znění zákona č. 29/2007 Sb., zákona č. 213/2007 Sb., zákona č. 261/2007 Sb., zákona č. 124/2008 Sb., zákona č. 129/2008 Sb., zákona č. 247/2008 Sb., zákona č. 479/2008 Sb., zákona č. 108/2009 Sb., zákona č. 206/2009 Sb., zákona č. 223/2009 Sb., zákona č. 227/2009 Sb., zákona č. 347/2010 Sb., zákona č. 427/2010 Sb., zákona č. 73/2011 Sb., zákona č. 366/2011 Sb., zákona č. 420/2011 Sb., zákona č. 375/2011 Sb., zákona č. 331/ 2012 Sb., zákona č. 384/2012 Sb., zákona č. 401/2012 Sb., zákona č. 45/2013 Sb., zákona č. 306/2013 Sb., zákona č. 313/2013 Sb., zákona č. 101/2014 Sb., zákona č. 254/2014 Sb., zákona č. 189/2016 Sb., zákona č. 56/2017 Sb., zákona č. 183/2017 Sb., zákona č. 222/2017 Sb., zákona č. 200/2017 Sb., zákona č. 335/2018 Sb., zákona č. 47/2019 Sb.</w:t>
      </w:r>
      <w:r w:rsidR="00721A76" w:rsidRPr="00C62438">
        <w:rPr>
          <w:b/>
          <w:bCs/>
        </w:rPr>
        <w:t xml:space="preserve">, se mění takto: </w:t>
      </w:r>
    </w:p>
    <w:p w14:paraId="2B4C0E35" w14:textId="1B0472FA" w:rsidR="00721A76" w:rsidRPr="00C62438" w:rsidRDefault="00721A76" w:rsidP="00721A76">
      <w:pPr>
        <w:jc w:val="center"/>
      </w:pPr>
      <w:r w:rsidRPr="00C62438">
        <w:t>Čl. III</w:t>
      </w:r>
    </w:p>
    <w:p w14:paraId="73D077E0" w14:textId="2A4C9A6D" w:rsidR="00D113FF" w:rsidRPr="00C62438" w:rsidRDefault="00D113FF" w:rsidP="00D113FF">
      <w:pPr>
        <w:pStyle w:val="Odstavecseseznamem"/>
        <w:numPr>
          <w:ilvl w:val="0"/>
          <w:numId w:val="32"/>
        </w:numPr>
        <w:ind w:left="426" w:hanging="426"/>
        <w:jc w:val="both"/>
      </w:pPr>
      <w:r w:rsidRPr="00C62438">
        <w:t xml:space="preserve">V § 7 se odst. 3 zrušuje. </w:t>
      </w:r>
    </w:p>
    <w:p w14:paraId="57CD10CD" w14:textId="32E05413" w:rsidR="00D113FF" w:rsidRPr="00C62438" w:rsidRDefault="00D113FF" w:rsidP="00D113FF">
      <w:pPr>
        <w:pStyle w:val="Odstavecseseznamem"/>
        <w:ind w:left="426"/>
        <w:jc w:val="both"/>
      </w:pPr>
      <w:r w:rsidRPr="00C62438">
        <w:t>Dosavadní odstavec 4 se označuje jako odstavec 3.</w:t>
      </w:r>
    </w:p>
    <w:p w14:paraId="63062B5A" w14:textId="3E218D29" w:rsidR="00721A76" w:rsidRPr="00C62438" w:rsidRDefault="00721A76" w:rsidP="00721A76">
      <w:pPr>
        <w:pStyle w:val="Nadpis1"/>
        <w:rPr>
          <w:rFonts w:cs="Times New Roman"/>
        </w:rPr>
      </w:pPr>
      <w:r w:rsidRPr="00C62438">
        <w:rPr>
          <w:rFonts w:cs="Times New Roman"/>
        </w:rPr>
        <w:t>Čl. IV</w:t>
      </w:r>
    </w:p>
    <w:p w14:paraId="04E8E551" w14:textId="77777777" w:rsidR="00721A76" w:rsidRPr="00C62438" w:rsidRDefault="00721A76" w:rsidP="00721A76">
      <w:pPr>
        <w:jc w:val="center"/>
        <w:rPr>
          <w:b/>
          <w:bCs/>
        </w:rPr>
      </w:pPr>
      <w:r w:rsidRPr="00C62438">
        <w:rPr>
          <w:b/>
          <w:bCs/>
        </w:rPr>
        <w:t>Přechodné ustanovení</w:t>
      </w:r>
    </w:p>
    <w:p w14:paraId="525A57D4" w14:textId="77777777" w:rsidR="00721A76" w:rsidRPr="00C62438" w:rsidRDefault="00721A76" w:rsidP="00721A76">
      <w:r w:rsidRPr="00C62438">
        <w:t xml:space="preserve">Na právní vztahy přede dnem nabytí účinnosti nového právního předpisu se vztahují dosavadní právní předpisy. </w:t>
      </w:r>
    </w:p>
    <w:p w14:paraId="22759926" w14:textId="6EE85114" w:rsidR="00D113FF" w:rsidRPr="00C62438" w:rsidRDefault="005A0A74" w:rsidP="00721A76">
      <w:pPr>
        <w:jc w:val="center"/>
      </w:pPr>
      <w:r w:rsidRPr="00C62438">
        <w:br/>
      </w:r>
      <w:r w:rsidR="00D113FF" w:rsidRPr="00C62438">
        <w:t>ČÁST TŘETÍ</w:t>
      </w:r>
    </w:p>
    <w:p w14:paraId="62E92F06" w14:textId="77777777" w:rsidR="00721A76" w:rsidRPr="00C62438" w:rsidRDefault="005A0A74" w:rsidP="00721A76">
      <w:pPr>
        <w:pStyle w:val="Nadpis1"/>
        <w:rPr>
          <w:rFonts w:cs="Times New Roman"/>
        </w:rPr>
      </w:pPr>
      <w:r w:rsidRPr="00C62438">
        <w:rPr>
          <w:rFonts w:cs="Times New Roman"/>
          <w:b/>
          <w:bCs/>
        </w:rPr>
        <w:t>ÚČINNOST</w:t>
      </w:r>
      <w:r w:rsidRPr="00C62438">
        <w:rPr>
          <w:rFonts w:cs="Times New Roman"/>
        </w:rPr>
        <w:br/>
        <w:t xml:space="preserve">Čl. </w:t>
      </w:r>
      <w:r w:rsidR="00D113FF" w:rsidRPr="00C62438">
        <w:rPr>
          <w:rFonts w:cs="Times New Roman"/>
        </w:rPr>
        <w:t>V</w:t>
      </w:r>
    </w:p>
    <w:p w14:paraId="3D443EF6" w14:textId="4D08BA8A" w:rsidR="005A0A74" w:rsidRPr="00C62438" w:rsidRDefault="005A0A74" w:rsidP="00721A76">
      <w:pPr>
        <w:pStyle w:val="Nadpis1"/>
        <w:jc w:val="both"/>
        <w:rPr>
          <w:rFonts w:cs="Times New Roman"/>
        </w:rPr>
      </w:pPr>
      <w:r w:rsidRPr="00C62438">
        <w:rPr>
          <w:rFonts w:cs="Times New Roman"/>
        </w:rPr>
        <w:t>Tento zákona nabývá účinnosti dnem 1. ledna 2022.</w:t>
      </w:r>
    </w:p>
    <w:p w14:paraId="7E30272C" w14:textId="77777777" w:rsidR="005A0A74" w:rsidRPr="00C62438" w:rsidRDefault="005A0A74" w:rsidP="005A0A74">
      <w:pPr>
        <w:jc w:val="center"/>
        <w:rPr>
          <w:b/>
          <w:bCs/>
          <w:sz w:val="28"/>
          <w:szCs w:val="28"/>
        </w:rPr>
      </w:pPr>
      <w:r w:rsidRPr="00C62438">
        <w:br w:type="column"/>
      </w:r>
      <w:r w:rsidRPr="00C62438">
        <w:rPr>
          <w:b/>
          <w:bCs/>
          <w:sz w:val="28"/>
          <w:szCs w:val="28"/>
        </w:rPr>
        <w:lastRenderedPageBreak/>
        <w:t>DŮVODOVÁ ZPRÁVA</w:t>
      </w:r>
    </w:p>
    <w:p w14:paraId="185BD1F3" w14:textId="77777777" w:rsidR="005A0A74" w:rsidRPr="00C62438" w:rsidRDefault="005A0A74" w:rsidP="005A0A74">
      <w:pPr>
        <w:jc w:val="center"/>
        <w:rPr>
          <w:b/>
          <w:bCs/>
        </w:rPr>
      </w:pPr>
      <w:r w:rsidRPr="00C62438">
        <w:rPr>
          <w:b/>
          <w:bCs/>
        </w:rPr>
        <w:t>Obecná část</w:t>
      </w:r>
    </w:p>
    <w:p w14:paraId="159220A3" w14:textId="1234CD2D" w:rsidR="005A0A74" w:rsidRPr="00C62438" w:rsidRDefault="005A0A74" w:rsidP="00AA605D">
      <w:pPr>
        <w:pStyle w:val="Nzev"/>
        <w:spacing w:line="360" w:lineRule="auto"/>
      </w:pPr>
      <w:r w:rsidRPr="00C62438">
        <w:t>Zhodnocení platného právního stavu, včetně zhodnocení současného vztahu k</w:t>
      </w:r>
      <w:r w:rsidR="00D113FF" w:rsidRPr="00C62438">
        <w:t> </w:t>
      </w:r>
      <w:r w:rsidRPr="00C62438">
        <w:t>zákazu diskriminace a ve vztahu k</w:t>
      </w:r>
      <w:r w:rsidR="00D113FF" w:rsidRPr="00C62438">
        <w:t> </w:t>
      </w:r>
      <w:r w:rsidRPr="00C62438">
        <w:t xml:space="preserve">rovnosti mužů a žen </w:t>
      </w:r>
    </w:p>
    <w:p w14:paraId="62FC9C8B" w14:textId="28787F26" w:rsidR="00D113FF" w:rsidRPr="00C62438" w:rsidRDefault="00D113FF" w:rsidP="00AA605D">
      <w:pPr>
        <w:ind w:left="426"/>
        <w:jc w:val="both"/>
      </w:pPr>
      <w:r w:rsidRPr="00C62438">
        <w:t xml:space="preserve">Zákon o poskytování dávek osobám se zdravotním postižením garantuje osobám se zdravotním postižením a) příspěvek na mobilitu a za b) příspěvek na zvláštní pomůcku. Těmto osobám také zákon přiznává nárok na průkaz se zdravotním postižením. Zákon také dále upravuje podmínky nároku na průkaz osoby se zdravotním postižením. Aktuální právní úprava kromě jiných podmínek garantuje v první větě zmíněné příspěvky a zdravotní průkaz v obecných případech osobám starším minimálně jednoho roku. V případě mobilních pomůcek mají právo na příspěvek na některé speciální pomůcky osoby starší 3, případně 15 let. Příslušná k rozhodování o dávkách je krajská pobočka Úřadu práce.  </w:t>
      </w:r>
    </w:p>
    <w:p w14:paraId="4E3A6A0B" w14:textId="66C27275" w:rsidR="00D83974" w:rsidRPr="00C62438" w:rsidRDefault="00D113FF" w:rsidP="00AA605D">
      <w:pPr>
        <w:ind w:left="426"/>
        <w:jc w:val="both"/>
      </w:pPr>
      <w:r w:rsidRPr="00C62438">
        <w:t xml:space="preserve">Podle zákona o sociálních službách mají nárok na příspěvek na péči osoby splňující zákonné podmínky a mimo jiné i minimální věk jednoho roku. O příspěvku dále rozhoduje krajská pobočka Úřadu práce.  </w:t>
      </w:r>
    </w:p>
    <w:p w14:paraId="4CADE777" w14:textId="6B978029" w:rsidR="00D113FF" w:rsidRPr="00C62438" w:rsidRDefault="00D113FF" w:rsidP="00AA605D">
      <w:pPr>
        <w:ind w:left="426"/>
        <w:jc w:val="both"/>
      </w:pPr>
      <w:r w:rsidRPr="00C62438">
        <w:t xml:space="preserve">Příspěvek na mobilitu je 550 korun českých za kalendářní měsíc. Příspěvek na zdravotní pomůcku se liší podle příjmů osob a osob s ní společně posuzovaných, v maximální výši 200 000 korun českých a v případě, že v 60 kalendářních měsících po sobě jdoucích součet vyplacených příspěvků nepřesáhne 800 000 případně 850 000 korun českých v případě, že byl poskytnut příspěvek na svislé zdvihací nebo šikmé zvedací plošiny. Výše příspěvku na péči se pohybuje od 3 300 do 13 200 korun českých. </w:t>
      </w:r>
    </w:p>
    <w:p w14:paraId="2E1C86D4" w14:textId="09B64BD0" w:rsidR="00D113FF" w:rsidRPr="00C62438" w:rsidRDefault="00D113FF" w:rsidP="00AA605D">
      <w:pPr>
        <w:ind w:left="426"/>
        <w:jc w:val="both"/>
      </w:pPr>
      <w:r w:rsidRPr="00C62438">
        <w:t xml:space="preserve">Současná právní úprava není diskriminační ve vztahu k rovnosti mužů a žen. </w:t>
      </w:r>
    </w:p>
    <w:p w14:paraId="255B5457" w14:textId="6B8B2CAC" w:rsidR="00D83974" w:rsidRPr="00C62438" w:rsidRDefault="005A0A74" w:rsidP="00AA605D">
      <w:pPr>
        <w:pStyle w:val="Nzev"/>
        <w:spacing w:line="360" w:lineRule="auto"/>
      </w:pPr>
      <w:r w:rsidRPr="00C62438">
        <w:t>Odůvodnění hlavních principů navrhované právní úpravy včetně dopadů navrhovaného řešení ve vztahu k</w:t>
      </w:r>
      <w:r w:rsidR="00D113FF" w:rsidRPr="00C62438">
        <w:t> </w:t>
      </w:r>
      <w:r w:rsidRPr="00C62438">
        <w:t>zákazu diskriminace a ve vztahu k</w:t>
      </w:r>
      <w:r w:rsidR="00D113FF" w:rsidRPr="00C62438">
        <w:t> </w:t>
      </w:r>
      <w:r w:rsidRPr="00C62438">
        <w:t xml:space="preserve">rovnosti mužů a žen </w:t>
      </w:r>
    </w:p>
    <w:p w14:paraId="553DACE2" w14:textId="4893BCE5" w:rsidR="00D113FF" w:rsidRPr="00C62438" w:rsidRDefault="00D113FF" w:rsidP="00AA605D">
      <w:pPr>
        <w:ind w:left="426"/>
        <w:jc w:val="both"/>
      </w:pPr>
      <w:r w:rsidRPr="00C62438">
        <w:t xml:space="preserve">Navrhovaná právní úprava počítá se zrušením podmínky dosažení minimálně jednoho roku u zdravotně postižených dětí, které nově budou mít nárok na příspěvky na mobilitu, zvláštní pomůcky, nárok na průkaz osoby se zdravotním postižením a nárok na příspěvek na péči i před dosažením jednoho roku a v případně diagnostikovaného zdravotního postižení. </w:t>
      </w:r>
    </w:p>
    <w:p w14:paraId="2ABF437C" w14:textId="64CB9AE3" w:rsidR="005A0A74" w:rsidRPr="00C62438" w:rsidRDefault="005A0A74" w:rsidP="00AA605D">
      <w:pPr>
        <w:ind w:left="426"/>
        <w:jc w:val="both"/>
      </w:pPr>
      <w:r w:rsidRPr="00C62438">
        <w:lastRenderedPageBreak/>
        <w:t>Navrhovaná právní úprava není diskriminační ani ve vztahu k</w:t>
      </w:r>
      <w:r w:rsidR="00D113FF" w:rsidRPr="00C62438">
        <w:t> </w:t>
      </w:r>
      <w:r w:rsidRPr="00C62438">
        <w:t xml:space="preserve">rovnosti mužů a žen.  </w:t>
      </w:r>
    </w:p>
    <w:p w14:paraId="369E551B" w14:textId="5CC2F718" w:rsidR="00D83974" w:rsidRPr="00C62438" w:rsidRDefault="005A0A74" w:rsidP="00AA605D">
      <w:pPr>
        <w:pStyle w:val="Nzev"/>
        <w:spacing w:line="360" w:lineRule="auto"/>
      </w:pPr>
      <w:r w:rsidRPr="00C62438">
        <w:t>Vysvětlení nezbytnosti navrhované právní v</w:t>
      </w:r>
      <w:r w:rsidR="00D113FF" w:rsidRPr="00C62438">
        <w:t> </w:t>
      </w:r>
      <w:r w:rsidRPr="00C62438">
        <w:t xml:space="preserve">jejím celku </w:t>
      </w:r>
    </w:p>
    <w:p w14:paraId="03219883" w14:textId="65D1C418" w:rsidR="00D113FF" w:rsidRPr="00C62438" w:rsidRDefault="00D113FF" w:rsidP="00AA605D">
      <w:pPr>
        <w:ind w:left="426"/>
        <w:jc w:val="both"/>
      </w:pPr>
      <w:r w:rsidRPr="00C62438">
        <w:t xml:space="preserve">Ačkoliv je Česká republika vázáná Úmluvou o právech dítěte, v současné chvíli nedostává závazkům v oblasti podpory a umožňování péče o děti se zdravotním postižením v rodinném prostředí zajištěním dostatečné podpory pro jejich rodiče nebo opatrovníky. Zatížené rodiny jsou nucené počkat minimálně do jednoho roku dítěte, aby si mohli o některý z příspěvků zažádat. Péče o zdravotně postižené dítě je velmi finančně nákladná, a některé z těchto rodin jsou závislé na státní finanční podpoře. Absence této podpory může zásadním způsobem ovlivnit život a zdraví postiženého dítěte, ale i vnitřní stabilitu pečující rodiny. </w:t>
      </w:r>
    </w:p>
    <w:p w14:paraId="3E8E3A39" w14:textId="3B5CC86D" w:rsidR="00D113FF" w:rsidRPr="00C62438" w:rsidRDefault="00D113FF" w:rsidP="00AA605D">
      <w:pPr>
        <w:ind w:left="426"/>
        <w:jc w:val="both"/>
      </w:pPr>
      <w:r w:rsidRPr="00C62438">
        <w:t xml:space="preserve">Podle dat z roku 2017 se jednalo o 323 dětí, jejichž rodiče si v tomto roce zažádali o příspěvek na péči a které tedy neměli před rokem 2017 nárok na některý z příspěvků. </w:t>
      </w:r>
    </w:p>
    <w:p w14:paraId="7181D32A" w14:textId="08DB6C3C" w:rsidR="00D113FF" w:rsidRPr="00C62438" w:rsidRDefault="00D113FF" w:rsidP="00AA605D">
      <w:pPr>
        <w:ind w:left="426"/>
        <w:jc w:val="both"/>
      </w:pPr>
      <w:r w:rsidRPr="00C62438">
        <w:t xml:space="preserve">Navrhovaná právní úprava výše zmíněné nedostatky odstraňuje a dává možnost zatíženým rodinám získat příspěvek na péči, případně další příspěvky i dříve, než při dosažení jednoho roku věku dítěte. Toto opatření významný způsobem ulehčí zatížením rodinám už tak náročnou péči o zdravotně postižené dítě a minimalizuje počet zdravotně postižených dětí umístěných do ústavní péče z důvodu nedostatečné finanční kapacity ve vztahu péče o dítě. Dále také vyřeší Organizací spojených národů kritizované soustavné porušování Úmluvy o právech dítěte. </w:t>
      </w:r>
    </w:p>
    <w:p w14:paraId="5EF86502" w14:textId="70EEEED1" w:rsidR="005A0A74" w:rsidRPr="00C62438" w:rsidRDefault="005A0A74" w:rsidP="00AA605D">
      <w:pPr>
        <w:pStyle w:val="Nzev"/>
        <w:spacing w:line="360" w:lineRule="auto"/>
      </w:pPr>
      <w:r w:rsidRPr="00C62438">
        <w:t>Zhodnocení souladu navrhované právní úpravy s</w:t>
      </w:r>
      <w:r w:rsidR="00D113FF" w:rsidRPr="00C62438">
        <w:t> </w:t>
      </w:r>
      <w:r w:rsidRPr="00C62438">
        <w:t>ústavním pořádkem České republiky</w:t>
      </w:r>
    </w:p>
    <w:p w14:paraId="7A47F65C" w14:textId="18F3CA13" w:rsidR="005A0A74" w:rsidRPr="00C62438" w:rsidRDefault="005A0A74" w:rsidP="00AA605D">
      <w:pPr>
        <w:ind w:left="426"/>
        <w:jc w:val="both"/>
      </w:pPr>
      <w:r w:rsidRPr="00C62438">
        <w:t>Navrhovaná právní úprava je v</w:t>
      </w:r>
      <w:r w:rsidR="00D113FF" w:rsidRPr="00C62438">
        <w:t> </w:t>
      </w:r>
      <w:r w:rsidRPr="00C62438">
        <w:t>souladu s</w:t>
      </w:r>
      <w:r w:rsidR="00D113FF" w:rsidRPr="00C62438">
        <w:t> </w:t>
      </w:r>
      <w:r w:rsidRPr="00C62438">
        <w:t xml:space="preserve">ústavním pořádkem České republiky </w:t>
      </w:r>
    </w:p>
    <w:p w14:paraId="35C31232" w14:textId="09B59E29" w:rsidR="005A0A74" w:rsidRPr="00C62438" w:rsidRDefault="005A0A74" w:rsidP="00AA605D">
      <w:pPr>
        <w:pStyle w:val="Nzev"/>
        <w:spacing w:line="360" w:lineRule="auto"/>
      </w:pPr>
      <w:r w:rsidRPr="00C62438">
        <w:t>Zhodnocení slučitelnosti navrhované právní úpravy s</w:t>
      </w:r>
      <w:r w:rsidR="00D113FF" w:rsidRPr="00C62438">
        <w:t> </w:t>
      </w:r>
      <w:r w:rsidRPr="00C62438">
        <w:t>předpisy Evropské unie, judikaturou soudních dvorů orgánů Evropské unie nebo obecnými právními zásadami práva Evropské unie</w:t>
      </w:r>
    </w:p>
    <w:p w14:paraId="179DDBDD" w14:textId="58A0C63D" w:rsidR="005A0A74" w:rsidRPr="00C62438" w:rsidRDefault="005A0A74" w:rsidP="00AA605D">
      <w:pPr>
        <w:ind w:left="426"/>
        <w:jc w:val="both"/>
      </w:pPr>
      <w:r w:rsidRPr="00C62438">
        <w:t>Navrhovaná právní úprava je v</w:t>
      </w:r>
      <w:r w:rsidR="00D113FF" w:rsidRPr="00C62438">
        <w:t> </w:t>
      </w:r>
      <w:r w:rsidRPr="00C62438">
        <w:t>souladu s</w:t>
      </w:r>
      <w:r w:rsidR="00D113FF" w:rsidRPr="00C62438">
        <w:t> </w:t>
      </w:r>
      <w:r w:rsidRPr="00C62438">
        <w:t xml:space="preserve">předpisy Evropské unie, judikaturou soudních dvorů orgánů Evropské unie nebo obecnými právními zásadami práva Evropské unie. </w:t>
      </w:r>
    </w:p>
    <w:p w14:paraId="1E085CA4" w14:textId="39AE7C16" w:rsidR="005A0A74" w:rsidRPr="00C62438" w:rsidRDefault="005A0A74" w:rsidP="00AA605D">
      <w:pPr>
        <w:pStyle w:val="Nzev"/>
        <w:spacing w:line="360" w:lineRule="auto"/>
      </w:pPr>
      <w:r w:rsidRPr="00C62438">
        <w:t>Zhodnocení souladu navrhované právní úpravy s</w:t>
      </w:r>
      <w:r w:rsidR="00D113FF" w:rsidRPr="00C62438">
        <w:t> </w:t>
      </w:r>
      <w:r w:rsidRPr="00C62438">
        <w:t>mezinárodními smlouvami, jimiž je Česká republika vázána</w:t>
      </w:r>
    </w:p>
    <w:p w14:paraId="41D6D1A0" w14:textId="5826FC5B" w:rsidR="005A0A74" w:rsidRPr="00C62438" w:rsidRDefault="005A0A74" w:rsidP="00AA605D">
      <w:pPr>
        <w:ind w:left="426"/>
        <w:jc w:val="both"/>
      </w:pPr>
      <w:r w:rsidRPr="00C62438">
        <w:lastRenderedPageBreak/>
        <w:t>Navrhovaná právní úprava je v</w:t>
      </w:r>
      <w:r w:rsidR="00D113FF" w:rsidRPr="00C62438">
        <w:t> </w:t>
      </w:r>
      <w:r w:rsidRPr="00C62438">
        <w:t>souladu s</w:t>
      </w:r>
      <w:r w:rsidR="00D113FF" w:rsidRPr="00C62438">
        <w:t> </w:t>
      </w:r>
      <w:r w:rsidRPr="00C62438">
        <w:t xml:space="preserve">mezinárodními smlouvami, jimiž je Česká republika vázána. </w:t>
      </w:r>
    </w:p>
    <w:p w14:paraId="6934BCFE" w14:textId="66544D2C" w:rsidR="005A0A74" w:rsidRPr="00C62438" w:rsidRDefault="005A0A74" w:rsidP="00AA605D">
      <w:pPr>
        <w:pStyle w:val="Nzev"/>
        <w:spacing w:line="360" w:lineRule="auto"/>
      </w:pPr>
      <w:r w:rsidRPr="00C62438">
        <w:t xml:space="preserve">Předpokládány hospodářský a finanční dopad navrhované právní úpravy na státní rozpočet, </w:t>
      </w:r>
      <w:r w:rsidR="001E315A">
        <w:t>rozpočty krajů a obcí</w:t>
      </w:r>
      <w:r w:rsidRPr="00C62438">
        <w:t xml:space="preserve">, na podnikatelské prostředí České republiky, dále sociální dopady, včetně dopadů na rodiny a dopadů na specifické skupiny obyvatel, zejména osoby sociálně slabé, osoby se zdravotním postižením a národnostní menšiny a dopady na životní prostředí </w:t>
      </w:r>
    </w:p>
    <w:p w14:paraId="1935F149" w14:textId="6239EFB3" w:rsidR="00214449" w:rsidRPr="00C62438" w:rsidRDefault="00D113FF" w:rsidP="00214449">
      <w:pPr>
        <w:ind w:left="426"/>
        <w:jc w:val="both"/>
      </w:pPr>
      <w:r w:rsidRPr="00C62438">
        <w:t>Výše příspěvku na péči o zdravotně postižené dítě je na při I. stupni závislosti 3 300 korun českých, II. stupni závislosti 6 600 korun českých, III. stupni závislosti 9 900 korun českých a IV. Stupni závislosti 13 200 korun českých. V roce 2017 byl celkový počet dětí, jejichž rodiče si požádali o příspěvek na péči, který byl přiznán, u I. stupně 145, u II. stupně 107, u III. stupně 53 a u IV. stupně 18. Celkové roční náklady byly ve výši 23 364 000 korun českých.</w:t>
      </w:r>
    </w:p>
    <w:p w14:paraId="035677F3" w14:textId="6C153B60" w:rsidR="00214449" w:rsidRPr="00C62438" w:rsidRDefault="00C3060B" w:rsidP="00C3060B">
      <w:pPr>
        <w:ind w:left="426"/>
        <w:jc w:val="both"/>
      </w:pPr>
      <w:r w:rsidRPr="00C62438">
        <w:t xml:space="preserve">Podle zákona o sociálních službách je k výplatě příspěvků na péči o zdravotně postižené dítě příslušná krajská pobočka Úřadu práce. Podle </w:t>
      </w:r>
      <w:r w:rsidR="00214449" w:rsidRPr="00C62438">
        <w:t xml:space="preserve">§ 101a zákon o sociálních službách </w:t>
      </w:r>
      <w:r w:rsidRPr="00C62438">
        <w:t>tento příspěvek</w:t>
      </w:r>
      <w:r w:rsidR="00214449" w:rsidRPr="00C62438">
        <w:t xml:space="preserve"> vyplácí kraje ze svých prostředků získaných na základě dotací od M</w:t>
      </w:r>
      <w:r w:rsidRPr="00C62438">
        <w:t xml:space="preserve">inisterstva práce a sociálních věcí. V příloze tohoto zákona je doplněná tabulka, v jakém rozsahu jsou dotace jednotlivým krajům poskytovány. </w:t>
      </w:r>
    </w:p>
    <w:p w14:paraId="3507FF18" w14:textId="0A0BF649" w:rsidR="00D83974" w:rsidRPr="00C62438" w:rsidRDefault="00D113FF" w:rsidP="001E315A">
      <w:pPr>
        <w:ind w:left="426"/>
        <w:jc w:val="both"/>
      </w:pPr>
      <w:r w:rsidRPr="00C62438">
        <w:t>Vzhledem k tomu, že navrhovaná právní úprava počítá s přiznáním příspěvku už od narození dítěte, za splnění ostatních podmínek, by se celková výše nákladů na sociální dávky zvýšila o výši nákladů rovnající se ročním náklad</w:t>
      </w:r>
      <w:r w:rsidR="001E315A">
        <w:t xml:space="preserve">ům. Navrhovaná právní úprava by </w:t>
      </w:r>
      <w:r w:rsidRPr="00C62438">
        <w:t xml:space="preserve">měla předpokládaný dopad na státní rozpočet ve výši přibližně 24 miliónů korun českých. </w:t>
      </w:r>
      <w:r w:rsidR="00C3060B" w:rsidRPr="00C62438">
        <w:t>V níže uvedené tabulce je i doplněná předpokládaná částka, o kterou se</w:t>
      </w:r>
      <w:r w:rsidR="00C62438">
        <w:t xml:space="preserve"> předpokládané</w:t>
      </w:r>
      <w:r w:rsidR="00C3060B" w:rsidRPr="00C62438">
        <w:t xml:space="preserve"> výdaje jednotlivých krajů na poskytování příspěvků na péči o zdravotně postižené dítě zvýší. </w:t>
      </w:r>
    </w:p>
    <w:tbl>
      <w:tblPr>
        <w:tblStyle w:val="Mkatabulky"/>
        <w:tblpPr w:leftFromText="180" w:rightFromText="180" w:vertAnchor="text" w:horzAnchor="page" w:tblpX="1847" w:tblpY="376"/>
        <w:tblW w:w="9061" w:type="dxa"/>
        <w:tblLook w:val="04A0" w:firstRow="1" w:lastRow="0" w:firstColumn="1" w:lastColumn="0" w:noHBand="0" w:noVBand="1"/>
      </w:tblPr>
      <w:tblGrid>
        <w:gridCol w:w="2830"/>
        <w:gridCol w:w="2268"/>
        <w:gridCol w:w="3963"/>
      </w:tblGrid>
      <w:tr w:rsidR="00C3060B" w:rsidRPr="00C62438" w14:paraId="48364AA4" w14:textId="77777777" w:rsidTr="007245E7">
        <w:tc>
          <w:tcPr>
            <w:tcW w:w="2830" w:type="dxa"/>
            <w:shd w:val="clear" w:color="auto" w:fill="AEAAAA" w:themeFill="background2" w:themeFillShade="BF"/>
            <w:vAlign w:val="center"/>
          </w:tcPr>
          <w:p w14:paraId="001531FE" w14:textId="77777777" w:rsidR="00C3060B" w:rsidRPr="00C62438" w:rsidRDefault="00C3060B" w:rsidP="007245E7">
            <w:pPr>
              <w:jc w:val="both"/>
            </w:pPr>
            <w:r w:rsidRPr="00C62438">
              <w:rPr>
                <w:b/>
                <w:bCs/>
                <w:color w:val="000000"/>
                <w:sz w:val="20"/>
                <w:lang w:eastAsia="en-GB"/>
              </w:rPr>
              <w:t>Kraj</w:t>
            </w:r>
          </w:p>
        </w:tc>
        <w:tc>
          <w:tcPr>
            <w:tcW w:w="2268" w:type="dxa"/>
            <w:shd w:val="clear" w:color="auto" w:fill="AEAAAA" w:themeFill="background2" w:themeFillShade="BF"/>
            <w:vAlign w:val="center"/>
          </w:tcPr>
          <w:p w14:paraId="482B7B3F" w14:textId="77777777" w:rsidR="00C3060B" w:rsidRPr="00C62438" w:rsidRDefault="00C3060B" w:rsidP="007245E7">
            <w:pPr>
              <w:jc w:val="both"/>
            </w:pPr>
            <w:r w:rsidRPr="00C62438">
              <w:rPr>
                <w:b/>
                <w:bCs/>
                <w:color w:val="000000"/>
                <w:sz w:val="20"/>
                <w:lang w:eastAsia="en-GB"/>
              </w:rPr>
              <w:t>V %</w:t>
            </w:r>
          </w:p>
        </w:tc>
        <w:tc>
          <w:tcPr>
            <w:tcW w:w="3963" w:type="dxa"/>
            <w:shd w:val="clear" w:color="auto" w:fill="AEAAAA" w:themeFill="background2" w:themeFillShade="BF"/>
          </w:tcPr>
          <w:p w14:paraId="4723EC8A" w14:textId="77777777" w:rsidR="00C3060B" w:rsidRPr="00C62438" w:rsidRDefault="00C3060B" w:rsidP="007245E7">
            <w:pPr>
              <w:jc w:val="both"/>
            </w:pPr>
            <w:r w:rsidRPr="00C62438">
              <w:rPr>
                <w:b/>
                <w:bCs/>
                <w:color w:val="000000"/>
                <w:sz w:val="20"/>
                <w:lang w:eastAsia="en-GB"/>
              </w:rPr>
              <w:t xml:space="preserve">V Kč </w:t>
            </w:r>
          </w:p>
        </w:tc>
      </w:tr>
      <w:tr w:rsidR="00C3060B" w:rsidRPr="00C62438" w14:paraId="0B85DBD4" w14:textId="77777777" w:rsidTr="007245E7">
        <w:tc>
          <w:tcPr>
            <w:tcW w:w="2830" w:type="dxa"/>
            <w:vAlign w:val="center"/>
          </w:tcPr>
          <w:p w14:paraId="65DA4D9E" w14:textId="77777777" w:rsidR="00C3060B" w:rsidRPr="00C62438" w:rsidRDefault="00C3060B" w:rsidP="007245E7">
            <w:pPr>
              <w:jc w:val="both"/>
              <w:rPr>
                <w:b/>
                <w:bCs/>
              </w:rPr>
            </w:pPr>
            <w:r w:rsidRPr="00C62438">
              <w:rPr>
                <w:b/>
                <w:bCs/>
                <w:color w:val="000000"/>
                <w:sz w:val="20"/>
                <w:lang w:eastAsia="en-GB"/>
              </w:rPr>
              <w:t>Praha</w:t>
            </w:r>
          </w:p>
        </w:tc>
        <w:tc>
          <w:tcPr>
            <w:tcW w:w="2268" w:type="dxa"/>
            <w:vAlign w:val="center"/>
          </w:tcPr>
          <w:p w14:paraId="02E090A7" w14:textId="77777777" w:rsidR="00C3060B" w:rsidRPr="00C62438" w:rsidRDefault="00C3060B" w:rsidP="007245E7">
            <w:pPr>
              <w:jc w:val="both"/>
            </w:pPr>
            <w:r w:rsidRPr="00C62438">
              <w:rPr>
                <w:color w:val="000000"/>
                <w:sz w:val="20"/>
                <w:lang w:eastAsia="en-GB"/>
              </w:rPr>
              <w:t>8,08</w:t>
            </w:r>
          </w:p>
        </w:tc>
        <w:tc>
          <w:tcPr>
            <w:tcW w:w="3963" w:type="dxa"/>
          </w:tcPr>
          <w:p w14:paraId="7C19F982" w14:textId="77777777" w:rsidR="00C3060B" w:rsidRPr="00C62438" w:rsidRDefault="00C3060B" w:rsidP="007245E7">
            <w:pPr>
              <w:jc w:val="both"/>
            </w:pPr>
            <w:r w:rsidRPr="00C62438">
              <w:rPr>
                <w:color w:val="000000"/>
                <w:sz w:val="20"/>
                <w:lang w:eastAsia="en-GB"/>
              </w:rPr>
              <w:t>1 887 811</w:t>
            </w:r>
          </w:p>
        </w:tc>
      </w:tr>
      <w:tr w:rsidR="00C3060B" w:rsidRPr="00C62438" w14:paraId="5A32FE7B" w14:textId="77777777" w:rsidTr="007245E7">
        <w:tc>
          <w:tcPr>
            <w:tcW w:w="2830" w:type="dxa"/>
            <w:vAlign w:val="center"/>
          </w:tcPr>
          <w:p w14:paraId="294F1847" w14:textId="77777777" w:rsidR="00C3060B" w:rsidRPr="00C62438" w:rsidRDefault="00C3060B" w:rsidP="007245E7">
            <w:pPr>
              <w:jc w:val="both"/>
              <w:rPr>
                <w:b/>
                <w:bCs/>
              </w:rPr>
            </w:pPr>
            <w:r w:rsidRPr="00C62438">
              <w:rPr>
                <w:b/>
                <w:bCs/>
                <w:color w:val="000000"/>
                <w:sz w:val="20"/>
                <w:lang w:eastAsia="en-GB"/>
              </w:rPr>
              <w:t>Jihočeský</w:t>
            </w:r>
          </w:p>
        </w:tc>
        <w:tc>
          <w:tcPr>
            <w:tcW w:w="2268" w:type="dxa"/>
            <w:vAlign w:val="center"/>
          </w:tcPr>
          <w:p w14:paraId="5A63217A" w14:textId="77777777" w:rsidR="00C3060B" w:rsidRPr="00C62438" w:rsidRDefault="00C3060B" w:rsidP="007245E7">
            <w:pPr>
              <w:jc w:val="both"/>
            </w:pPr>
            <w:r w:rsidRPr="00C62438">
              <w:rPr>
                <w:color w:val="000000"/>
                <w:sz w:val="20"/>
                <w:lang w:eastAsia="en-GB"/>
              </w:rPr>
              <w:t>6,67</w:t>
            </w:r>
          </w:p>
        </w:tc>
        <w:tc>
          <w:tcPr>
            <w:tcW w:w="3963" w:type="dxa"/>
          </w:tcPr>
          <w:p w14:paraId="28081C50" w14:textId="77777777" w:rsidR="00C3060B" w:rsidRPr="00C62438" w:rsidRDefault="00C3060B" w:rsidP="007245E7">
            <w:pPr>
              <w:jc w:val="both"/>
            </w:pPr>
            <w:r w:rsidRPr="00C62438">
              <w:rPr>
                <w:color w:val="000000"/>
                <w:sz w:val="20"/>
                <w:lang w:eastAsia="en-GB"/>
              </w:rPr>
              <w:t>1 558 379</w:t>
            </w:r>
          </w:p>
        </w:tc>
      </w:tr>
      <w:tr w:rsidR="00C3060B" w:rsidRPr="00C62438" w14:paraId="3B78BB42" w14:textId="77777777" w:rsidTr="007245E7">
        <w:tc>
          <w:tcPr>
            <w:tcW w:w="2830" w:type="dxa"/>
            <w:vAlign w:val="center"/>
          </w:tcPr>
          <w:p w14:paraId="71599138" w14:textId="77777777" w:rsidR="00C3060B" w:rsidRPr="00C62438" w:rsidRDefault="00C3060B" w:rsidP="007245E7">
            <w:pPr>
              <w:jc w:val="both"/>
              <w:rPr>
                <w:b/>
                <w:bCs/>
              </w:rPr>
            </w:pPr>
            <w:r w:rsidRPr="00C62438">
              <w:rPr>
                <w:b/>
                <w:bCs/>
                <w:color w:val="000000"/>
                <w:sz w:val="20"/>
                <w:lang w:eastAsia="en-GB"/>
              </w:rPr>
              <w:t>Jihomoravský</w:t>
            </w:r>
          </w:p>
        </w:tc>
        <w:tc>
          <w:tcPr>
            <w:tcW w:w="2268" w:type="dxa"/>
            <w:vAlign w:val="center"/>
          </w:tcPr>
          <w:p w14:paraId="1424F7B3" w14:textId="77777777" w:rsidR="00C3060B" w:rsidRPr="00C62438" w:rsidRDefault="00C3060B" w:rsidP="007245E7">
            <w:pPr>
              <w:jc w:val="both"/>
            </w:pPr>
            <w:r w:rsidRPr="00C62438">
              <w:rPr>
                <w:color w:val="000000"/>
                <w:sz w:val="20"/>
                <w:lang w:eastAsia="en-GB"/>
              </w:rPr>
              <w:t>9,21</w:t>
            </w:r>
          </w:p>
        </w:tc>
        <w:tc>
          <w:tcPr>
            <w:tcW w:w="3963" w:type="dxa"/>
          </w:tcPr>
          <w:p w14:paraId="693F464C" w14:textId="77777777" w:rsidR="00C3060B" w:rsidRPr="00C62438" w:rsidRDefault="00C3060B" w:rsidP="007245E7">
            <w:pPr>
              <w:jc w:val="both"/>
            </w:pPr>
            <w:r w:rsidRPr="00C62438">
              <w:rPr>
                <w:color w:val="000000"/>
                <w:sz w:val="20"/>
                <w:lang w:eastAsia="en-GB"/>
              </w:rPr>
              <w:t>2 151 824</w:t>
            </w:r>
          </w:p>
        </w:tc>
      </w:tr>
      <w:tr w:rsidR="00C3060B" w:rsidRPr="00C62438" w14:paraId="21450F72" w14:textId="77777777" w:rsidTr="007245E7">
        <w:tc>
          <w:tcPr>
            <w:tcW w:w="2830" w:type="dxa"/>
            <w:vAlign w:val="center"/>
          </w:tcPr>
          <w:p w14:paraId="21B4B12A" w14:textId="77777777" w:rsidR="00C3060B" w:rsidRPr="00C62438" w:rsidRDefault="00C3060B" w:rsidP="007245E7">
            <w:pPr>
              <w:jc w:val="both"/>
              <w:rPr>
                <w:b/>
                <w:bCs/>
              </w:rPr>
            </w:pPr>
            <w:r w:rsidRPr="00C62438">
              <w:rPr>
                <w:b/>
                <w:bCs/>
                <w:color w:val="000000"/>
                <w:sz w:val="20"/>
                <w:lang w:eastAsia="en-GB"/>
              </w:rPr>
              <w:lastRenderedPageBreak/>
              <w:t>Karlovarský</w:t>
            </w:r>
          </w:p>
        </w:tc>
        <w:tc>
          <w:tcPr>
            <w:tcW w:w="2268" w:type="dxa"/>
            <w:vAlign w:val="center"/>
          </w:tcPr>
          <w:p w14:paraId="2BFD5819" w14:textId="77777777" w:rsidR="00C3060B" w:rsidRPr="00C62438" w:rsidRDefault="00C3060B" w:rsidP="007245E7">
            <w:pPr>
              <w:jc w:val="both"/>
            </w:pPr>
            <w:r w:rsidRPr="00C62438">
              <w:rPr>
                <w:color w:val="000000"/>
                <w:sz w:val="20"/>
                <w:lang w:eastAsia="en-GB"/>
              </w:rPr>
              <w:t>3,40</w:t>
            </w:r>
          </w:p>
        </w:tc>
        <w:tc>
          <w:tcPr>
            <w:tcW w:w="3963" w:type="dxa"/>
          </w:tcPr>
          <w:p w14:paraId="312987A2" w14:textId="77777777" w:rsidR="00C3060B" w:rsidRPr="00C62438" w:rsidRDefault="00C3060B" w:rsidP="007245E7">
            <w:pPr>
              <w:jc w:val="both"/>
            </w:pPr>
            <w:r w:rsidRPr="00C62438">
              <w:rPr>
                <w:color w:val="000000"/>
                <w:sz w:val="20"/>
                <w:lang w:eastAsia="en-GB"/>
              </w:rPr>
              <w:t>794 376</w:t>
            </w:r>
          </w:p>
        </w:tc>
      </w:tr>
      <w:tr w:rsidR="00C3060B" w:rsidRPr="00C62438" w14:paraId="42240717" w14:textId="77777777" w:rsidTr="007245E7">
        <w:tc>
          <w:tcPr>
            <w:tcW w:w="2830" w:type="dxa"/>
            <w:vAlign w:val="center"/>
          </w:tcPr>
          <w:p w14:paraId="716E47BA" w14:textId="77777777" w:rsidR="00C3060B" w:rsidRPr="00C62438" w:rsidRDefault="00C3060B" w:rsidP="007245E7">
            <w:pPr>
              <w:jc w:val="both"/>
              <w:rPr>
                <w:b/>
                <w:bCs/>
              </w:rPr>
            </w:pPr>
            <w:r w:rsidRPr="00C62438">
              <w:rPr>
                <w:b/>
                <w:bCs/>
                <w:color w:val="000000"/>
                <w:sz w:val="20"/>
                <w:lang w:eastAsia="en-GB"/>
              </w:rPr>
              <w:t>Královéhradecký</w:t>
            </w:r>
          </w:p>
        </w:tc>
        <w:tc>
          <w:tcPr>
            <w:tcW w:w="2268" w:type="dxa"/>
            <w:vAlign w:val="center"/>
          </w:tcPr>
          <w:p w14:paraId="2EC29711" w14:textId="77777777" w:rsidR="00C3060B" w:rsidRPr="00C62438" w:rsidRDefault="00C3060B" w:rsidP="007245E7">
            <w:pPr>
              <w:jc w:val="both"/>
            </w:pPr>
            <w:r w:rsidRPr="00C62438">
              <w:rPr>
                <w:color w:val="000000"/>
                <w:sz w:val="20"/>
                <w:lang w:eastAsia="en-GB"/>
              </w:rPr>
              <w:t>5,46</w:t>
            </w:r>
          </w:p>
        </w:tc>
        <w:tc>
          <w:tcPr>
            <w:tcW w:w="3963" w:type="dxa"/>
          </w:tcPr>
          <w:p w14:paraId="7A2A419C" w14:textId="77777777" w:rsidR="00C3060B" w:rsidRPr="00C62438" w:rsidRDefault="00C3060B" w:rsidP="007245E7">
            <w:pPr>
              <w:jc w:val="both"/>
            </w:pPr>
            <w:r w:rsidRPr="00C62438">
              <w:rPr>
                <w:color w:val="000000"/>
                <w:sz w:val="20"/>
                <w:lang w:eastAsia="en-GB"/>
              </w:rPr>
              <w:t>1 275 674</w:t>
            </w:r>
          </w:p>
        </w:tc>
      </w:tr>
      <w:tr w:rsidR="00C3060B" w:rsidRPr="00C62438" w14:paraId="7CC18D1A" w14:textId="77777777" w:rsidTr="007245E7">
        <w:tc>
          <w:tcPr>
            <w:tcW w:w="2830" w:type="dxa"/>
            <w:vAlign w:val="center"/>
          </w:tcPr>
          <w:p w14:paraId="7B30DC49" w14:textId="77777777" w:rsidR="00C3060B" w:rsidRPr="00C62438" w:rsidRDefault="00C3060B" w:rsidP="007245E7">
            <w:pPr>
              <w:jc w:val="both"/>
              <w:rPr>
                <w:b/>
                <w:bCs/>
              </w:rPr>
            </w:pPr>
            <w:r w:rsidRPr="00C62438">
              <w:rPr>
                <w:b/>
                <w:bCs/>
                <w:color w:val="000000"/>
                <w:sz w:val="20"/>
                <w:lang w:eastAsia="en-GB"/>
              </w:rPr>
              <w:t>Liberecký</w:t>
            </w:r>
          </w:p>
        </w:tc>
        <w:tc>
          <w:tcPr>
            <w:tcW w:w="2268" w:type="dxa"/>
            <w:vAlign w:val="center"/>
          </w:tcPr>
          <w:p w14:paraId="1C7FE20B" w14:textId="77777777" w:rsidR="00C3060B" w:rsidRPr="00C62438" w:rsidRDefault="00C3060B" w:rsidP="007245E7">
            <w:pPr>
              <w:jc w:val="both"/>
            </w:pPr>
            <w:r w:rsidRPr="00C62438">
              <w:rPr>
                <w:color w:val="000000"/>
                <w:sz w:val="20"/>
                <w:lang w:eastAsia="en-GB"/>
              </w:rPr>
              <w:t>4,14</w:t>
            </w:r>
          </w:p>
        </w:tc>
        <w:tc>
          <w:tcPr>
            <w:tcW w:w="3963" w:type="dxa"/>
          </w:tcPr>
          <w:p w14:paraId="710F8DD8" w14:textId="77777777" w:rsidR="00C3060B" w:rsidRPr="00C62438" w:rsidRDefault="00C3060B" w:rsidP="007245E7">
            <w:pPr>
              <w:jc w:val="both"/>
            </w:pPr>
            <w:r w:rsidRPr="00C62438">
              <w:rPr>
                <w:color w:val="000000"/>
                <w:sz w:val="20"/>
                <w:lang w:eastAsia="en-GB"/>
              </w:rPr>
              <w:t>967 270</w:t>
            </w:r>
          </w:p>
        </w:tc>
      </w:tr>
      <w:tr w:rsidR="00C3060B" w:rsidRPr="00C62438" w14:paraId="182FC18A" w14:textId="77777777" w:rsidTr="007245E7">
        <w:tc>
          <w:tcPr>
            <w:tcW w:w="2830" w:type="dxa"/>
            <w:vAlign w:val="center"/>
          </w:tcPr>
          <w:p w14:paraId="284F258B" w14:textId="77777777" w:rsidR="00C3060B" w:rsidRPr="00C62438" w:rsidRDefault="00C3060B" w:rsidP="007245E7">
            <w:pPr>
              <w:jc w:val="both"/>
              <w:rPr>
                <w:b/>
                <w:bCs/>
              </w:rPr>
            </w:pPr>
            <w:r w:rsidRPr="00C62438">
              <w:rPr>
                <w:b/>
                <w:bCs/>
                <w:color w:val="000000"/>
                <w:sz w:val="20"/>
                <w:lang w:eastAsia="en-GB"/>
              </w:rPr>
              <w:t>Moravskoslezský</w:t>
            </w:r>
          </w:p>
        </w:tc>
        <w:tc>
          <w:tcPr>
            <w:tcW w:w="2268" w:type="dxa"/>
            <w:vAlign w:val="center"/>
          </w:tcPr>
          <w:p w14:paraId="7F600C26" w14:textId="77777777" w:rsidR="00C3060B" w:rsidRPr="00C62438" w:rsidRDefault="00C3060B" w:rsidP="007245E7">
            <w:pPr>
              <w:jc w:val="both"/>
            </w:pPr>
            <w:r w:rsidRPr="00C62438">
              <w:rPr>
                <w:color w:val="000000"/>
                <w:sz w:val="20"/>
                <w:lang w:eastAsia="en-GB"/>
              </w:rPr>
              <w:t>11,99</w:t>
            </w:r>
          </w:p>
        </w:tc>
        <w:tc>
          <w:tcPr>
            <w:tcW w:w="3963" w:type="dxa"/>
          </w:tcPr>
          <w:p w14:paraId="22BF1906" w14:textId="77777777" w:rsidR="00C3060B" w:rsidRPr="00C62438" w:rsidRDefault="00C3060B" w:rsidP="007245E7">
            <w:pPr>
              <w:jc w:val="both"/>
            </w:pPr>
            <w:r w:rsidRPr="00C62438">
              <w:rPr>
                <w:color w:val="000000"/>
                <w:sz w:val="20"/>
                <w:lang w:eastAsia="en-GB"/>
              </w:rPr>
              <w:t>2 801 344</w:t>
            </w:r>
          </w:p>
        </w:tc>
      </w:tr>
      <w:tr w:rsidR="00C3060B" w:rsidRPr="00C62438" w14:paraId="7DDE5EB5" w14:textId="77777777" w:rsidTr="007245E7">
        <w:tc>
          <w:tcPr>
            <w:tcW w:w="2830" w:type="dxa"/>
            <w:vAlign w:val="center"/>
          </w:tcPr>
          <w:p w14:paraId="7B20941C" w14:textId="77777777" w:rsidR="00C3060B" w:rsidRPr="00C62438" w:rsidRDefault="00C3060B" w:rsidP="007245E7">
            <w:pPr>
              <w:jc w:val="both"/>
              <w:rPr>
                <w:b/>
                <w:bCs/>
              </w:rPr>
            </w:pPr>
            <w:r w:rsidRPr="00C62438">
              <w:rPr>
                <w:b/>
                <w:bCs/>
                <w:color w:val="000000"/>
                <w:sz w:val="20"/>
                <w:lang w:eastAsia="en-GB"/>
              </w:rPr>
              <w:t>Olomoucký</w:t>
            </w:r>
          </w:p>
        </w:tc>
        <w:tc>
          <w:tcPr>
            <w:tcW w:w="2268" w:type="dxa"/>
            <w:vAlign w:val="center"/>
          </w:tcPr>
          <w:p w14:paraId="2BDEF33B" w14:textId="77777777" w:rsidR="00C3060B" w:rsidRPr="00C62438" w:rsidRDefault="00C3060B" w:rsidP="007245E7">
            <w:pPr>
              <w:jc w:val="both"/>
            </w:pPr>
            <w:r w:rsidRPr="00C62438">
              <w:rPr>
                <w:color w:val="000000"/>
                <w:sz w:val="20"/>
                <w:lang w:eastAsia="en-GB"/>
              </w:rPr>
              <w:t>7,81</w:t>
            </w:r>
          </w:p>
        </w:tc>
        <w:tc>
          <w:tcPr>
            <w:tcW w:w="3963" w:type="dxa"/>
          </w:tcPr>
          <w:p w14:paraId="2325D80E" w14:textId="77777777" w:rsidR="00C3060B" w:rsidRPr="00C62438" w:rsidRDefault="00C3060B" w:rsidP="007245E7">
            <w:pPr>
              <w:jc w:val="both"/>
            </w:pPr>
            <w:r w:rsidRPr="00C62438">
              <w:rPr>
                <w:color w:val="000000"/>
                <w:sz w:val="20"/>
                <w:lang w:eastAsia="en-GB"/>
              </w:rPr>
              <w:t>1 824 728</w:t>
            </w:r>
          </w:p>
        </w:tc>
      </w:tr>
      <w:tr w:rsidR="00C3060B" w:rsidRPr="00C62438" w14:paraId="21EC3DEF" w14:textId="77777777" w:rsidTr="007245E7">
        <w:tc>
          <w:tcPr>
            <w:tcW w:w="2830" w:type="dxa"/>
            <w:vAlign w:val="center"/>
          </w:tcPr>
          <w:p w14:paraId="56E44CD9" w14:textId="77777777" w:rsidR="00C3060B" w:rsidRPr="00C62438" w:rsidRDefault="00C3060B" w:rsidP="007245E7">
            <w:pPr>
              <w:jc w:val="both"/>
              <w:rPr>
                <w:b/>
                <w:bCs/>
              </w:rPr>
            </w:pPr>
            <w:r w:rsidRPr="00C62438">
              <w:rPr>
                <w:b/>
                <w:bCs/>
                <w:color w:val="000000"/>
                <w:sz w:val="20"/>
                <w:lang w:eastAsia="en-GB"/>
              </w:rPr>
              <w:t>Pardubický</w:t>
            </w:r>
          </w:p>
        </w:tc>
        <w:tc>
          <w:tcPr>
            <w:tcW w:w="2268" w:type="dxa"/>
            <w:vAlign w:val="center"/>
          </w:tcPr>
          <w:p w14:paraId="0F650DDB" w14:textId="77777777" w:rsidR="00C3060B" w:rsidRPr="00C62438" w:rsidRDefault="00C3060B" w:rsidP="007245E7">
            <w:pPr>
              <w:jc w:val="both"/>
            </w:pPr>
            <w:r w:rsidRPr="00C62438">
              <w:rPr>
                <w:color w:val="000000"/>
                <w:sz w:val="20"/>
                <w:lang w:eastAsia="en-GB"/>
              </w:rPr>
              <w:t>5,37</w:t>
            </w:r>
          </w:p>
        </w:tc>
        <w:tc>
          <w:tcPr>
            <w:tcW w:w="3963" w:type="dxa"/>
          </w:tcPr>
          <w:p w14:paraId="32D1490D" w14:textId="77777777" w:rsidR="00C3060B" w:rsidRPr="00C62438" w:rsidRDefault="00C3060B" w:rsidP="007245E7">
            <w:pPr>
              <w:jc w:val="both"/>
            </w:pPr>
            <w:r w:rsidRPr="00C62438">
              <w:rPr>
                <w:color w:val="000000"/>
                <w:sz w:val="20"/>
                <w:lang w:eastAsia="en-GB"/>
              </w:rPr>
              <w:t>1 254 647</w:t>
            </w:r>
          </w:p>
        </w:tc>
      </w:tr>
      <w:tr w:rsidR="00C3060B" w:rsidRPr="00C62438" w14:paraId="187A4A75" w14:textId="77777777" w:rsidTr="007245E7">
        <w:tc>
          <w:tcPr>
            <w:tcW w:w="2830" w:type="dxa"/>
            <w:vAlign w:val="center"/>
          </w:tcPr>
          <w:p w14:paraId="7F10B4DD" w14:textId="77777777" w:rsidR="00C3060B" w:rsidRPr="00C62438" w:rsidRDefault="00C3060B" w:rsidP="007245E7">
            <w:pPr>
              <w:jc w:val="both"/>
              <w:rPr>
                <w:b/>
                <w:bCs/>
              </w:rPr>
            </w:pPr>
            <w:r w:rsidRPr="00C62438">
              <w:rPr>
                <w:b/>
                <w:bCs/>
                <w:color w:val="000000"/>
                <w:sz w:val="20"/>
                <w:lang w:eastAsia="en-GB"/>
              </w:rPr>
              <w:t>Plzeňský</w:t>
            </w:r>
          </w:p>
        </w:tc>
        <w:tc>
          <w:tcPr>
            <w:tcW w:w="2268" w:type="dxa"/>
            <w:vAlign w:val="center"/>
          </w:tcPr>
          <w:p w14:paraId="3EF78795" w14:textId="77777777" w:rsidR="00C3060B" w:rsidRPr="00C62438" w:rsidRDefault="00C3060B" w:rsidP="007245E7">
            <w:pPr>
              <w:jc w:val="both"/>
            </w:pPr>
            <w:r w:rsidRPr="00C62438">
              <w:rPr>
                <w:color w:val="000000"/>
                <w:sz w:val="20"/>
                <w:lang w:eastAsia="en-GB"/>
              </w:rPr>
              <w:t>4,86</w:t>
            </w:r>
          </w:p>
        </w:tc>
        <w:tc>
          <w:tcPr>
            <w:tcW w:w="3963" w:type="dxa"/>
          </w:tcPr>
          <w:p w14:paraId="39193E5D" w14:textId="77777777" w:rsidR="00C3060B" w:rsidRPr="00C62438" w:rsidRDefault="00C3060B" w:rsidP="007245E7">
            <w:pPr>
              <w:jc w:val="both"/>
            </w:pPr>
            <w:r w:rsidRPr="00C62438">
              <w:rPr>
                <w:color w:val="000000"/>
                <w:sz w:val="20"/>
                <w:lang w:eastAsia="en-GB"/>
              </w:rPr>
              <w:t>1 135 490</w:t>
            </w:r>
          </w:p>
        </w:tc>
      </w:tr>
      <w:tr w:rsidR="00C3060B" w:rsidRPr="00C62438" w14:paraId="4CDEA3DD" w14:textId="77777777" w:rsidTr="007245E7">
        <w:tc>
          <w:tcPr>
            <w:tcW w:w="2830" w:type="dxa"/>
            <w:vAlign w:val="center"/>
          </w:tcPr>
          <w:p w14:paraId="268727B9" w14:textId="77777777" w:rsidR="00C3060B" w:rsidRPr="00C62438" w:rsidRDefault="00C3060B" w:rsidP="007245E7">
            <w:pPr>
              <w:jc w:val="both"/>
              <w:rPr>
                <w:b/>
                <w:bCs/>
              </w:rPr>
            </w:pPr>
            <w:r w:rsidRPr="00C62438">
              <w:rPr>
                <w:b/>
                <w:bCs/>
                <w:color w:val="000000"/>
                <w:sz w:val="20"/>
                <w:lang w:eastAsia="en-GB"/>
              </w:rPr>
              <w:t>Středočeský</w:t>
            </w:r>
          </w:p>
        </w:tc>
        <w:tc>
          <w:tcPr>
            <w:tcW w:w="2268" w:type="dxa"/>
            <w:vAlign w:val="center"/>
          </w:tcPr>
          <w:p w14:paraId="2A0BA70B" w14:textId="77777777" w:rsidR="00C3060B" w:rsidRPr="00C62438" w:rsidRDefault="00C3060B" w:rsidP="007245E7">
            <w:pPr>
              <w:jc w:val="both"/>
            </w:pPr>
            <w:r w:rsidRPr="00C62438">
              <w:rPr>
                <w:color w:val="000000"/>
                <w:sz w:val="20"/>
                <w:lang w:eastAsia="en-GB"/>
              </w:rPr>
              <w:t>10,93</w:t>
            </w:r>
          </w:p>
        </w:tc>
        <w:tc>
          <w:tcPr>
            <w:tcW w:w="3963" w:type="dxa"/>
          </w:tcPr>
          <w:p w14:paraId="1C142BBD" w14:textId="77777777" w:rsidR="00C3060B" w:rsidRPr="00C62438" w:rsidRDefault="00C3060B" w:rsidP="007245E7">
            <w:pPr>
              <w:jc w:val="both"/>
            </w:pPr>
            <w:r w:rsidRPr="00C62438">
              <w:rPr>
                <w:color w:val="000000"/>
                <w:sz w:val="20"/>
                <w:lang w:eastAsia="en-GB"/>
              </w:rPr>
              <w:t>2 553 685</w:t>
            </w:r>
          </w:p>
        </w:tc>
      </w:tr>
      <w:tr w:rsidR="00C3060B" w:rsidRPr="00C62438" w14:paraId="03BBE801" w14:textId="77777777" w:rsidTr="007245E7">
        <w:tc>
          <w:tcPr>
            <w:tcW w:w="2830" w:type="dxa"/>
            <w:vAlign w:val="center"/>
          </w:tcPr>
          <w:p w14:paraId="14412397" w14:textId="77777777" w:rsidR="00C3060B" w:rsidRPr="00C62438" w:rsidRDefault="00C3060B" w:rsidP="007245E7">
            <w:pPr>
              <w:jc w:val="both"/>
              <w:rPr>
                <w:b/>
                <w:bCs/>
              </w:rPr>
            </w:pPr>
            <w:r w:rsidRPr="00C62438">
              <w:rPr>
                <w:b/>
                <w:bCs/>
                <w:color w:val="000000"/>
                <w:sz w:val="20"/>
                <w:lang w:eastAsia="en-GB"/>
              </w:rPr>
              <w:t>Ústecký</w:t>
            </w:r>
          </w:p>
        </w:tc>
        <w:tc>
          <w:tcPr>
            <w:tcW w:w="2268" w:type="dxa"/>
            <w:vAlign w:val="center"/>
          </w:tcPr>
          <w:p w14:paraId="21FF0437" w14:textId="77777777" w:rsidR="00C3060B" w:rsidRPr="00C62438" w:rsidRDefault="00C3060B" w:rsidP="007245E7">
            <w:pPr>
              <w:jc w:val="both"/>
            </w:pPr>
            <w:r w:rsidRPr="00C62438">
              <w:rPr>
                <w:color w:val="000000"/>
                <w:sz w:val="20"/>
                <w:lang w:eastAsia="en-GB"/>
              </w:rPr>
              <w:t>9,71</w:t>
            </w:r>
          </w:p>
        </w:tc>
        <w:tc>
          <w:tcPr>
            <w:tcW w:w="3963" w:type="dxa"/>
          </w:tcPr>
          <w:p w14:paraId="4F5179D6" w14:textId="77777777" w:rsidR="00C3060B" w:rsidRPr="00C62438" w:rsidRDefault="00C3060B" w:rsidP="007245E7">
            <w:pPr>
              <w:jc w:val="both"/>
            </w:pPr>
            <w:r w:rsidRPr="00C62438">
              <w:rPr>
                <w:color w:val="000000"/>
                <w:sz w:val="20"/>
                <w:lang w:eastAsia="en-GB"/>
              </w:rPr>
              <w:t>2 268 644</w:t>
            </w:r>
          </w:p>
        </w:tc>
      </w:tr>
      <w:tr w:rsidR="00C3060B" w:rsidRPr="00C62438" w14:paraId="2965E4E0" w14:textId="77777777" w:rsidTr="007245E7">
        <w:tc>
          <w:tcPr>
            <w:tcW w:w="2830" w:type="dxa"/>
            <w:vAlign w:val="center"/>
          </w:tcPr>
          <w:p w14:paraId="5AC018FF" w14:textId="77777777" w:rsidR="00C3060B" w:rsidRPr="00C62438" w:rsidRDefault="00C3060B" w:rsidP="007245E7">
            <w:pPr>
              <w:jc w:val="both"/>
              <w:rPr>
                <w:b/>
                <w:bCs/>
                <w:color w:val="000000"/>
                <w:sz w:val="20"/>
                <w:lang w:eastAsia="en-GB"/>
              </w:rPr>
            </w:pPr>
            <w:r w:rsidRPr="00C62438">
              <w:rPr>
                <w:b/>
                <w:bCs/>
                <w:color w:val="000000"/>
                <w:sz w:val="20"/>
                <w:lang w:eastAsia="en-GB"/>
              </w:rPr>
              <w:t>Vysočina</w:t>
            </w:r>
          </w:p>
        </w:tc>
        <w:tc>
          <w:tcPr>
            <w:tcW w:w="2268" w:type="dxa"/>
            <w:vAlign w:val="center"/>
          </w:tcPr>
          <w:p w14:paraId="168BD60A" w14:textId="77777777" w:rsidR="00C3060B" w:rsidRPr="00C62438" w:rsidRDefault="00C3060B" w:rsidP="007245E7">
            <w:pPr>
              <w:jc w:val="both"/>
              <w:rPr>
                <w:color w:val="000000"/>
                <w:sz w:val="20"/>
                <w:lang w:eastAsia="en-GB"/>
              </w:rPr>
            </w:pPr>
            <w:r w:rsidRPr="00C62438">
              <w:rPr>
                <w:color w:val="000000"/>
                <w:sz w:val="20"/>
                <w:lang w:eastAsia="en-GB"/>
              </w:rPr>
              <w:t>5,30</w:t>
            </w:r>
          </w:p>
        </w:tc>
        <w:tc>
          <w:tcPr>
            <w:tcW w:w="3963" w:type="dxa"/>
          </w:tcPr>
          <w:p w14:paraId="0D9F0A96" w14:textId="77777777" w:rsidR="00C3060B" w:rsidRPr="00C62438" w:rsidRDefault="00C3060B" w:rsidP="007245E7">
            <w:pPr>
              <w:jc w:val="both"/>
              <w:rPr>
                <w:color w:val="000000"/>
                <w:sz w:val="20"/>
                <w:lang w:eastAsia="en-GB"/>
              </w:rPr>
            </w:pPr>
            <w:r w:rsidRPr="00C62438">
              <w:rPr>
                <w:color w:val="000000"/>
                <w:sz w:val="20"/>
                <w:lang w:eastAsia="en-GB"/>
              </w:rPr>
              <w:t>1 238 292</w:t>
            </w:r>
          </w:p>
        </w:tc>
      </w:tr>
      <w:tr w:rsidR="00C3060B" w:rsidRPr="00C62438" w14:paraId="576A981E" w14:textId="77777777" w:rsidTr="007245E7">
        <w:tc>
          <w:tcPr>
            <w:tcW w:w="2830" w:type="dxa"/>
            <w:vAlign w:val="center"/>
          </w:tcPr>
          <w:p w14:paraId="450A2AAF" w14:textId="77777777" w:rsidR="00C3060B" w:rsidRPr="00C62438" w:rsidRDefault="00C3060B" w:rsidP="007245E7">
            <w:pPr>
              <w:jc w:val="both"/>
              <w:rPr>
                <w:b/>
                <w:bCs/>
                <w:color w:val="000000"/>
                <w:sz w:val="20"/>
                <w:lang w:eastAsia="en-GB"/>
              </w:rPr>
            </w:pPr>
            <w:r w:rsidRPr="00C62438">
              <w:rPr>
                <w:b/>
                <w:bCs/>
                <w:color w:val="000000"/>
                <w:sz w:val="20"/>
                <w:lang w:eastAsia="en-GB"/>
              </w:rPr>
              <w:t>Zlínský</w:t>
            </w:r>
          </w:p>
        </w:tc>
        <w:tc>
          <w:tcPr>
            <w:tcW w:w="2268" w:type="dxa"/>
            <w:vAlign w:val="center"/>
          </w:tcPr>
          <w:p w14:paraId="32145617" w14:textId="77777777" w:rsidR="00C3060B" w:rsidRPr="00C62438" w:rsidRDefault="00C3060B" w:rsidP="007245E7">
            <w:pPr>
              <w:jc w:val="both"/>
              <w:rPr>
                <w:color w:val="000000"/>
                <w:sz w:val="20"/>
                <w:lang w:eastAsia="en-GB"/>
              </w:rPr>
            </w:pPr>
            <w:r w:rsidRPr="00C62438">
              <w:rPr>
                <w:color w:val="000000"/>
                <w:sz w:val="20"/>
                <w:lang w:eastAsia="en-GB"/>
              </w:rPr>
              <w:t>7,07</w:t>
            </w:r>
          </w:p>
        </w:tc>
        <w:tc>
          <w:tcPr>
            <w:tcW w:w="3963" w:type="dxa"/>
          </w:tcPr>
          <w:p w14:paraId="51377404" w14:textId="77777777" w:rsidR="00C3060B" w:rsidRPr="00C62438" w:rsidRDefault="00C3060B" w:rsidP="007245E7">
            <w:pPr>
              <w:jc w:val="both"/>
              <w:rPr>
                <w:color w:val="000000"/>
                <w:sz w:val="20"/>
                <w:lang w:eastAsia="en-GB"/>
              </w:rPr>
            </w:pPr>
            <w:r w:rsidRPr="00C62438">
              <w:rPr>
                <w:color w:val="000000"/>
                <w:sz w:val="20"/>
                <w:lang w:eastAsia="en-GB"/>
              </w:rPr>
              <w:t>1 651 835</w:t>
            </w:r>
          </w:p>
        </w:tc>
      </w:tr>
    </w:tbl>
    <w:p w14:paraId="3D51A434" w14:textId="77777777" w:rsidR="00C3060B" w:rsidRPr="00C62438" w:rsidRDefault="00C3060B" w:rsidP="00AA605D">
      <w:pPr>
        <w:ind w:left="426"/>
        <w:jc w:val="both"/>
      </w:pPr>
    </w:p>
    <w:p w14:paraId="0CEADA65" w14:textId="46FDE20B" w:rsidR="00D113FF" w:rsidRPr="00C62438" w:rsidRDefault="00D113FF" w:rsidP="00AA605D">
      <w:pPr>
        <w:ind w:left="426"/>
        <w:jc w:val="both"/>
      </w:pPr>
      <w:r w:rsidRPr="00C62438">
        <w:t>V případě příspěvků na mobilitu by se roční náklady na sociální dávky zvýšili o 550 korun českých na jedno dítě</w:t>
      </w:r>
      <w:r w:rsidR="00946FF5" w:rsidRPr="00C62438">
        <w:t xml:space="preserve"> a za jeden kalendářní měsíc</w:t>
      </w:r>
      <w:r w:rsidR="00F6323D" w:rsidRPr="00C62438">
        <w:t>. Lze předpokládat, že</w:t>
      </w:r>
      <w:r w:rsidRPr="00C62438">
        <w:t xml:space="preserve"> vzhledem k datům z roku 2017, </w:t>
      </w:r>
      <w:r w:rsidR="00F6323D" w:rsidRPr="00C62438">
        <w:t xml:space="preserve">se roční náklady na sociální dávky zvýší </w:t>
      </w:r>
      <w:r w:rsidRPr="00C62438">
        <w:t xml:space="preserve">o </w:t>
      </w:r>
      <w:r w:rsidR="00946FF5" w:rsidRPr="00C62438">
        <w:t xml:space="preserve">2 131 800 korun českých. </w:t>
      </w:r>
      <w:r w:rsidR="00260FEC" w:rsidRPr="00C62438">
        <w:t xml:space="preserve">O tyto náklady se obdobně jako o příspěvky na péči o zdravotně postižené dítě poměrně rozdělí kraje. </w:t>
      </w:r>
    </w:p>
    <w:p w14:paraId="2AAA4E5C" w14:textId="725A4AB7" w:rsidR="00D113FF" w:rsidRPr="00C62438" w:rsidRDefault="00D113FF" w:rsidP="00AA605D">
      <w:pPr>
        <w:ind w:left="426"/>
        <w:jc w:val="both"/>
      </w:pPr>
      <w:r w:rsidRPr="00C62438">
        <w:t xml:space="preserve">V případě příspěvků na zdravotní pomůcky lze předpokládat zanedbatelné navýšení, vzhledem k tomu, že jsou pomůcky zpravidla poskytovány jednorázově, zkrácení věku, od kterého lze příspěvek na pomůcku obdržet výrazně neovlivní celkové náklady na sociální dávky. </w:t>
      </w:r>
    </w:p>
    <w:p w14:paraId="0CF155A8" w14:textId="3AE621D4" w:rsidR="00D113FF" w:rsidRPr="00C62438" w:rsidRDefault="00D113FF" w:rsidP="00AA605D">
      <w:pPr>
        <w:ind w:left="426"/>
        <w:jc w:val="both"/>
      </w:pPr>
      <w:r w:rsidRPr="00C62438">
        <w:t xml:space="preserve">Navrhovaná právní úprava umožní rodinám s postiženým dítětem dřívější možnost spolufinancování náročné péče o postižené dítě. Lze předpokládat, že se výrazně sníží počet postižených dětí odkládaných do ústavní péče a také snížení stresorů u zatížených rodin. </w:t>
      </w:r>
    </w:p>
    <w:p w14:paraId="29ACA825" w14:textId="459FEE43" w:rsidR="00D113FF" w:rsidRDefault="00D113FF" w:rsidP="00AA605D">
      <w:pPr>
        <w:ind w:left="426"/>
        <w:jc w:val="both"/>
      </w:pPr>
      <w:r w:rsidRPr="00C62438">
        <w:t>Navrhovaná právní úprava nemá dopady na životní prostředí a národnostní menšiny.</w:t>
      </w:r>
    </w:p>
    <w:p w14:paraId="69F25A9C" w14:textId="2D71510C" w:rsidR="00D113FF" w:rsidRPr="001E315A" w:rsidRDefault="001E315A" w:rsidP="001E315A">
      <w:pPr>
        <w:ind w:left="426"/>
        <w:jc w:val="both"/>
      </w:pPr>
      <w:r>
        <w:t>Navrhovaná prá</w:t>
      </w:r>
      <w:r w:rsidR="0014710C">
        <w:t>v</w:t>
      </w:r>
      <w:bookmarkStart w:id="0" w:name="_GoBack"/>
      <w:bookmarkEnd w:id="0"/>
      <w:r>
        <w:t xml:space="preserve">ní úprava nemá dopady na rozpočty krajů a obcí. </w:t>
      </w:r>
    </w:p>
    <w:p w14:paraId="27433C42" w14:textId="77777777" w:rsidR="005A0A74" w:rsidRPr="00C62438" w:rsidRDefault="005A0A74" w:rsidP="00AA605D">
      <w:pPr>
        <w:pStyle w:val="Nzev"/>
        <w:spacing w:line="360" w:lineRule="auto"/>
      </w:pPr>
      <w:r w:rsidRPr="00C62438">
        <w:lastRenderedPageBreak/>
        <w:t>Zhodnocení korupčních rizik</w:t>
      </w:r>
    </w:p>
    <w:p w14:paraId="596B7D9A" w14:textId="77777777" w:rsidR="005A0A74" w:rsidRPr="00C62438" w:rsidRDefault="005A0A74" w:rsidP="00AA605D">
      <w:pPr>
        <w:ind w:left="425"/>
        <w:jc w:val="both"/>
      </w:pPr>
      <w:r w:rsidRPr="00C62438">
        <w:t xml:space="preserve">Navrhovaná právní úprava nezavdává vzniku žádných korupčních rizik. </w:t>
      </w:r>
    </w:p>
    <w:p w14:paraId="0BBE5DAE" w14:textId="77777777" w:rsidR="005A0A74" w:rsidRPr="00C62438" w:rsidRDefault="005A0A74" w:rsidP="00AA605D">
      <w:pPr>
        <w:pStyle w:val="Nzev"/>
        <w:spacing w:line="360" w:lineRule="auto"/>
      </w:pPr>
      <w:r w:rsidRPr="00C62438">
        <w:t>Zhodnocení dopadů na bezpečnost nebo obranu státu</w:t>
      </w:r>
    </w:p>
    <w:p w14:paraId="211CA2CC" w14:textId="77777777" w:rsidR="005A0A74" w:rsidRPr="00C62438" w:rsidRDefault="005A0A74" w:rsidP="00AA605D">
      <w:pPr>
        <w:ind w:left="426"/>
        <w:jc w:val="both"/>
      </w:pPr>
      <w:r w:rsidRPr="00C62438">
        <w:t xml:space="preserve">Navrhovaná právní úprava nemá vliv na bezpečnost nebo obranu státu. </w:t>
      </w:r>
    </w:p>
    <w:p w14:paraId="629E23A1" w14:textId="77777777" w:rsidR="005A0A74" w:rsidRPr="00C62438" w:rsidRDefault="005A0A74" w:rsidP="00040442">
      <w:pPr>
        <w:pStyle w:val="Nadpis1"/>
        <w:rPr>
          <w:rFonts w:cs="Times New Roman"/>
          <w:b/>
          <w:bCs/>
        </w:rPr>
      </w:pPr>
      <w:r w:rsidRPr="00C62438">
        <w:rPr>
          <w:rFonts w:cs="Times New Roman"/>
          <w:b/>
          <w:bCs/>
        </w:rPr>
        <w:t>Zvláštní část</w:t>
      </w:r>
    </w:p>
    <w:p w14:paraId="67C9C82E" w14:textId="77777777" w:rsidR="005A0A74" w:rsidRPr="00C62438" w:rsidRDefault="005A0A74" w:rsidP="00AA605D">
      <w:pPr>
        <w:pStyle w:val="Nadpis1"/>
        <w:jc w:val="both"/>
        <w:rPr>
          <w:rFonts w:cs="Times New Roman"/>
          <w:b/>
          <w:bCs/>
        </w:rPr>
      </w:pPr>
      <w:r w:rsidRPr="00C62438">
        <w:rPr>
          <w:rFonts w:cs="Times New Roman"/>
          <w:b/>
          <w:bCs/>
        </w:rPr>
        <w:t>ČÁST PRVNÍ</w:t>
      </w:r>
    </w:p>
    <w:p w14:paraId="43116DBE" w14:textId="4C7DB58E" w:rsidR="005A0A74" w:rsidRPr="00C62438" w:rsidRDefault="005A0A74" w:rsidP="00AA605D">
      <w:pPr>
        <w:tabs>
          <w:tab w:val="left" w:pos="2030"/>
        </w:tabs>
        <w:jc w:val="both"/>
      </w:pPr>
      <w:r w:rsidRPr="00C62438">
        <w:rPr>
          <w:b/>
          <w:bCs/>
          <w:u w:val="single"/>
        </w:rPr>
        <w:t>K</w:t>
      </w:r>
      <w:r w:rsidR="003E4CF0" w:rsidRPr="00C62438">
        <w:rPr>
          <w:b/>
          <w:bCs/>
          <w:u w:val="single"/>
        </w:rPr>
        <w:t xml:space="preserve"> čl. I </w:t>
      </w:r>
      <w:r w:rsidRPr="00C62438">
        <w:rPr>
          <w:b/>
          <w:bCs/>
          <w:u w:val="single"/>
        </w:rPr>
        <w:t>bodu 1</w:t>
      </w:r>
      <w:r w:rsidR="00D113FF" w:rsidRPr="00C62438">
        <w:t xml:space="preserve"> </w:t>
      </w:r>
    </w:p>
    <w:p w14:paraId="07205BD9" w14:textId="6FB456CF" w:rsidR="00D113FF" w:rsidRPr="00C62438" w:rsidRDefault="00D113FF" w:rsidP="00AA605D">
      <w:pPr>
        <w:tabs>
          <w:tab w:val="left" w:pos="2030"/>
        </w:tabs>
        <w:jc w:val="both"/>
      </w:pPr>
      <w:r w:rsidRPr="00C62438">
        <w:t xml:space="preserve">U osoby, která má nárok na průkaz osoby se zdravotním postižením nebude v případě nároku na příspěvek na mobilitu vyžadováno dosažení jednoho roku věku. Nárok na příspěvek bude mít osoba se zdravotním postižením již v případě diagnostikovaného zdravotního postižení, respektive narození a diagnostikovaného zdravotního postižení. </w:t>
      </w:r>
    </w:p>
    <w:p w14:paraId="0EABF47C" w14:textId="155626CB" w:rsidR="005A0A74" w:rsidRPr="00C62438" w:rsidRDefault="005A0A74" w:rsidP="00AA605D">
      <w:pPr>
        <w:jc w:val="both"/>
        <w:rPr>
          <w:b/>
          <w:bCs/>
          <w:u w:val="single"/>
        </w:rPr>
      </w:pPr>
      <w:r w:rsidRPr="00C62438">
        <w:rPr>
          <w:b/>
          <w:bCs/>
          <w:u w:val="single"/>
        </w:rPr>
        <w:t>K</w:t>
      </w:r>
      <w:r w:rsidR="003E4CF0" w:rsidRPr="00C62438">
        <w:rPr>
          <w:b/>
          <w:bCs/>
          <w:u w:val="single"/>
        </w:rPr>
        <w:t xml:space="preserve"> čl. I </w:t>
      </w:r>
      <w:r w:rsidRPr="00C62438">
        <w:rPr>
          <w:b/>
          <w:bCs/>
          <w:u w:val="single"/>
        </w:rPr>
        <w:t>bodu 2</w:t>
      </w:r>
      <w:r w:rsidR="00D113FF" w:rsidRPr="00C62438">
        <w:rPr>
          <w:b/>
          <w:bCs/>
          <w:u w:val="single"/>
        </w:rPr>
        <w:t xml:space="preserve"> a 3</w:t>
      </w:r>
    </w:p>
    <w:p w14:paraId="55FD56CC" w14:textId="30BAF846" w:rsidR="00D113FF" w:rsidRPr="00C62438" w:rsidRDefault="00D113FF" w:rsidP="00AA605D">
      <w:pPr>
        <w:jc w:val="both"/>
      </w:pPr>
      <w:r w:rsidRPr="00C62438">
        <w:t xml:space="preserve">V případech neuvedených v § 9 odst. 5 bodech 2 a 3 budou mít osoby splňující další zákonné podmínky nárok na příspěvek na zvláštní pomůcku. Nově tedy osoby mladší jednoho roku budou mít možnost získat příspěvek na zvláštní pomůcky. </w:t>
      </w:r>
    </w:p>
    <w:p w14:paraId="1C7777D2" w14:textId="6D098C8B" w:rsidR="005A0A74" w:rsidRPr="00C62438" w:rsidRDefault="005A0A74" w:rsidP="00AA605D">
      <w:pPr>
        <w:jc w:val="both"/>
        <w:rPr>
          <w:b/>
          <w:bCs/>
          <w:u w:val="single"/>
        </w:rPr>
      </w:pPr>
      <w:r w:rsidRPr="00C62438">
        <w:rPr>
          <w:b/>
          <w:bCs/>
          <w:u w:val="single"/>
        </w:rPr>
        <w:t>K</w:t>
      </w:r>
      <w:r w:rsidR="003E4CF0" w:rsidRPr="00C62438">
        <w:rPr>
          <w:b/>
          <w:bCs/>
          <w:u w:val="single"/>
        </w:rPr>
        <w:t xml:space="preserve"> čl. I </w:t>
      </w:r>
      <w:r w:rsidRPr="00C62438">
        <w:rPr>
          <w:b/>
          <w:bCs/>
          <w:u w:val="single"/>
        </w:rPr>
        <w:t>bodu 4</w:t>
      </w:r>
    </w:p>
    <w:p w14:paraId="3CD681F2" w14:textId="25FDCD77" w:rsidR="00D113FF" w:rsidRPr="00C62438" w:rsidRDefault="00D113FF" w:rsidP="00AA605D">
      <w:pPr>
        <w:jc w:val="both"/>
      </w:pPr>
      <w:r w:rsidRPr="00C62438">
        <w:t xml:space="preserve">Vzhledem ke zrušení podmínky dosažení 1 roku v případech nároku na příspěvek na mobilitu nebo v případech příspěvku na zvláštní pomůcku, budou mít osoby se zdravotním postižením nárok na získání průkazu osob se zdravotním postižením i před dosažením jednoho roku věku. </w:t>
      </w:r>
    </w:p>
    <w:p w14:paraId="2D250146" w14:textId="5FA5B5FF" w:rsidR="00D113FF" w:rsidRPr="00C62438" w:rsidRDefault="00D113FF" w:rsidP="00AA605D">
      <w:pPr>
        <w:pStyle w:val="Nadpis1"/>
        <w:jc w:val="both"/>
        <w:rPr>
          <w:rFonts w:cs="Times New Roman"/>
          <w:b/>
          <w:bCs/>
        </w:rPr>
      </w:pPr>
      <w:r w:rsidRPr="00C62438">
        <w:rPr>
          <w:rFonts w:cs="Times New Roman"/>
          <w:b/>
          <w:bCs/>
        </w:rPr>
        <w:t>ČÁST DRUHÁ</w:t>
      </w:r>
    </w:p>
    <w:p w14:paraId="0FEE2493" w14:textId="05837019" w:rsidR="00D113FF" w:rsidRPr="00C62438" w:rsidRDefault="00D113FF" w:rsidP="00AA605D">
      <w:pPr>
        <w:jc w:val="both"/>
        <w:rPr>
          <w:b/>
          <w:bCs/>
          <w:u w:val="single"/>
        </w:rPr>
      </w:pPr>
      <w:r w:rsidRPr="00C62438">
        <w:rPr>
          <w:b/>
          <w:bCs/>
          <w:u w:val="single"/>
        </w:rPr>
        <w:t>K</w:t>
      </w:r>
      <w:r w:rsidR="003E4CF0" w:rsidRPr="00C62438">
        <w:rPr>
          <w:b/>
          <w:bCs/>
          <w:u w:val="single"/>
        </w:rPr>
        <w:t xml:space="preserve"> čl. III </w:t>
      </w:r>
      <w:r w:rsidRPr="00C62438">
        <w:rPr>
          <w:b/>
          <w:bCs/>
          <w:u w:val="single"/>
        </w:rPr>
        <w:t>bodu 1</w:t>
      </w:r>
    </w:p>
    <w:p w14:paraId="19960BDF" w14:textId="419B44D2" w:rsidR="00D113FF" w:rsidRPr="00C62438" w:rsidRDefault="00D113FF" w:rsidP="00AA605D">
      <w:pPr>
        <w:jc w:val="both"/>
      </w:pPr>
      <w:r w:rsidRPr="00C62438">
        <w:t xml:space="preserve">Z podmínek nároku na příspěvek na péči bude odstraněna podmínka dosažení jednoho roku věku. </w:t>
      </w:r>
    </w:p>
    <w:p w14:paraId="7CABF497" w14:textId="48FD275B" w:rsidR="00D113FF" w:rsidRPr="00C62438" w:rsidRDefault="00D113FF" w:rsidP="00AA605D">
      <w:pPr>
        <w:pStyle w:val="Nadpis1"/>
        <w:jc w:val="both"/>
        <w:rPr>
          <w:rFonts w:cs="Times New Roman"/>
          <w:b/>
          <w:bCs/>
        </w:rPr>
      </w:pPr>
      <w:r w:rsidRPr="00C62438">
        <w:rPr>
          <w:rFonts w:cs="Times New Roman"/>
          <w:b/>
          <w:bCs/>
        </w:rPr>
        <w:t xml:space="preserve">ČÁST TŘETÍ </w:t>
      </w:r>
    </w:p>
    <w:p w14:paraId="5789E2ED" w14:textId="6FA677CD" w:rsidR="00721A76" w:rsidRPr="00C62438" w:rsidRDefault="00721A76" w:rsidP="00AA605D">
      <w:pPr>
        <w:jc w:val="both"/>
        <w:rPr>
          <w:b/>
          <w:bCs/>
          <w:u w:val="single"/>
        </w:rPr>
      </w:pPr>
      <w:r w:rsidRPr="00C62438">
        <w:rPr>
          <w:b/>
          <w:bCs/>
          <w:u w:val="single"/>
        </w:rPr>
        <w:t>K čl. V</w:t>
      </w:r>
    </w:p>
    <w:p w14:paraId="32DBB396" w14:textId="617B7023" w:rsidR="00D113FF" w:rsidRPr="00C62438" w:rsidRDefault="00D113FF" w:rsidP="00AA605D">
      <w:pPr>
        <w:jc w:val="both"/>
      </w:pPr>
      <w:r w:rsidRPr="00C62438">
        <w:lastRenderedPageBreak/>
        <w:t xml:space="preserve">Navrhovaná právní úprava počítá s nabytím účinnosti od 1. ledna 2021 z důvodu reflektování změn, tímto návrhem předpokládanými, v návrhu státního rozpočtu na rok 2021. </w:t>
      </w:r>
    </w:p>
    <w:p w14:paraId="060C3085" w14:textId="565780F1" w:rsidR="003E4CF0" w:rsidRPr="00C62438" w:rsidRDefault="003E4CF0" w:rsidP="005A0A74"/>
    <w:p w14:paraId="75FA77C3" w14:textId="34AEC2BC" w:rsidR="003E4CF0" w:rsidRPr="00C62438" w:rsidRDefault="003E4CF0" w:rsidP="005A0A74">
      <w:r w:rsidRPr="00C62438">
        <w:t>V Praze dne</w:t>
      </w:r>
      <w:r w:rsidR="00280863">
        <w:t xml:space="preserve"> 16. ledna 2020.</w:t>
      </w:r>
    </w:p>
    <w:p w14:paraId="59453C99" w14:textId="5032A900" w:rsidR="003E4CF0" w:rsidRPr="00C62438" w:rsidRDefault="003E4CF0" w:rsidP="005A0A74"/>
    <w:p w14:paraId="72B5778A" w14:textId="77777777" w:rsidR="00280863" w:rsidRDefault="00280863" w:rsidP="00280863">
      <w:pPr>
        <w:suppressAutoHyphens w:val="0"/>
        <w:spacing w:before="240" w:after="240"/>
      </w:pPr>
      <w:r>
        <w:t xml:space="preserve">Mgr. Vít Rakušan </w:t>
      </w:r>
      <w:proofErr w:type="gramStart"/>
      <w:r>
        <w:t>v.r.</w:t>
      </w:r>
      <w:proofErr w:type="gramEnd"/>
    </w:p>
    <w:p w14:paraId="36B7E930" w14:textId="77777777" w:rsidR="00280863" w:rsidRDefault="00280863" w:rsidP="00280863">
      <w:pPr>
        <w:suppressAutoHyphens w:val="0"/>
        <w:spacing w:before="240" w:after="240"/>
      </w:pPr>
      <w:r>
        <w:t xml:space="preserve">Ing. Jan Farský </w:t>
      </w:r>
      <w:proofErr w:type="gramStart"/>
      <w:r>
        <w:t>v.r.</w:t>
      </w:r>
      <w:proofErr w:type="gramEnd"/>
    </w:p>
    <w:p w14:paraId="48799A3F" w14:textId="77777777" w:rsidR="00280863" w:rsidRDefault="00280863" w:rsidP="00280863">
      <w:pPr>
        <w:suppressAutoHyphens w:val="0"/>
        <w:spacing w:before="240" w:after="240"/>
      </w:pPr>
      <w:r>
        <w:t xml:space="preserve">Mgr. Věra Kovářová </w:t>
      </w:r>
      <w:proofErr w:type="gramStart"/>
      <w:r>
        <w:t>v.r.</w:t>
      </w:r>
      <w:proofErr w:type="gramEnd"/>
    </w:p>
    <w:p w14:paraId="7C1F4B7C" w14:textId="77777777" w:rsidR="00280863" w:rsidRDefault="00280863" w:rsidP="00280863">
      <w:pPr>
        <w:suppressAutoHyphens w:val="0"/>
        <w:spacing w:before="240" w:after="240"/>
      </w:pPr>
      <w:r>
        <w:t xml:space="preserve">Mgr. Petr Gazdík </w:t>
      </w:r>
      <w:proofErr w:type="gramStart"/>
      <w:r>
        <w:t>v.r.</w:t>
      </w:r>
      <w:proofErr w:type="gramEnd"/>
    </w:p>
    <w:p w14:paraId="579FC3C4" w14:textId="77777777" w:rsidR="00280863" w:rsidRDefault="00280863" w:rsidP="00280863">
      <w:pPr>
        <w:suppressAutoHyphens w:val="0"/>
        <w:spacing w:before="240" w:after="240"/>
      </w:pPr>
      <w:r>
        <w:t xml:space="preserve">Ing. Jana </w:t>
      </w:r>
      <w:proofErr w:type="spellStart"/>
      <w:r>
        <w:t>Krutáková</w:t>
      </w:r>
      <w:proofErr w:type="spellEnd"/>
      <w:r>
        <w:t xml:space="preserve"> </w:t>
      </w:r>
      <w:proofErr w:type="gramStart"/>
      <w:r>
        <w:t>v.r.</w:t>
      </w:r>
      <w:proofErr w:type="gramEnd"/>
    </w:p>
    <w:p w14:paraId="27260973" w14:textId="77777777" w:rsidR="00280863" w:rsidRDefault="00280863" w:rsidP="00280863">
      <w:pPr>
        <w:suppressAutoHyphens w:val="0"/>
        <w:spacing w:before="240" w:after="240"/>
      </w:pPr>
      <w:r>
        <w:t xml:space="preserve">Ing. Petr Pávek </w:t>
      </w:r>
      <w:proofErr w:type="gramStart"/>
      <w:r>
        <w:t>v.r.</w:t>
      </w:r>
      <w:proofErr w:type="gramEnd"/>
    </w:p>
    <w:p w14:paraId="7945530C" w14:textId="77777777" w:rsidR="00280863" w:rsidRDefault="00280863" w:rsidP="00280863">
      <w:pPr>
        <w:suppressAutoHyphens w:val="0"/>
        <w:spacing w:before="240" w:after="240"/>
      </w:pPr>
      <w:r>
        <w:t xml:space="preserve">Ing. Monika </w:t>
      </w:r>
      <w:proofErr w:type="spellStart"/>
      <w:r>
        <w:t>Červíčková</w:t>
      </w:r>
      <w:proofErr w:type="spellEnd"/>
    </w:p>
    <w:p w14:paraId="738FDE21" w14:textId="77777777" w:rsidR="00280863" w:rsidRDefault="00280863" w:rsidP="00280863">
      <w:pPr>
        <w:suppressAutoHyphens w:val="0"/>
        <w:spacing w:before="240" w:after="240"/>
      </w:pPr>
      <w:r>
        <w:t>Bc. Lucie Šafránková</w:t>
      </w:r>
    </w:p>
    <w:p w14:paraId="7149920B" w14:textId="77777777" w:rsidR="00280863" w:rsidRDefault="00280863" w:rsidP="00280863">
      <w:pPr>
        <w:suppressAutoHyphens w:val="0"/>
        <w:spacing w:before="240" w:after="240"/>
      </w:pPr>
      <w:r>
        <w:t xml:space="preserve">Mgr. Bc. Pavla </w:t>
      </w:r>
      <w:proofErr w:type="spellStart"/>
      <w:r>
        <w:t>Golasowská</w:t>
      </w:r>
      <w:proofErr w:type="spellEnd"/>
      <w:r>
        <w:t xml:space="preserve">, </w:t>
      </w:r>
      <w:proofErr w:type="spellStart"/>
      <w:r>
        <w:t>DiS</w:t>
      </w:r>
      <w:proofErr w:type="spellEnd"/>
      <w:r>
        <w:t>.</w:t>
      </w:r>
    </w:p>
    <w:p w14:paraId="2E74AC27" w14:textId="77777777" w:rsidR="00280863" w:rsidRDefault="00280863" w:rsidP="00280863">
      <w:pPr>
        <w:suppressAutoHyphens w:val="0"/>
        <w:spacing w:before="240" w:after="240"/>
      </w:pPr>
      <w:r>
        <w:t>MUDr. Vít Kaňkovský</w:t>
      </w:r>
    </w:p>
    <w:p w14:paraId="4CFD2D42" w14:textId="77777777" w:rsidR="00280863" w:rsidRDefault="00280863" w:rsidP="00280863">
      <w:pPr>
        <w:suppressAutoHyphens w:val="0"/>
        <w:spacing w:before="240" w:after="240"/>
      </w:pPr>
      <w:r>
        <w:t xml:space="preserve">Doc. PaedDr. Ilona </w:t>
      </w:r>
      <w:proofErr w:type="spellStart"/>
      <w:r>
        <w:t>Mauritzová</w:t>
      </w:r>
      <w:proofErr w:type="spellEnd"/>
      <w:r>
        <w:t>, Ph.D.</w:t>
      </w:r>
    </w:p>
    <w:p w14:paraId="27BE15B2" w14:textId="77777777" w:rsidR="00280863" w:rsidRDefault="00280863" w:rsidP="00280863">
      <w:pPr>
        <w:suppressAutoHyphens w:val="0"/>
        <w:spacing w:before="240" w:after="240"/>
      </w:pPr>
      <w:r>
        <w:t xml:space="preserve">Mgr. Helena </w:t>
      </w:r>
      <w:proofErr w:type="spellStart"/>
      <w:r>
        <w:t>Langšádlová</w:t>
      </w:r>
      <w:proofErr w:type="spellEnd"/>
    </w:p>
    <w:p w14:paraId="4253038A" w14:textId="77777777" w:rsidR="00280863" w:rsidRDefault="00280863" w:rsidP="00280863">
      <w:pPr>
        <w:suppressAutoHyphens w:val="0"/>
        <w:spacing w:before="240" w:after="240"/>
      </w:pPr>
      <w:r>
        <w:t>Mgr. Marek Výborný</w:t>
      </w:r>
    </w:p>
    <w:p w14:paraId="05BB8F9E" w14:textId="77777777" w:rsidR="00280863" w:rsidRDefault="00280863" w:rsidP="00280863">
      <w:pPr>
        <w:suppressAutoHyphens w:val="0"/>
        <w:spacing w:before="240" w:after="240"/>
      </w:pPr>
      <w:r>
        <w:t>Mgr. Jan Čižinský</w:t>
      </w:r>
    </w:p>
    <w:p w14:paraId="078142A5" w14:textId="77777777" w:rsidR="00280863" w:rsidRDefault="00280863" w:rsidP="00280863">
      <w:pPr>
        <w:suppressAutoHyphens w:val="0"/>
        <w:spacing w:before="240" w:after="240"/>
      </w:pPr>
      <w:r>
        <w:t xml:space="preserve">MVDr. Pavel </w:t>
      </w:r>
      <w:proofErr w:type="spellStart"/>
      <w:r>
        <w:t>Bělobrádek</w:t>
      </w:r>
      <w:proofErr w:type="spellEnd"/>
      <w:r>
        <w:t>, Ph.D., MPA</w:t>
      </w:r>
    </w:p>
    <w:p w14:paraId="304AD057" w14:textId="77777777" w:rsidR="00280863" w:rsidRDefault="00280863" w:rsidP="00280863">
      <w:pPr>
        <w:suppressAutoHyphens w:val="0"/>
        <w:spacing w:before="240" w:after="240"/>
      </w:pPr>
      <w:r>
        <w:t>Ing. Jan Bauer</w:t>
      </w:r>
    </w:p>
    <w:p w14:paraId="6DEECB6F" w14:textId="113D7CCE" w:rsidR="007D723E" w:rsidRPr="00C62438" w:rsidRDefault="007D723E" w:rsidP="004F0341"/>
    <w:sectPr w:rsidR="007D723E" w:rsidRPr="00C62438" w:rsidSect="009600D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45F50"/>
    <w:multiLevelType w:val="hybridMultilevel"/>
    <w:tmpl w:val="90DE0284"/>
    <w:lvl w:ilvl="0" w:tplc="D7C42A00">
      <w:start w:val="1"/>
      <w:numFmt w:val="decimal"/>
      <w:lvlText w:val="(%1)"/>
      <w:lvlJc w:val="left"/>
      <w:pPr>
        <w:ind w:left="720" w:hanging="360"/>
      </w:pPr>
      <w:rPr>
        <w:rFonts w:hint="default"/>
        <w:b w:val="0"/>
        <w:bCs/>
      </w:rPr>
    </w:lvl>
    <w:lvl w:ilvl="1" w:tplc="30A6A098">
      <w:start w:val="1"/>
      <w:numFmt w:val="lowerLetter"/>
      <w:lvlText w:val="%2)"/>
      <w:lvlJc w:val="left"/>
      <w:pPr>
        <w:ind w:left="1440" w:hanging="360"/>
      </w:pPr>
      <w:rPr>
        <w:rFonts w:hint="default"/>
        <w:b w:val="0"/>
        <w:bCs/>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8B5E7A"/>
    <w:multiLevelType w:val="hybridMultilevel"/>
    <w:tmpl w:val="3D043FB8"/>
    <w:lvl w:ilvl="0" w:tplc="F9364C32">
      <w:start w:val="1"/>
      <w:numFmt w:val="decimal"/>
      <w:lvlText w:val="(%1)"/>
      <w:lvlJc w:val="left"/>
      <w:pPr>
        <w:ind w:left="720" w:hanging="360"/>
      </w:pPr>
      <w:rPr>
        <w:rFonts w:hint="default"/>
        <w:b w:val="0"/>
        <w:bCs/>
      </w:rPr>
    </w:lvl>
    <w:lvl w:ilvl="1" w:tplc="1A6E368C">
      <w:start w:val="1"/>
      <w:numFmt w:val="lowerLetter"/>
      <w:lvlText w:val="%2)"/>
      <w:lvlJc w:val="left"/>
      <w:pPr>
        <w:ind w:left="1440" w:hanging="360"/>
      </w:pPr>
      <w:rPr>
        <w:rFonts w:hint="default"/>
        <w:b w:val="0"/>
        <w:bCs/>
      </w:rPr>
    </w:lvl>
    <w:lvl w:ilvl="2" w:tplc="CEAE74DA">
      <w:start w:val="1"/>
      <w:numFmt w:val="decimal"/>
      <w:lvlText w:val="%3."/>
      <w:lvlJc w:val="left"/>
      <w:pPr>
        <w:ind w:left="2340" w:hanging="360"/>
      </w:pPr>
      <w:rPr>
        <w:rFonts w:hint="default"/>
        <w:b w:val="0"/>
        <w:bCs/>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110755"/>
    <w:multiLevelType w:val="hybridMultilevel"/>
    <w:tmpl w:val="F6C6CCF6"/>
    <w:lvl w:ilvl="0" w:tplc="7CC0579A">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3D21E29"/>
    <w:multiLevelType w:val="hybridMultilevel"/>
    <w:tmpl w:val="2C1EC762"/>
    <w:lvl w:ilvl="0" w:tplc="5B44ABE2">
      <w:start w:val="1"/>
      <w:numFmt w:val="decimal"/>
      <w:lvlText w:val="(%1)"/>
      <w:lvlJc w:val="left"/>
      <w:pPr>
        <w:ind w:left="720" w:hanging="360"/>
      </w:pPr>
      <w:rPr>
        <w:rFonts w:hint="default"/>
        <w:b w:val="0"/>
        <w:bCs/>
      </w:rPr>
    </w:lvl>
    <w:lvl w:ilvl="1" w:tplc="92D80C28">
      <w:start w:val="1"/>
      <w:numFmt w:val="lowerLetter"/>
      <w:lvlText w:val="%2)"/>
      <w:lvlJc w:val="left"/>
      <w:pPr>
        <w:ind w:left="1440" w:hanging="360"/>
      </w:pPr>
      <w:rPr>
        <w:rFonts w:hint="default"/>
        <w:b w:val="0"/>
        <w:bCs/>
      </w:rPr>
    </w:lvl>
    <w:lvl w:ilvl="2" w:tplc="CA28FA9C">
      <w:start w:val="1"/>
      <w:numFmt w:val="decimal"/>
      <w:lvlText w:val="%3."/>
      <w:lvlJc w:val="left"/>
      <w:pPr>
        <w:ind w:left="2340" w:hanging="360"/>
      </w:pPr>
      <w:rPr>
        <w:rFonts w:hint="default"/>
        <w:b w:val="0"/>
        <w:bCs/>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382039"/>
    <w:multiLevelType w:val="hybridMultilevel"/>
    <w:tmpl w:val="A7D2A822"/>
    <w:lvl w:ilvl="0" w:tplc="BB2E6CC8">
      <w:start w:val="1"/>
      <w:numFmt w:val="decimal"/>
      <w:pStyle w:val="Nzev"/>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8A7182"/>
    <w:multiLevelType w:val="hybridMultilevel"/>
    <w:tmpl w:val="3AB8179A"/>
    <w:lvl w:ilvl="0" w:tplc="F280D44C">
      <w:start w:val="1"/>
      <w:numFmt w:val="decimal"/>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D905B04"/>
    <w:multiLevelType w:val="hybridMultilevel"/>
    <w:tmpl w:val="E6B4074A"/>
    <w:lvl w:ilvl="0" w:tplc="72464D18">
      <w:start w:val="1"/>
      <w:numFmt w:val="decimal"/>
      <w:lvlText w:val="(%1)"/>
      <w:lvlJc w:val="left"/>
      <w:pPr>
        <w:ind w:left="720" w:hanging="360"/>
      </w:pPr>
      <w:rPr>
        <w:rFonts w:hint="default"/>
        <w:b w:val="0"/>
        <w:bCs/>
      </w:rPr>
    </w:lvl>
    <w:lvl w:ilvl="1" w:tplc="FF0AF0D6">
      <w:start w:val="1"/>
      <w:numFmt w:val="lowerLetter"/>
      <w:lvlText w:val="%2)"/>
      <w:lvlJc w:val="left"/>
      <w:pPr>
        <w:ind w:left="1440" w:hanging="360"/>
      </w:pPr>
      <w:rPr>
        <w:rFonts w:hint="default"/>
        <w:b w:val="0"/>
        <w:bCs/>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8B262BB"/>
    <w:multiLevelType w:val="hybridMultilevel"/>
    <w:tmpl w:val="265A96C2"/>
    <w:lvl w:ilvl="0" w:tplc="22C400C8">
      <w:start w:val="1"/>
      <w:numFmt w:val="decimal"/>
      <w:lvlText w:val="(%1)"/>
      <w:lvlJc w:val="left"/>
      <w:pPr>
        <w:ind w:left="720" w:hanging="360"/>
      </w:pPr>
      <w:rPr>
        <w:rFonts w:hint="default"/>
        <w:b w:val="0"/>
        <w:bCs/>
      </w:rPr>
    </w:lvl>
    <w:lvl w:ilvl="1" w:tplc="1B12F43E">
      <w:start w:val="1"/>
      <w:numFmt w:val="lowerLetter"/>
      <w:lvlText w:val="%2)"/>
      <w:lvlJc w:val="left"/>
      <w:pPr>
        <w:ind w:left="1440" w:hanging="360"/>
      </w:pPr>
      <w:rPr>
        <w:rFonts w:hint="default"/>
        <w:b w:val="0"/>
        <w:bCs/>
      </w:rPr>
    </w:lvl>
    <w:lvl w:ilvl="2" w:tplc="0AF6B96E">
      <w:start w:val="1"/>
      <w:numFmt w:val="decimal"/>
      <w:lvlText w:val="%3."/>
      <w:lvlJc w:val="left"/>
      <w:pPr>
        <w:ind w:left="2340" w:hanging="360"/>
      </w:pPr>
      <w:rPr>
        <w:rFonts w:hint="default"/>
        <w:b w:val="0"/>
        <w:bCs/>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AFD6F53"/>
    <w:multiLevelType w:val="hybridMultilevel"/>
    <w:tmpl w:val="C12642B6"/>
    <w:lvl w:ilvl="0" w:tplc="BA386E5A">
      <w:start w:val="1"/>
      <w:numFmt w:val="decimal"/>
      <w:lvlText w:val="(%1)"/>
      <w:lvlJc w:val="left"/>
      <w:pPr>
        <w:ind w:left="720" w:hanging="360"/>
      </w:pPr>
      <w:rPr>
        <w:rFonts w:hint="default"/>
        <w:b w:val="0"/>
        <w:bCs/>
      </w:rPr>
    </w:lvl>
    <w:lvl w:ilvl="1" w:tplc="C6568518">
      <w:start w:val="1"/>
      <w:numFmt w:val="lowerLetter"/>
      <w:lvlText w:val="%2)"/>
      <w:lvlJc w:val="left"/>
      <w:pPr>
        <w:ind w:left="1440" w:hanging="360"/>
      </w:pPr>
      <w:rPr>
        <w:rFonts w:hint="default"/>
        <w:b w:val="0"/>
        <w:bCs/>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C03732D"/>
    <w:multiLevelType w:val="hybridMultilevel"/>
    <w:tmpl w:val="976E0358"/>
    <w:lvl w:ilvl="0" w:tplc="F5046664">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02936AB"/>
    <w:multiLevelType w:val="hybridMultilevel"/>
    <w:tmpl w:val="5A887344"/>
    <w:lvl w:ilvl="0" w:tplc="C55AC76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C137FE"/>
    <w:multiLevelType w:val="hybridMultilevel"/>
    <w:tmpl w:val="6D3030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57D0C58"/>
    <w:multiLevelType w:val="hybridMultilevel"/>
    <w:tmpl w:val="4F10AA58"/>
    <w:lvl w:ilvl="0" w:tplc="9A7C1C08">
      <w:start w:val="1"/>
      <w:numFmt w:val="decimal"/>
      <w:lvlText w:val="(%1)"/>
      <w:lvlJc w:val="left"/>
      <w:pPr>
        <w:ind w:left="720" w:hanging="360"/>
      </w:pPr>
      <w:rPr>
        <w:rFonts w:hint="default"/>
        <w:b w:val="0"/>
        <w:bCs/>
      </w:rPr>
    </w:lvl>
    <w:lvl w:ilvl="1" w:tplc="684A390A">
      <w:start w:val="1"/>
      <w:numFmt w:val="lowerLetter"/>
      <w:lvlText w:val="%2)"/>
      <w:lvlJc w:val="left"/>
      <w:pPr>
        <w:ind w:left="1440" w:hanging="360"/>
      </w:pPr>
      <w:rPr>
        <w:rFonts w:hint="default"/>
        <w:b w:val="0"/>
        <w:bCs/>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9E76701"/>
    <w:multiLevelType w:val="hybridMultilevel"/>
    <w:tmpl w:val="C136AF10"/>
    <w:lvl w:ilvl="0" w:tplc="FCCA90BC">
      <w:start w:val="1"/>
      <w:numFmt w:val="decimal"/>
      <w:lvlText w:val="(%1)"/>
      <w:lvlJc w:val="left"/>
      <w:pPr>
        <w:ind w:left="720" w:hanging="360"/>
      </w:pPr>
      <w:rPr>
        <w:rFonts w:hint="default"/>
        <w:b w:val="0"/>
        <w:bCs/>
      </w:rPr>
    </w:lvl>
    <w:lvl w:ilvl="1" w:tplc="3CC810AC">
      <w:start w:val="1"/>
      <w:numFmt w:val="lowerLetter"/>
      <w:lvlText w:val="%2)"/>
      <w:lvlJc w:val="left"/>
      <w:pPr>
        <w:ind w:left="1440" w:hanging="360"/>
      </w:pPr>
      <w:rPr>
        <w:rFonts w:hint="default"/>
        <w:b w:val="0"/>
        <w:bCs/>
      </w:rPr>
    </w:lvl>
    <w:lvl w:ilvl="2" w:tplc="AF723216">
      <w:start w:val="1"/>
      <w:numFmt w:val="decimal"/>
      <w:lvlText w:val="%3."/>
      <w:lvlJc w:val="left"/>
      <w:pPr>
        <w:ind w:left="2340" w:hanging="360"/>
      </w:pPr>
      <w:rPr>
        <w:rFonts w:hint="default"/>
        <w:b w:val="0"/>
        <w:bCs/>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E7A5306"/>
    <w:multiLevelType w:val="hybridMultilevel"/>
    <w:tmpl w:val="54BAEEFC"/>
    <w:lvl w:ilvl="0" w:tplc="E2C07806">
      <w:start w:val="1"/>
      <w:numFmt w:val="decimal"/>
      <w:lvlText w:val="(%1)"/>
      <w:lvlJc w:val="left"/>
      <w:pPr>
        <w:ind w:left="720" w:hanging="360"/>
      </w:pPr>
      <w:rPr>
        <w:rFonts w:hint="default"/>
        <w:b w:val="0"/>
        <w:bCs/>
      </w:rPr>
    </w:lvl>
    <w:lvl w:ilvl="1" w:tplc="F6F00B78">
      <w:start w:val="1"/>
      <w:numFmt w:val="lowerLetter"/>
      <w:lvlText w:val="%2)"/>
      <w:lvlJc w:val="left"/>
      <w:pPr>
        <w:ind w:left="1440" w:hanging="360"/>
      </w:pPr>
      <w:rPr>
        <w:rFonts w:hint="default"/>
        <w:b w:val="0"/>
        <w:bCs/>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F035D5F"/>
    <w:multiLevelType w:val="hybridMultilevel"/>
    <w:tmpl w:val="1406B038"/>
    <w:lvl w:ilvl="0" w:tplc="5B461942">
      <w:start w:val="1"/>
      <w:numFmt w:val="decimal"/>
      <w:lvlText w:val="(%1)"/>
      <w:lvlJc w:val="left"/>
      <w:pPr>
        <w:ind w:left="720" w:hanging="360"/>
      </w:pPr>
      <w:rPr>
        <w:rFonts w:hint="default"/>
      </w:rPr>
    </w:lvl>
    <w:lvl w:ilvl="1" w:tplc="167619D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42F6507"/>
    <w:multiLevelType w:val="hybridMultilevel"/>
    <w:tmpl w:val="CD7A4378"/>
    <w:lvl w:ilvl="0" w:tplc="DD14CB2A">
      <w:start w:val="1"/>
      <w:numFmt w:val="decimal"/>
      <w:lvlText w:val="(%1)"/>
      <w:lvlJc w:val="left"/>
      <w:pPr>
        <w:ind w:left="720" w:hanging="360"/>
      </w:pPr>
      <w:rPr>
        <w:rFonts w:hint="default"/>
        <w:b w:val="0"/>
        <w:bCs/>
      </w:rPr>
    </w:lvl>
    <w:lvl w:ilvl="1" w:tplc="F2626370">
      <w:start w:val="1"/>
      <w:numFmt w:val="lowerLetter"/>
      <w:lvlText w:val="%2)"/>
      <w:lvlJc w:val="left"/>
      <w:pPr>
        <w:ind w:left="1440" w:hanging="360"/>
      </w:pPr>
      <w:rPr>
        <w:rFonts w:hint="default"/>
        <w:b w:val="0"/>
        <w:bCs/>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6CD3808"/>
    <w:multiLevelType w:val="hybridMultilevel"/>
    <w:tmpl w:val="46DE0C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71E5C01"/>
    <w:multiLevelType w:val="hybridMultilevel"/>
    <w:tmpl w:val="4BD81658"/>
    <w:lvl w:ilvl="0" w:tplc="DC1EEC2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A2E6518"/>
    <w:multiLevelType w:val="hybridMultilevel"/>
    <w:tmpl w:val="9FB0A910"/>
    <w:lvl w:ilvl="0" w:tplc="C55AC76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A7D45C1"/>
    <w:multiLevelType w:val="hybridMultilevel"/>
    <w:tmpl w:val="1406B038"/>
    <w:lvl w:ilvl="0" w:tplc="5B461942">
      <w:start w:val="1"/>
      <w:numFmt w:val="decimal"/>
      <w:lvlText w:val="(%1)"/>
      <w:lvlJc w:val="left"/>
      <w:pPr>
        <w:ind w:left="720" w:hanging="360"/>
      </w:pPr>
      <w:rPr>
        <w:rFonts w:hint="default"/>
      </w:rPr>
    </w:lvl>
    <w:lvl w:ilvl="1" w:tplc="167619D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E2F0D92"/>
    <w:multiLevelType w:val="hybridMultilevel"/>
    <w:tmpl w:val="81004E78"/>
    <w:lvl w:ilvl="0" w:tplc="1B12F43E">
      <w:start w:val="1"/>
      <w:numFmt w:val="lowerLetter"/>
      <w:lvlText w:val="%1)"/>
      <w:lvlJc w:val="left"/>
      <w:pPr>
        <w:ind w:left="144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F133114"/>
    <w:multiLevelType w:val="hybridMultilevel"/>
    <w:tmpl w:val="977023B8"/>
    <w:lvl w:ilvl="0" w:tplc="9822F79A">
      <w:start w:val="1"/>
      <w:numFmt w:val="decimal"/>
      <w:lvlText w:val="(%1)"/>
      <w:lvlJc w:val="left"/>
      <w:pPr>
        <w:ind w:left="720" w:hanging="360"/>
      </w:pPr>
      <w:rPr>
        <w:rFonts w:hint="default"/>
        <w:b w:val="0"/>
        <w:bCs/>
      </w:rPr>
    </w:lvl>
    <w:lvl w:ilvl="1" w:tplc="260C213E">
      <w:start w:val="1"/>
      <w:numFmt w:val="lowerLetter"/>
      <w:lvlText w:val="%2)"/>
      <w:lvlJc w:val="left"/>
      <w:pPr>
        <w:ind w:left="1440" w:hanging="360"/>
      </w:pPr>
      <w:rPr>
        <w:rFonts w:hint="default"/>
        <w:b w:val="0"/>
        <w:bCs/>
      </w:rPr>
    </w:lvl>
    <w:lvl w:ilvl="2" w:tplc="C5A4DD82">
      <w:start w:val="1"/>
      <w:numFmt w:val="decimal"/>
      <w:lvlText w:val="%3."/>
      <w:lvlJc w:val="left"/>
      <w:pPr>
        <w:ind w:left="2340" w:hanging="360"/>
      </w:pPr>
      <w:rPr>
        <w:rFonts w:hint="default"/>
        <w:b w:val="0"/>
        <w:bCs/>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F3C4C6C"/>
    <w:multiLevelType w:val="hybridMultilevel"/>
    <w:tmpl w:val="59E4FF80"/>
    <w:lvl w:ilvl="0" w:tplc="786C4A34">
      <w:start w:val="1"/>
      <w:numFmt w:val="decimal"/>
      <w:lvlText w:val="(%1)"/>
      <w:lvlJc w:val="left"/>
      <w:pPr>
        <w:ind w:left="720" w:hanging="360"/>
      </w:pPr>
      <w:rPr>
        <w:rFonts w:hint="default"/>
        <w:b w:val="0"/>
        <w:bCs/>
      </w:rPr>
    </w:lvl>
    <w:lvl w:ilvl="1" w:tplc="B9C402CC">
      <w:start w:val="1"/>
      <w:numFmt w:val="lowerLetter"/>
      <w:lvlText w:val="%2)"/>
      <w:lvlJc w:val="left"/>
      <w:pPr>
        <w:ind w:left="1440" w:hanging="360"/>
      </w:pPr>
      <w:rPr>
        <w:rFonts w:hint="default"/>
        <w:b w:val="0"/>
        <w:bCs/>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44A2A1E"/>
    <w:multiLevelType w:val="hybridMultilevel"/>
    <w:tmpl w:val="976E0358"/>
    <w:lvl w:ilvl="0" w:tplc="F5046664">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70733FD"/>
    <w:multiLevelType w:val="hybridMultilevel"/>
    <w:tmpl w:val="934414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90A5F9F"/>
    <w:multiLevelType w:val="hybridMultilevel"/>
    <w:tmpl w:val="D80CBEFC"/>
    <w:lvl w:ilvl="0" w:tplc="AA7AB08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BC939D3"/>
    <w:multiLevelType w:val="hybridMultilevel"/>
    <w:tmpl w:val="12082020"/>
    <w:lvl w:ilvl="0" w:tplc="C55AC76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D5F179B"/>
    <w:multiLevelType w:val="hybridMultilevel"/>
    <w:tmpl w:val="A77492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0716419"/>
    <w:multiLevelType w:val="hybridMultilevel"/>
    <w:tmpl w:val="107E3742"/>
    <w:lvl w:ilvl="0" w:tplc="E03A8A6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8FA539C"/>
    <w:multiLevelType w:val="hybridMultilevel"/>
    <w:tmpl w:val="47B2CD7E"/>
    <w:lvl w:ilvl="0" w:tplc="EAB0E0F2">
      <w:start w:val="1"/>
      <w:numFmt w:val="decimal"/>
      <w:lvlText w:val="(%1)"/>
      <w:lvlJc w:val="left"/>
      <w:pPr>
        <w:ind w:left="720" w:hanging="360"/>
      </w:pPr>
      <w:rPr>
        <w:rFonts w:hint="default"/>
        <w:b w:val="0"/>
        <w:bCs/>
      </w:rPr>
    </w:lvl>
    <w:lvl w:ilvl="1" w:tplc="487C3E38">
      <w:start w:val="1"/>
      <w:numFmt w:val="lowerLetter"/>
      <w:lvlText w:val="%2)"/>
      <w:lvlJc w:val="left"/>
      <w:pPr>
        <w:ind w:left="1440" w:hanging="360"/>
      </w:pPr>
      <w:rPr>
        <w:rFonts w:hint="default"/>
        <w:b w:val="0"/>
        <w:bCs/>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9"/>
  </w:num>
  <w:num w:numId="3">
    <w:abstractNumId w:val="15"/>
  </w:num>
  <w:num w:numId="4">
    <w:abstractNumId w:val="24"/>
  </w:num>
  <w:num w:numId="5">
    <w:abstractNumId w:val="25"/>
  </w:num>
  <w:num w:numId="6">
    <w:abstractNumId w:val="28"/>
  </w:num>
  <w:num w:numId="7">
    <w:abstractNumId w:val="29"/>
  </w:num>
  <w:num w:numId="8">
    <w:abstractNumId w:val="16"/>
  </w:num>
  <w:num w:numId="9">
    <w:abstractNumId w:val="7"/>
  </w:num>
  <w:num w:numId="10">
    <w:abstractNumId w:val="23"/>
  </w:num>
  <w:num w:numId="11">
    <w:abstractNumId w:val="5"/>
  </w:num>
  <w:num w:numId="12">
    <w:abstractNumId w:val="8"/>
  </w:num>
  <w:num w:numId="13">
    <w:abstractNumId w:val="13"/>
  </w:num>
  <w:num w:numId="14">
    <w:abstractNumId w:val="14"/>
  </w:num>
  <w:num w:numId="15">
    <w:abstractNumId w:val="6"/>
  </w:num>
  <w:num w:numId="16">
    <w:abstractNumId w:val="3"/>
  </w:num>
  <w:num w:numId="17">
    <w:abstractNumId w:val="0"/>
  </w:num>
  <w:num w:numId="18">
    <w:abstractNumId w:val="30"/>
  </w:num>
  <w:num w:numId="19">
    <w:abstractNumId w:val="12"/>
  </w:num>
  <w:num w:numId="20">
    <w:abstractNumId w:val="22"/>
  </w:num>
  <w:num w:numId="21">
    <w:abstractNumId w:val="19"/>
  </w:num>
  <w:num w:numId="22">
    <w:abstractNumId w:val="10"/>
  </w:num>
  <w:num w:numId="23">
    <w:abstractNumId w:val="27"/>
  </w:num>
  <w:num w:numId="24">
    <w:abstractNumId w:val="26"/>
  </w:num>
  <w:num w:numId="25">
    <w:abstractNumId w:val="21"/>
  </w:num>
  <w:num w:numId="26">
    <w:abstractNumId w:val="18"/>
  </w:num>
  <w:num w:numId="27">
    <w:abstractNumId w:val="13"/>
    <w:lvlOverride w:ilvl="0">
      <w:lvl w:ilvl="0" w:tplc="FCCA90BC">
        <w:start w:val="1"/>
        <w:numFmt w:val="decimal"/>
        <w:lvlText w:val="(%1)"/>
        <w:lvlJc w:val="left"/>
        <w:pPr>
          <w:ind w:left="709" w:hanging="709"/>
        </w:pPr>
        <w:rPr>
          <w:rFonts w:hint="default"/>
          <w:b w:val="0"/>
          <w:bCs/>
        </w:rPr>
      </w:lvl>
    </w:lvlOverride>
    <w:lvlOverride w:ilvl="1">
      <w:lvl w:ilvl="1" w:tplc="3CC810AC">
        <w:start w:val="1"/>
        <w:numFmt w:val="lowerLetter"/>
        <w:lvlText w:val="%2)"/>
        <w:lvlJc w:val="left"/>
        <w:pPr>
          <w:ind w:left="1134" w:hanging="425"/>
        </w:pPr>
        <w:rPr>
          <w:rFonts w:hint="default"/>
          <w:b w:val="0"/>
          <w:bCs/>
        </w:rPr>
      </w:lvl>
    </w:lvlOverride>
    <w:lvlOverride w:ilvl="2">
      <w:lvl w:ilvl="2" w:tplc="AF723216">
        <w:start w:val="1"/>
        <w:numFmt w:val="decimal"/>
        <w:lvlText w:val="%3."/>
        <w:lvlJc w:val="left"/>
        <w:pPr>
          <w:ind w:left="1559" w:hanging="425"/>
        </w:pPr>
        <w:rPr>
          <w:rFonts w:hint="default"/>
          <w:b w:val="0"/>
          <w:bCs/>
        </w:rPr>
      </w:lvl>
    </w:lvlOverride>
    <w:lvlOverride w:ilvl="3">
      <w:lvl w:ilvl="3" w:tplc="0809000F">
        <w:start w:val="1"/>
        <w:numFmt w:val="decimal"/>
        <w:lvlText w:val="%4."/>
        <w:lvlJc w:val="left"/>
        <w:pPr>
          <w:ind w:left="2880" w:hanging="360"/>
        </w:pPr>
        <w:rPr>
          <w:rFonts w:hint="default"/>
        </w:rPr>
      </w:lvl>
    </w:lvlOverride>
    <w:lvlOverride w:ilvl="4">
      <w:lvl w:ilvl="4" w:tplc="08090019">
        <w:start w:val="1"/>
        <w:numFmt w:val="lowerLetter"/>
        <w:lvlText w:val="%5."/>
        <w:lvlJc w:val="left"/>
        <w:pPr>
          <w:ind w:left="3600" w:hanging="360"/>
        </w:pPr>
        <w:rPr>
          <w:rFonts w:hint="default"/>
        </w:rPr>
      </w:lvl>
    </w:lvlOverride>
    <w:lvlOverride w:ilvl="5">
      <w:lvl w:ilvl="5" w:tplc="0809001B">
        <w:start w:val="1"/>
        <w:numFmt w:val="lowerRoman"/>
        <w:lvlText w:val="%6."/>
        <w:lvlJc w:val="right"/>
        <w:pPr>
          <w:ind w:left="4320" w:hanging="180"/>
        </w:pPr>
        <w:rPr>
          <w:rFonts w:hint="default"/>
        </w:rPr>
      </w:lvl>
    </w:lvlOverride>
    <w:lvlOverride w:ilvl="6">
      <w:lvl w:ilvl="6" w:tplc="0809000F">
        <w:start w:val="1"/>
        <w:numFmt w:val="decimal"/>
        <w:lvlText w:val="%7."/>
        <w:lvlJc w:val="left"/>
        <w:pPr>
          <w:ind w:left="5040" w:hanging="360"/>
        </w:pPr>
        <w:rPr>
          <w:rFonts w:hint="default"/>
        </w:rPr>
      </w:lvl>
    </w:lvlOverride>
    <w:lvlOverride w:ilvl="7">
      <w:lvl w:ilvl="7" w:tplc="08090019">
        <w:start w:val="1"/>
        <w:numFmt w:val="lowerLetter"/>
        <w:lvlText w:val="%8."/>
        <w:lvlJc w:val="left"/>
        <w:pPr>
          <w:ind w:left="5760" w:hanging="360"/>
        </w:pPr>
        <w:rPr>
          <w:rFonts w:hint="default"/>
        </w:rPr>
      </w:lvl>
    </w:lvlOverride>
    <w:lvlOverride w:ilvl="8">
      <w:lvl w:ilvl="8" w:tplc="0809001B">
        <w:start w:val="1"/>
        <w:numFmt w:val="lowerRoman"/>
        <w:lvlText w:val="%9."/>
        <w:lvlJc w:val="right"/>
        <w:pPr>
          <w:ind w:left="6480" w:hanging="180"/>
        </w:pPr>
        <w:rPr>
          <w:rFonts w:hint="default"/>
        </w:rPr>
      </w:lvl>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4"/>
  </w:num>
  <w:num w:numId="31">
    <w:abstractNumId w:val="11"/>
  </w:num>
  <w:num w:numId="32">
    <w:abstractNumId w:val="1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FDE"/>
    <w:rsid w:val="00015175"/>
    <w:rsid w:val="000169DD"/>
    <w:rsid w:val="00030552"/>
    <w:rsid w:val="00040442"/>
    <w:rsid w:val="00047DB1"/>
    <w:rsid w:val="000519C9"/>
    <w:rsid w:val="0008080D"/>
    <w:rsid w:val="000868CF"/>
    <w:rsid w:val="000930AB"/>
    <w:rsid w:val="000C74BC"/>
    <w:rsid w:val="000D49C9"/>
    <w:rsid w:val="001065BC"/>
    <w:rsid w:val="00126DE9"/>
    <w:rsid w:val="0014710C"/>
    <w:rsid w:val="00151C90"/>
    <w:rsid w:val="0016397E"/>
    <w:rsid w:val="001752B0"/>
    <w:rsid w:val="001C4FDE"/>
    <w:rsid w:val="001E315A"/>
    <w:rsid w:val="001E399C"/>
    <w:rsid w:val="00205832"/>
    <w:rsid w:val="00214449"/>
    <w:rsid w:val="00260FEC"/>
    <w:rsid w:val="00280863"/>
    <w:rsid w:val="002953AA"/>
    <w:rsid w:val="003447A7"/>
    <w:rsid w:val="00344EA0"/>
    <w:rsid w:val="0035752C"/>
    <w:rsid w:val="00375BAE"/>
    <w:rsid w:val="0039318B"/>
    <w:rsid w:val="003B05BF"/>
    <w:rsid w:val="003E4CF0"/>
    <w:rsid w:val="00402185"/>
    <w:rsid w:val="00440777"/>
    <w:rsid w:val="004D16AA"/>
    <w:rsid w:val="004E0FDF"/>
    <w:rsid w:val="004F0341"/>
    <w:rsid w:val="005714C7"/>
    <w:rsid w:val="00577772"/>
    <w:rsid w:val="005A09A4"/>
    <w:rsid w:val="005A0A74"/>
    <w:rsid w:val="005A197E"/>
    <w:rsid w:val="005A20FB"/>
    <w:rsid w:val="005D23F2"/>
    <w:rsid w:val="005D3378"/>
    <w:rsid w:val="005F5EDF"/>
    <w:rsid w:val="00672EFE"/>
    <w:rsid w:val="006C2EA6"/>
    <w:rsid w:val="006E7428"/>
    <w:rsid w:val="007210DB"/>
    <w:rsid w:val="00721A76"/>
    <w:rsid w:val="00722576"/>
    <w:rsid w:val="00726D5F"/>
    <w:rsid w:val="00772887"/>
    <w:rsid w:val="007A2979"/>
    <w:rsid w:val="007D723E"/>
    <w:rsid w:val="007E1E2B"/>
    <w:rsid w:val="00826649"/>
    <w:rsid w:val="008328B5"/>
    <w:rsid w:val="00836234"/>
    <w:rsid w:val="008619B9"/>
    <w:rsid w:val="00870ACA"/>
    <w:rsid w:val="00872DEA"/>
    <w:rsid w:val="008A2F79"/>
    <w:rsid w:val="008D2C82"/>
    <w:rsid w:val="008D4C59"/>
    <w:rsid w:val="00916618"/>
    <w:rsid w:val="009204F6"/>
    <w:rsid w:val="00946FF5"/>
    <w:rsid w:val="00951F32"/>
    <w:rsid w:val="009600D3"/>
    <w:rsid w:val="009A414B"/>
    <w:rsid w:val="00A33C1C"/>
    <w:rsid w:val="00A37E64"/>
    <w:rsid w:val="00A80622"/>
    <w:rsid w:val="00AA605D"/>
    <w:rsid w:val="00AA6C5C"/>
    <w:rsid w:val="00AC4A57"/>
    <w:rsid w:val="00AF3589"/>
    <w:rsid w:val="00B10256"/>
    <w:rsid w:val="00B23B86"/>
    <w:rsid w:val="00B26485"/>
    <w:rsid w:val="00B34CBF"/>
    <w:rsid w:val="00B50EFF"/>
    <w:rsid w:val="00B51353"/>
    <w:rsid w:val="00B609A1"/>
    <w:rsid w:val="00B92B05"/>
    <w:rsid w:val="00BB2807"/>
    <w:rsid w:val="00BD198C"/>
    <w:rsid w:val="00BF4EA9"/>
    <w:rsid w:val="00C005C1"/>
    <w:rsid w:val="00C12A8A"/>
    <w:rsid w:val="00C3060B"/>
    <w:rsid w:val="00C31D79"/>
    <w:rsid w:val="00C36E90"/>
    <w:rsid w:val="00C4797C"/>
    <w:rsid w:val="00C62438"/>
    <w:rsid w:val="00C82B00"/>
    <w:rsid w:val="00C9597F"/>
    <w:rsid w:val="00CB025E"/>
    <w:rsid w:val="00CB070A"/>
    <w:rsid w:val="00CF2DDE"/>
    <w:rsid w:val="00D113FF"/>
    <w:rsid w:val="00D506D2"/>
    <w:rsid w:val="00D669F0"/>
    <w:rsid w:val="00D753C2"/>
    <w:rsid w:val="00D83974"/>
    <w:rsid w:val="00D934EB"/>
    <w:rsid w:val="00DD6440"/>
    <w:rsid w:val="00E2671A"/>
    <w:rsid w:val="00E46435"/>
    <w:rsid w:val="00E7122C"/>
    <w:rsid w:val="00E9120F"/>
    <w:rsid w:val="00EA32AE"/>
    <w:rsid w:val="00EA7BD2"/>
    <w:rsid w:val="00EE0154"/>
    <w:rsid w:val="00EF04DC"/>
    <w:rsid w:val="00F0034D"/>
    <w:rsid w:val="00F234E4"/>
    <w:rsid w:val="00F2491D"/>
    <w:rsid w:val="00F41F7A"/>
    <w:rsid w:val="00F46F76"/>
    <w:rsid w:val="00F6323D"/>
    <w:rsid w:val="00F84FBF"/>
    <w:rsid w:val="00FD7773"/>
    <w:rsid w:val="00FE29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4986C"/>
  <w15:chartTrackingRefBased/>
  <w15:docId w15:val="{334729E7-8717-BB4E-B894-38640D9F3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ACA"/>
    <w:pPr>
      <w:suppressAutoHyphens/>
      <w:spacing w:before="120" w:after="120" w:line="360" w:lineRule="auto"/>
    </w:pPr>
    <w:rPr>
      <w:rFonts w:ascii="Times New Roman" w:eastAsia="Times New Roman" w:hAnsi="Times New Roman" w:cs="Times New Roman"/>
      <w:szCs w:val="20"/>
      <w:lang w:eastAsia="ar-SA"/>
    </w:rPr>
  </w:style>
  <w:style w:type="paragraph" w:styleId="Nadpis1">
    <w:name w:val="heading 1"/>
    <w:basedOn w:val="Normln"/>
    <w:next w:val="Normln"/>
    <w:link w:val="Nadpis1Char"/>
    <w:uiPriority w:val="9"/>
    <w:qFormat/>
    <w:rsid w:val="00CF2DDE"/>
    <w:pPr>
      <w:suppressAutoHyphens w:val="0"/>
      <w:spacing w:before="240" w:after="240"/>
      <w:jc w:val="center"/>
      <w:outlineLvl w:val="0"/>
    </w:pPr>
    <w:rPr>
      <w:rFonts w:cs="Arial"/>
      <w:szCs w:val="24"/>
      <w:lang w:eastAsia="en-GB"/>
    </w:rPr>
  </w:style>
  <w:style w:type="paragraph" w:styleId="Nadpis3">
    <w:name w:val="heading 3"/>
    <w:basedOn w:val="Normln"/>
    <w:link w:val="Nadpis3Char"/>
    <w:uiPriority w:val="9"/>
    <w:qFormat/>
    <w:rsid w:val="00F234E4"/>
    <w:pPr>
      <w:suppressAutoHyphens w:val="0"/>
      <w:spacing w:before="100" w:beforeAutospacing="1" w:after="100" w:afterAutospacing="1"/>
      <w:jc w:val="both"/>
      <w:outlineLvl w:val="2"/>
    </w:pPr>
    <w:rPr>
      <w:b/>
      <w:bCs/>
      <w:sz w:val="27"/>
      <w:szCs w:val="27"/>
      <w:lang w:eastAsia="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unhideWhenUsed/>
    <w:qFormat/>
    <w:rsid w:val="001C4FDE"/>
    <w:pPr>
      <w:ind w:left="720"/>
      <w:contextualSpacing/>
    </w:pPr>
  </w:style>
  <w:style w:type="paragraph" w:customStyle="1" w:styleId="WW-Zkladntext2">
    <w:name w:val="WW-Základní text 2"/>
    <w:basedOn w:val="Normln"/>
    <w:rsid w:val="001C4FDE"/>
    <w:pPr>
      <w:jc w:val="both"/>
    </w:pPr>
    <w:rPr>
      <w:b/>
    </w:rPr>
  </w:style>
  <w:style w:type="character" w:customStyle="1" w:styleId="Nadpis1Char">
    <w:name w:val="Nadpis 1 Char"/>
    <w:basedOn w:val="Standardnpsmoodstavce"/>
    <w:link w:val="Nadpis1"/>
    <w:uiPriority w:val="9"/>
    <w:rsid w:val="00CF2DDE"/>
    <w:rPr>
      <w:rFonts w:ascii="Times New Roman" w:eastAsia="Times New Roman" w:hAnsi="Times New Roman" w:cs="Arial"/>
      <w:lang w:eastAsia="en-GB"/>
    </w:rPr>
  </w:style>
  <w:style w:type="character" w:customStyle="1" w:styleId="Nadpis3Char">
    <w:name w:val="Nadpis 3 Char"/>
    <w:basedOn w:val="Standardnpsmoodstavce"/>
    <w:link w:val="Nadpis3"/>
    <w:uiPriority w:val="9"/>
    <w:rsid w:val="00F234E4"/>
    <w:rPr>
      <w:rFonts w:ascii="Times New Roman" w:eastAsia="Times New Roman" w:hAnsi="Times New Roman" w:cs="Times New Roman"/>
      <w:b/>
      <w:bCs/>
      <w:sz w:val="27"/>
      <w:szCs w:val="27"/>
      <w:lang w:eastAsia="en-GB"/>
    </w:rPr>
  </w:style>
  <w:style w:type="paragraph" w:customStyle="1" w:styleId="l2">
    <w:name w:val="l2"/>
    <w:basedOn w:val="Normln"/>
    <w:rsid w:val="00F234E4"/>
    <w:pPr>
      <w:suppressAutoHyphens w:val="0"/>
      <w:spacing w:before="100" w:beforeAutospacing="1" w:after="100" w:afterAutospacing="1"/>
      <w:jc w:val="both"/>
      <w:outlineLvl w:val="0"/>
    </w:pPr>
    <w:rPr>
      <w:szCs w:val="24"/>
      <w:lang w:eastAsia="en-GB"/>
    </w:rPr>
  </w:style>
  <w:style w:type="paragraph" w:customStyle="1" w:styleId="l3">
    <w:name w:val="l3"/>
    <w:basedOn w:val="Normln"/>
    <w:rsid w:val="00F234E4"/>
    <w:pPr>
      <w:suppressAutoHyphens w:val="0"/>
      <w:spacing w:before="100" w:beforeAutospacing="1" w:after="100" w:afterAutospacing="1"/>
      <w:jc w:val="both"/>
      <w:outlineLvl w:val="0"/>
    </w:pPr>
    <w:rPr>
      <w:szCs w:val="24"/>
      <w:lang w:eastAsia="en-GB"/>
    </w:rPr>
  </w:style>
  <w:style w:type="paragraph" w:customStyle="1" w:styleId="l4">
    <w:name w:val="l4"/>
    <w:basedOn w:val="Normln"/>
    <w:rsid w:val="00F234E4"/>
    <w:pPr>
      <w:suppressAutoHyphens w:val="0"/>
      <w:spacing w:before="100" w:beforeAutospacing="1" w:after="100" w:afterAutospacing="1"/>
      <w:jc w:val="both"/>
      <w:outlineLvl w:val="0"/>
    </w:pPr>
    <w:rPr>
      <w:szCs w:val="24"/>
      <w:lang w:eastAsia="en-GB"/>
    </w:rPr>
  </w:style>
  <w:style w:type="character" w:styleId="PromnnHTML">
    <w:name w:val="HTML Variable"/>
    <w:basedOn w:val="Standardnpsmoodstavce"/>
    <w:uiPriority w:val="99"/>
    <w:semiHidden/>
    <w:unhideWhenUsed/>
    <w:rsid w:val="00F234E4"/>
    <w:rPr>
      <w:i/>
      <w:iCs/>
    </w:rPr>
  </w:style>
  <w:style w:type="character" w:customStyle="1" w:styleId="apple-converted-space">
    <w:name w:val="apple-converted-space"/>
    <w:basedOn w:val="Standardnpsmoodstavce"/>
    <w:rsid w:val="00F234E4"/>
  </w:style>
  <w:style w:type="character" w:styleId="Hypertextovodkaz">
    <w:name w:val="Hyperlink"/>
    <w:basedOn w:val="Standardnpsmoodstavce"/>
    <w:uiPriority w:val="99"/>
    <w:semiHidden/>
    <w:unhideWhenUsed/>
    <w:rsid w:val="00F234E4"/>
    <w:rPr>
      <w:color w:val="0000FF"/>
      <w:u w:val="single"/>
    </w:rPr>
  </w:style>
  <w:style w:type="paragraph" w:customStyle="1" w:styleId="l5">
    <w:name w:val="l5"/>
    <w:basedOn w:val="Normln"/>
    <w:rsid w:val="00F234E4"/>
    <w:pPr>
      <w:suppressAutoHyphens w:val="0"/>
      <w:spacing w:before="100" w:beforeAutospacing="1" w:after="100" w:afterAutospacing="1"/>
      <w:jc w:val="both"/>
      <w:outlineLvl w:val="0"/>
    </w:pPr>
    <w:rPr>
      <w:szCs w:val="24"/>
      <w:lang w:eastAsia="en-GB"/>
    </w:rPr>
  </w:style>
  <w:style w:type="paragraph" w:styleId="Textbubliny">
    <w:name w:val="Balloon Text"/>
    <w:basedOn w:val="Normln"/>
    <w:link w:val="TextbublinyChar"/>
    <w:uiPriority w:val="99"/>
    <w:semiHidden/>
    <w:unhideWhenUsed/>
    <w:rsid w:val="00F234E4"/>
    <w:pPr>
      <w:suppressAutoHyphens w:val="0"/>
      <w:spacing w:before="240" w:after="240"/>
      <w:jc w:val="both"/>
      <w:outlineLvl w:val="0"/>
    </w:pPr>
    <w:rPr>
      <w:rFonts w:cs="Arial"/>
      <w:sz w:val="18"/>
      <w:szCs w:val="18"/>
      <w:lang w:eastAsia="en-GB"/>
    </w:rPr>
  </w:style>
  <w:style w:type="character" w:customStyle="1" w:styleId="TextbublinyChar">
    <w:name w:val="Text bubliny Char"/>
    <w:basedOn w:val="Standardnpsmoodstavce"/>
    <w:link w:val="Textbubliny"/>
    <w:uiPriority w:val="99"/>
    <w:semiHidden/>
    <w:rsid w:val="00F234E4"/>
    <w:rPr>
      <w:rFonts w:ascii="Times New Roman" w:eastAsia="Times New Roman" w:hAnsi="Times New Roman" w:cs="Arial"/>
      <w:sz w:val="18"/>
      <w:szCs w:val="18"/>
      <w:lang w:eastAsia="en-GB"/>
    </w:rPr>
  </w:style>
  <w:style w:type="paragraph" w:styleId="Textpoznpodarou">
    <w:name w:val="footnote text"/>
    <w:basedOn w:val="Normln"/>
    <w:link w:val="TextpoznpodarouChar"/>
    <w:uiPriority w:val="99"/>
    <w:semiHidden/>
    <w:unhideWhenUsed/>
    <w:rsid w:val="00F234E4"/>
    <w:pPr>
      <w:suppressAutoHyphens w:val="0"/>
      <w:spacing w:before="240" w:after="240"/>
      <w:jc w:val="both"/>
      <w:outlineLvl w:val="0"/>
    </w:pPr>
    <w:rPr>
      <w:rFonts w:cs="Arial"/>
      <w:sz w:val="20"/>
      <w:lang w:eastAsia="en-GB"/>
    </w:rPr>
  </w:style>
  <w:style w:type="character" w:customStyle="1" w:styleId="TextpoznpodarouChar">
    <w:name w:val="Text pozn. pod čarou Char"/>
    <w:basedOn w:val="Standardnpsmoodstavce"/>
    <w:link w:val="Textpoznpodarou"/>
    <w:uiPriority w:val="99"/>
    <w:semiHidden/>
    <w:rsid w:val="00F234E4"/>
    <w:rPr>
      <w:rFonts w:ascii="Times New Roman" w:eastAsia="Times New Roman" w:hAnsi="Times New Roman" w:cs="Arial"/>
      <w:sz w:val="20"/>
      <w:szCs w:val="20"/>
      <w:lang w:eastAsia="en-GB"/>
    </w:rPr>
  </w:style>
  <w:style w:type="character" w:styleId="Znakapoznpodarou">
    <w:name w:val="footnote reference"/>
    <w:basedOn w:val="Standardnpsmoodstavce"/>
    <w:uiPriority w:val="99"/>
    <w:semiHidden/>
    <w:unhideWhenUsed/>
    <w:rsid w:val="00F234E4"/>
    <w:rPr>
      <w:vertAlign w:val="superscript"/>
    </w:rPr>
  </w:style>
  <w:style w:type="paragraph" w:customStyle="1" w:styleId="l1">
    <w:name w:val="l1"/>
    <w:basedOn w:val="Normln"/>
    <w:rsid w:val="00F234E4"/>
    <w:pPr>
      <w:suppressAutoHyphens w:val="0"/>
      <w:spacing w:before="100" w:beforeAutospacing="1" w:after="100" w:afterAutospacing="1"/>
      <w:jc w:val="both"/>
      <w:outlineLvl w:val="0"/>
    </w:pPr>
    <w:rPr>
      <w:szCs w:val="24"/>
      <w:lang w:eastAsia="en-GB"/>
    </w:rPr>
  </w:style>
  <w:style w:type="paragraph" w:styleId="Zhlav">
    <w:name w:val="header"/>
    <w:basedOn w:val="Normln"/>
    <w:link w:val="ZhlavChar"/>
    <w:uiPriority w:val="99"/>
    <w:unhideWhenUsed/>
    <w:rsid w:val="00F234E4"/>
    <w:pPr>
      <w:tabs>
        <w:tab w:val="center" w:pos="4536"/>
        <w:tab w:val="right" w:pos="9072"/>
      </w:tabs>
      <w:suppressAutoHyphens w:val="0"/>
      <w:spacing w:before="0" w:after="0" w:line="240" w:lineRule="auto"/>
      <w:jc w:val="both"/>
      <w:outlineLvl w:val="0"/>
    </w:pPr>
    <w:rPr>
      <w:rFonts w:cs="Arial"/>
      <w:szCs w:val="24"/>
      <w:lang w:eastAsia="en-GB"/>
    </w:rPr>
  </w:style>
  <w:style w:type="character" w:customStyle="1" w:styleId="ZhlavChar">
    <w:name w:val="Záhlaví Char"/>
    <w:basedOn w:val="Standardnpsmoodstavce"/>
    <w:link w:val="Zhlav"/>
    <w:uiPriority w:val="99"/>
    <w:rsid w:val="00F234E4"/>
    <w:rPr>
      <w:rFonts w:ascii="Times New Roman" w:eastAsia="Times New Roman" w:hAnsi="Times New Roman" w:cs="Arial"/>
      <w:lang w:eastAsia="en-GB"/>
    </w:rPr>
  </w:style>
  <w:style w:type="paragraph" w:styleId="Zpat">
    <w:name w:val="footer"/>
    <w:basedOn w:val="Normln"/>
    <w:link w:val="ZpatChar"/>
    <w:uiPriority w:val="99"/>
    <w:unhideWhenUsed/>
    <w:rsid w:val="00F234E4"/>
    <w:pPr>
      <w:tabs>
        <w:tab w:val="center" w:pos="4536"/>
        <w:tab w:val="right" w:pos="9072"/>
      </w:tabs>
      <w:suppressAutoHyphens w:val="0"/>
      <w:spacing w:before="0" w:after="0" w:line="240" w:lineRule="auto"/>
      <w:jc w:val="both"/>
      <w:outlineLvl w:val="0"/>
    </w:pPr>
    <w:rPr>
      <w:rFonts w:cs="Arial"/>
      <w:szCs w:val="24"/>
      <w:lang w:eastAsia="en-GB"/>
    </w:rPr>
  </w:style>
  <w:style w:type="character" w:customStyle="1" w:styleId="ZpatChar">
    <w:name w:val="Zápatí Char"/>
    <w:basedOn w:val="Standardnpsmoodstavce"/>
    <w:link w:val="Zpat"/>
    <w:uiPriority w:val="99"/>
    <w:rsid w:val="00F234E4"/>
    <w:rPr>
      <w:rFonts w:ascii="Times New Roman" w:eastAsia="Times New Roman" w:hAnsi="Times New Roman" w:cs="Arial"/>
      <w:lang w:eastAsia="en-GB"/>
    </w:rPr>
  </w:style>
  <w:style w:type="paragraph" w:styleId="Textvysvtlivek">
    <w:name w:val="endnote text"/>
    <w:basedOn w:val="Normln"/>
    <w:link w:val="TextvysvtlivekChar"/>
    <w:uiPriority w:val="99"/>
    <w:semiHidden/>
    <w:unhideWhenUsed/>
    <w:rsid w:val="00F234E4"/>
    <w:pPr>
      <w:suppressAutoHyphens w:val="0"/>
      <w:spacing w:before="0" w:after="0" w:line="240" w:lineRule="auto"/>
      <w:jc w:val="both"/>
      <w:outlineLvl w:val="0"/>
    </w:pPr>
    <w:rPr>
      <w:rFonts w:cs="Arial"/>
      <w:sz w:val="20"/>
      <w:lang w:eastAsia="en-GB"/>
    </w:rPr>
  </w:style>
  <w:style w:type="character" w:customStyle="1" w:styleId="TextvysvtlivekChar">
    <w:name w:val="Text vysvětlivek Char"/>
    <w:basedOn w:val="Standardnpsmoodstavce"/>
    <w:link w:val="Textvysvtlivek"/>
    <w:uiPriority w:val="99"/>
    <w:semiHidden/>
    <w:rsid w:val="00F234E4"/>
    <w:rPr>
      <w:rFonts w:ascii="Times New Roman" w:eastAsia="Times New Roman" w:hAnsi="Times New Roman" w:cs="Arial"/>
      <w:sz w:val="20"/>
      <w:szCs w:val="20"/>
      <w:lang w:eastAsia="en-GB"/>
    </w:rPr>
  </w:style>
  <w:style w:type="character" w:styleId="Odkaznavysvtlivky">
    <w:name w:val="endnote reference"/>
    <w:basedOn w:val="Standardnpsmoodstavce"/>
    <w:uiPriority w:val="99"/>
    <w:semiHidden/>
    <w:unhideWhenUsed/>
    <w:rsid w:val="00F234E4"/>
    <w:rPr>
      <w:vertAlign w:val="superscript"/>
    </w:rPr>
  </w:style>
  <w:style w:type="paragraph" w:styleId="Rejstk1">
    <w:name w:val="index 1"/>
    <w:basedOn w:val="Normln"/>
    <w:next w:val="Normln"/>
    <w:autoRedefine/>
    <w:uiPriority w:val="99"/>
    <w:semiHidden/>
    <w:unhideWhenUsed/>
    <w:rsid w:val="00F234E4"/>
    <w:pPr>
      <w:suppressAutoHyphens w:val="0"/>
      <w:spacing w:before="0" w:after="0" w:line="240" w:lineRule="auto"/>
      <w:ind w:left="240" w:hanging="240"/>
      <w:jc w:val="both"/>
      <w:outlineLvl w:val="0"/>
    </w:pPr>
    <w:rPr>
      <w:rFonts w:cs="Arial"/>
      <w:szCs w:val="24"/>
      <w:lang w:eastAsia="en-GB"/>
    </w:rPr>
  </w:style>
  <w:style w:type="paragraph" w:styleId="Nzev">
    <w:name w:val="Title"/>
    <w:basedOn w:val="Odstavecseseznamem"/>
    <w:next w:val="Normln"/>
    <w:link w:val="NzevChar"/>
    <w:uiPriority w:val="10"/>
    <w:qFormat/>
    <w:rsid w:val="00F41F7A"/>
    <w:pPr>
      <w:numPr>
        <w:numId w:val="30"/>
      </w:numPr>
      <w:suppressAutoHyphens w:val="0"/>
      <w:spacing w:after="240" w:line="240" w:lineRule="auto"/>
      <w:ind w:left="425" w:hanging="425"/>
      <w:jc w:val="both"/>
    </w:pPr>
    <w:rPr>
      <w:b/>
      <w:bCs/>
      <w:szCs w:val="24"/>
    </w:rPr>
  </w:style>
  <w:style w:type="character" w:customStyle="1" w:styleId="NzevChar">
    <w:name w:val="Název Char"/>
    <w:basedOn w:val="Standardnpsmoodstavce"/>
    <w:link w:val="Nzev"/>
    <w:uiPriority w:val="10"/>
    <w:rsid w:val="00F41F7A"/>
    <w:rPr>
      <w:rFonts w:ascii="Times New Roman" w:eastAsia="Times New Roman" w:hAnsi="Times New Roman" w:cs="Times New Roman"/>
      <w:b/>
      <w:bCs/>
      <w:lang w:eastAsia="ar-SA"/>
    </w:rPr>
  </w:style>
  <w:style w:type="paragraph" w:customStyle="1" w:styleId="l6">
    <w:name w:val="l6"/>
    <w:basedOn w:val="Normln"/>
    <w:rsid w:val="005A0A74"/>
    <w:pPr>
      <w:suppressAutoHyphens w:val="0"/>
      <w:spacing w:before="100" w:beforeAutospacing="1" w:after="100" w:afterAutospacing="1" w:line="240" w:lineRule="auto"/>
    </w:pPr>
    <w:rPr>
      <w:szCs w:val="24"/>
      <w:lang w:eastAsia="en-GB"/>
    </w:rPr>
  </w:style>
  <w:style w:type="table" w:styleId="Mkatabulky">
    <w:name w:val="Table Grid"/>
    <w:basedOn w:val="Normlntabulka"/>
    <w:uiPriority w:val="39"/>
    <w:rsid w:val="002144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696051">
      <w:bodyDiv w:val="1"/>
      <w:marLeft w:val="0"/>
      <w:marRight w:val="0"/>
      <w:marTop w:val="0"/>
      <w:marBottom w:val="0"/>
      <w:divBdr>
        <w:top w:val="none" w:sz="0" w:space="0" w:color="auto"/>
        <w:left w:val="none" w:sz="0" w:space="0" w:color="auto"/>
        <w:bottom w:val="none" w:sz="0" w:space="0" w:color="auto"/>
        <w:right w:val="none" w:sz="0" w:space="0" w:color="auto"/>
      </w:divBdr>
    </w:div>
    <w:div w:id="146167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D68AE-BBC7-49CF-879D-F2FC0EBA4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8</Pages>
  <Words>1671</Words>
  <Characters>9860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Nešpor</dc:creator>
  <cp:keywords/>
  <dc:description/>
  <cp:lastModifiedBy>UrbanovaB</cp:lastModifiedBy>
  <cp:revision>18</cp:revision>
  <dcterms:created xsi:type="dcterms:W3CDTF">2019-12-04T14:56:00Z</dcterms:created>
  <dcterms:modified xsi:type="dcterms:W3CDTF">2020-01-21T15:53:00Z</dcterms:modified>
</cp:coreProperties>
</file>