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DA" w:rsidRDefault="00CB72DA">
      <w:pPr>
        <w:jc w:val="center"/>
        <w:rPr>
          <w:rFonts w:ascii="Times New Roman" w:hAnsi="Times New Roman"/>
          <w:sz w:val="24"/>
          <w:szCs w:val="24"/>
        </w:rPr>
      </w:pPr>
    </w:p>
    <w:p w:rsidR="00CB72DA" w:rsidRDefault="004441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</w:t>
      </w:r>
    </w:p>
    <w:p w:rsidR="00CB72DA" w:rsidRDefault="004441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ZÁ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KON</w:t>
      </w:r>
    </w:p>
    <w:p w:rsidR="00CB72DA" w:rsidRDefault="004441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ze dne ................,</w:t>
      </w:r>
    </w:p>
    <w:p w:rsidR="00CB72DA" w:rsidRDefault="004441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kterým se mění zákon č. 90/1995 Sb., o jednacím řádu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Poslaneck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sněmovny, ve znění pozdějších předpisů</w:t>
      </w:r>
    </w:p>
    <w:p w:rsidR="00CB72DA" w:rsidRDefault="00CB72D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72DA" w:rsidRDefault="0044415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Parlament se usnesl na tomto zákoně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republiky:</w:t>
      </w:r>
    </w:p>
    <w:p w:rsidR="00CB72DA" w:rsidRDefault="0044415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  <w:lang w:val="pt-PT"/>
        </w:rPr>
        <w:t>l. I</w:t>
      </w:r>
    </w:p>
    <w:p w:rsidR="00CB72DA" w:rsidRDefault="0044415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Z</w:t>
      </w:r>
      <w:r>
        <w:rPr>
          <w:rFonts w:ascii="Times New Roman" w:hAnsi="Times New Roman"/>
          <w:sz w:val="24"/>
          <w:szCs w:val="24"/>
        </w:rPr>
        <w:t xml:space="preserve">ákon č. 90/1995 Sb., o jednacím řádu </w:t>
      </w:r>
      <w:proofErr w:type="spellStart"/>
      <w:r>
        <w:rPr>
          <w:rFonts w:ascii="Times New Roman" w:hAnsi="Times New Roman"/>
          <w:sz w:val="24"/>
          <w:szCs w:val="24"/>
        </w:rPr>
        <w:t>Poslaneck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sněmovny, ve znění zákona 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č. 47/2000 Sb., zákona č</w:t>
      </w:r>
      <w:r>
        <w:rPr>
          <w:rFonts w:ascii="Times New Roman" w:hAnsi="Times New Roman"/>
          <w:sz w:val="24"/>
          <w:szCs w:val="24"/>
          <w:lang w:val="de-DE"/>
        </w:rPr>
        <w:t xml:space="preserve">. 39/2001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Sb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., z</w:t>
      </w:r>
      <w:proofErr w:type="spellStart"/>
      <w:r>
        <w:rPr>
          <w:rFonts w:ascii="Times New Roman" w:hAnsi="Times New Roman"/>
          <w:sz w:val="24"/>
          <w:szCs w:val="24"/>
        </w:rPr>
        <w:t>ákona</w:t>
      </w:r>
      <w:proofErr w:type="spellEnd"/>
      <w:r>
        <w:rPr>
          <w:rFonts w:ascii="Times New Roman" w:hAnsi="Times New Roman"/>
          <w:sz w:val="24"/>
          <w:szCs w:val="24"/>
        </w:rPr>
        <w:t xml:space="preserve"> č. 78/2002 Sb., zákona č</w:t>
      </w:r>
      <w:r>
        <w:rPr>
          <w:rFonts w:ascii="Times New Roman" w:hAnsi="Times New Roman"/>
          <w:sz w:val="24"/>
          <w:szCs w:val="24"/>
          <w:lang w:val="en-US"/>
        </w:rPr>
        <w:t>. 192/2002 Sb., z</w:t>
      </w:r>
      <w:proofErr w:type="spellStart"/>
      <w:r>
        <w:rPr>
          <w:rFonts w:ascii="Times New Roman" w:hAnsi="Times New Roman"/>
          <w:sz w:val="24"/>
          <w:szCs w:val="24"/>
        </w:rPr>
        <w:t>ákona</w:t>
      </w:r>
      <w:proofErr w:type="spellEnd"/>
      <w:r>
        <w:rPr>
          <w:rFonts w:ascii="Times New Roman" w:hAnsi="Times New Roman"/>
          <w:sz w:val="24"/>
          <w:szCs w:val="24"/>
        </w:rPr>
        <w:t xml:space="preserve"> č. 282/2004 Sb., zákona č. 359/2004 Sb., zákona č. 482/2004 Sb., zákona č. 167/2005 Sb., zákona č. 205/2006 Sb., zákona č. 573/2006 Sb., zákona č. 162/2009 Sb., zákona č. 402/2009 </w:t>
      </w:r>
      <w:r>
        <w:rPr>
          <w:rFonts w:ascii="Times New Roman" w:hAnsi="Times New Roman"/>
          <w:sz w:val="24"/>
          <w:szCs w:val="24"/>
          <w:lang w:val="nl-NL"/>
        </w:rPr>
        <w:t>Sb., z</w:t>
      </w:r>
      <w:proofErr w:type="spellStart"/>
      <w:r>
        <w:rPr>
          <w:rFonts w:ascii="Times New Roman" w:hAnsi="Times New Roman"/>
          <w:sz w:val="24"/>
          <w:szCs w:val="24"/>
        </w:rPr>
        <w:t>ákona</w:t>
      </w:r>
      <w:proofErr w:type="spellEnd"/>
      <w:r>
        <w:rPr>
          <w:rFonts w:ascii="Times New Roman" w:hAnsi="Times New Roman"/>
          <w:sz w:val="24"/>
          <w:szCs w:val="24"/>
        </w:rPr>
        <w:t xml:space="preserve"> č. 265/2011 Sb., zákona č. 375/2011 Sb., zákona č. 275/2012 Sb., zákona č. </w:t>
      </w:r>
      <w:r>
        <w:rPr>
          <w:rFonts w:ascii="Times New Roman" w:hAnsi="Times New Roman"/>
          <w:sz w:val="24"/>
          <w:szCs w:val="24"/>
          <w:lang w:val="pt-PT"/>
        </w:rPr>
        <w:t>265/2014 a z</w:t>
      </w:r>
      <w:proofErr w:type="spellStart"/>
      <w:r>
        <w:rPr>
          <w:rFonts w:ascii="Times New Roman" w:hAnsi="Times New Roman"/>
          <w:sz w:val="24"/>
          <w:szCs w:val="24"/>
        </w:rPr>
        <w:t>ákona</w:t>
      </w:r>
      <w:proofErr w:type="spellEnd"/>
      <w:r>
        <w:rPr>
          <w:rFonts w:ascii="Times New Roman" w:hAnsi="Times New Roman"/>
          <w:sz w:val="24"/>
          <w:szCs w:val="24"/>
        </w:rPr>
        <w:t xml:space="preserve"> č. </w:t>
      </w:r>
      <w:r>
        <w:rPr>
          <w:rFonts w:ascii="Times New Roman" w:hAnsi="Times New Roman"/>
          <w:sz w:val="24"/>
          <w:szCs w:val="24"/>
          <w:lang w:val="pt-PT"/>
        </w:rPr>
        <w:t>300/2017 Sb., se m</w:t>
      </w:r>
      <w:proofErr w:type="spellStart"/>
      <w:r>
        <w:rPr>
          <w:rFonts w:ascii="Times New Roman" w:hAnsi="Times New Roman"/>
          <w:sz w:val="24"/>
          <w:szCs w:val="24"/>
        </w:rPr>
        <w:t>ění</w:t>
      </w:r>
      <w:proofErr w:type="spellEnd"/>
      <w:r>
        <w:rPr>
          <w:rFonts w:ascii="Times New Roman" w:hAnsi="Times New Roman"/>
          <w:sz w:val="24"/>
          <w:szCs w:val="24"/>
        </w:rPr>
        <w:t xml:space="preserve"> takto:</w:t>
      </w:r>
    </w:p>
    <w:p w:rsidR="00CB72DA" w:rsidRDefault="00CB72D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2DA" w:rsidRDefault="00444155">
      <w:pPr>
        <w:tabs>
          <w:tab w:val="clear" w:pos="708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106 odst. 1 se věta první nahrazuje </w:t>
      </w:r>
      <w:proofErr w:type="spellStart"/>
      <w:r>
        <w:rPr>
          <w:rFonts w:ascii="Times New Roman" w:hAnsi="Times New Roman"/>
          <w:sz w:val="24"/>
          <w:szCs w:val="24"/>
        </w:rPr>
        <w:t>vě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tou: </w:t>
      </w:r>
      <w:r>
        <w:rPr>
          <w:rFonts w:ascii="Times New Roman" w:hAnsi="Times New Roman"/>
          <w:sz w:val="24"/>
          <w:szCs w:val="24"/>
        </w:rPr>
        <w:t>„Třetí čtení návrhu zákona o státním rozpočtu lze zahájit nejdříve 48 hodin po skončení čtení druh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ho, a to pouze za podmínky, že Sněmovna ukončila projednávání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účtu za předchozí kalendářní rok.“. </w:t>
      </w:r>
    </w:p>
    <w:p w:rsidR="00CB72DA" w:rsidRDefault="00CB72DA">
      <w:pPr>
        <w:tabs>
          <w:tab w:val="clear" w:pos="708"/>
        </w:tabs>
        <w:spacing w:before="120" w:after="12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72DA" w:rsidRDefault="00444155">
      <w:pPr>
        <w:tabs>
          <w:tab w:val="clear" w:pos="708"/>
        </w:tabs>
        <w:spacing w:before="120" w:after="12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  <w:lang w:val="pt-PT"/>
        </w:rPr>
        <w:t>l. II</w:t>
      </w:r>
    </w:p>
    <w:p w:rsidR="00CB72DA" w:rsidRDefault="00444155">
      <w:pPr>
        <w:tabs>
          <w:tab w:val="clear" w:pos="708"/>
        </w:tabs>
        <w:spacing w:before="120" w:after="12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Účinnost </w:t>
      </w:r>
    </w:p>
    <w:p w:rsidR="00CB72DA" w:rsidRDefault="00444155">
      <w:pPr>
        <w:tabs>
          <w:tab w:val="clear" w:pos="708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Tento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nl-NL"/>
        </w:rPr>
        <w:t>kon nab</w:t>
      </w:r>
      <w:proofErr w:type="spellStart"/>
      <w:r>
        <w:rPr>
          <w:rFonts w:ascii="Times New Roman" w:hAnsi="Times New Roman"/>
          <w:sz w:val="24"/>
          <w:szCs w:val="24"/>
        </w:rPr>
        <w:t>ývá</w:t>
      </w:r>
      <w:proofErr w:type="spellEnd"/>
      <w:r>
        <w:rPr>
          <w:rFonts w:ascii="Times New Roman" w:hAnsi="Times New Roman"/>
          <w:sz w:val="24"/>
          <w:szCs w:val="24"/>
        </w:rPr>
        <w:t xml:space="preserve"> účinnosti dnem 1. července 2020.</w:t>
      </w:r>
    </w:p>
    <w:p w:rsidR="00CB72DA" w:rsidRDefault="00CB72DA">
      <w:pPr>
        <w:rPr>
          <w:rFonts w:ascii="Times New Roman" w:eastAsia="Times New Roman" w:hAnsi="Times New Roman" w:cs="Times New Roman"/>
        </w:rPr>
      </w:pPr>
    </w:p>
    <w:p w:rsidR="00CB72DA" w:rsidRDefault="00CB72DA">
      <w:pPr>
        <w:rPr>
          <w:rFonts w:ascii="Times New Roman" w:eastAsia="Times New Roman" w:hAnsi="Times New Roman" w:cs="Times New Roman"/>
        </w:rPr>
      </w:pPr>
    </w:p>
    <w:p w:rsidR="00CB72DA" w:rsidRDefault="00CB72DA">
      <w:pPr>
        <w:rPr>
          <w:rFonts w:ascii="Times New Roman" w:eastAsia="Times New Roman" w:hAnsi="Times New Roman" w:cs="Times New Roman"/>
        </w:rPr>
      </w:pPr>
    </w:p>
    <w:p w:rsidR="00CB72DA" w:rsidRDefault="00CB72DA">
      <w:pPr>
        <w:rPr>
          <w:rFonts w:ascii="Times New Roman" w:eastAsia="Times New Roman" w:hAnsi="Times New Roman" w:cs="Times New Roman"/>
        </w:rPr>
      </w:pPr>
    </w:p>
    <w:p w:rsidR="00CB72DA" w:rsidRDefault="00CB72DA">
      <w:pPr>
        <w:pageBreakBefore/>
        <w:rPr>
          <w:rFonts w:ascii="Times New Roman" w:eastAsia="Times New Roman" w:hAnsi="Times New Roman" w:cs="Times New Roman"/>
        </w:rPr>
      </w:pP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Důvodová zpráva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>A. Část obecná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Ústavní pořádek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republiky počítá s tím, že hospodaření státu je pod kontrolou </w:t>
      </w:r>
      <w:proofErr w:type="spellStart"/>
      <w:r>
        <w:rPr>
          <w:rFonts w:ascii="Times New Roman" w:hAnsi="Times New Roman"/>
          <w:sz w:val="24"/>
          <w:szCs w:val="24"/>
        </w:rPr>
        <w:t>Poslaneck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sněmovny. Jedná se o její výlučnou pravomoc, jak vyplývá z ustanovení čl. 42 odst. 1 Ústavy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republiky. Podle tohoto ustanovení Poslanecká sněmovna projednává a schvaluje jak návrh státního rozpočtu, tak návrh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účtu. Státní závěrečný účet je dokument, který reflektuje </w:t>
      </w:r>
      <w:proofErr w:type="spellStart"/>
      <w:r>
        <w:rPr>
          <w:rFonts w:ascii="Times New Roman" w:hAnsi="Times New Roman"/>
          <w:sz w:val="24"/>
          <w:szCs w:val="24"/>
        </w:rPr>
        <w:t>skutečn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hospodaření státu v předchozím roce. V pravomoci jeho projednání spočívá podstata kontrolní pravomoci </w:t>
      </w:r>
      <w:proofErr w:type="spellStart"/>
      <w:r>
        <w:rPr>
          <w:rFonts w:ascii="Times New Roman" w:hAnsi="Times New Roman"/>
          <w:sz w:val="24"/>
          <w:szCs w:val="24"/>
        </w:rPr>
        <w:t>Poslaneck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sněmovně vůči vládě ve věci hospodaření s prostředky, </w:t>
      </w:r>
      <w:proofErr w:type="spellStart"/>
      <w:r>
        <w:rPr>
          <w:rFonts w:ascii="Times New Roman" w:hAnsi="Times New Roman"/>
          <w:sz w:val="24"/>
          <w:szCs w:val="24"/>
        </w:rPr>
        <w:t>kter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byly Poslaneckou sněmovnou vládě přiznány ve formě zákona o státním rozpočtu.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praxi se však velmi č</w:t>
      </w:r>
      <w:r>
        <w:rPr>
          <w:rFonts w:ascii="Times New Roman" w:hAnsi="Times New Roman"/>
          <w:sz w:val="24"/>
          <w:szCs w:val="24"/>
          <w:lang w:val="it-IT"/>
        </w:rPr>
        <w:t>asto st</w:t>
      </w:r>
      <w:proofErr w:type="spellStart"/>
      <w:r>
        <w:rPr>
          <w:rFonts w:ascii="Times New Roman" w:hAnsi="Times New Roman"/>
          <w:sz w:val="24"/>
          <w:szCs w:val="24"/>
        </w:rPr>
        <w:t>ává</w:t>
      </w:r>
      <w:proofErr w:type="spellEnd"/>
      <w:r>
        <w:rPr>
          <w:rFonts w:ascii="Times New Roman" w:hAnsi="Times New Roman"/>
          <w:sz w:val="24"/>
          <w:szCs w:val="24"/>
        </w:rPr>
        <w:t xml:space="preserve">, že Poslanecká sněmovna návrh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účtu projednává se značným zpožděním, dokonce po schválení </w:t>
      </w:r>
      <w:r>
        <w:rPr>
          <w:rFonts w:ascii="Times New Roman" w:hAnsi="Times New Roman"/>
          <w:sz w:val="24"/>
          <w:szCs w:val="24"/>
          <w:lang w:val="it-IT"/>
        </w:rPr>
        <w:t>dal</w:t>
      </w:r>
      <w:proofErr w:type="spellStart"/>
      <w:r>
        <w:rPr>
          <w:rFonts w:ascii="Times New Roman" w:hAnsi="Times New Roman"/>
          <w:sz w:val="24"/>
          <w:szCs w:val="24"/>
        </w:rPr>
        <w:t>šího</w:t>
      </w:r>
      <w:proofErr w:type="spellEnd"/>
      <w:r>
        <w:rPr>
          <w:rFonts w:ascii="Times New Roman" w:hAnsi="Times New Roman"/>
          <w:sz w:val="24"/>
          <w:szCs w:val="24"/>
        </w:rPr>
        <w:t xml:space="preserve"> zákona o státním rozpočtu. Tak tomu bylo například v případě návrhu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ho účtu za rok 2017, který byl Poslaneckou sněmovnou projednán až 9. května 2019.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Tento postup je nežádoucí, protože Poslanecká sněmovna má před schválením nov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ho státního rozpočtu vyhodnotit plnění rozpočtu předchozí</w:t>
      </w:r>
      <w:r>
        <w:rPr>
          <w:rFonts w:ascii="Times New Roman" w:hAnsi="Times New Roman"/>
          <w:sz w:val="24"/>
          <w:szCs w:val="24"/>
          <w:lang w:val="pt-PT"/>
        </w:rPr>
        <w:t>ho a v</w:t>
      </w:r>
      <w:r>
        <w:rPr>
          <w:rFonts w:ascii="Times New Roman" w:hAnsi="Times New Roman"/>
          <w:sz w:val="24"/>
          <w:szCs w:val="24"/>
        </w:rPr>
        <w:t xml:space="preserve"> případě potřeby zaujmout stanovisko, </w:t>
      </w:r>
      <w:proofErr w:type="spellStart"/>
      <w:r>
        <w:rPr>
          <w:rFonts w:ascii="Times New Roman" w:hAnsi="Times New Roman"/>
          <w:sz w:val="24"/>
          <w:szCs w:val="24"/>
        </w:rPr>
        <w:t>kter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se může promítnout do podoby návrhu státního rozpočtu na další rok.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 se navrhuje změna jednacího řádu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r w:rsidR="003710F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laneck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sněmovny, která podmiňuje schválení státního rozpočtu ukončením projednávání návrhu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účtu za předchozí rok.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Předpokládaný finanční dopad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právní úpravy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nemá přímý dopad do státního rozpočtu, rozpočtu krajů a obcí. Naopak jeho přijetím dojde k racionalizaci </w:t>
      </w:r>
      <w:proofErr w:type="spellStart"/>
      <w:r>
        <w:rPr>
          <w:rFonts w:ascii="Times New Roman" w:hAnsi="Times New Roman"/>
          <w:sz w:val="24"/>
          <w:szCs w:val="24"/>
        </w:rPr>
        <w:t>rozpočtov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politiky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republiky.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Zhodnocení souladu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právní úpravy s mezinárodními smlouvami, jimiž je Česká republika vázána, s předpisy 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Evropsk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 xml:space="preserve">unie a s ústavním pořádkem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Česk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republiky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je v souladu s mezinárodními smlouvami a s právem EU. Problematika není v těchto předpisech upravena. Návrh je rovněž nejenom v souladu s ústavním pořádkem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republiky, ale navíc naplňuje zásady, na nichž je postaven čl. 42 odst. 1 Ústavy </w:t>
      </w:r>
      <w:proofErr w:type="spellStart"/>
      <w:r>
        <w:rPr>
          <w:rFonts w:ascii="Times New Roman" w:hAnsi="Times New Roman"/>
          <w:sz w:val="24"/>
          <w:szCs w:val="24"/>
        </w:rPr>
        <w:t>Česk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republiky. </w:t>
      </w:r>
    </w:p>
    <w:p w:rsidR="00CB72DA" w:rsidRDefault="00444155">
      <w:pPr>
        <w:spacing w:before="120" w:after="120"/>
        <w:jc w:val="both"/>
      </w:pPr>
      <w:r>
        <w:rPr>
          <w:rFonts w:ascii="Arial Unicode MS" w:eastAsia="Arial Unicode MS" w:hAnsi="Arial Unicode MS" w:cs="Arial Unicode MS"/>
          <w:sz w:val="24"/>
          <w:szCs w:val="24"/>
        </w:rPr>
        <w:br w:type="page"/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Předpokládaný hospodářský dopad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 xml:space="preserve">právní úpravy a zhodnocení dopadů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právní úpravy ve vztahu k zá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de-DE"/>
        </w:rPr>
        <w:t>kazu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de-DE"/>
        </w:rPr>
        <w:t>diskriminace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nebude mít negativní dopady na </w:t>
      </w:r>
      <w:proofErr w:type="spellStart"/>
      <w:r>
        <w:rPr>
          <w:rFonts w:ascii="Times New Roman" w:hAnsi="Times New Roman"/>
          <w:sz w:val="24"/>
          <w:szCs w:val="24"/>
        </w:rPr>
        <w:t>podnikatelsk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é, soci</w:t>
      </w:r>
      <w:proofErr w:type="spellStart"/>
      <w:r>
        <w:rPr>
          <w:rFonts w:ascii="Times New Roman" w:hAnsi="Times New Roman"/>
          <w:sz w:val="24"/>
          <w:szCs w:val="24"/>
        </w:rPr>
        <w:t>ální</w:t>
      </w:r>
      <w:proofErr w:type="spellEnd"/>
      <w:r>
        <w:rPr>
          <w:rFonts w:ascii="Times New Roman" w:hAnsi="Times New Roman"/>
          <w:sz w:val="24"/>
          <w:szCs w:val="24"/>
        </w:rPr>
        <w:t xml:space="preserve"> a životní prostředí. Naopak může napomoci racionalizaci projednávání návrhu </w:t>
      </w:r>
      <w:proofErr w:type="gramStart"/>
      <w:r>
        <w:rPr>
          <w:rFonts w:ascii="Times New Roman" w:hAnsi="Times New Roman"/>
          <w:sz w:val="24"/>
          <w:szCs w:val="24"/>
        </w:rPr>
        <w:t>zákona o státního rozpočtu.</w:t>
      </w:r>
      <w:proofErr w:type="gramEnd"/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nemá žádný vliv na princip zákazu diskriminace (rovnost postavení žen a mužů).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Zhodnocení dopadů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navrhovan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b/>
          <w:bCs/>
          <w:sz w:val="24"/>
          <w:szCs w:val="24"/>
        </w:rPr>
        <w:t>právní úpravy ve vztahu k ochraně soukromí a osobní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de-DE"/>
        </w:rPr>
        <w:t>ch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údajů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nemá žádný dopad na ochranu soukromí a osobní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údajů.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Zhodnocení korupčních rizik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Navrhovaná právní úprava v </w:t>
      </w:r>
      <w:r>
        <w:rPr>
          <w:rFonts w:ascii="Times New Roman" w:hAnsi="Times New Roman"/>
          <w:sz w:val="24"/>
          <w:szCs w:val="24"/>
          <w:lang w:val="es-ES_tradnl"/>
        </w:rPr>
        <w:t>sob</w:t>
      </w:r>
      <w:r>
        <w:rPr>
          <w:rFonts w:ascii="Times New Roman" w:hAnsi="Times New Roman"/>
          <w:sz w:val="24"/>
          <w:szCs w:val="24"/>
        </w:rPr>
        <w:t xml:space="preserve">ě nepřináší žádný nárůst korupčních rizik. Naopak projednávání návrhu zákona o státním rozpočtu bude </w:t>
      </w:r>
      <w:proofErr w:type="spellStart"/>
      <w:r>
        <w:rPr>
          <w:rFonts w:ascii="Times New Roman" w:hAnsi="Times New Roman"/>
          <w:sz w:val="24"/>
          <w:szCs w:val="24"/>
        </w:rPr>
        <w:t>př</w:t>
      </w:r>
      <w:proofErr w:type="spellEnd"/>
      <w:r>
        <w:rPr>
          <w:rFonts w:ascii="Times New Roman" w:hAnsi="Times New Roman"/>
          <w:sz w:val="24"/>
          <w:szCs w:val="24"/>
          <w:lang w:val="da-DK"/>
        </w:rPr>
        <w:t>edv</w:t>
      </w:r>
      <w:proofErr w:type="spellStart"/>
      <w:r>
        <w:rPr>
          <w:rFonts w:ascii="Times New Roman" w:hAnsi="Times New Roman"/>
          <w:sz w:val="24"/>
          <w:szCs w:val="24"/>
        </w:rPr>
        <w:t>ídatelnější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Odůvodnění návrhu, aby Poslanecká sněmovna vyslovila s návrhem souhlas již v prvém čtení 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důvodu časové a věcné naléhavosti, kdy současný stav negativně dopadá na projednávání státního závěrečného účtu v Poslanecké sněmovně se navrhuje, aby návrh byl přijat Poslaneckou sněmovnou Parlamentu České republiky v souladu s §90 </w:t>
      </w:r>
      <w:proofErr w:type="gramStart"/>
      <w:r>
        <w:rPr>
          <w:rFonts w:ascii="Times New Roman" w:hAnsi="Times New Roman"/>
          <w:sz w:val="24"/>
          <w:szCs w:val="24"/>
        </w:rPr>
        <w:t>odst.2 zákona</w:t>
      </w:r>
      <w:proofErr w:type="gramEnd"/>
      <w:r>
        <w:rPr>
          <w:rFonts w:ascii="Times New Roman" w:hAnsi="Times New Roman"/>
          <w:sz w:val="24"/>
          <w:szCs w:val="24"/>
        </w:rPr>
        <w:t xml:space="preserve"> o jednacím řádu Poslanecké Sněmovny, ve znění pozdějších předpisů, již v prvém čtení. </w:t>
      </w:r>
    </w:p>
    <w:p w:rsidR="00CB72DA" w:rsidRDefault="00CB72D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B. Část zvláštní</w:t>
      </w:r>
    </w:p>
    <w:p w:rsidR="00CB72DA" w:rsidRDefault="00444155">
      <w:pPr>
        <w:spacing w:before="120" w:after="12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K č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l. I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Stanoví se pravidlo, podle něhož nelze schválit návrh zákona o státním rozpočtu před ukončením projednávání návrhu státního </w:t>
      </w:r>
      <w:proofErr w:type="spellStart"/>
      <w:r>
        <w:rPr>
          <w:rFonts w:ascii="Times New Roman" w:hAnsi="Times New Roman"/>
          <w:sz w:val="24"/>
          <w:szCs w:val="24"/>
        </w:rPr>
        <w:t>závěrečn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účtu za předchozí rok. Dodržení posloupnosti schvalování obou dokumentů je </w:t>
      </w:r>
      <w:proofErr w:type="spellStart"/>
      <w:r>
        <w:rPr>
          <w:rFonts w:ascii="Times New Roman" w:hAnsi="Times New Roman"/>
          <w:sz w:val="24"/>
          <w:szCs w:val="24"/>
        </w:rPr>
        <w:t>důležit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proto, že Poslanecká sněmovna má </w:t>
      </w:r>
      <w:r>
        <w:rPr>
          <w:rFonts w:ascii="Times New Roman" w:hAnsi="Times New Roman"/>
          <w:sz w:val="24"/>
          <w:szCs w:val="24"/>
          <w:lang w:val="es-ES_tradnl"/>
        </w:rPr>
        <w:t>racion</w:t>
      </w:r>
      <w:proofErr w:type="spellStart"/>
      <w:r>
        <w:rPr>
          <w:rFonts w:ascii="Times New Roman" w:hAnsi="Times New Roman"/>
          <w:sz w:val="24"/>
          <w:szCs w:val="24"/>
        </w:rPr>
        <w:t>álně</w:t>
      </w:r>
      <w:proofErr w:type="spellEnd"/>
      <w:r>
        <w:rPr>
          <w:rFonts w:ascii="Times New Roman" w:hAnsi="Times New Roman"/>
          <w:sz w:val="24"/>
          <w:szCs w:val="24"/>
        </w:rPr>
        <w:t xml:space="preserve"> při schvalování nov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ho státního rozpočtu </w:t>
      </w:r>
      <w:proofErr w:type="spellStart"/>
      <w:r>
        <w:rPr>
          <w:rFonts w:ascii="Times New Roman" w:hAnsi="Times New Roman"/>
          <w:sz w:val="24"/>
          <w:szCs w:val="24"/>
        </w:rPr>
        <w:t>vychá</w:t>
      </w:r>
      <w:proofErr w:type="spellEnd"/>
      <w:r>
        <w:rPr>
          <w:rFonts w:ascii="Times New Roman" w:hAnsi="Times New Roman"/>
          <w:sz w:val="24"/>
          <w:szCs w:val="24"/>
          <w:lang w:val="nl-NL"/>
        </w:rPr>
        <w:t>zet z</w:t>
      </w:r>
      <w:r>
        <w:rPr>
          <w:rFonts w:ascii="Times New Roman" w:hAnsi="Times New Roman"/>
          <w:sz w:val="24"/>
          <w:szCs w:val="24"/>
        </w:rPr>
        <w:t> kvalifikovaný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údajů o tom, jak proběhlo hospodaření státu v minul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m roce.</w:t>
      </w:r>
    </w:p>
    <w:p w:rsidR="00CB72DA" w:rsidRDefault="00CB72DA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 č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l. II</w:t>
      </w:r>
    </w:p>
    <w:p w:rsidR="00CB72DA" w:rsidRDefault="00444155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Účinnost návrhu zákona se navrhuje ke dni 1. července 2020.</w:t>
      </w:r>
    </w:p>
    <w:p w:rsidR="00CB72DA" w:rsidRDefault="00CB72D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B72DA" w:rsidRDefault="0044415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Praze </w:t>
      </w:r>
      <w:proofErr w:type="gramStart"/>
      <w:r>
        <w:rPr>
          <w:rFonts w:ascii="Times New Roman" w:hAnsi="Times New Roman"/>
          <w:sz w:val="24"/>
          <w:szCs w:val="24"/>
        </w:rPr>
        <w:t>dne 6.ledna</w:t>
      </w:r>
      <w:proofErr w:type="gramEnd"/>
      <w:r>
        <w:rPr>
          <w:rFonts w:ascii="Times New Roman" w:hAnsi="Times New Roman"/>
          <w:sz w:val="24"/>
          <w:szCs w:val="24"/>
        </w:rPr>
        <w:t xml:space="preserve"> 2020</w:t>
      </w:r>
    </w:p>
    <w:p w:rsidR="00CB72DA" w:rsidRDefault="00CB72D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B72DA" w:rsidRDefault="00444155">
      <w:pPr>
        <w:pStyle w:val="Nadpis1"/>
      </w:pPr>
      <w:r>
        <w:t>Předkladatel</w:t>
      </w:r>
      <w:r>
        <w:rPr>
          <w:lang w:val="fr-FR"/>
        </w:rPr>
        <w:t>é</w:t>
      </w:r>
      <w:r>
        <w:t xml:space="preserve">: </w:t>
      </w:r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Václav Votava,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Roman Onderka,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Mikuláš </w:t>
      </w:r>
      <w:proofErr w:type="spellStart"/>
      <w:r w:rsidRPr="00970C28"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 w:rsidRPr="00970C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Jan </w:t>
      </w:r>
      <w:proofErr w:type="spellStart"/>
      <w:r w:rsidRPr="00970C28">
        <w:rPr>
          <w:rFonts w:ascii="Times New Roman" w:hAnsi="Times New Roman" w:cs="Times New Roman"/>
          <w:sz w:val="24"/>
          <w:szCs w:val="24"/>
        </w:rPr>
        <w:t>Skopeček</w:t>
      </w:r>
      <w:proofErr w:type="spellEnd"/>
      <w:r w:rsidRPr="00970C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Zbyněk </w:t>
      </w:r>
      <w:proofErr w:type="spellStart"/>
      <w:r w:rsidRPr="00970C28">
        <w:rPr>
          <w:rFonts w:ascii="Times New Roman" w:hAnsi="Times New Roman" w:cs="Times New Roman"/>
          <w:sz w:val="24"/>
          <w:szCs w:val="24"/>
        </w:rPr>
        <w:t>Stanjura</w:t>
      </w:r>
      <w:proofErr w:type="spellEnd"/>
      <w:r w:rsidRPr="00970C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lastRenderedPageBreak/>
        <w:t xml:space="preserve">Jiří Dolejš,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Miroslav Kalousek,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Věra Kovářová,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Jaroslav </w:t>
      </w:r>
      <w:proofErr w:type="spellStart"/>
      <w:r w:rsidRPr="00970C28">
        <w:rPr>
          <w:rFonts w:ascii="Times New Roman" w:hAnsi="Times New Roman" w:cs="Times New Roman"/>
          <w:sz w:val="24"/>
          <w:szCs w:val="24"/>
        </w:rPr>
        <w:t>Kytýr</w:t>
      </w:r>
      <w:proofErr w:type="spellEnd"/>
      <w:r w:rsidRPr="00970C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Jan Hrnčíř,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Lubomír Španěl,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Tomáš Martínek,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C28">
        <w:rPr>
          <w:rFonts w:ascii="Times New Roman" w:hAnsi="Times New Roman" w:cs="Times New Roman"/>
          <w:sz w:val="24"/>
          <w:szCs w:val="24"/>
        </w:rPr>
        <w:t xml:space="preserve">Vojtěch Munzar, </w:t>
      </w:r>
      <w:proofErr w:type="gramStart"/>
      <w:r w:rsidRPr="00970C28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70C28" w:rsidRPr="00970C28" w:rsidRDefault="00970C28" w:rsidP="00970C28"/>
    <w:p w:rsidR="003F3F0F" w:rsidRDefault="003F3F0F" w:rsidP="003F3F0F"/>
    <w:p w:rsidR="003F3F0F" w:rsidRDefault="003F3F0F" w:rsidP="003F3F0F"/>
    <w:p w:rsidR="003F3F0F" w:rsidRPr="003F3F0F" w:rsidRDefault="003F3F0F" w:rsidP="006C59A0">
      <w:pPr>
        <w:widowControl/>
        <w:tabs>
          <w:tab w:val="clear" w:pos="708"/>
        </w:tabs>
        <w:suppressAutoHyphens w:val="0"/>
        <w:spacing w:after="0" w:line="240" w:lineRule="auto"/>
      </w:pPr>
      <w:bookmarkStart w:id="0" w:name="_GoBack"/>
      <w:bookmarkEnd w:id="0"/>
    </w:p>
    <w:sectPr w:rsidR="003F3F0F" w:rsidRPr="003F3F0F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361" w:right="1418" w:bottom="1361" w:left="1418" w:header="708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672" w:rsidRDefault="00A82672">
      <w:pPr>
        <w:spacing w:after="0" w:line="240" w:lineRule="auto"/>
      </w:pPr>
      <w:r>
        <w:separator/>
      </w:r>
    </w:p>
  </w:endnote>
  <w:endnote w:type="continuationSeparator" w:id="0">
    <w:p w:rsidR="00A82672" w:rsidRDefault="00A8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2DA" w:rsidRDefault="00CB72DA">
    <w:pPr>
      <w:pStyle w:val="Zhlava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2DA" w:rsidRDefault="00CB72DA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672" w:rsidRDefault="00A82672">
      <w:r>
        <w:separator/>
      </w:r>
    </w:p>
  </w:footnote>
  <w:footnote w:type="continuationSeparator" w:id="0">
    <w:p w:rsidR="00A82672" w:rsidRDefault="00A82672">
      <w:r>
        <w:continuationSeparator/>
      </w:r>
    </w:p>
  </w:footnote>
  <w:footnote w:type="continuationNotice" w:id="1">
    <w:p w:rsidR="00A82672" w:rsidRDefault="00A82672"/>
  </w:footnote>
  <w:footnote w:id="2">
    <w:p w:rsidR="00CB72DA" w:rsidRDefault="00444155">
      <w:pPr>
        <w:pStyle w:val="Textpoznpodarou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Informace dostupná </w:t>
      </w:r>
      <w:r>
        <w:rPr>
          <w:rFonts w:ascii="Times New Roman" w:hAnsi="Times New Roman"/>
          <w:lang w:val="pt-PT"/>
        </w:rPr>
        <w:t xml:space="preserve">online: </w:t>
      </w:r>
      <w:hyperlink r:id="rId1" w:history="1">
        <w:r>
          <w:rPr>
            <w:rStyle w:val="Hyperlink0"/>
            <w:rFonts w:eastAsia="Calibri"/>
            <w:lang w:val="en-US"/>
          </w:rPr>
          <w:t>http://www.psp.cz/sqw/historie.sqw?o=8&amp;T=164</w:t>
        </w:r>
      </w:hyperlink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[</w:t>
      </w:r>
      <w:r>
        <w:rPr>
          <w:rFonts w:ascii="Times New Roman" w:hAnsi="Times New Roman"/>
        </w:rPr>
        <w:t>cit. 17. 9. 2019</w:t>
      </w:r>
      <w:r>
        <w:rPr>
          <w:rFonts w:ascii="Times New Roman" w:hAnsi="Times New Roman"/>
          <w:lang w:val="it-IT"/>
        </w:rPr>
        <w:t>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2DA" w:rsidRDefault="00CB72DA">
    <w:pPr>
      <w:pStyle w:val="Zhlavazpa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2DA" w:rsidRDefault="00CB72DA">
    <w:pPr>
      <w:pStyle w:val="Zhlavazpa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2DA"/>
    <w:rsid w:val="003710F6"/>
    <w:rsid w:val="003F3F0F"/>
    <w:rsid w:val="00444155"/>
    <w:rsid w:val="006C59A0"/>
    <w:rsid w:val="00970C28"/>
    <w:rsid w:val="00A82672"/>
    <w:rsid w:val="00CB72DA"/>
    <w:rsid w:val="00ED4376"/>
    <w:rsid w:val="00FB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12DA"/>
  <w15:docId w15:val="{25373975-511B-42F9-9DD6-78D812F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next w:val="Normln"/>
    <w:pPr>
      <w:keepNext/>
      <w:ind w:left="432" w:hanging="432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extpoznpodarou">
    <w:name w:val="footnote text"/>
    <w:pPr>
      <w:widowControl w:val="0"/>
      <w:tabs>
        <w:tab w:val="left" w:pos="708"/>
      </w:tabs>
      <w:suppressAutoHyphens/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character" w:customStyle="1" w:styleId="Odkaz">
    <w:name w:val="Odkaz"/>
    <w:rPr>
      <w:color w:val="0563C1"/>
      <w:u w:val="single" w:color="0563C1"/>
    </w:rPr>
  </w:style>
  <w:style w:type="character" w:customStyle="1" w:styleId="Hyperlink0">
    <w:name w:val="Hyperlink.0"/>
    <w:basedOn w:val="Odkaz"/>
    <w:rPr>
      <w:rFonts w:ascii="Times New Roman" w:eastAsia="Times New Roman" w:hAnsi="Times New Roman" w:cs="Times New Roman"/>
      <w:color w:val="0563C1"/>
      <w:u w:val="single" w:color="0563C1"/>
    </w:rPr>
  </w:style>
  <w:style w:type="paragraph" w:styleId="Normlnweb">
    <w:name w:val="Normal (Web)"/>
    <w:basedOn w:val="Normln"/>
    <w:uiPriority w:val="99"/>
    <w:semiHidden/>
    <w:unhideWhenUsed/>
    <w:rsid w:val="003F3F0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708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8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2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sp.cz/sqw/historie.sqw?o=8&amp;T=164" TargetMode="Externa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731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Kapounova Ilona</cp:lastModifiedBy>
  <cp:revision>5</cp:revision>
  <dcterms:created xsi:type="dcterms:W3CDTF">2020-01-15T13:33:00Z</dcterms:created>
  <dcterms:modified xsi:type="dcterms:W3CDTF">2020-01-15T13:38:00Z</dcterms:modified>
</cp:coreProperties>
</file>