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5743" w:rsidRPr="00825837" w:rsidRDefault="00704FCB" w:rsidP="00B52672">
      <w:pPr>
        <w:suppressAutoHyphens/>
        <w:spacing w:after="120"/>
        <w:jc w:val="center"/>
        <w:rPr>
          <w:b/>
          <w:bCs/>
        </w:rPr>
      </w:pPr>
      <w:r w:rsidRPr="00825837">
        <w:rPr>
          <w:b/>
          <w:bCs/>
        </w:rPr>
        <w:t>ZÁKON</w:t>
      </w:r>
    </w:p>
    <w:p w:rsidR="00635743" w:rsidRPr="00825837" w:rsidRDefault="00704FCB" w:rsidP="00B52D21">
      <w:pPr>
        <w:suppressAutoHyphens/>
        <w:spacing w:after="240"/>
        <w:jc w:val="center"/>
        <w:rPr>
          <w:b/>
        </w:rPr>
      </w:pPr>
      <w:r w:rsidRPr="00825837">
        <w:rPr>
          <w:b/>
        </w:rPr>
        <w:t xml:space="preserve">ze dne </w:t>
      </w:r>
      <w:r w:rsidR="00C12FF8">
        <w:rPr>
          <w:b/>
        </w:rPr>
        <w:t>…</w:t>
      </w:r>
      <w:r w:rsidR="00726F6C" w:rsidRPr="00825837">
        <w:rPr>
          <w:b/>
        </w:rPr>
        <w:t xml:space="preserve"> </w:t>
      </w:r>
      <w:r w:rsidRPr="00825837">
        <w:rPr>
          <w:b/>
        </w:rPr>
        <w:t>2019,</w:t>
      </w:r>
    </w:p>
    <w:p w:rsidR="006406A8" w:rsidRPr="00825837" w:rsidRDefault="006406A8" w:rsidP="00B52D21">
      <w:pPr>
        <w:suppressAutoHyphens/>
        <w:spacing w:after="240"/>
        <w:jc w:val="center"/>
        <w:rPr>
          <w:b/>
        </w:rPr>
      </w:pPr>
    </w:p>
    <w:p w:rsidR="004F7458" w:rsidRPr="004F7458" w:rsidRDefault="004F7458" w:rsidP="004520EA">
      <w:pPr>
        <w:widowControl w:val="0"/>
        <w:suppressAutoHyphens/>
        <w:snapToGrid w:val="0"/>
        <w:jc w:val="center"/>
        <w:rPr>
          <w:b/>
        </w:rPr>
      </w:pPr>
      <w:r>
        <w:rPr>
          <w:b/>
        </w:rPr>
        <w:t>kterým</w:t>
      </w:r>
      <w:r w:rsidRPr="004F7458">
        <w:rPr>
          <w:b/>
        </w:rPr>
        <w:t xml:space="preserve"> se </w:t>
      </w:r>
      <w:r w:rsidR="004520EA">
        <w:rPr>
          <w:b/>
        </w:rPr>
        <w:t>mění zákon č. 2/1969 Sb., o zřízení ministerstev a jiných ústředních orgánů státní správy České republiky</w:t>
      </w:r>
    </w:p>
    <w:p w:rsidR="004F7458" w:rsidRDefault="004F7458" w:rsidP="004F7458">
      <w:pPr>
        <w:widowControl w:val="0"/>
        <w:suppressAutoHyphens/>
        <w:spacing w:after="240"/>
        <w:jc w:val="both"/>
        <w:rPr>
          <w:rFonts w:ascii="á-@á˛" w:eastAsia="Arial Unicode MS" w:hAnsi="á-@á˛" w:cs="á-@á˛"/>
          <w:bdr w:val="nil"/>
        </w:rPr>
      </w:pPr>
    </w:p>
    <w:p w:rsidR="00635743" w:rsidRPr="00825837" w:rsidRDefault="00635743" w:rsidP="00B52D21">
      <w:pPr>
        <w:suppressAutoHyphens/>
        <w:jc w:val="center"/>
        <w:rPr>
          <w:b/>
          <w:bCs/>
        </w:rPr>
      </w:pPr>
    </w:p>
    <w:p w:rsidR="00635743" w:rsidRPr="00825837" w:rsidRDefault="00635743" w:rsidP="00B52D21">
      <w:pPr>
        <w:suppressAutoHyphens/>
        <w:jc w:val="center"/>
        <w:rPr>
          <w:b/>
          <w:bCs/>
        </w:rPr>
      </w:pPr>
    </w:p>
    <w:p w:rsidR="00635743" w:rsidRPr="00825837" w:rsidRDefault="00704FCB" w:rsidP="00B52D21">
      <w:pPr>
        <w:suppressAutoHyphens/>
      </w:pPr>
      <w:r w:rsidRPr="00825837">
        <w:t>Parlament se usnesl na tomto zákoně České republiky:</w:t>
      </w:r>
    </w:p>
    <w:p w:rsidR="0038797A" w:rsidRPr="00825837" w:rsidRDefault="0038797A" w:rsidP="00B52D21">
      <w:pPr>
        <w:suppressAutoHyphens/>
      </w:pPr>
    </w:p>
    <w:p w:rsidR="0038797A" w:rsidRPr="004520EA" w:rsidRDefault="00E53FB3" w:rsidP="00E53FB3">
      <w:pPr>
        <w:suppressAutoHyphens/>
        <w:jc w:val="center"/>
        <w:rPr>
          <w:b/>
          <w:bCs/>
        </w:rPr>
      </w:pPr>
      <w:r w:rsidRPr="004520EA">
        <w:rPr>
          <w:b/>
          <w:bCs/>
        </w:rPr>
        <w:t>ČÁST PRVNÍ</w:t>
      </w:r>
    </w:p>
    <w:p w:rsidR="00C339E6" w:rsidRDefault="00BE24CB" w:rsidP="004520EA">
      <w:pPr>
        <w:suppressAutoHyphens/>
        <w:snapToGrid w:val="0"/>
        <w:spacing w:after="240"/>
        <w:jc w:val="center"/>
        <w:rPr>
          <w:b/>
        </w:rPr>
      </w:pPr>
      <w:r w:rsidRPr="00BE24CB">
        <w:rPr>
          <w:b/>
        </w:rPr>
        <w:t>Změna zákona o zřízení ministerstev a jiných ústředních orgánů státní správy České republiky</w:t>
      </w:r>
    </w:p>
    <w:p w:rsidR="004520EA" w:rsidRDefault="004520EA" w:rsidP="004520EA">
      <w:pPr>
        <w:suppressAutoHyphens/>
        <w:snapToGrid w:val="0"/>
        <w:spacing w:after="240"/>
        <w:jc w:val="center"/>
        <w:rPr>
          <w:b/>
        </w:rPr>
      </w:pPr>
      <w:r>
        <w:rPr>
          <w:b/>
        </w:rPr>
        <w:t>Čl. I</w:t>
      </w:r>
    </w:p>
    <w:p w:rsidR="0038797A" w:rsidRPr="00825837" w:rsidRDefault="0038797A" w:rsidP="00B52D21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825837">
        <w:rPr>
          <w:rFonts w:ascii="Times New Roman" w:hAnsi="Times New Roman"/>
          <w:sz w:val="24"/>
          <w:szCs w:val="24"/>
        </w:rPr>
        <w:t>Zákon č. 2/1969 Sb., o zřízení ministerstev a jiných ústředních orgánů státní správy České republiky ve znění zákonů č. 34/1970 Sb., č. 147/1970 Sb., č. 125/1973 Sb., č. 25/1976 Sb., č. 118/1983 Sb., č. 60/1988 Sb., č. 37/1989 Sb., č. 173/1989 Sb., zákonného opatření č. 9/1990 Sb., zákonů č. 93/1990 Sb., č. 126/1990 Sb., č. 203/1990 Sb., č. 288/1990 Sb., zákonného opatření č. 305/1990 Sb., zákonů č. 575/1990 Sb., č. 173/1991 Sb., č. 283/1991 Sb., č. 19/1992 Sb., č. 23/1992 Sb., č. 103/1992 Sb., č. 167/1992 Sb., č. 239/1992 Sb., zákonného opatření č. 350/1992 Sb., zákonů č. 358/1992 Sb., č. 359/1992 Sb., č. 474/1992 Sb., č. 548/1992 Sb., č. 21/1993 Sb., č. 166/1993 Sb., č. 285/1993 Sb., č. 47/1994 Sb., č. 89/1995 Sb., č. 289/1995 Sb., č. 135/1996 Sb., zákona č. 272/1996 Sb., zákona č. 152/1997 Sb., zákona č. 15/1998 Sb., zákona č. 148/1998 Sb., zákona č. 63/2000 Sb., zákona č. 130/2000 Sb., zákona č. 154/2000 Sb., zákona č. 204/2000 Sb., zákona č. 239/2000 Sb., zákona č. 257/2000 Sb., zákona č. 258/2000 Sb., zákona č. 365/2000 Sb., zákona č. 458/2000 Sb., zákona č. 256/2001 Sb., zákona č. 13/2002 Sb., zákona č. 47/2002 Sb., zákona č. 219/2002 Sb., zákona č. 517/2002 Sb., zákona č. 62/2003 Sb., zákona č. 162/2003 Sb., zákona č. 18/2004 Sb., zákona č. 362/2004 Sb., zákona č. 421/2004 Sb., zákona č. 499/2004 Sb., zákona č. 501/2004 Sb., zákona č. 587/2004 Sb., zákona č. 95/2005 Sb., zákona č. 127/2005 Sb., zákona č. 290/2005 Sb., zákona č. 57/2006 Sb., zákona č. 70/2006 Sb., zákona č. 71/2006 Sb., zákona č. 179/2006 Sb., zákona č. 186/2006 Sb., zákona č. 189/2006 Sb., zákona č. 225/2006 Sb., zákona č. 267/2006 Sb., zákona č. 110/2007 Sb., zákona č. 274/2008 Sb., zákona č. 297/2008 Sb., zákona č. 304/2008 Sb., zákona č. 295/2009 Sb., zákona č. 375/2011 Sb., zákona č. 458/2011 Sb., zákona č. 275/2012 Sb., zákona č. 399/2012 Sb., zákona č. 64/2014 Sb., zákona č. 250/2014 Sb., zákona č. 205/2015 Sb., zákona č. 377/2015 Sb., zákona č. 188/2016 Sb., zákona č. 298/2016 Sb., zákona č. 302/2016 Sb., zákona č. 319/2016 Sb., zákona č. 14/2017 Sb., zákona č. 24/2017 Sb., zákona č. 59/2017 Sb. a zákona č. 246/2017 Sb., se mění takto:</w:t>
      </w:r>
    </w:p>
    <w:p w:rsidR="0038797A" w:rsidRPr="00825837" w:rsidRDefault="0038797A" w:rsidP="00B52D21">
      <w:pPr>
        <w:suppressAutoHyphens/>
        <w:jc w:val="center"/>
      </w:pPr>
    </w:p>
    <w:p w:rsidR="0038797A" w:rsidRPr="00825837" w:rsidRDefault="0038797A" w:rsidP="00B52D21">
      <w:pPr>
        <w:suppressAutoHyphens/>
        <w:jc w:val="center"/>
      </w:pPr>
    </w:p>
    <w:p w:rsidR="00C55184" w:rsidRPr="00557F57" w:rsidRDefault="00C55184" w:rsidP="00557F57">
      <w:pPr>
        <w:pStyle w:val="Odstavecseseznamem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F57">
        <w:rPr>
          <w:rFonts w:ascii="Times New Roman" w:eastAsia="Times New Roman" w:hAnsi="Times New Roman" w:cs="Times New Roman"/>
          <w:sz w:val="24"/>
          <w:szCs w:val="24"/>
        </w:rPr>
        <w:t xml:space="preserve">V </w:t>
      </w:r>
      <w:r w:rsidRPr="00557F57">
        <w:rPr>
          <w:rFonts w:ascii="Times New Roman" w:hAnsi="Times New Roman" w:cs="Times New Roman"/>
          <w:sz w:val="24"/>
          <w:szCs w:val="24"/>
        </w:rPr>
        <w:t>§ 1 bodě 11. se slova „Ministerstvo zemědělství“ nahrazují slovy „Ministerstvo pro udržitelný rozvoj“.</w:t>
      </w:r>
    </w:p>
    <w:p w:rsidR="00557547" w:rsidRPr="00557F57" w:rsidRDefault="00557547" w:rsidP="00B52D21">
      <w:pPr>
        <w:pStyle w:val="Odstavecseseznamem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F57">
        <w:rPr>
          <w:rFonts w:ascii="Times New Roman" w:eastAsia="Times New Roman" w:hAnsi="Times New Roman" w:cs="Times New Roman"/>
          <w:sz w:val="24"/>
          <w:szCs w:val="24"/>
        </w:rPr>
        <w:t>V § 1 bodě 13</w:t>
      </w:r>
      <w:r w:rsidR="00C55184" w:rsidRPr="00557F57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57F57">
        <w:rPr>
          <w:rFonts w:ascii="Times New Roman" w:eastAsia="Times New Roman" w:hAnsi="Times New Roman" w:cs="Times New Roman"/>
          <w:sz w:val="24"/>
          <w:szCs w:val="24"/>
        </w:rPr>
        <w:t xml:space="preserve"> se čárka na konci textu nahrazuje tečkou</w:t>
      </w:r>
      <w:r w:rsidR="002E4368" w:rsidRPr="00557F57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r w:rsidR="00C55184" w:rsidRPr="00557F57">
        <w:rPr>
          <w:rFonts w:ascii="Times New Roman" w:eastAsia="Times New Roman" w:hAnsi="Times New Roman" w:cs="Times New Roman"/>
          <w:sz w:val="24"/>
          <w:szCs w:val="24"/>
        </w:rPr>
        <w:t xml:space="preserve">bod 14. </w:t>
      </w:r>
      <w:r w:rsidR="002E4368" w:rsidRPr="00557F57">
        <w:rPr>
          <w:rFonts w:ascii="Times New Roman" w:eastAsia="Times New Roman" w:hAnsi="Times New Roman" w:cs="Times New Roman"/>
          <w:sz w:val="24"/>
          <w:szCs w:val="24"/>
        </w:rPr>
        <w:t xml:space="preserve">se </w:t>
      </w:r>
      <w:r w:rsidR="00C55184" w:rsidRPr="00557F57">
        <w:rPr>
          <w:rFonts w:ascii="Times New Roman" w:eastAsia="Times New Roman" w:hAnsi="Times New Roman" w:cs="Times New Roman"/>
          <w:sz w:val="24"/>
          <w:szCs w:val="24"/>
        </w:rPr>
        <w:t>zrušuje.</w:t>
      </w:r>
    </w:p>
    <w:p w:rsidR="00854003" w:rsidRPr="00557F57" w:rsidRDefault="00854003" w:rsidP="00BE24CB">
      <w:pPr>
        <w:suppressAutoHyphens/>
        <w:rPr>
          <w:color w:val="FF0000"/>
        </w:rPr>
      </w:pPr>
    </w:p>
    <w:p w:rsidR="0046323D" w:rsidRPr="00557F57" w:rsidRDefault="00964458" w:rsidP="00557F57">
      <w:pPr>
        <w:pStyle w:val="Odstavecseseznamem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F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 xml:space="preserve">V </w:t>
      </w:r>
      <w:r w:rsidR="00854003" w:rsidRPr="00557F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§</w:t>
      </w:r>
      <w:r w:rsidR="00CB5E3E" w:rsidRPr="00557F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54003" w:rsidRPr="00557F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13 odst. 2</w:t>
      </w:r>
      <w:r w:rsidRPr="00557F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s</w:t>
      </w:r>
      <w:r w:rsidR="00557F57" w:rsidRPr="00557F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e </w:t>
      </w:r>
      <w:r w:rsidRPr="00557F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slova </w:t>
      </w:r>
      <w:r w:rsidR="0046323D" w:rsidRPr="00557F57">
        <w:rPr>
          <w:rFonts w:ascii="Times New Roman" w:hAnsi="Times New Roman" w:cs="Times New Roman"/>
          <w:sz w:val="24"/>
          <w:szCs w:val="24"/>
        </w:rPr>
        <w:t>„</w:t>
      </w:r>
      <w:r w:rsidR="00557F57" w:rsidRPr="00557F57">
        <w:rPr>
          <w:rFonts w:ascii="Times New Roman" w:hAnsi="Times New Roman" w:cs="Times New Roman"/>
          <w:sz w:val="24"/>
          <w:szCs w:val="24"/>
        </w:rPr>
        <w:t>M</w:t>
      </w:r>
      <w:r w:rsidR="0046323D" w:rsidRPr="00557F57">
        <w:rPr>
          <w:rFonts w:ascii="Times New Roman" w:hAnsi="Times New Roman" w:cs="Times New Roman"/>
          <w:sz w:val="24"/>
          <w:szCs w:val="24"/>
        </w:rPr>
        <w:t>inisterstv</w:t>
      </w:r>
      <w:r w:rsidR="00687C24">
        <w:rPr>
          <w:rFonts w:ascii="Times New Roman" w:hAnsi="Times New Roman" w:cs="Times New Roman"/>
          <w:sz w:val="24"/>
          <w:szCs w:val="24"/>
        </w:rPr>
        <w:t>a</w:t>
      </w:r>
      <w:r w:rsidR="0046323D" w:rsidRPr="00557F57">
        <w:rPr>
          <w:rFonts w:ascii="Times New Roman" w:hAnsi="Times New Roman" w:cs="Times New Roman"/>
          <w:sz w:val="24"/>
          <w:szCs w:val="24"/>
        </w:rPr>
        <w:t xml:space="preserve"> zemědělství“ nahrazují slovy „</w:t>
      </w:r>
      <w:r w:rsidR="00557F57" w:rsidRPr="00557F57">
        <w:rPr>
          <w:rFonts w:ascii="Times New Roman" w:hAnsi="Times New Roman" w:cs="Times New Roman"/>
          <w:sz w:val="24"/>
          <w:szCs w:val="24"/>
        </w:rPr>
        <w:t>M</w:t>
      </w:r>
      <w:r w:rsidR="0046323D" w:rsidRPr="00557F57">
        <w:rPr>
          <w:rFonts w:ascii="Times New Roman" w:hAnsi="Times New Roman" w:cs="Times New Roman"/>
          <w:sz w:val="24"/>
          <w:szCs w:val="24"/>
        </w:rPr>
        <w:t>inisterstv</w:t>
      </w:r>
      <w:r w:rsidR="00687C24">
        <w:rPr>
          <w:rFonts w:ascii="Times New Roman" w:hAnsi="Times New Roman" w:cs="Times New Roman"/>
          <w:sz w:val="24"/>
          <w:szCs w:val="24"/>
        </w:rPr>
        <w:t>a</w:t>
      </w:r>
      <w:r w:rsidR="0046323D" w:rsidRPr="00557F57">
        <w:rPr>
          <w:rFonts w:ascii="Times New Roman" w:hAnsi="Times New Roman" w:cs="Times New Roman"/>
          <w:sz w:val="24"/>
          <w:szCs w:val="24"/>
        </w:rPr>
        <w:t xml:space="preserve"> pro udržitelný rozvoj“.</w:t>
      </w:r>
    </w:p>
    <w:p w:rsidR="0046323D" w:rsidRPr="00557F57" w:rsidRDefault="002E4368" w:rsidP="00B52D21">
      <w:pPr>
        <w:pStyle w:val="Odstavecseseznamem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F57">
        <w:rPr>
          <w:rFonts w:ascii="Times New Roman" w:eastAsia="Times New Roman" w:hAnsi="Times New Roman" w:cs="Times New Roman"/>
          <w:sz w:val="24"/>
          <w:szCs w:val="24"/>
        </w:rPr>
        <w:t xml:space="preserve">V </w:t>
      </w:r>
      <w:r w:rsidR="00FA01D8" w:rsidRPr="00557F57">
        <w:rPr>
          <w:rFonts w:ascii="Times New Roman" w:eastAsia="Times New Roman" w:hAnsi="Times New Roman" w:cs="Times New Roman"/>
          <w:sz w:val="24"/>
          <w:szCs w:val="24"/>
        </w:rPr>
        <w:t>§ 15</w:t>
      </w:r>
      <w:r w:rsidRPr="00557F57">
        <w:rPr>
          <w:rFonts w:ascii="Times New Roman" w:eastAsia="Times New Roman" w:hAnsi="Times New Roman" w:cs="Times New Roman"/>
          <w:sz w:val="24"/>
          <w:szCs w:val="24"/>
        </w:rPr>
        <w:t xml:space="preserve"> odst. 1 zní:</w:t>
      </w:r>
    </w:p>
    <w:p w:rsidR="002E4368" w:rsidRPr="00557F57" w:rsidRDefault="002E4368" w:rsidP="00275E88">
      <w:pPr>
        <w:suppressAutoHyphens/>
        <w:snapToGrid w:val="0"/>
        <w:spacing w:after="240"/>
        <w:ind w:left="357"/>
        <w:jc w:val="both"/>
      </w:pPr>
      <w:r w:rsidRPr="00557F57">
        <w:t xml:space="preserve">„(1) </w:t>
      </w:r>
      <w:r w:rsidR="00062EF8" w:rsidRPr="00557F57">
        <w:t xml:space="preserve">Ministerstvo pro udržitelný rozvoj je ústředním orgánem státní správy </w:t>
      </w:r>
      <w:r w:rsidR="00E12292" w:rsidRPr="00557F57">
        <w:t>ve věcech</w:t>
      </w:r>
      <w:r w:rsidR="00062EF8" w:rsidRPr="00557F57">
        <w:t xml:space="preserve"> zemědělství a životní</w:t>
      </w:r>
      <w:r w:rsidR="00E12292" w:rsidRPr="00557F57">
        <w:t>ho</w:t>
      </w:r>
      <w:r w:rsidR="00062EF8" w:rsidRPr="00557F57">
        <w:t xml:space="preserve"> prostředí.</w:t>
      </w:r>
      <w:r w:rsidRPr="00557F57">
        <w:t xml:space="preserve">“ </w:t>
      </w:r>
    </w:p>
    <w:p w:rsidR="002E4368" w:rsidRPr="00557F57" w:rsidRDefault="002E4368" w:rsidP="00B52D21">
      <w:pPr>
        <w:pStyle w:val="Odstavecseseznamem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F57">
        <w:rPr>
          <w:rFonts w:ascii="Times New Roman" w:eastAsia="Times New Roman" w:hAnsi="Times New Roman" w:cs="Times New Roman"/>
          <w:sz w:val="24"/>
          <w:szCs w:val="24"/>
        </w:rPr>
        <w:t>V § 15 odst. 2 zní:</w:t>
      </w:r>
    </w:p>
    <w:p w:rsidR="00580E62" w:rsidRPr="00557F57" w:rsidRDefault="002E4368" w:rsidP="00B52D21">
      <w:pPr>
        <w:suppressAutoHyphens/>
        <w:ind w:left="360"/>
        <w:jc w:val="both"/>
      </w:pPr>
      <w:r w:rsidRPr="00557F57">
        <w:t>„(2)</w:t>
      </w:r>
      <w:r w:rsidR="00580E62" w:rsidRPr="00557F57">
        <w:t xml:space="preserve"> Ministerstvo pro udržitelný rozvoj je ústředním orgánem státní správy zejména pro</w:t>
      </w:r>
    </w:p>
    <w:p w:rsidR="00580E62" w:rsidRPr="00557F57" w:rsidRDefault="00580E62" w:rsidP="00580E62">
      <w:pPr>
        <w:pStyle w:val="Odstavecseseznamem"/>
        <w:numPr>
          <w:ilvl w:val="0"/>
          <w:numId w:val="6"/>
        </w:numPr>
        <w:suppressAutoHyphens/>
        <w:snapToGrid w:val="0"/>
        <w:spacing w:after="0"/>
        <w:ind w:left="714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F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vodní hospodářství, </w:t>
      </w:r>
    </w:p>
    <w:p w:rsidR="00580E62" w:rsidRPr="00557F57" w:rsidRDefault="00580E62" w:rsidP="00580E62">
      <w:pPr>
        <w:pStyle w:val="Odstavecseseznamem"/>
        <w:numPr>
          <w:ilvl w:val="0"/>
          <w:numId w:val="6"/>
        </w:numPr>
        <w:suppressAutoHyphens/>
        <w:snapToGrid w:val="0"/>
        <w:spacing w:after="0"/>
        <w:ind w:left="714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F57">
        <w:rPr>
          <w:rFonts w:ascii="Times New Roman" w:hAnsi="Times New Roman" w:cs="Times New Roman"/>
          <w:color w:val="000000" w:themeColor="text1"/>
          <w:sz w:val="24"/>
          <w:szCs w:val="24"/>
        </w:rPr>
        <w:t>myslivost, rybářství a lesní hospodářství (státní správa lesů),</w:t>
      </w:r>
      <w:r w:rsidR="00292274" w:rsidRPr="00557F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včetně národních parků</w:t>
      </w:r>
    </w:p>
    <w:p w:rsidR="00580E62" w:rsidRPr="00557F57" w:rsidRDefault="00580E62" w:rsidP="00580E62">
      <w:pPr>
        <w:pStyle w:val="Odstavecseseznamem"/>
        <w:numPr>
          <w:ilvl w:val="0"/>
          <w:numId w:val="6"/>
        </w:numPr>
        <w:suppressAutoHyphens/>
        <w:snapToGrid w:val="0"/>
        <w:spacing w:after="0"/>
        <w:ind w:left="714" w:hanging="35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57F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komoditní burzy</w:t>
      </w:r>
      <w:r w:rsidRPr="00557F57">
        <w:rPr>
          <w:rFonts w:ascii="Times New Roman" w:hAnsi="Times New Roman" w:cs="Times New Roman"/>
          <w:color w:val="000000" w:themeColor="text1"/>
          <w:sz w:val="24"/>
          <w:szCs w:val="24"/>
        </w:rPr>
        <w:t>, které organizují obchody se zbožím pocházejícím ze zemědělské a lesní výroby, včetně výrobků vzniklých jeho zpracováním,</w:t>
      </w:r>
    </w:p>
    <w:p w:rsidR="00580E62" w:rsidRPr="00557F57" w:rsidRDefault="00580E62" w:rsidP="00580E62">
      <w:pPr>
        <w:pStyle w:val="Odstavecseseznamem"/>
        <w:numPr>
          <w:ilvl w:val="0"/>
          <w:numId w:val="6"/>
        </w:numPr>
        <w:suppressAutoHyphens/>
        <w:snapToGrid w:val="0"/>
        <w:spacing w:after="0"/>
        <w:ind w:left="714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F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ochranu zemědělského půdního fondu, </w:t>
      </w:r>
    </w:p>
    <w:p w:rsidR="00580E62" w:rsidRPr="00557F57" w:rsidRDefault="00580E62" w:rsidP="00580E62">
      <w:pPr>
        <w:pStyle w:val="Odstavecseseznamem"/>
        <w:numPr>
          <w:ilvl w:val="0"/>
          <w:numId w:val="6"/>
        </w:numPr>
        <w:suppressAutoHyphens/>
        <w:snapToGrid w:val="0"/>
        <w:spacing w:after="0"/>
        <w:ind w:left="714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F57">
        <w:rPr>
          <w:rFonts w:ascii="Times New Roman" w:hAnsi="Times New Roman" w:cs="Times New Roman"/>
          <w:color w:val="000000" w:themeColor="text1"/>
          <w:sz w:val="24"/>
          <w:szCs w:val="24"/>
        </w:rPr>
        <w:t>ochranu ovzduší,</w:t>
      </w:r>
    </w:p>
    <w:p w:rsidR="00580E62" w:rsidRPr="00557F57" w:rsidRDefault="00580E62" w:rsidP="00580E62">
      <w:pPr>
        <w:pStyle w:val="Odstavecseseznamem"/>
        <w:numPr>
          <w:ilvl w:val="0"/>
          <w:numId w:val="6"/>
        </w:numPr>
        <w:suppressAutoHyphens/>
        <w:snapToGrid w:val="0"/>
        <w:spacing w:after="0"/>
        <w:ind w:left="714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F57">
        <w:rPr>
          <w:rFonts w:ascii="Times New Roman" w:hAnsi="Times New Roman" w:cs="Times New Roman"/>
          <w:color w:val="000000" w:themeColor="text1"/>
          <w:sz w:val="24"/>
          <w:szCs w:val="24"/>
        </w:rPr>
        <w:t>ochranu přírody a krajiny,</w:t>
      </w:r>
    </w:p>
    <w:p w:rsidR="00580E62" w:rsidRPr="00557F57" w:rsidRDefault="00580E62" w:rsidP="00580E62">
      <w:pPr>
        <w:pStyle w:val="Odstavecseseznamem"/>
        <w:numPr>
          <w:ilvl w:val="0"/>
          <w:numId w:val="6"/>
        </w:numPr>
        <w:suppressAutoHyphens/>
        <w:snapToGrid w:val="0"/>
        <w:spacing w:after="0"/>
        <w:ind w:left="714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F57">
        <w:rPr>
          <w:rFonts w:ascii="Times New Roman" w:hAnsi="Times New Roman" w:cs="Times New Roman"/>
          <w:color w:val="000000" w:themeColor="text1"/>
          <w:sz w:val="24"/>
          <w:szCs w:val="24"/>
        </w:rPr>
        <w:t>potravinářský průmysl a péče o potraviny,</w:t>
      </w:r>
    </w:p>
    <w:p w:rsidR="00580E62" w:rsidRPr="00557F57" w:rsidRDefault="00580E62" w:rsidP="00580E62">
      <w:pPr>
        <w:pStyle w:val="Odstavecseseznamem"/>
        <w:numPr>
          <w:ilvl w:val="0"/>
          <w:numId w:val="6"/>
        </w:numPr>
        <w:suppressAutoHyphens/>
        <w:snapToGrid w:val="0"/>
        <w:spacing w:after="0"/>
        <w:ind w:left="714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/>
        </w:rPr>
      </w:pPr>
      <w:r w:rsidRPr="00557F57">
        <w:rPr>
          <w:rFonts w:ascii="Times New Roman" w:hAnsi="Times New Roman" w:cs="Times New Roman"/>
          <w:color w:val="000000" w:themeColor="text1"/>
          <w:sz w:val="24"/>
          <w:szCs w:val="24"/>
        </w:rPr>
        <w:t>veterinární péče, rostlinolékařské péče, péče o ochranu zvířat proti týrání, ochranu práv k novým odrůdám rostlin a plemenům zvířat,</w:t>
      </w:r>
    </w:p>
    <w:p w:rsidR="00580E62" w:rsidRPr="00557F57" w:rsidRDefault="00580E62" w:rsidP="00580E62">
      <w:pPr>
        <w:pStyle w:val="Odstavecseseznamem"/>
        <w:numPr>
          <w:ilvl w:val="0"/>
          <w:numId w:val="6"/>
        </w:numPr>
        <w:suppressAutoHyphens/>
        <w:snapToGrid w:val="0"/>
        <w:spacing w:after="0"/>
        <w:ind w:left="714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F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oblast provozování zoologických zahrad, </w:t>
      </w:r>
    </w:p>
    <w:p w:rsidR="00580E62" w:rsidRPr="00557F57" w:rsidRDefault="00580E62" w:rsidP="00580E62">
      <w:pPr>
        <w:pStyle w:val="Odstavecseseznamem"/>
        <w:numPr>
          <w:ilvl w:val="0"/>
          <w:numId w:val="6"/>
        </w:numPr>
        <w:suppressAutoHyphens/>
        <w:snapToGrid w:val="0"/>
        <w:spacing w:after="0"/>
        <w:ind w:left="714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F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výkon státní geologické služby, pro ochranu horninového prostředí, včetně ochrany nerostných zdrojů a podzemních vod, pro geologické práce a pro ekologický dohled nad těžbou, </w:t>
      </w:r>
    </w:p>
    <w:p w:rsidR="002E4368" w:rsidRPr="00557F57" w:rsidRDefault="00580E62" w:rsidP="00275E88">
      <w:pPr>
        <w:pStyle w:val="Odstavecseseznamem"/>
        <w:numPr>
          <w:ilvl w:val="0"/>
          <w:numId w:val="6"/>
        </w:numPr>
        <w:suppressAutoHyphens/>
        <w:snapToGrid w:val="0"/>
        <w:spacing w:after="240"/>
        <w:ind w:left="714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F57">
        <w:rPr>
          <w:rFonts w:ascii="Times New Roman" w:hAnsi="Times New Roman" w:cs="Times New Roman"/>
          <w:color w:val="000000" w:themeColor="text1"/>
          <w:sz w:val="24"/>
          <w:szCs w:val="24"/>
        </w:rPr>
        <w:t>odpadové hospodářství a pro posuzování vlivů činností a jejich důsledků na životní prostředí, včetně těch, které přesahují státní hranice.</w:t>
      </w:r>
      <w:r w:rsidR="002E4368" w:rsidRPr="00557F57">
        <w:rPr>
          <w:rFonts w:ascii="Times New Roman" w:hAnsi="Times New Roman" w:cs="Times New Roman"/>
          <w:sz w:val="24"/>
          <w:szCs w:val="24"/>
        </w:rPr>
        <w:t>“</w:t>
      </w:r>
    </w:p>
    <w:p w:rsidR="002E4368" w:rsidRPr="00557F57" w:rsidRDefault="002E4368" w:rsidP="00B52D21">
      <w:pPr>
        <w:pStyle w:val="Odstavecseseznamem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F57">
        <w:rPr>
          <w:rFonts w:ascii="Times New Roman" w:eastAsia="Times New Roman" w:hAnsi="Times New Roman" w:cs="Times New Roman"/>
          <w:sz w:val="24"/>
          <w:szCs w:val="24"/>
        </w:rPr>
        <w:t>V § 15 odst. 3 zní:</w:t>
      </w:r>
    </w:p>
    <w:p w:rsidR="002E4368" w:rsidRPr="00557F57" w:rsidRDefault="002E4368" w:rsidP="00275E88">
      <w:pPr>
        <w:suppressAutoHyphens/>
        <w:snapToGrid w:val="0"/>
        <w:spacing w:after="240"/>
        <w:ind w:left="357"/>
        <w:jc w:val="both"/>
      </w:pPr>
      <w:r w:rsidRPr="00557F57">
        <w:t xml:space="preserve">„(3) </w:t>
      </w:r>
      <w:r w:rsidR="00275E88" w:rsidRPr="00557F57">
        <w:t>Ministerstvo pro udržitelný rozvoj ústředním orgánem státní správy pro státní ekologickou politiku, pro systém značení ekologicky šetrných výrobků a služeb a pro program podporující dobrovolnou účast v systému řízení podniku a auditu z hlediska ochrany životního prostředí (Program EMAS).</w:t>
      </w:r>
      <w:r w:rsidRPr="00557F57">
        <w:t>“</w:t>
      </w:r>
    </w:p>
    <w:p w:rsidR="002E4368" w:rsidRPr="00557F57" w:rsidRDefault="002E4368" w:rsidP="00B52D21">
      <w:pPr>
        <w:pStyle w:val="Odstavecseseznamem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F57">
        <w:rPr>
          <w:rFonts w:ascii="Times New Roman" w:eastAsia="Times New Roman" w:hAnsi="Times New Roman" w:cs="Times New Roman"/>
          <w:sz w:val="24"/>
          <w:szCs w:val="24"/>
        </w:rPr>
        <w:t>V § 15 odst. 4 zní:</w:t>
      </w:r>
    </w:p>
    <w:p w:rsidR="002E4368" w:rsidRPr="00557F57" w:rsidRDefault="002E4368" w:rsidP="006F2C88">
      <w:pPr>
        <w:suppressAutoHyphens/>
        <w:ind w:left="360"/>
        <w:jc w:val="both"/>
      </w:pPr>
      <w:r w:rsidRPr="00557F57">
        <w:t xml:space="preserve">„(4) </w:t>
      </w:r>
      <w:r w:rsidR="006F2C88" w:rsidRPr="00557F57">
        <w:t xml:space="preserve">K zabezpečení řídící a kontrolní činnosti vlády České republiky </w:t>
      </w:r>
      <w:r w:rsidR="00DB4ECD" w:rsidRPr="00557F57">
        <w:t>M</w:t>
      </w:r>
      <w:r w:rsidR="006F2C88" w:rsidRPr="00557F57">
        <w:t>inisterstvo pro udržitelný rozvoj koordinuje ve věcech životního prostředí postup všech ministerstev a ostatních ústředních orgánů státní správy České republiky.</w:t>
      </w:r>
      <w:r w:rsidRPr="00557F57">
        <w:t>“</w:t>
      </w:r>
    </w:p>
    <w:p w:rsidR="002E4368" w:rsidRPr="00557F57" w:rsidRDefault="002E4368" w:rsidP="00B52D21">
      <w:pPr>
        <w:suppressAutoHyphens/>
        <w:jc w:val="both"/>
      </w:pPr>
    </w:p>
    <w:p w:rsidR="0089778D" w:rsidRPr="00557F57" w:rsidRDefault="0089778D" w:rsidP="00B52D21">
      <w:pPr>
        <w:pStyle w:val="Odstavecseseznamem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F57">
        <w:rPr>
          <w:rFonts w:ascii="Times New Roman" w:eastAsia="Times New Roman" w:hAnsi="Times New Roman" w:cs="Times New Roman"/>
          <w:sz w:val="24"/>
          <w:szCs w:val="24"/>
        </w:rPr>
        <w:t>V § 15 se za odstavec 4 vkládá nový odstavec 5, který zní:</w:t>
      </w:r>
    </w:p>
    <w:p w:rsidR="0089778D" w:rsidRPr="00557F57" w:rsidRDefault="0089778D" w:rsidP="006F2C88">
      <w:pPr>
        <w:suppressAutoHyphens/>
        <w:ind w:left="360"/>
        <w:jc w:val="both"/>
      </w:pPr>
      <w:r w:rsidRPr="00557F57">
        <w:t>„(5)</w:t>
      </w:r>
      <w:r w:rsidR="00057A15" w:rsidRPr="00557F57">
        <w:t xml:space="preserve"> </w:t>
      </w:r>
      <w:r w:rsidR="006F2C88" w:rsidRPr="00557F57">
        <w:t xml:space="preserve">Ministerstvo </w:t>
      </w:r>
      <w:r w:rsidR="00275E88" w:rsidRPr="00557F57">
        <w:t>pro udržitelný rozvo</w:t>
      </w:r>
      <w:r w:rsidR="00557F57" w:rsidRPr="00557F57">
        <w:t>j</w:t>
      </w:r>
      <w:r w:rsidR="00275E88" w:rsidRPr="00557F57">
        <w:t xml:space="preserve"> </w:t>
      </w:r>
      <w:r w:rsidR="006F2C88" w:rsidRPr="00557F57">
        <w:t>řídí Státní zemědělskou a potravinářskou inspekci, Státní veterinární správu České republiky, Ústřední kontrolní a zkušební ústav zemědělský, Českou plemenářskou inspekci, Českou inspekce životního prostředí a Český hydrometeorologický ústav.</w:t>
      </w:r>
      <w:r w:rsidRPr="00557F57">
        <w:t>“</w:t>
      </w:r>
    </w:p>
    <w:p w:rsidR="0089778D" w:rsidRPr="00557F57" w:rsidRDefault="0089778D" w:rsidP="00B52D21">
      <w:pPr>
        <w:suppressAutoHyphens/>
        <w:ind w:left="360"/>
        <w:jc w:val="both"/>
      </w:pPr>
    </w:p>
    <w:p w:rsidR="006F2C88" w:rsidRPr="00557F57" w:rsidRDefault="006F2C88" w:rsidP="006F2C88">
      <w:pPr>
        <w:pStyle w:val="Odstavecseseznamem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F57">
        <w:rPr>
          <w:rFonts w:ascii="Times New Roman" w:eastAsia="Times New Roman" w:hAnsi="Times New Roman" w:cs="Times New Roman"/>
          <w:sz w:val="24"/>
          <w:szCs w:val="24"/>
        </w:rPr>
        <w:t>V § 15 se za odstavec 5 vkládá nový odstavec 6, který zní:</w:t>
      </w:r>
    </w:p>
    <w:p w:rsidR="006F2C88" w:rsidRPr="00557F57" w:rsidRDefault="006F2C88" w:rsidP="006F2C88">
      <w:pPr>
        <w:suppressAutoHyphens/>
        <w:ind w:left="360"/>
        <w:jc w:val="both"/>
      </w:pPr>
      <w:r w:rsidRPr="00557F57">
        <w:t xml:space="preserve">„(6) Ministerstvo </w:t>
      </w:r>
      <w:r w:rsidR="00E46EE6" w:rsidRPr="00557F57">
        <w:t>pro udržitelný rozvoj</w:t>
      </w:r>
      <w:r w:rsidRPr="00557F57">
        <w:t xml:space="preserve"> zabezpečuje a řídí jednotný informační systém o životním prostředí, včetně plošného monitoringu na celém území České republiky, a to i v návaznosti na mezinárodní dohody.“</w:t>
      </w:r>
    </w:p>
    <w:p w:rsidR="00E46EE6" w:rsidRPr="00557F57" w:rsidRDefault="00E46EE6" w:rsidP="00E46EE6">
      <w:pPr>
        <w:suppressAutoHyphens/>
        <w:jc w:val="both"/>
      </w:pPr>
    </w:p>
    <w:p w:rsidR="00E46EE6" w:rsidRPr="00557F57" w:rsidRDefault="00E46EE6" w:rsidP="00E46EE6">
      <w:pPr>
        <w:pStyle w:val="Odstavecseseznamem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F57">
        <w:rPr>
          <w:rFonts w:ascii="Times New Roman" w:eastAsia="Times New Roman" w:hAnsi="Times New Roman" w:cs="Times New Roman"/>
          <w:sz w:val="24"/>
          <w:szCs w:val="24"/>
        </w:rPr>
        <w:t>V § 15 se za odstavec 6 vkládá nový odstavec 7, který zní:</w:t>
      </w:r>
    </w:p>
    <w:p w:rsidR="00E46EE6" w:rsidRPr="00557F57" w:rsidRDefault="00E46EE6" w:rsidP="004A7921">
      <w:pPr>
        <w:suppressAutoHyphens/>
        <w:ind w:left="360"/>
        <w:jc w:val="both"/>
      </w:pPr>
      <w:r w:rsidRPr="00557F57">
        <w:lastRenderedPageBreak/>
        <w:t>„(7)</w:t>
      </w:r>
      <w:r w:rsidRPr="00557F57">
        <w:rPr>
          <w:color w:val="000000" w:themeColor="text1"/>
        </w:rPr>
        <w:t xml:space="preserve"> </w:t>
      </w:r>
      <w:r w:rsidRPr="00557F57">
        <w:t xml:space="preserve">Ministerstvo </w:t>
      </w:r>
      <w:r w:rsidR="004A7921" w:rsidRPr="00557F57">
        <w:t>pro udržitelný rozvoj</w:t>
      </w:r>
      <w:r w:rsidR="006F2C88" w:rsidRPr="00557F57">
        <w:t xml:space="preserve"> </w:t>
      </w:r>
      <w:r w:rsidRPr="00557F57">
        <w:t>spravuje Fond tvorby a ochrany životního prostředí České republiky</w:t>
      </w:r>
      <w:r w:rsidR="006F2C88" w:rsidRPr="00557F57">
        <w:t>.</w:t>
      </w:r>
      <w:r w:rsidRPr="00557F57">
        <w:t>“</w:t>
      </w:r>
    </w:p>
    <w:p w:rsidR="002E4368" w:rsidRPr="00557F57" w:rsidRDefault="002E4368" w:rsidP="00B52D21">
      <w:pPr>
        <w:suppressAutoHyphens/>
        <w:ind w:left="360"/>
        <w:jc w:val="both"/>
      </w:pPr>
    </w:p>
    <w:p w:rsidR="00FA01D8" w:rsidRPr="00557F57" w:rsidRDefault="00900C81" w:rsidP="00B52D21">
      <w:pPr>
        <w:pStyle w:val="Odstavecseseznamem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F57">
        <w:rPr>
          <w:rFonts w:ascii="Times New Roman" w:eastAsia="Times New Roman" w:hAnsi="Times New Roman" w:cs="Times New Roman"/>
          <w:sz w:val="24"/>
          <w:szCs w:val="24"/>
        </w:rPr>
        <w:t xml:space="preserve">§ 19 se zrušuje. </w:t>
      </w:r>
    </w:p>
    <w:p w:rsidR="0046323D" w:rsidRPr="00825837" w:rsidRDefault="0046323D" w:rsidP="00B52D21">
      <w:pPr>
        <w:pStyle w:val="Odstavecseseznamem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635743" w:rsidRDefault="00635743" w:rsidP="00F97F40">
      <w:pPr>
        <w:suppressAutoHyphens/>
      </w:pPr>
    </w:p>
    <w:p w:rsidR="00F97F40" w:rsidRPr="004520EA" w:rsidRDefault="009607C2" w:rsidP="009607C2">
      <w:pPr>
        <w:suppressAutoHyphens/>
        <w:jc w:val="center"/>
        <w:rPr>
          <w:b/>
          <w:bCs/>
        </w:rPr>
      </w:pPr>
      <w:r w:rsidRPr="004520EA">
        <w:rPr>
          <w:b/>
          <w:bCs/>
        </w:rPr>
        <w:t xml:space="preserve">ČÁST </w:t>
      </w:r>
      <w:r w:rsidR="004520EA" w:rsidRPr="004520EA">
        <w:rPr>
          <w:b/>
          <w:bCs/>
        </w:rPr>
        <w:t>DRUHÁ</w:t>
      </w:r>
    </w:p>
    <w:p w:rsidR="004520EA" w:rsidRPr="004520EA" w:rsidRDefault="004520EA" w:rsidP="004520EA">
      <w:pPr>
        <w:suppressAutoHyphens/>
        <w:jc w:val="center"/>
        <w:rPr>
          <w:b/>
          <w:bCs/>
        </w:rPr>
      </w:pPr>
    </w:p>
    <w:p w:rsidR="009607C2" w:rsidRPr="004520EA" w:rsidRDefault="009607C2" w:rsidP="004520EA">
      <w:pPr>
        <w:suppressAutoHyphens/>
        <w:jc w:val="center"/>
        <w:rPr>
          <w:b/>
          <w:bCs/>
        </w:rPr>
      </w:pPr>
      <w:r w:rsidRPr="004520EA">
        <w:rPr>
          <w:b/>
          <w:bCs/>
        </w:rPr>
        <w:t>P</w:t>
      </w:r>
      <w:r w:rsidR="004520EA" w:rsidRPr="004520EA">
        <w:rPr>
          <w:b/>
          <w:bCs/>
        </w:rPr>
        <w:t>řechodná ustanovení</w:t>
      </w:r>
    </w:p>
    <w:p w:rsidR="004520EA" w:rsidRPr="004520EA" w:rsidRDefault="004520EA" w:rsidP="004520EA">
      <w:pPr>
        <w:suppressAutoHyphens/>
        <w:jc w:val="center"/>
        <w:rPr>
          <w:b/>
          <w:bCs/>
        </w:rPr>
      </w:pPr>
    </w:p>
    <w:p w:rsidR="004520EA" w:rsidRPr="004520EA" w:rsidRDefault="004520EA" w:rsidP="004520EA">
      <w:pPr>
        <w:suppressAutoHyphens/>
        <w:jc w:val="center"/>
        <w:rPr>
          <w:b/>
          <w:bCs/>
        </w:rPr>
      </w:pPr>
      <w:r w:rsidRPr="004520EA">
        <w:rPr>
          <w:b/>
          <w:bCs/>
        </w:rPr>
        <w:t>Čl. II</w:t>
      </w:r>
    </w:p>
    <w:p w:rsidR="004520EA" w:rsidRDefault="004520EA" w:rsidP="00524D20">
      <w:pPr>
        <w:suppressAutoHyphens/>
        <w:snapToGrid w:val="0"/>
        <w:spacing w:after="120"/>
        <w:jc w:val="center"/>
      </w:pPr>
    </w:p>
    <w:p w:rsidR="005E4844" w:rsidRPr="00557F57" w:rsidRDefault="007C2BCB" w:rsidP="005E4844">
      <w:pPr>
        <w:pStyle w:val="Odstavecseseznamem"/>
        <w:numPr>
          <w:ilvl w:val="0"/>
          <w:numId w:val="8"/>
        </w:num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557F57">
        <w:rPr>
          <w:rFonts w:ascii="Times New Roman" w:hAnsi="Times New Roman" w:cs="Times New Roman"/>
          <w:sz w:val="24"/>
          <w:szCs w:val="24"/>
        </w:rPr>
        <w:t xml:space="preserve">Příslušnost hospodařit s majetkem České republiky, se </w:t>
      </w:r>
      <w:r w:rsidR="003B435F" w:rsidRPr="00557F57">
        <w:rPr>
          <w:rFonts w:ascii="Times New Roman" w:hAnsi="Times New Roman" w:cs="Times New Roman"/>
          <w:sz w:val="24"/>
          <w:szCs w:val="24"/>
        </w:rPr>
        <w:t>kterým</w:t>
      </w:r>
      <w:r w:rsidRPr="00557F57">
        <w:rPr>
          <w:rFonts w:ascii="Times New Roman" w:hAnsi="Times New Roman" w:cs="Times New Roman"/>
          <w:sz w:val="24"/>
          <w:szCs w:val="24"/>
        </w:rPr>
        <w:t xml:space="preserve"> byl</w:t>
      </w:r>
      <w:r w:rsidR="003B435F" w:rsidRPr="00557F57">
        <w:rPr>
          <w:rFonts w:ascii="Times New Roman" w:hAnsi="Times New Roman" w:cs="Times New Roman"/>
          <w:sz w:val="24"/>
          <w:szCs w:val="24"/>
        </w:rPr>
        <w:t>y</w:t>
      </w:r>
      <w:r w:rsidRPr="00557F57">
        <w:rPr>
          <w:rFonts w:ascii="Times New Roman" w:hAnsi="Times New Roman" w:cs="Times New Roman"/>
          <w:sz w:val="24"/>
          <w:szCs w:val="24"/>
        </w:rPr>
        <w:t xml:space="preserve"> </w:t>
      </w:r>
      <w:r w:rsidR="003B435F" w:rsidRPr="00557F57">
        <w:rPr>
          <w:rFonts w:ascii="Times New Roman" w:hAnsi="Times New Roman" w:cs="Times New Roman"/>
          <w:sz w:val="24"/>
          <w:szCs w:val="24"/>
        </w:rPr>
        <w:t>příslušné</w:t>
      </w:r>
      <w:r w:rsidR="005E4844" w:rsidRPr="00557F57">
        <w:rPr>
          <w:rFonts w:ascii="Times New Roman" w:hAnsi="Times New Roman" w:cs="Times New Roman"/>
          <w:sz w:val="24"/>
          <w:szCs w:val="24"/>
        </w:rPr>
        <w:t xml:space="preserve"> </w:t>
      </w:r>
      <w:r w:rsidRPr="00557F57">
        <w:rPr>
          <w:rFonts w:ascii="Times New Roman" w:hAnsi="Times New Roman" w:cs="Times New Roman"/>
          <w:sz w:val="24"/>
          <w:szCs w:val="24"/>
        </w:rPr>
        <w:t xml:space="preserve">hospodařit </w:t>
      </w:r>
      <w:r w:rsidR="003B435F" w:rsidRPr="00557F57">
        <w:rPr>
          <w:rFonts w:ascii="Times New Roman" w:hAnsi="Times New Roman" w:cs="Times New Roman"/>
          <w:sz w:val="24"/>
          <w:szCs w:val="24"/>
        </w:rPr>
        <w:t xml:space="preserve">Ministerstvo zemědělství a Ministerstvo životního prostředí </w:t>
      </w:r>
      <w:r w:rsidRPr="00557F57">
        <w:rPr>
          <w:rFonts w:ascii="Times New Roman" w:hAnsi="Times New Roman" w:cs="Times New Roman"/>
          <w:sz w:val="24"/>
          <w:szCs w:val="24"/>
        </w:rPr>
        <w:t>ke dni nabytí účinnosti tohoto zákona,</w:t>
      </w:r>
      <w:r w:rsidR="003B435F" w:rsidRPr="00557F57">
        <w:rPr>
          <w:rFonts w:ascii="Times New Roman" w:hAnsi="Times New Roman" w:cs="Times New Roman"/>
          <w:sz w:val="24"/>
          <w:szCs w:val="24"/>
        </w:rPr>
        <w:t xml:space="preserve"> </w:t>
      </w:r>
      <w:r w:rsidRPr="00557F57">
        <w:rPr>
          <w:rFonts w:ascii="Times New Roman" w:hAnsi="Times New Roman" w:cs="Times New Roman"/>
          <w:sz w:val="24"/>
          <w:szCs w:val="24"/>
        </w:rPr>
        <w:t xml:space="preserve">přechází tímto dnem na </w:t>
      </w:r>
      <w:r w:rsidR="003B435F" w:rsidRPr="00557F57">
        <w:rPr>
          <w:rFonts w:ascii="Times New Roman" w:hAnsi="Times New Roman" w:cs="Times New Roman"/>
          <w:sz w:val="24"/>
          <w:szCs w:val="24"/>
        </w:rPr>
        <w:t>Ministerstvo pro udržitelný rozvoj</w:t>
      </w:r>
      <w:r w:rsidRPr="00557F57">
        <w:rPr>
          <w:rFonts w:ascii="Times New Roman" w:hAnsi="Times New Roman" w:cs="Times New Roman"/>
          <w:sz w:val="24"/>
          <w:szCs w:val="24"/>
        </w:rPr>
        <w:t>.</w:t>
      </w:r>
      <w:r w:rsidR="005E4844" w:rsidRPr="00557F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4844" w:rsidRPr="00557F57" w:rsidRDefault="005E4844" w:rsidP="005E4844">
      <w:pPr>
        <w:pStyle w:val="Odstavecseseznamem"/>
        <w:numPr>
          <w:ilvl w:val="0"/>
          <w:numId w:val="8"/>
        </w:num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557F57">
        <w:rPr>
          <w:rFonts w:ascii="Times New Roman" w:hAnsi="Times New Roman" w:cs="Times New Roman"/>
          <w:sz w:val="24"/>
          <w:szCs w:val="24"/>
        </w:rPr>
        <w:t>Prostředky z mimorozpočtových účtů Ministerstva zemědělství a Ministerstva životního prostředí přecházejí na obdobné účty Ministerstva pro udržitelný rozvoj; členění prostředků rezervního fondu a jejich účelové určení zůstává zachováno.</w:t>
      </w:r>
    </w:p>
    <w:p w:rsidR="004F0EA6" w:rsidRPr="00557F57" w:rsidRDefault="005E4844" w:rsidP="004F0EA6">
      <w:pPr>
        <w:pStyle w:val="Odstavecseseznamem"/>
        <w:numPr>
          <w:ilvl w:val="0"/>
          <w:numId w:val="8"/>
        </w:num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557F57">
        <w:rPr>
          <w:rFonts w:ascii="Times New Roman" w:hAnsi="Times New Roman" w:cs="Times New Roman"/>
          <w:sz w:val="24"/>
          <w:szCs w:val="24"/>
        </w:rPr>
        <w:t xml:space="preserve">Práva a povinnosti z pracovněprávních a jiných právních vztahů přecházejí </w:t>
      </w:r>
      <w:r w:rsidRPr="00557F57">
        <w:t xml:space="preserve">v </w:t>
      </w:r>
      <w:r w:rsidRPr="00557F57">
        <w:rPr>
          <w:rFonts w:ascii="Times New Roman" w:hAnsi="Times New Roman" w:cs="Times New Roman"/>
          <w:sz w:val="24"/>
          <w:szCs w:val="24"/>
        </w:rPr>
        <w:t>souvislosti s přechodem působnosti podle tohoto zákona ke dni nabytí jeho účinnosti z Ministerstva zemědělství a Ministerstva životního prostředí na Ministerstvo pro udržitelný rozvo</w:t>
      </w:r>
      <w:r w:rsidR="00557F57" w:rsidRPr="00557F57">
        <w:rPr>
          <w:rFonts w:ascii="Times New Roman" w:hAnsi="Times New Roman" w:cs="Times New Roman"/>
          <w:sz w:val="24"/>
          <w:szCs w:val="24"/>
        </w:rPr>
        <w:t>j</w:t>
      </w:r>
      <w:r w:rsidRPr="00557F57">
        <w:rPr>
          <w:rFonts w:ascii="Times New Roman" w:hAnsi="Times New Roman" w:cs="Times New Roman"/>
          <w:sz w:val="24"/>
          <w:szCs w:val="24"/>
        </w:rPr>
        <w:t>.</w:t>
      </w:r>
    </w:p>
    <w:p w:rsidR="00635743" w:rsidRPr="00557F57" w:rsidRDefault="007C2BCB" w:rsidP="007C2BCB">
      <w:pPr>
        <w:pStyle w:val="Odstavecseseznamem"/>
        <w:numPr>
          <w:ilvl w:val="0"/>
          <w:numId w:val="8"/>
        </w:num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557F57">
        <w:rPr>
          <w:rFonts w:ascii="Times New Roman" w:hAnsi="Times New Roman" w:cs="Times New Roman"/>
          <w:sz w:val="24"/>
          <w:szCs w:val="24"/>
        </w:rPr>
        <w:t>Správní řízení zahájená a pravomocně neskončená do dne nabytí účinnosti tohoto</w:t>
      </w:r>
      <w:r w:rsidR="004F0EA6" w:rsidRPr="00557F57">
        <w:rPr>
          <w:rFonts w:ascii="Times New Roman" w:hAnsi="Times New Roman" w:cs="Times New Roman"/>
          <w:sz w:val="24"/>
          <w:szCs w:val="24"/>
        </w:rPr>
        <w:t xml:space="preserve"> </w:t>
      </w:r>
      <w:r w:rsidRPr="00557F57">
        <w:rPr>
          <w:rFonts w:ascii="Times New Roman" w:hAnsi="Times New Roman" w:cs="Times New Roman"/>
          <w:sz w:val="24"/>
          <w:szCs w:val="24"/>
        </w:rPr>
        <w:t xml:space="preserve">zákona </w:t>
      </w:r>
      <w:r w:rsidR="004F0EA6" w:rsidRPr="00557F57">
        <w:rPr>
          <w:rFonts w:ascii="Times New Roman" w:hAnsi="Times New Roman" w:cs="Times New Roman"/>
          <w:sz w:val="24"/>
          <w:szCs w:val="24"/>
        </w:rPr>
        <w:t xml:space="preserve">se </w:t>
      </w:r>
      <w:r w:rsidRPr="00557F57">
        <w:rPr>
          <w:rFonts w:ascii="Times New Roman" w:hAnsi="Times New Roman" w:cs="Times New Roman"/>
          <w:sz w:val="24"/>
          <w:szCs w:val="24"/>
        </w:rPr>
        <w:t xml:space="preserve">dokončí </w:t>
      </w:r>
      <w:r w:rsidR="004F0EA6" w:rsidRPr="00557F57">
        <w:rPr>
          <w:rFonts w:ascii="Times New Roman" w:hAnsi="Times New Roman" w:cs="Times New Roman"/>
          <w:sz w:val="24"/>
          <w:szCs w:val="24"/>
        </w:rPr>
        <w:t>dle stávajících právních předpisů</w:t>
      </w:r>
      <w:r w:rsidRPr="00557F57">
        <w:rPr>
          <w:rFonts w:ascii="Times New Roman" w:hAnsi="Times New Roman" w:cs="Times New Roman"/>
          <w:sz w:val="24"/>
          <w:szCs w:val="24"/>
        </w:rPr>
        <w:t>.</w:t>
      </w:r>
    </w:p>
    <w:p w:rsidR="008A2673" w:rsidRDefault="008A2673" w:rsidP="008A2673">
      <w:pPr>
        <w:suppressAutoHyphens/>
        <w:jc w:val="center"/>
      </w:pPr>
    </w:p>
    <w:p w:rsidR="008A2673" w:rsidRPr="00E04637" w:rsidRDefault="008A2673" w:rsidP="008A2673">
      <w:pPr>
        <w:suppressAutoHyphens/>
        <w:jc w:val="center"/>
        <w:rPr>
          <w:b/>
          <w:bCs/>
        </w:rPr>
      </w:pPr>
      <w:r w:rsidRPr="00E04637">
        <w:rPr>
          <w:b/>
          <w:bCs/>
        </w:rPr>
        <w:t>ČÁST ČTVRTÁ</w:t>
      </w:r>
    </w:p>
    <w:p w:rsidR="00635743" w:rsidRPr="00E04637" w:rsidRDefault="00635743" w:rsidP="008A2673">
      <w:pPr>
        <w:suppressAutoHyphens/>
        <w:spacing w:after="120"/>
        <w:rPr>
          <w:b/>
          <w:bCs/>
        </w:rPr>
      </w:pPr>
    </w:p>
    <w:p w:rsidR="00635743" w:rsidRPr="00E04637" w:rsidRDefault="008A2673" w:rsidP="00B52D21">
      <w:pPr>
        <w:suppressAutoHyphens/>
        <w:spacing w:after="240"/>
        <w:jc w:val="center"/>
        <w:rPr>
          <w:b/>
          <w:bCs/>
        </w:rPr>
      </w:pPr>
      <w:r w:rsidRPr="00E04637">
        <w:rPr>
          <w:b/>
          <w:bCs/>
        </w:rPr>
        <w:t>Ú</w:t>
      </w:r>
      <w:r w:rsidR="00E04637" w:rsidRPr="00E04637">
        <w:rPr>
          <w:b/>
          <w:bCs/>
        </w:rPr>
        <w:t>činnost</w:t>
      </w:r>
    </w:p>
    <w:p w:rsidR="00E04637" w:rsidRPr="00E04637" w:rsidRDefault="00E04637" w:rsidP="00E04637">
      <w:pPr>
        <w:suppressAutoHyphens/>
        <w:spacing w:after="240"/>
        <w:jc w:val="center"/>
        <w:rPr>
          <w:b/>
        </w:rPr>
      </w:pPr>
      <w:r w:rsidRPr="00E04637">
        <w:rPr>
          <w:b/>
        </w:rPr>
        <w:t>Čl. III</w:t>
      </w:r>
    </w:p>
    <w:p w:rsidR="00635743" w:rsidRPr="008A2673" w:rsidRDefault="00CA236D" w:rsidP="00E04637">
      <w:pPr>
        <w:suppressAutoHyphens/>
        <w:spacing w:after="240"/>
        <w:rPr>
          <w:bCs/>
        </w:rPr>
      </w:pPr>
      <w:r w:rsidRPr="008A2673">
        <w:rPr>
          <w:bCs/>
        </w:rPr>
        <w:t xml:space="preserve">Tento zákon nabývá účinnosti dnem </w:t>
      </w:r>
      <w:r w:rsidR="00E04637">
        <w:rPr>
          <w:bCs/>
        </w:rPr>
        <w:t>1.1. 2026</w:t>
      </w:r>
      <w:r w:rsidR="008A2673" w:rsidRPr="008A2673">
        <w:rPr>
          <w:bCs/>
        </w:rPr>
        <w:t>.</w:t>
      </w:r>
    </w:p>
    <w:p w:rsidR="00635743" w:rsidRPr="00825837" w:rsidRDefault="00635743" w:rsidP="00B52D21">
      <w:pPr>
        <w:widowControl w:val="0"/>
        <w:suppressAutoHyphens/>
        <w:spacing w:after="120"/>
        <w:ind w:firstLine="708"/>
        <w:jc w:val="both"/>
        <w:rPr>
          <w:b/>
          <w:bCs/>
        </w:rPr>
      </w:pPr>
    </w:p>
    <w:p w:rsidR="00635743" w:rsidRPr="00825837" w:rsidRDefault="00635743" w:rsidP="00B52D21">
      <w:pPr>
        <w:widowControl w:val="0"/>
        <w:suppressAutoHyphens/>
        <w:spacing w:after="120"/>
        <w:ind w:firstLine="708"/>
        <w:jc w:val="both"/>
        <w:rPr>
          <w:b/>
          <w:bCs/>
        </w:rPr>
      </w:pPr>
    </w:p>
    <w:p w:rsidR="00635743" w:rsidRPr="00825837" w:rsidRDefault="00635743" w:rsidP="00B52D21">
      <w:pPr>
        <w:widowControl w:val="0"/>
        <w:suppressAutoHyphens/>
        <w:spacing w:after="120"/>
        <w:ind w:firstLine="708"/>
        <w:jc w:val="both"/>
        <w:rPr>
          <w:b/>
          <w:bCs/>
        </w:rPr>
      </w:pPr>
    </w:p>
    <w:p w:rsidR="00635743" w:rsidRPr="00825837" w:rsidRDefault="00704FCB" w:rsidP="00B52D21">
      <w:pPr>
        <w:widowControl w:val="0"/>
        <w:suppressAutoHyphens/>
        <w:spacing w:after="120"/>
        <w:ind w:firstLine="708"/>
        <w:jc w:val="both"/>
      </w:pPr>
      <w:r w:rsidRPr="00825837">
        <w:rPr>
          <w:rFonts w:eastAsia="Arial Unicode MS"/>
        </w:rPr>
        <w:br w:type="page"/>
      </w:r>
    </w:p>
    <w:p w:rsidR="00635743" w:rsidRPr="00E04637" w:rsidRDefault="00704FCB" w:rsidP="00B52D21">
      <w:pPr>
        <w:suppressAutoHyphens/>
        <w:jc w:val="center"/>
        <w:rPr>
          <w:b/>
          <w:bCs/>
        </w:rPr>
      </w:pPr>
      <w:r w:rsidRPr="00E04637">
        <w:rPr>
          <w:b/>
          <w:bCs/>
        </w:rPr>
        <w:lastRenderedPageBreak/>
        <w:t>DŮVODOVÁ ZPRÁVA</w:t>
      </w:r>
    </w:p>
    <w:p w:rsidR="004B75EA" w:rsidRPr="00E04637" w:rsidRDefault="004B75EA" w:rsidP="004B75EA">
      <w:pPr>
        <w:suppressAutoHyphens/>
        <w:snapToGrid w:val="0"/>
        <w:spacing w:after="480"/>
        <w:rPr>
          <w:b/>
          <w:bCs/>
        </w:rPr>
      </w:pPr>
    </w:p>
    <w:p w:rsidR="00EB55E8" w:rsidRPr="00E04637" w:rsidRDefault="00E04637" w:rsidP="00E04637">
      <w:pPr>
        <w:pStyle w:val="Odstavecseseznamem"/>
        <w:numPr>
          <w:ilvl w:val="0"/>
          <w:numId w:val="10"/>
        </w:numPr>
        <w:suppressAutoHyphens/>
        <w:snapToGrid w:val="0"/>
        <w:spacing w:after="480"/>
        <w:jc w:val="center"/>
        <w:rPr>
          <w:rFonts w:ascii="Times New Roman" w:hAnsi="Times New Roman" w:cs="Times New Roman"/>
          <w:sz w:val="24"/>
          <w:szCs w:val="24"/>
        </w:rPr>
      </w:pPr>
      <w:r w:rsidRPr="00E04637">
        <w:rPr>
          <w:rFonts w:ascii="Times New Roman" w:hAnsi="Times New Roman" w:cs="Times New Roman"/>
          <w:sz w:val="24"/>
          <w:szCs w:val="24"/>
        </w:rPr>
        <w:t>OBECNÁ ČÁST</w:t>
      </w:r>
    </w:p>
    <w:p w:rsidR="00E04637" w:rsidRPr="002C19EB" w:rsidRDefault="00E04637" w:rsidP="00E04637">
      <w:pPr>
        <w:spacing w:after="120"/>
        <w:rPr>
          <w:b/>
          <w:color w:val="000000" w:themeColor="text1"/>
        </w:rPr>
      </w:pPr>
      <w:r w:rsidRPr="002C19EB">
        <w:rPr>
          <w:b/>
          <w:color w:val="000000" w:themeColor="text1"/>
        </w:rPr>
        <w:t>a) Zhodnocení platného právního stavu, včetně zhodnocení současného stavu ve vztahu k zákazu diskriminace a ve vztahu k rovnosti mužů a žen a odůvodnění hlavních principů navrhované právní úpravy, včetně dopadů navrhovaného řešení ve vztahu k zákazu diskriminace a ve vztahu k rovnosti mužů a žen</w:t>
      </w:r>
    </w:p>
    <w:p w:rsidR="00EB55E8" w:rsidRPr="00E04637" w:rsidRDefault="00EB55E8" w:rsidP="00EB55E8">
      <w:pPr>
        <w:tabs>
          <w:tab w:val="left" w:pos="540"/>
        </w:tabs>
        <w:suppressAutoHyphens/>
        <w:spacing w:line="276" w:lineRule="auto"/>
        <w:jc w:val="both"/>
      </w:pPr>
      <w:r w:rsidRPr="00E04637">
        <w:t>Návrh má za svůj základní cíl opětovně spojit kompetence Ministerstva životního prostředí a Ministerstva zemědělství pod jedno vedení se společnou odpovědností jak za ochranu životního prostředí, tak i za státní správu na úseku hospodaření v zemědělství. Platný právní stav tyto kompetence odděluje takto:</w:t>
      </w:r>
    </w:p>
    <w:p w:rsidR="00EB55E8" w:rsidRPr="00E04637" w:rsidRDefault="00EB55E8" w:rsidP="00EB55E8">
      <w:pPr>
        <w:tabs>
          <w:tab w:val="left" w:pos="540"/>
        </w:tabs>
        <w:suppressAutoHyphens/>
        <w:spacing w:line="276" w:lineRule="auto"/>
        <w:jc w:val="both"/>
      </w:pPr>
    </w:p>
    <w:p w:rsidR="00EB55E8" w:rsidRPr="00E04637" w:rsidRDefault="00EB55E8" w:rsidP="00EB55E8">
      <w:pPr>
        <w:tabs>
          <w:tab w:val="left" w:pos="540"/>
        </w:tabs>
        <w:suppressAutoHyphens/>
        <w:snapToGrid w:val="0"/>
        <w:spacing w:after="120" w:line="276" w:lineRule="auto"/>
        <w:jc w:val="both"/>
      </w:pPr>
      <w:r w:rsidRPr="00E04637">
        <w:rPr>
          <w:b/>
          <w:bCs/>
          <w:u w:val="single"/>
        </w:rPr>
        <w:t>Ministerstvo životního prostředí</w:t>
      </w:r>
      <w:r w:rsidRPr="00E04637">
        <w:rPr>
          <w:u w:val="single"/>
        </w:rPr>
        <w:t xml:space="preserve"> (MŽP)</w:t>
      </w:r>
      <w:r w:rsidRPr="00E04637">
        <w:t xml:space="preserve"> bylo zřízeno 19. prosince 1989 zákonem ČNR č. 173/1989 Sb. k 1. lednu 1990 jako ústřední orgán státní správy a orgán vrchního dozoru ve věcech životního prostředí.</w:t>
      </w:r>
      <w:r w:rsidRPr="00E04637">
        <w:tab/>
      </w:r>
    </w:p>
    <w:p w:rsidR="00EB55E8" w:rsidRPr="00E04637" w:rsidRDefault="00EB55E8" w:rsidP="00EB55E8">
      <w:pPr>
        <w:tabs>
          <w:tab w:val="left" w:pos="540"/>
        </w:tabs>
        <w:suppressAutoHyphens/>
        <w:snapToGrid w:val="0"/>
        <w:spacing w:after="120" w:line="276" w:lineRule="auto"/>
        <w:jc w:val="both"/>
      </w:pPr>
      <w:r w:rsidRPr="00E04637">
        <w:t>MŽP je ústředním orgánem státní správy pro ochranu přirozené akumulace vod, ochranu vodních zdrojů a ochranu jakosti podzemních a povrchových vod, ochranu ovzduší, ochranu přírody a krajiny, provozování zoologických zahrad, ochranu zemědělského půdního fondu, výkon státní geologické služby, ochranu horninového prostředí, včetně ochrany nerostných zdrojů a podzemních vod, geologické práce a ekologický dohled nad těžbou, odpadové hospodářství, posuzování vlivů činností a jejich důsledků na životní prostředí, včetně těch, které přesahují hranice státu, myslivost, rybářství a lesní hospodářství v národních parcích. Je rovněž ústředním orgánem státní správy pro státní ekologickou politiku, pro systém značení ekologicky šetrných výrobků a služeb a pro program podporující dobrovolnou účast v systému řízení podniku a auditu z hlediska ochrany životního prostředí.</w:t>
      </w:r>
    </w:p>
    <w:p w:rsidR="00EB55E8" w:rsidRPr="00E04637" w:rsidRDefault="00EB55E8" w:rsidP="00EB55E8">
      <w:pPr>
        <w:tabs>
          <w:tab w:val="left" w:pos="540"/>
        </w:tabs>
        <w:suppressAutoHyphens/>
        <w:spacing w:line="276" w:lineRule="auto"/>
        <w:jc w:val="both"/>
      </w:pPr>
      <w:r w:rsidRPr="00E04637">
        <w:t xml:space="preserve">K zabezpečení a kontrolní činnosti vlády České republiky Ministerstvo životního prostředí koordinuje ve věcech životního prostředí postup všech ministerstev a ostatních ústředních orgánů státní správy České republiky. </w:t>
      </w:r>
    </w:p>
    <w:p w:rsidR="00EB55E8" w:rsidRPr="00E04637" w:rsidRDefault="00EB55E8" w:rsidP="00EB55E8">
      <w:pPr>
        <w:tabs>
          <w:tab w:val="left" w:pos="540"/>
        </w:tabs>
        <w:suppressAutoHyphens/>
        <w:spacing w:line="276" w:lineRule="auto"/>
        <w:jc w:val="both"/>
      </w:pPr>
    </w:p>
    <w:p w:rsidR="00EB55E8" w:rsidRPr="00E04637" w:rsidRDefault="00EB55E8" w:rsidP="00EB55E8">
      <w:pPr>
        <w:tabs>
          <w:tab w:val="left" w:pos="540"/>
        </w:tabs>
        <w:suppressAutoHyphens/>
        <w:spacing w:line="276" w:lineRule="auto"/>
        <w:jc w:val="both"/>
      </w:pPr>
      <w:r w:rsidRPr="00E04637">
        <w:rPr>
          <w:b/>
          <w:bCs/>
          <w:u w:val="single"/>
        </w:rPr>
        <w:t>Ministerstvo zemědělství (MZE)</w:t>
      </w:r>
      <w:r w:rsidRPr="00E04637">
        <w:t xml:space="preserve"> je podle zákona č. 2/1969 Sb., o zřízení ministerstev a jiných ústředních orgánů státní správy ČR, ústředním orgánem státní správy pro zemědělství, vodní hospodářství, potravinářský průmysl a pro správu lesů, myslivosti a rybářství, mimo území národních parků. V každé oblasti jsou určité výjimky, které do kompetence ministerstva zemědělství nepatří jako například: ochrana přirozené akumulace vod, ochrana vodních zdrojů a ochrana jakosti vod.</w:t>
      </w:r>
    </w:p>
    <w:p w:rsidR="00EB55E8" w:rsidRPr="00E04637" w:rsidRDefault="00EB55E8" w:rsidP="00EB55E8">
      <w:pPr>
        <w:tabs>
          <w:tab w:val="left" w:pos="540"/>
        </w:tabs>
        <w:suppressAutoHyphens/>
        <w:snapToGrid w:val="0"/>
        <w:spacing w:after="120" w:line="276" w:lineRule="auto"/>
        <w:jc w:val="both"/>
      </w:pPr>
      <w:r w:rsidRPr="00E04637">
        <w:t>Ministerstvo zemědělství je také ústředním orgánem státní správy ve věcech komoditních burz, které organizují obchody se zbožím pocházejícím ze zemědělské a lesnické výroby, včetně výrobků vzniklých jeho zpracováním. Dále je ústředním orgánem státní správy ve věcech veterinární péče, rostlinolékařské péče, péče o potraviny, péče o ochranu zvířat proti týrání a pro ochranu práv k novým odrůdám rostlin a plemenům zvířat.</w:t>
      </w:r>
    </w:p>
    <w:p w:rsidR="00EB55E8" w:rsidRPr="00E04637" w:rsidRDefault="00EB55E8" w:rsidP="00EB55E8">
      <w:pPr>
        <w:tabs>
          <w:tab w:val="left" w:pos="540"/>
        </w:tabs>
        <w:suppressAutoHyphens/>
        <w:snapToGrid w:val="0"/>
        <w:spacing w:after="120" w:line="276" w:lineRule="auto"/>
        <w:jc w:val="both"/>
      </w:pPr>
      <w:r w:rsidRPr="00E04637">
        <w:lastRenderedPageBreak/>
        <w:t>Ministerstvo zemědělství řídí Státní zemědělskou a potravinářskou inspekci, Státní veterinární správu České republiky, Ústřední kontrolní a zkušební ústav zemědělský, Českou plemenářskou inspekci, Státní pozemkový úřad a Ústav pro státní kontrolu veterinárních biopreparátů a léčiv.</w:t>
      </w:r>
    </w:p>
    <w:p w:rsidR="00EB55E8" w:rsidRPr="00E04637" w:rsidRDefault="00EB55E8" w:rsidP="00EB55E8">
      <w:pPr>
        <w:tabs>
          <w:tab w:val="left" w:pos="540"/>
        </w:tabs>
        <w:suppressAutoHyphens/>
        <w:snapToGrid w:val="0"/>
        <w:spacing w:after="120" w:line="276" w:lineRule="auto"/>
        <w:jc w:val="both"/>
      </w:pPr>
      <w:r w:rsidRPr="00E04637">
        <w:t>Za účelem komunikace se zemědělskou veřejností a poskytování služeb zemědělcům disponuje ministerstvo zemědělství sedmi regionálními odbory SZIF.</w:t>
      </w:r>
    </w:p>
    <w:p w:rsidR="00EB55E8" w:rsidRPr="00E04637" w:rsidRDefault="00EB55E8" w:rsidP="00EB55E8">
      <w:pPr>
        <w:tabs>
          <w:tab w:val="left" w:pos="540"/>
        </w:tabs>
        <w:suppressAutoHyphens/>
        <w:spacing w:line="276" w:lineRule="auto"/>
        <w:jc w:val="both"/>
      </w:pPr>
      <w:r w:rsidRPr="00E04637">
        <w:t>Ministerstvo zemědělství ve spolupráci se Státním zemědělským intervenčním fondem provádí opatření společných organizací trhů Evropské unie, přímé platby, národní doplňkové platby k přímým podporám, programy strukturální podpory a programy rozvoje venkova.</w:t>
      </w:r>
    </w:p>
    <w:p w:rsidR="00EB55E8" w:rsidRPr="00E04637" w:rsidRDefault="00EB55E8" w:rsidP="00EB55E8">
      <w:pPr>
        <w:tabs>
          <w:tab w:val="left" w:pos="540"/>
        </w:tabs>
        <w:suppressAutoHyphens/>
        <w:spacing w:line="276" w:lineRule="auto"/>
        <w:jc w:val="both"/>
      </w:pPr>
      <w:r w:rsidRPr="00E04637">
        <w:t>Ministerstvo zemědělství úzce spolupracuje s resortními výzkumnými ústavy, nevládními agrárními organizacemi, jednotlivými profesními i zájmovými svazy, spolky a společnostmi.</w:t>
      </w:r>
    </w:p>
    <w:p w:rsidR="00EB55E8" w:rsidRPr="00E04637" w:rsidRDefault="00EB55E8" w:rsidP="00EB55E8">
      <w:pPr>
        <w:tabs>
          <w:tab w:val="left" w:pos="540"/>
        </w:tabs>
        <w:suppressAutoHyphens/>
        <w:snapToGrid w:val="0"/>
        <w:spacing w:after="120" w:line="276" w:lineRule="auto"/>
        <w:jc w:val="both"/>
      </w:pPr>
      <w:r w:rsidRPr="00E04637">
        <w:t>Úkolem ministerstva není řídit či plánovat zemědělskou, lesnickou nebo potravinářskou výrobu, ale vymezit příslušnými právními předpisy mantinely, v nichž se mohou naši podnikatelé pohybovat. Ministerstvo zemědělství přitom vychází z vládní zemědělské politiky, z programového prohlášení vlády a ze Společné zemědělské politiky Evropské unie. Jeho cílem je podpora "Evropského modelu zemědělství" s důrazem na rozvoj multifunkčního zemědělství, zaměřeného jednak na zemědělskou produkci, ale i na zajišťování služeb údržby a tvorby krajiny, na další environmentální služby a na nezemědělské činnosti. Stále většího významu nabývá hlubší propojení zemědělství s obnovou a rozvojem venkova.</w:t>
      </w:r>
    </w:p>
    <w:p w:rsidR="00E04637" w:rsidRDefault="00E04637" w:rsidP="00EB55E8">
      <w:pPr>
        <w:tabs>
          <w:tab w:val="left" w:pos="540"/>
        </w:tabs>
        <w:suppressAutoHyphens/>
        <w:spacing w:line="276" w:lineRule="auto"/>
        <w:jc w:val="both"/>
      </w:pPr>
      <w:r w:rsidRPr="00E04637">
        <w:rPr>
          <w:bCs/>
        </w:rPr>
        <w:t>Principem je sloučení kompetencí dvou ústředních orgánů státní správy a vznik jednoho ústředního orgánu státní správy se sloučenými kompetencemi</w:t>
      </w:r>
    </w:p>
    <w:p w:rsidR="00E04637" w:rsidRPr="002C19EB" w:rsidRDefault="00E04637" w:rsidP="00E04637">
      <w:r w:rsidRPr="002C19EB">
        <w:rPr>
          <w:color w:val="000000" w:themeColor="text1"/>
        </w:rPr>
        <w:t>Stávající znění zákona ani předkládaný návrh nemá žádné negativní dopady ve vztahu k zákazu diskriminace ani ve vztahu k rovnosti žen a mužů.</w:t>
      </w:r>
    </w:p>
    <w:p w:rsidR="00EB55E8" w:rsidRPr="00E04637" w:rsidRDefault="00EB55E8" w:rsidP="00EB55E8">
      <w:pPr>
        <w:tabs>
          <w:tab w:val="left" w:pos="540"/>
        </w:tabs>
        <w:suppressAutoHyphens/>
        <w:spacing w:line="276" w:lineRule="auto"/>
        <w:jc w:val="both"/>
      </w:pPr>
    </w:p>
    <w:p w:rsidR="002B5138" w:rsidRDefault="002B5138" w:rsidP="002B5138">
      <w:pPr>
        <w:spacing w:after="120"/>
        <w:rPr>
          <w:b/>
          <w:color w:val="000000" w:themeColor="text1"/>
        </w:rPr>
      </w:pPr>
      <w:r w:rsidRPr="002C19EB">
        <w:rPr>
          <w:b/>
          <w:color w:val="000000" w:themeColor="text1"/>
        </w:rPr>
        <w:t>b) Vysvětlení nezbytnosti navrhované právní úpravy v jejím celku</w:t>
      </w:r>
    </w:p>
    <w:p w:rsidR="00095B29" w:rsidRDefault="00095B29" w:rsidP="002B5138">
      <w:pPr>
        <w:spacing w:after="120"/>
        <w:rPr>
          <w:b/>
          <w:color w:val="000000" w:themeColor="text1"/>
        </w:rPr>
      </w:pPr>
    </w:p>
    <w:p w:rsidR="000A2084" w:rsidRPr="00E04637" w:rsidRDefault="00352CFA" w:rsidP="000A2084">
      <w:pPr>
        <w:tabs>
          <w:tab w:val="left" w:pos="540"/>
        </w:tabs>
        <w:suppressAutoHyphens/>
        <w:spacing w:line="276" w:lineRule="auto"/>
        <w:jc w:val="both"/>
      </w:pPr>
      <w:r>
        <w:rPr>
          <w:bCs/>
          <w:color w:val="000000" w:themeColor="text1"/>
        </w:rPr>
        <w:t xml:space="preserve">Nezbytnost navrhované právní </w:t>
      </w:r>
      <w:r w:rsidR="00A62BB2">
        <w:rPr>
          <w:bCs/>
          <w:color w:val="000000" w:themeColor="text1"/>
        </w:rPr>
        <w:t>úpravy v jejím celku</w:t>
      </w:r>
      <w:r w:rsidR="000A2084">
        <w:rPr>
          <w:bCs/>
          <w:color w:val="000000" w:themeColor="text1"/>
        </w:rPr>
        <w:t xml:space="preserve"> je spojena se</w:t>
      </w:r>
      <w:r w:rsidR="000A2084" w:rsidRPr="00E04637">
        <w:t xml:space="preserve"> zvýšenými nároky na realizaci kompenzací klimatické změny při výkonu hospodaření především s půdou a vodou se stále více ukazuje nutnost spojit výkon státní správy ochrany a hospodaření s těmito přírodními zdroji v jeden orgán výkonu státní správy, tak aby ochrana a hospodaření nebyly v konfliktu, ale nedílnou odpovědností.</w:t>
      </w:r>
    </w:p>
    <w:p w:rsidR="000A2084" w:rsidRPr="00E04637" w:rsidRDefault="000A2084" w:rsidP="000A2084">
      <w:pPr>
        <w:tabs>
          <w:tab w:val="left" w:pos="540"/>
        </w:tabs>
        <w:suppressAutoHyphens/>
        <w:spacing w:line="276" w:lineRule="auto"/>
        <w:jc w:val="both"/>
      </w:pPr>
      <w:r w:rsidRPr="00E04637">
        <w:t xml:space="preserve">Vstupem České republiky do Evropské unie a s platností článků 38-44 Smlouvy o fungování Evropské unie na území České republiky se významně změnily původní kompetence dané </w:t>
      </w:r>
      <w:proofErr w:type="spellStart"/>
      <w:r w:rsidRPr="00E04637">
        <w:t>MZe</w:t>
      </w:r>
      <w:proofErr w:type="spellEnd"/>
      <w:r w:rsidRPr="00E04637">
        <w:t xml:space="preserve"> kompetenčním zákonem z roku 1969 a naposledy výrazně upraveny právě vznikem MŽP v roce 1989.  Stávající právní úprava tak i z tohoto hlediska již nevyhovuje.</w:t>
      </w:r>
    </w:p>
    <w:p w:rsidR="000A2084" w:rsidRDefault="000A2084" w:rsidP="000A2084">
      <w:pPr>
        <w:tabs>
          <w:tab w:val="left" w:pos="540"/>
        </w:tabs>
        <w:suppressAutoHyphens/>
        <w:spacing w:line="276" w:lineRule="auto"/>
        <w:jc w:val="both"/>
      </w:pPr>
      <w:r w:rsidRPr="00E04637">
        <w:t>Například stávající stav rozporu kompetencí mezi ochranou zemědělského půdního fondu na jedné straně a hospodaření s ním na druhé straně, je vidět v procesu projednávání, vyjadřování se a dlouhodobému neschopnosti dohody obou ministerstev v problematice tzv. „protierozní vyhlášky. Obdobné případy je možno uvést i v ostatních kompetencích, které jsou u obou ministerstev v konfliktu, a tak dlouhodobě neřešené a i neřešitelné.</w:t>
      </w:r>
    </w:p>
    <w:p w:rsidR="002B5138" w:rsidRDefault="002B5138" w:rsidP="000A2084">
      <w:pPr>
        <w:tabs>
          <w:tab w:val="left" w:pos="540"/>
        </w:tabs>
        <w:suppressAutoHyphens/>
        <w:spacing w:line="276" w:lineRule="auto"/>
        <w:jc w:val="both"/>
        <w:rPr>
          <w:b/>
          <w:color w:val="000000" w:themeColor="text1"/>
        </w:rPr>
      </w:pPr>
    </w:p>
    <w:p w:rsidR="00E04637" w:rsidRPr="002C19EB" w:rsidRDefault="00E04637" w:rsidP="00E04637">
      <w:pPr>
        <w:spacing w:after="120"/>
        <w:rPr>
          <w:b/>
          <w:color w:val="000000" w:themeColor="text1"/>
        </w:rPr>
      </w:pPr>
      <w:r w:rsidRPr="002C19EB">
        <w:rPr>
          <w:b/>
          <w:color w:val="000000" w:themeColor="text1"/>
        </w:rPr>
        <w:t>c) Zhodnocení souladu navrhované právní úpravy s ústavním pořádkem České republiky</w:t>
      </w:r>
    </w:p>
    <w:p w:rsidR="00EB55E8" w:rsidRDefault="00EB55E8" w:rsidP="00EB55E8">
      <w:pPr>
        <w:tabs>
          <w:tab w:val="left" w:pos="540"/>
        </w:tabs>
        <w:suppressAutoHyphens/>
        <w:spacing w:line="276" w:lineRule="auto"/>
        <w:jc w:val="both"/>
        <w:rPr>
          <w:bCs/>
        </w:rPr>
      </w:pPr>
      <w:r w:rsidRPr="00E04637">
        <w:rPr>
          <w:bCs/>
        </w:rPr>
        <w:lastRenderedPageBreak/>
        <w:t>Navrhovaná úprava je plně v souladu s ústavním pořádkem České republiky a mezinárodními smlouvami.</w:t>
      </w:r>
    </w:p>
    <w:p w:rsidR="002B5138" w:rsidRDefault="002B5138" w:rsidP="00EB55E8">
      <w:pPr>
        <w:tabs>
          <w:tab w:val="left" w:pos="540"/>
        </w:tabs>
        <w:suppressAutoHyphens/>
        <w:spacing w:line="276" w:lineRule="auto"/>
        <w:jc w:val="both"/>
        <w:rPr>
          <w:bCs/>
        </w:rPr>
      </w:pPr>
    </w:p>
    <w:p w:rsidR="002B5138" w:rsidRDefault="002B5138" w:rsidP="002B5138">
      <w:pPr>
        <w:rPr>
          <w:b/>
          <w:color w:val="000000" w:themeColor="text1"/>
        </w:rPr>
      </w:pPr>
      <w:r w:rsidRPr="002C19EB">
        <w:rPr>
          <w:b/>
          <w:color w:val="000000" w:themeColor="text1"/>
        </w:rPr>
        <w:t>d) Zhodnocení slučitelnosti navrhované právní úpravy s předpisy Evropské unie, judikaturou soudních orgánů Evropské unie nebo obecnými právními zásadami práva Evropské unie, jakož i souladu navrhované právní úpravy s mezinárodními smlouvami, jimiž je Česká republika vázána</w:t>
      </w:r>
    </w:p>
    <w:p w:rsidR="00D976D8" w:rsidRDefault="00D976D8" w:rsidP="002B5138">
      <w:pPr>
        <w:rPr>
          <w:b/>
          <w:color w:val="000000" w:themeColor="text1"/>
        </w:rPr>
      </w:pPr>
    </w:p>
    <w:p w:rsidR="00D976D8" w:rsidRPr="00D976D8" w:rsidRDefault="00D976D8" w:rsidP="002B5138">
      <w:pPr>
        <w:rPr>
          <w:bCs/>
        </w:rPr>
      </w:pPr>
      <w:r>
        <w:rPr>
          <w:bCs/>
          <w:color w:val="000000" w:themeColor="text1"/>
        </w:rPr>
        <w:t xml:space="preserve">Navrhovaná úprava je plně v souladu s předpisy Evropské unie, judikaturou soudních orgánů Evropské unie a obecnými právními zásadami práva Evropské unie. </w:t>
      </w:r>
      <w:r w:rsidR="00095B29">
        <w:rPr>
          <w:bCs/>
          <w:color w:val="000000" w:themeColor="text1"/>
        </w:rPr>
        <w:t xml:space="preserve">Navrhovaná právní úprava je taktéž v souladu s mezinárodními smlouvami, jimiž je Česká republika vázána. </w:t>
      </w:r>
    </w:p>
    <w:p w:rsidR="00EB55E8" w:rsidRPr="00E04637" w:rsidRDefault="00EB55E8" w:rsidP="00EB55E8">
      <w:pPr>
        <w:tabs>
          <w:tab w:val="left" w:pos="540"/>
        </w:tabs>
        <w:suppressAutoHyphens/>
        <w:spacing w:line="276" w:lineRule="auto"/>
        <w:jc w:val="both"/>
      </w:pPr>
    </w:p>
    <w:p w:rsidR="002B5138" w:rsidRPr="002C19EB" w:rsidRDefault="002B5138" w:rsidP="002B5138">
      <w:pPr>
        <w:spacing w:after="120"/>
        <w:rPr>
          <w:b/>
          <w:color w:val="000000" w:themeColor="text1"/>
        </w:rPr>
      </w:pPr>
      <w:r w:rsidRPr="002C19EB">
        <w:rPr>
          <w:b/>
          <w:color w:val="000000" w:themeColor="text1"/>
        </w:rPr>
        <w:t>e) Předpokládaný hospodářský a finanční dopad navrhované právní úpravy na státní rozpočet, ostatní veřejné rozpočty, na podnikatelské prostředí České republiky, dále sociální dopady, včetně dopadů na rodiny a dopadů na specifické skupiny obyvatel, zejména osoby sociálně slabé, osoby se zdravotním postižením a národnostní menšiny, a dopady na životní prostředí</w:t>
      </w:r>
    </w:p>
    <w:p w:rsidR="00EB55E8" w:rsidRPr="00E04637" w:rsidRDefault="00687C24" w:rsidP="00EB55E8">
      <w:pPr>
        <w:tabs>
          <w:tab w:val="left" w:pos="540"/>
        </w:tabs>
        <w:suppressAutoHyphens/>
        <w:spacing w:line="276" w:lineRule="auto"/>
        <w:jc w:val="both"/>
      </w:pPr>
      <w:bookmarkStart w:id="0" w:name="_GoBack"/>
      <w:bookmarkEnd w:id="0"/>
      <w:r w:rsidRPr="00687C24">
        <w:t>Lze očekávat, že v souvislosti se sloučením dvou ústředních orgánů státní správy pod jeden dojde k jednorázovému negativnímu dopadu na státní rozpočet. Tento negativní dopad bude způsoben reorganizací ministerstev. V dlouhodobém horizontu lze naopak očekávat pozitivní přínos na výdajové stránce státní rozpočtu, právě v důsledku financování pouze jednoho resortu. Předkládaná novela nebude mít žádný negativní dopad na veřejné rozpočty obcí a krajů.</w:t>
      </w:r>
    </w:p>
    <w:p w:rsidR="002B5138" w:rsidRDefault="002B5138" w:rsidP="002B5138">
      <w:pPr>
        <w:spacing w:after="120"/>
        <w:rPr>
          <w:b/>
          <w:color w:val="000000" w:themeColor="text1"/>
        </w:rPr>
      </w:pPr>
    </w:p>
    <w:p w:rsidR="002B5138" w:rsidRPr="002C19EB" w:rsidRDefault="002B5138" w:rsidP="002B5138">
      <w:pPr>
        <w:spacing w:after="120"/>
        <w:rPr>
          <w:b/>
          <w:color w:val="000000" w:themeColor="text1"/>
        </w:rPr>
      </w:pPr>
      <w:r w:rsidRPr="002C19EB">
        <w:rPr>
          <w:b/>
          <w:color w:val="000000" w:themeColor="text1"/>
        </w:rPr>
        <w:t>f) Zhodnocení dopadů navrhovaného řešení ve vztahu k ochraně soukromí a osobních údajů</w:t>
      </w:r>
    </w:p>
    <w:p w:rsidR="002B5138" w:rsidRPr="002C19EB" w:rsidRDefault="002B5138" w:rsidP="002B5138">
      <w:pPr>
        <w:spacing w:after="120"/>
        <w:rPr>
          <w:color w:val="000000" w:themeColor="text1"/>
        </w:rPr>
      </w:pPr>
      <w:r w:rsidRPr="002C19EB">
        <w:rPr>
          <w:color w:val="000000" w:themeColor="text1"/>
        </w:rPr>
        <w:t>Předkládaný návrh se nedotýká ochrany soukromí ani osobních údajů.</w:t>
      </w:r>
    </w:p>
    <w:p w:rsidR="002B5138" w:rsidRPr="002C19EB" w:rsidRDefault="002B5138" w:rsidP="002B5138">
      <w:pPr>
        <w:spacing w:after="120"/>
        <w:rPr>
          <w:b/>
          <w:color w:val="000000" w:themeColor="text1"/>
        </w:rPr>
      </w:pPr>
    </w:p>
    <w:p w:rsidR="002B5138" w:rsidRPr="002C19EB" w:rsidRDefault="002B5138" w:rsidP="002B5138">
      <w:pPr>
        <w:spacing w:after="120"/>
        <w:rPr>
          <w:b/>
          <w:color w:val="000000" w:themeColor="text1"/>
        </w:rPr>
      </w:pPr>
      <w:r w:rsidRPr="002C19EB">
        <w:rPr>
          <w:b/>
          <w:color w:val="000000" w:themeColor="text1"/>
        </w:rPr>
        <w:t>g) Zhodnocení korupčních rizik</w:t>
      </w:r>
    </w:p>
    <w:p w:rsidR="002B5138" w:rsidRPr="002C19EB" w:rsidRDefault="002B5138" w:rsidP="002B5138">
      <w:pPr>
        <w:spacing w:after="120"/>
        <w:rPr>
          <w:color w:val="000000" w:themeColor="text1"/>
        </w:rPr>
      </w:pPr>
      <w:r w:rsidRPr="002C19EB">
        <w:rPr>
          <w:color w:val="000000" w:themeColor="text1"/>
        </w:rPr>
        <w:t>Předkládaný návrh nemá vliv na korupční rizika.</w:t>
      </w:r>
    </w:p>
    <w:p w:rsidR="002B5138" w:rsidRPr="002C19EB" w:rsidRDefault="002B5138" w:rsidP="002B5138">
      <w:pPr>
        <w:spacing w:after="120"/>
        <w:rPr>
          <w:b/>
          <w:color w:val="000000" w:themeColor="text1"/>
        </w:rPr>
      </w:pPr>
    </w:p>
    <w:p w:rsidR="002B5138" w:rsidRPr="002C19EB" w:rsidRDefault="002B5138" w:rsidP="002B5138">
      <w:pPr>
        <w:spacing w:after="120"/>
        <w:rPr>
          <w:b/>
          <w:color w:val="000000" w:themeColor="text1"/>
        </w:rPr>
      </w:pPr>
      <w:r w:rsidRPr="002C19EB">
        <w:rPr>
          <w:b/>
          <w:color w:val="000000" w:themeColor="text1"/>
        </w:rPr>
        <w:t>h) Zhodnocení dopadů na bezpečnost nebo obranu státu</w:t>
      </w:r>
    </w:p>
    <w:p w:rsidR="002B5138" w:rsidRPr="002C19EB" w:rsidRDefault="002B5138" w:rsidP="002B5138">
      <w:pPr>
        <w:spacing w:after="120"/>
        <w:rPr>
          <w:color w:val="000000" w:themeColor="text1"/>
        </w:rPr>
      </w:pPr>
      <w:r w:rsidRPr="002C19EB">
        <w:rPr>
          <w:color w:val="000000" w:themeColor="text1"/>
        </w:rPr>
        <w:t>Předkládaný návrh nemá negativní dopady na bezpečnost nebo obranu státu.</w:t>
      </w:r>
    </w:p>
    <w:p w:rsidR="00EB55E8" w:rsidRPr="00E04637" w:rsidRDefault="00EB55E8" w:rsidP="00EB55E8">
      <w:pPr>
        <w:spacing w:line="276" w:lineRule="auto"/>
        <w:jc w:val="both"/>
      </w:pPr>
    </w:p>
    <w:p w:rsidR="00635743" w:rsidRPr="00E04637" w:rsidRDefault="00635743" w:rsidP="00B52D21">
      <w:pPr>
        <w:widowControl w:val="0"/>
        <w:suppressAutoHyphens/>
        <w:jc w:val="both"/>
        <w:rPr>
          <w:b/>
          <w:bCs/>
        </w:rPr>
      </w:pPr>
    </w:p>
    <w:p w:rsidR="002B5138" w:rsidRPr="002C19EB" w:rsidRDefault="002B5138" w:rsidP="002B5138">
      <w:pPr>
        <w:jc w:val="center"/>
      </w:pPr>
      <w:r w:rsidRPr="002C19EB">
        <w:t>II. ZVLÁŠTNÍ ČÁST</w:t>
      </w:r>
    </w:p>
    <w:p w:rsidR="002B5138" w:rsidRDefault="002B5138" w:rsidP="00EB55E8">
      <w:pPr>
        <w:widowControl w:val="0"/>
        <w:suppressAutoHyphens/>
        <w:spacing w:after="120" w:line="276" w:lineRule="auto"/>
        <w:jc w:val="center"/>
        <w:rPr>
          <w:b/>
          <w:bCs/>
        </w:rPr>
      </w:pPr>
    </w:p>
    <w:p w:rsidR="00C45D54" w:rsidRPr="00E04637" w:rsidRDefault="002B5138" w:rsidP="002B5138">
      <w:pPr>
        <w:widowControl w:val="0"/>
        <w:suppressAutoHyphens/>
        <w:spacing w:after="120" w:line="276" w:lineRule="auto"/>
        <w:rPr>
          <w:b/>
          <w:bCs/>
        </w:rPr>
      </w:pPr>
      <w:r>
        <w:rPr>
          <w:b/>
          <w:bCs/>
        </w:rPr>
        <w:t>Čl. I</w:t>
      </w:r>
    </w:p>
    <w:p w:rsidR="003F2535" w:rsidRPr="00E04637" w:rsidRDefault="00570922" w:rsidP="00EB55E8">
      <w:pPr>
        <w:widowControl w:val="0"/>
        <w:suppressAutoHyphens/>
        <w:snapToGrid w:val="0"/>
        <w:spacing w:after="240" w:line="276" w:lineRule="auto"/>
        <w:jc w:val="both"/>
        <w:rPr>
          <w:bCs/>
        </w:rPr>
      </w:pPr>
      <w:r w:rsidRPr="00E04637">
        <w:rPr>
          <w:bCs/>
        </w:rPr>
        <w:t xml:space="preserve">V souvislosti </w:t>
      </w:r>
      <w:proofErr w:type="gramStart"/>
      <w:r w:rsidRPr="00E04637">
        <w:rPr>
          <w:bCs/>
        </w:rPr>
        <w:t>s</w:t>
      </w:r>
      <w:r w:rsidR="005C6323" w:rsidRPr="00E04637">
        <w:rPr>
          <w:bCs/>
        </w:rPr>
        <w:t>e</w:t>
      </w:r>
      <w:proofErr w:type="gramEnd"/>
      <w:r w:rsidRPr="00E04637">
        <w:rPr>
          <w:bCs/>
        </w:rPr>
        <w:t xml:space="preserve"> </w:t>
      </w:r>
      <w:r w:rsidR="009A5DF3" w:rsidRPr="00E04637">
        <w:rPr>
          <w:bCs/>
        </w:rPr>
        <w:t>sloučení Ministerstva zemědělství a Ministerstva životního prostředí</w:t>
      </w:r>
      <w:r w:rsidR="00041160" w:rsidRPr="00E04637">
        <w:rPr>
          <w:bCs/>
        </w:rPr>
        <w:t>,</w:t>
      </w:r>
      <w:r w:rsidR="009A5DF3" w:rsidRPr="00E04637">
        <w:rPr>
          <w:bCs/>
        </w:rPr>
        <w:t xml:space="preserve"> </w:t>
      </w:r>
      <w:r w:rsidRPr="00E04637">
        <w:rPr>
          <w:bCs/>
        </w:rPr>
        <w:t>dochází k nezbytným změnám v kompetenčním zákoně</w:t>
      </w:r>
      <w:r w:rsidR="009A5DF3" w:rsidRPr="00E04637">
        <w:rPr>
          <w:bCs/>
        </w:rPr>
        <w:t>.</w:t>
      </w:r>
      <w:r w:rsidR="00B06C75" w:rsidRPr="00E04637">
        <w:rPr>
          <w:bCs/>
        </w:rPr>
        <w:t xml:space="preserve"> V rámci systematiky ústředních orgánů státní správy</w:t>
      </w:r>
      <w:r w:rsidR="002F7D85" w:rsidRPr="00E04637">
        <w:rPr>
          <w:bCs/>
        </w:rPr>
        <w:t xml:space="preserve"> nedochází k vytvoření nového ministerstva nad rámec již zavedených ministerstev. Sloučením dvou ministerstev do jednoho však dochází k</w:t>
      </w:r>
      <w:r w:rsidR="00C935F9" w:rsidRPr="00E04637">
        <w:rPr>
          <w:bCs/>
        </w:rPr>
        <w:t>e zmenšení počtu ministerstev z původních 14 na 13.</w:t>
      </w:r>
      <w:r w:rsidR="005C6323" w:rsidRPr="00E04637">
        <w:rPr>
          <w:bCs/>
        </w:rPr>
        <w:t xml:space="preserve"> </w:t>
      </w:r>
      <w:r w:rsidR="00C935F9" w:rsidRPr="00E04637">
        <w:rPr>
          <w:bCs/>
        </w:rPr>
        <w:t xml:space="preserve">S ohledem na systematiku kompetenčního zákona bylo nově </w:t>
      </w:r>
      <w:r w:rsidR="00C935F9" w:rsidRPr="00E04637">
        <w:rPr>
          <w:bCs/>
        </w:rPr>
        <w:lastRenderedPageBreak/>
        <w:t>pojmenované Ministerstvo pro udržitelný rozvoj</w:t>
      </w:r>
      <w:r w:rsidR="00557F57" w:rsidRPr="00E04637">
        <w:rPr>
          <w:bCs/>
        </w:rPr>
        <w:t xml:space="preserve"> </w:t>
      </w:r>
      <w:r w:rsidR="00C11E1F" w:rsidRPr="00E04637">
        <w:rPr>
          <w:bCs/>
        </w:rPr>
        <w:t>vloženo</w:t>
      </w:r>
      <w:r w:rsidR="00C935F9" w:rsidRPr="00E04637">
        <w:rPr>
          <w:bCs/>
        </w:rPr>
        <w:t xml:space="preserve"> </w:t>
      </w:r>
      <w:r w:rsidR="00110471" w:rsidRPr="00E04637">
        <w:rPr>
          <w:bCs/>
        </w:rPr>
        <w:t xml:space="preserve">v ustanovení § 1 </w:t>
      </w:r>
      <w:r w:rsidR="00C935F9" w:rsidRPr="00E04637">
        <w:rPr>
          <w:bCs/>
        </w:rPr>
        <w:t xml:space="preserve">pod </w:t>
      </w:r>
      <w:r w:rsidR="00110471" w:rsidRPr="00E04637">
        <w:rPr>
          <w:bCs/>
        </w:rPr>
        <w:t xml:space="preserve">bod 11, který dle aktuálního znění kompetenčního zákona vymezuje </w:t>
      </w:r>
      <w:r w:rsidR="004B75EA" w:rsidRPr="00E04637">
        <w:rPr>
          <w:bCs/>
        </w:rPr>
        <w:t>M</w:t>
      </w:r>
      <w:r w:rsidR="00110471" w:rsidRPr="00E04637">
        <w:rPr>
          <w:bCs/>
        </w:rPr>
        <w:t xml:space="preserve">inisterstvo zemědělství, přičemž </w:t>
      </w:r>
      <w:r w:rsidR="00C11E1F" w:rsidRPr="00E04637">
        <w:rPr>
          <w:bCs/>
        </w:rPr>
        <w:t xml:space="preserve">v ustanovení § 1 došlo ke zrušení </w:t>
      </w:r>
      <w:r w:rsidR="00110471" w:rsidRPr="00E04637">
        <w:rPr>
          <w:bCs/>
        </w:rPr>
        <w:t>bod</w:t>
      </w:r>
      <w:r w:rsidR="00C11E1F" w:rsidRPr="00E04637">
        <w:rPr>
          <w:bCs/>
        </w:rPr>
        <w:t>u</w:t>
      </w:r>
      <w:r w:rsidR="00110471" w:rsidRPr="00E04637">
        <w:rPr>
          <w:bCs/>
        </w:rPr>
        <w:t xml:space="preserve"> 14, </w:t>
      </w:r>
      <w:r w:rsidR="00C11E1F" w:rsidRPr="00E04637">
        <w:rPr>
          <w:bCs/>
        </w:rPr>
        <w:t xml:space="preserve">který doposud vymezoval </w:t>
      </w:r>
      <w:r w:rsidR="004B75EA" w:rsidRPr="00E04637">
        <w:rPr>
          <w:bCs/>
        </w:rPr>
        <w:t>M</w:t>
      </w:r>
      <w:r w:rsidR="00C11E1F" w:rsidRPr="00E04637">
        <w:rPr>
          <w:bCs/>
        </w:rPr>
        <w:t xml:space="preserve">inisterstvo pro životní prostředí. </w:t>
      </w:r>
      <w:r w:rsidR="009A5DF3" w:rsidRPr="00E04637">
        <w:rPr>
          <w:bCs/>
        </w:rPr>
        <w:t xml:space="preserve">Tato změna však neznamená, že bylo zachováno Ministerstvo zemědělství, zatímco Ministerstvo životního prostředí bylo zrušeno. </w:t>
      </w:r>
      <w:r w:rsidR="00B156C5" w:rsidRPr="00E04637">
        <w:rPr>
          <w:bCs/>
        </w:rPr>
        <w:t xml:space="preserve">Tyto změny </w:t>
      </w:r>
      <w:r w:rsidR="00C7712D" w:rsidRPr="00E04637">
        <w:rPr>
          <w:bCs/>
        </w:rPr>
        <w:t>byly provedeny čistě z praktických důvodů</w:t>
      </w:r>
      <w:r w:rsidR="00A426FA" w:rsidRPr="00E04637">
        <w:rPr>
          <w:bCs/>
        </w:rPr>
        <w:t>, týkajících se legislativní čistoty navrhovaných změn.</w:t>
      </w:r>
      <w:r w:rsidR="006670B1" w:rsidRPr="00E04637">
        <w:rPr>
          <w:bCs/>
        </w:rPr>
        <w:t xml:space="preserve"> Název nově vzniklého ministerstva byl promítnut i do ustanovení </w:t>
      </w:r>
      <w:r w:rsidR="006670B1" w:rsidRPr="00E04637">
        <w:rPr>
          <w:color w:val="000000" w:themeColor="text1"/>
        </w:rPr>
        <w:t>§ 13 odst. 2</w:t>
      </w:r>
      <w:r w:rsidR="006670B1" w:rsidRPr="00E04637">
        <w:rPr>
          <w:bCs/>
        </w:rPr>
        <w:t xml:space="preserve"> kompetenčního zákona.</w:t>
      </w:r>
    </w:p>
    <w:p w:rsidR="00470AA9" w:rsidRPr="00E04637" w:rsidRDefault="00A426FA" w:rsidP="00EB55E8">
      <w:pPr>
        <w:widowControl w:val="0"/>
        <w:suppressAutoHyphens/>
        <w:spacing w:after="120" w:line="276" w:lineRule="auto"/>
        <w:jc w:val="both"/>
        <w:rPr>
          <w:bCs/>
        </w:rPr>
      </w:pPr>
      <w:r w:rsidRPr="00E04637">
        <w:rPr>
          <w:bCs/>
        </w:rPr>
        <w:t xml:space="preserve">Na základě ustanovení </w:t>
      </w:r>
      <w:r w:rsidR="00470AA9" w:rsidRPr="00E04637">
        <w:rPr>
          <w:bCs/>
        </w:rPr>
        <w:t xml:space="preserve">§ 2 bodu 4 budou </w:t>
      </w:r>
      <w:r w:rsidR="00557F57" w:rsidRPr="00E04637">
        <w:rPr>
          <w:bCs/>
        </w:rPr>
        <w:t>M</w:t>
      </w:r>
      <w:r w:rsidR="00470AA9" w:rsidRPr="00E04637">
        <w:rPr>
          <w:bCs/>
        </w:rPr>
        <w:t>inisterstv</w:t>
      </w:r>
      <w:r w:rsidR="00557F57" w:rsidRPr="00E04637">
        <w:rPr>
          <w:bCs/>
        </w:rPr>
        <w:t>u</w:t>
      </w:r>
      <w:r w:rsidR="00470AA9" w:rsidRPr="00E04637">
        <w:rPr>
          <w:bCs/>
        </w:rPr>
        <w:t xml:space="preserve"> pro udržitelný rozvoj v plném rozsahu svěřeny pravomoci, které dosud patřily odděleně </w:t>
      </w:r>
      <w:r w:rsidR="004B75EA" w:rsidRPr="00E04637">
        <w:rPr>
          <w:bCs/>
        </w:rPr>
        <w:t>M</w:t>
      </w:r>
      <w:r w:rsidR="00470AA9" w:rsidRPr="00E04637">
        <w:rPr>
          <w:bCs/>
        </w:rPr>
        <w:t xml:space="preserve">inisterstvu zemědělství a </w:t>
      </w:r>
      <w:r w:rsidR="004B75EA" w:rsidRPr="00E04637">
        <w:rPr>
          <w:bCs/>
        </w:rPr>
        <w:t>M</w:t>
      </w:r>
      <w:r w:rsidR="00470AA9" w:rsidRPr="00E04637">
        <w:rPr>
          <w:bCs/>
        </w:rPr>
        <w:t>inisterstvu životního prostředí.</w:t>
      </w:r>
    </w:p>
    <w:p w:rsidR="00470AA9" w:rsidRPr="00E04637" w:rsidRDefault="00470AA9" w:rsidP="00EB55E8">
      <w:pPr>
        <w:widowControl w:val="0"/>
        <w:suppressAutoHyphens/>
        <w:spacing w:after="120" w:line="276" w:lineRule="auto"/>
        <w:jc w:val="both"/>
        <w:rPr>
          <w:bCs/>
        </w:rPr>
      </w:pPr>
    </w:p>
    <w:p w:rsidR="00635743" w:rsidRPr="002B5138" w:rsidRDefault="002B5138" w:rsidP="00EB55E8">
      <w:pPr>
        <w:suppressAutoHyphens/>
        <w:spacing w:line="276" w:lineRule="auto"/>
        <w:rPr>
          <w:b/>
          <w:bCs/>
        </w:rPr>
      </w:pPr>
      <w:r w:rsidRPr="002B5138">
        <w:rPr>
          <w:b/>
          <w:bCs/>
        </w:rPr>
        <w:t>Čl. II</w:t>
      </w:r>
    </w:p>
    <w:p w:rsidR="008D0C7F" w:rsidRPr="00E04637" w:rsidRDefault="00DE0D22" w:rsidP="00E04637">
      <w:pPr>
        <w:widowControl w:val="0"/>
        <w:suppressAutoHyphens/>
        <w:spacing w:after="120" w:line="276" w:lineRule="auto"/>
        <w:rPr>
          <w:bCs/>
        </w:rPr>
      </w:pPr>
      <w:r w:rsidRPr="00E04637">
        <w:rPr>
          <w:bCs/>
        </w:rPr>
        <w:t>Přechodná ustanovení zajistí plynulost přechodu kompetencí a návaznost všech činností</w:t>
      </w:r>
      <w:r w:rsidR="00CC7BC2" w:rsidRPr="00E04637">
        <w:rPr>
          <w:bCs/>
        </w:rPr>
        <w:t xml:space="preserve"> vykonávaných</w:t>
      </w:r>
      <w:r w:rsidRPr="00E04637">
        <w:rPr>
          <w:bCs/>
        </w:rPr>
        <w:t xml:space="preserve"> doposud Ministerstvem zemědělství a Ministerstvem životního prostředí.</w:t>
      </w:r>
      <w:r w:rsidR="00CC7BC2" w:rsidRPr="00E04637">
        <w:rPr>
          <w:bCs/>
        </w:rPr>
        <w:t xml:space="preserve"> Není pochyb o tom, že rozhodnutí vydaná těmito ministerstvy před účinností tohoto zákona zůstanou v platnosti i po provedení změn tímto zákonem předpokládaných.</w:t>
      </w:r>
      <w:r w:rsidR="00570922" w:rsidRPr="00E04637">
        <w:rPr>
          <w:bCs/>
        </w:rPr>
        <w:t xml:space="preserve"> </w:t>
      </w:r>
    </w:p>
    <w:p w:rsidR="008D0C7F" w:rsidRPr="00E04637" w:rsidRDefault="008D0C7F" w:rsidP="00EB55E8">
      <w:pPr>
        <w:widowControl w:val="0"/>
        <w:suppressAutoHyphens/>
        <w:spacing w:after="120" w:line="276" w:lineRule="auto"/>
        <w:jc w:val="both"/>
        <w:rPr>
          <w:bCs/>
        </w:rPr>
      </w:pPr>
      <w:r w:rsidRPr="00E04637">
        <w:rPr>
          <w:bCs/>
        </w:rPr>
        <w:t xml:space="preserve">Uvedené ustanovení řeší přechod všech práv a povinností vyplývajících z pracovněprávních vztahů, tedy potřebnou delimitaci těch zaměstnanců, kteří vykonávají činnosti a pravomoci, jež podle tohoto zákona mají přejít na </w:t>
      </w:r>
      <w:r w:rsidR="004B75EA" w:rsidRPr="00E04637">
        <w:rPr>
          <w:bCs/>
        </w:rPr>
        <w:t>M</w:t>
      </w:r>
      <w:r w:rsidRPr="00E04637">
        <w:rPr>
          <w:bCs/>
        </w:rPr>
        <w:t>inisterstvo pro udržitelný rozvoj.</w:t>
      </w:r>
    </w:p>
    <w:p w:rsidR="00D1166F" w:rsidRPr="00E04637" w:rsidRDefault="008D0C7F" w:rsidP="00EB55E8">
      <w:pPr>
        <w:widowControl w:val="0"/>
        <w:suppressAutoHyphens/>
        <w:spacing w:after="120" w:line="276" w:lineRule="auto"/>
        <w:jc w:val="both"/>
        <w:rPr>
          <w:bCs/>
        </w:rPr>
      </w:pPr>
      <w:r w:rsidRPr="00E04637">
        <w:rPr>
          <w:bCs/>
        </w:rPr>
        <w:t xml:space="preserve">Nové </w:t>
      </w:r>
      <w:r w:rsidR="004B75EA" w:rsidRPr="00E04637">
        <w:rPr>
          <w:bCs/>
        </w:rPr>
        <w:t>M</w:t>
      </w:r>
      <w:r w:rsidRPr="00E04637">
        <w:rPr>
          <w:bCs/>
        </w:rPr>
        <w:t xml:space="preserve">inisterstvo pro udržitelný rozvoj uzavře s </w:t>
      </w:r>
      <w:r w:rsidR="004B75EA" w:rsidRPr="00E04637">
        <w:rPr>
          <w:bCs/>
        </w:rPr>
        <w:t>M</w:t>
      </w:r>
      <w:r w:rsidR="00D1166F" w:rsidRPr="00E04637">
        <w:rPr>
          <w:bCs/>
        </w:rPr>
        <w:t xml:space="preserve">inisterstvem zemědělství a </w:t>
      </w:r>
      <w:r w:rsidR="004B75EA" w:rsidRPr="00E04637">
        <w:rPr>
          <w:bCs/>
        </w:rPr>
        <w:t>M</w:t>
      </w:r>
      <w:r w:rsidR="00D1166F" w:rsidRPr="00E04637">
        <w:rPr>
          <w:bCs/>
        </w:rPr>
        <w:t xml:space="preserve">inisterstvem životního prostředí </w:t>
      </w:r>
      <w:r w:rsidRPr="00E04637">
        <w:rPr>
          <w:bCs/>
        </w:rPr>
        <w:t xml:space="preserve">příslušné dohody o přechodu práv a povinností vyplývajících z pracovněprávních vztahů, ve kterých se stanoví počet převáděných zaměstnanců a jejich náplň práce. </w:t>
      </w:r>
    </w:p>
    <w:p w:rsidR="008D0C7F" w:rsidRDefault="008D0C7F" w:rsidP="00EB55E8">
      <w:pPr>
        <w:widowControl w:val="0"/>
        <w:suppressAutoHyphens/>
        <w:spacing w:after="120" w:line="276" w:lineRule="auto"/>
        <w:jc w:val="both"/>
        <w:rPr>
          <w:bCs/>
        </w:rPr>
      </w:pPr>
      <w:r w:rsidRPr="00E04637">
        <w:rPr>
          <w:bCs/>
        </w:rPr>
        <w:t xml:space="preserve">Podle tohoto návrhu přejde v plném rozsahu z </w:t>
      </w:r>
      <w:r w:rsidR="004B75EA" w:rsidRPr="00E04637">
        <w:rPr>
          <w:bCs/>
        </w:rPr>
        <w:t>M</w:t>
      </w:r>
      <w:r w:rsidR="00D1166F" w:rsidRPr="00E04637">
        <w:rPr>
          <w:bCs/>
        </w:rPr>
        <w:t xml:space="preserve">inisterstva zemědělství a </w:t>
      </w:r>
      <w:r w:rsidR="004B75EA" w:rsidRPr="00E04637">
        <w:rPr>
          <w:bCs/>
        </w:rPr>
        <w:t>M</w:t>
      </w:r>
      <w:r w:rsidR="00D1166F" w:rsidRPr="00E04637">
        <w:rPr>
          <w:bCs/>
        </w:rPr>
        <w:t xml:space="preserve">inisterstva životního prostředí </w:t>
      </w:r>
      <w:r w:rsidRPr="00E04637">
        <w:rPr>
          <w:bCs/>
        </w:rPr>
        <w:t xml:space="preserve">na </w:t>
      </w:r>
      <w:r w:rsidR="004B75EA" w:rsidRPr="00E04637">
        <w:rPr>
          <w:bCs/>
        </w:rPr>
        <w:t>M</w:t>
      </w:r>
      <w:r w:rsidR="00D1166F" w:rsidRPr="00E04637">
        <w:rPr>
          <w:bCs/>
        </w:rPr>
        <w:t xml:space="preserve">inisterstvo pro udržitelný rozvoj </w:t>
      </w:r>
      <w:r w:rsidRPr="00E04637">
        <w:rPr>
          <w:bCs/>
        </w:rPr>
        <w:t xml:space="preserve">příslušnost hospodařit s majetkem České republiky. O převodu práva hospodaření s majetkem spočívající v užívání některých věcí uzavře </w:t>
      </w:r>
      <w:r w:rsidR="004B75EA" w:rsidRPr="00E04637">
        <w:rPr>
          <w:bCs/>
        </w:rPr>
        <w:t>M</w:t>
      </w:r>
      <w:r w:rsidR="00D1166F" w:rsidRPr="00E04637">
        <w:rPr>
          <w:bCs/>
        </w:rPr>
        <w:t xml:space="preserve">inisterstvo pro udržitelný rozvoj </w:t>
      </w:r>
      <w:r w:rsidRPr="00E04637">
        <w:rPr>
          <w:bCs/>
        </w:rPr>
        <w:t>příslušné dohody.</w:t>
      </w:r>
    </w:p>
    <w:p w:rsidR="002B5138" w:rsidRPr="002B5138" w:rsidRDefault="002B5138" w:rsidP="00EB55E8">
      <w:pPr>
        <w:widowControl w:val="0"/>
        <w:suppressAutoHyphens/>
        <w:spacing w:after="120" w:line="276" w:lineRule="auto"/>
        <w:jc w:val="both"/>
        <w:rPr>
          <w:b/>
          <w:bCs/>
        </w:rPr>
      </w:pPr>
      <w:r w:rsidRPr="00E04637">
        <w:rPr>
          <w:bCs/>
        </w:rPr>
        <w:t>Řádné dokončení případných řízení zahájených Ministerstvem zemědělství nebo Ministerstvem životního prostředí a nedokončených před účinností tohoto zákona zajistí přechodná ustanovení.</w:t>
      </w:r>
    </w:p>
    <w:p w:rsidR="002B5138" w:rsidRDefault="002B5138" w:rsidP="00EB55E8">
      <w:pPr>
        <w:widowControl w:val="0"/>
        <w:suppressAutoHyphens/>
        <w:spacing w:after="120" w:line="276" w:lineRule="auto"/>
        <w:jc w:val="both"/>
        <w:rPr>
          <w:b/>
        </w:rPr>
      </w:pPr>
    </w:p>
    <w:p w:rsidR="002B5138" w:rsidRPr="002B5138" w:rsidRDefault="002B5138" w:rsidP="00EB55E8">
      <w:pPr>
        <w:widowControl w:val="0"/>
        <w:suppressAutoHyphens/>
        <w:spacing w:after="120" w:line="276" w:lineRule="auto"/>
        <w:jc w:val="both"/>
        <w:rPr>
          <w:b/>
        </w:rPr>
      </w:pPr>
      <w:r w:rsidRPr="002B5138">
        <w:rPr>
          <w:b/>
        </w:rPr>
        <w:t>Čl. III</w:t>
      </w:r>
    </w:p>
    <w:p w:rsidR="0022270A" w:rsidRPr="002B5138" w:rsidRDefault="00FA487A" w:rsidP="002B5138">
      <w:pPr>
        <w:widowControl w:val="0"/>
        <w:suppressAutoHyphens/>
        <w:spacing w:after="120" w:line="276" w:lineRule="auto"/>
        <w:jc w:val="both"/>
        <w:rPr>
          <w:b/>
          <w:bCs/>
        </w:rPr>
      </w:pPr>
      <w:r w:rsidRPr="00E04637">
        <w:rPr>
          <w:bCs/>
        </w:rPr>
        <w:t xml:space="preserve">S účinností zákona se počítá </w:t>
      </w:r>
      <w:r w:rsidR="00E04637">
        <w:rPr>
          <w:bCs/>
        </w:rPr>
        <w:t>k 1.1. 2026</w:t>
      </w:r>
      <w:r w:rsidR="00E04637" w:rsidRPr="008A2673">
        <w:rPr>
          <w:bCs/>
        </w:rPr>
        <w:t>.</w:t>
      </w:r>
      <w:r w:rsidR="00E04637">
        <w:rPr>
          <w:bCs/>
        </w:rPr>
        <w:t xml:space="preserve"> Je tomu tak z důvodu poměrně náročného procesu sloučení agend dvou ministerstev pod jedno ministerstvo. </w:t>
      </w:r>
    </w:p>
    <w:p w:rsidR="0022270A" w:rsidRPr="00E04637" w:rsidRDefault="0022270A" w:rsidP="0022270A">
      <w:pPr>
        <w:widowControl w:val="0"/>
        <w:suppressAutoHyphens/>
        <w:spacing w:after="120"/>
        <w:rPr>
          <w:bCs/>
        </w:rPr>
      </w:pPr>
    </w:p>
    <w:p w:rsidR="0022270A" w:rsidRPr="00E04637" w:rsidRDefault="0022270A" w:rsidP="00B52D21">
      <w:pPr>
        <w:suppressAutoHyphens/>
      </w:pPr>
    </w:p>
    <w:p w:rsidR="00635743" w:rsidRPr="00E04637" w:rsidRDefault="00704FCB" w:rsidP="00B113D2">
      <w:pPr>
        <w:suppressAutoHyphens/>
      </w:pPr>
      <w:r w:rsidRPr="00E04637">
        <w:t>V Praze dne</w:t>
      </w:r>
      <w:r w:rsidR="009F6A3C" w:rsidRPr="00E04637">
        <w:t xml:space="preserve"> </w:t>
      </w:r>
      <w:r w:rsidR="00D34534">
        <w:t>4</w:t>
      </w:r>
      <w:r w:rsidR="009F6A3C" w:rsidRPr="00E04637">
        <w:t xml:space="preserve">. </w:t>
      </w:r>
      <w:r w:rsidR="007B69FB" w:rsidRPr="00E04637">
        <w:t>1</w:t>
      </w:r>
      <w:r w:rsidR="00D34534">
        <w:t>2</w:t>
      </w:r>
      <w:r w:rsidR="009F6A3C" w:rsidRPr="00E04637">
        <w:t>. 2019</w:t>
      </w:r>
    </w:p>
    <w:p w:rsidR="00635743" w:rsidRPr="00E04637" w:rsidRDefault="00635743" w:rsidP="00B113D2">
      <w:pPr>
        <w:suppressAutoHyphens/>
      </w:pPr>
    </w:p>
    <w:p w:rsidR="00B113D2" w:rsidRPr="00E04637" w:rsidRDefault="00B113D2" w:rsidP="00B113D2">
      <w:pPr>
        <w:suppressAutoHyphens/>
      </w:pPr>
      <w:r w:rsidRPr="00E04637">
        <w:t xml:space="preserve">Jana </w:t>
      </w:r>
      <w:proofErr w:type="spellStart"/>
      <w:r w:rsidRPr="00E04637">
        <w:t>Krutáková</w:t>
      </w:r>
      <w:proofErr w:type="spellEnd"/>
      <w:r w:rsidRPr="00E04637">
        <w:t xml:space="preserve"> v.r.</w:t>
      </w:r>
    </w:p>
    <w:p w:rsidR="00B113D2" w:rsidRPr="00E04637" w:rsidRDefault="00B113D2" w:rsidP="00B113D2">
      <w:pPr>
        <w:suppressAutoHyphens/>
      </w:pPr>
      <w:r w:rsidRPr="00E04637">
        <w:lastRenderedPageBreak/>
        <w:t>Jan Farský v.r.</w:t>
      </w:r>
    </w:p>
    <w:p w:rsidR="00B113D2" w:rsidRPr="00E04637" w:rsidRDefault="00B113D2" w:rsidP="00B113D2">
      <w:pPr>
        <w:suppressAutoHyphens/>
      </w:pPr>
      <w:r w:rsidRPr="00E04637">
        <w:t>Věra Kovářová v.r.</w:t>
      </w:r>
    </w:p>
    <w:p w:rsidR="00B113D2" w:rsidRPr="00E04637" w:rsidRDefault="00B113D2" w:rsidP="00B113D2">
      <w:pPr>
        <w:suppressAutoHyphens/>
      </w:pPr>
      <w:r w:rsidRPr="00E04637">
        <w:t>Vít Rakušan v.r.</w:t>
      </w:r>
    </w:p>
    <w:p w:rsidR="00B113D2" w:rsidRPr="00E04637" w:rsidRDefault="00B113D2" w:rsidP="00B113D2">
      <w:pPr>
        <w:suppressAutoHyphens/>
      </w:pPr>
      <w:r w:rsidRPr="00E04637">
        <w:t>Petr Gazdík v.r.</w:t>
      </w:r>
    </w:p>
    <w:p w:rsidR="00B113D2" w:rsidRPr="00E04637" w:rsidRDefault="00B113D2" w:rsidP="00B113D2">
      <w:pPr>
        <w:suppressAutoHyphens/>
      </w:pPr>
      <w:r w:rsidRPr="00E04637">
        <w:t>Petr Pávek v.r.</w:t>
      </w:r>
    </w:p>
    <w:p w:rsidR="00635743" w:rsidRPr="00E04637" w:rsidRDefault="00635743" w:rsidP="00B52D21">
      <w:pPr>
        <w:widowControl w:val="0"/>
        <w:suppressAutoHyphens/>
        <w:jc w:val="both"/>
      </w:pPr>
    </w:p>
    <w:p w:rsidR="00635743" w:rsidRPr="00E04637" w:rsidRDefault="00635743" w:rsidP="00B52D21">
      <w:pPr>
        <w:widowControl w:val="0"/>
        <w:suppressAutoHyphens/>
        <w:spacing w:after="120"/>
        <w:ind w:firstLine="708"/>
        <w:jc w:val="both"/>
      </w:pPr>
    </w:p>
    <w:sectPr w:rsidR="00635743" w:rsidRPr="00E04637">
      <w:headerReference w:type="default" r:id="rId8"/>
      <w:footerReference w:type="default" r:id="rId9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4C99" w:rsidRDefault="00F24C99">
      <w:r>
        <w:separator/>
      </w:r>
    </w:p>
  </w:endnote>
  <w:endnote w:type="continuationSeparator" w:id="0">
    <w:p w:rsidR="00F24C99" w:rsidRDefault="00F24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á-@á˛">
    <w:altName w:val="Calibri"/>
    <w:panose1 w:val="020B0604020202020204"/>
    <w:charset w:val="4D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5743" w:rsidRDefault="00704FCB">
    <w:pPr>
      <w:pStyle w:val="Zpat"/>
      <w:tabs>
        <w:tab w:val="clear" w:pos="9072"/>
        <w:tab w:val="right" w:pos="9046"/>
      </w:tabs>
      <w:jc w:val="center"/>
    </w:pPr>
    <w:r>
      <w:fldChar w:fldCharType="begin"/>
    </w:r>
    <w:r>
      <w:instrText xml:space="preserve"> PAGE </w:instrText>
    </w:r>
    <w:r>
      <w:fldChar w:fldCharType="separate"/>
    </w:r>
    <w:r w:rsidR="003454C9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4C99" w:rsidRDefault="00F24C99">
      <w:r>
        <w:separator/>
      </w:r>
    </w:p>
  </w:footnote>
  <w:footnote w:type="continuationSeparator" w:id="0">
    <w:p w:rsidR="00F24C99" w:rsidRDefault="00F24C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5743" w:rsidRDefault="00635743">
    <w:pPr>
      <w:pStyle w:val="Zhlavazpa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71045"/>
    <w:multiLevelType w:val="hybridMultilevel"/>
    <w:tmpl w:val="8A2A02C2"/>
    <w:lvl w:ilvl="0" w:tplc="3912E16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643AD"/>
    <w:multiLevelType w:val="hybridMultilevel"/>
    <w:tmpl w:val="24F8B41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C4B6B"/>
    <w:multiLevelType w:val="hybridMultilevel"/>
    <w:tmpl w:val="2180709A"/>
    <w:styleLink w:val="Importovanstyl1"/>
    <w:lvl w:ilvl="0" w:tplc="5BBA71BA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6901926">
      <w:start w:val="1"/>
      <w:numFmt w:val="lowerLetter"/>
      <w:lvlText w:val="%2."/>
      <w:lvlJc w:val="left"/>
      <w:pPr>
        <w:ind w:left="10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70E1696">
      <w:start w:val="1"/>
      <w:numFmt w:val="lowerRoman"/>
      <w:lvlText w:val="%3."/>
      <w:lvlJc w:val="left"/>
      <w:pPr>
        <w:ind w:left="180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CD2CD98">
      <w:start w:val="1"/>
      <w:numFmt w:val="decimal"/>
      <w:lvlText w:val="%4."/>
      <w:lvlJc w:val="left"/>
      <w:pPr>
        <w:ind w:left="25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2A47B12">
      <w:start w:val="1"/>
      <w:numFmt w:val="lowerLetter"/>
      <w:lvlText w:val="%5."/>
      <w:lvlJc w:val="left"/>
      <w:pPr>
        <w:ind w:left="32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3B87714">
      <w:start w:val="1"/>
      <w:numFmt w:val="lowerRoman"/>
      <w:lvlText w:val="%6."/>
      <w:lvlJc w:val="left"/>
      <w:pPr>
        <w:ind w:left="396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084D8DA">
      <w:start w:val="1"/>
      <w:numFmt w:val="decimal"/>
      <w:lvlText w:val="%7."/>
      <w:lvlJc w:val="left"/>
      <w:pPr>
        <w:ind w:left="46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AC2F7C0">
      <w:start w:val="1"/>
      <w:numFmt w:val="lowerLetter"/>
      <w:lvlText w:val="%8."/>
      <w:lvlJc w:val="left"/>
      <w:pPr>
        <w:ind w:left="54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CCC3B02">
      <w:start w:val="1"/>
      <w:numFmt w:val="lowerRoman"/>
      <w:lvlText w:val="%9."/>
      <w:lvlJc w:val="left"/>
      <w:pPr>
        <w:ind w:left="612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1F5702DD"/>
    <w:multiLevelType w:val="hybridMultilevel"/>
    <w:tmpl w:val="2180709A"/>
    <w:numStyleLink w:val="Importovanstyl1"/>
  </w:abstractNum>
  <w:abstractNum w:abstractNumId="4" w15:restartNumberingAfterBreak="0">
    <w:nsid w:val="24975D04"/>
    <w:multiLevelType w:val="hybridMultilevel"/>
    <w:tmpl w:val="8A2A02C2"/>
    <w:lvl w:ilvl="0" w:tplc="3912E16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0E744E"/>
    <w:multiLevelType w:val="hybridMultilevel"/>
    <w:tmpl w:val="6B2602A6"/>
    <w:lvl w:ilvl="0" w:tplc="5E88EF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285AA2"/>
    <w:multiLevelType w:val="hybridMultilevel"/>
    <w:tmpl w:val="879616A2"/>
    <w:lvl w:ilvl="0" w:tplc="C24422CC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BC3FD3"/>
    <w:multiLevelType w:val="hybridMultilevel"/>
    <w:tmpl w:val="662E6AA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9D3F5B"/>
    <w:multiLevelType w:val="hybridMultilevel"/>
    <w:tmpl w:val="9B860C44"/>
    <w:lvl w:ilvl="0" w:tplc="EC3099C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05205E"/>
    <w:multiLevelType w:val="hybridMultilevel"/>
    <w:tmpl w:val="FD263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330EF4"/>
    <w:multiLevelType w:val="hybridMultilevel"/>
    <w:tmpl w:val="4F20DE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D07F4B"/>
    <w:multiLevelType w:val="hybridMultilevel"/>
    <w:tmpl w:val="3F38AAC2"/>
    <w:lvl w:ilvl="0" w:tplc="810063BA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10"/>
  </w:num>
  <w:num w:numId="4">
    <w:abstractNumId w:val="9"/>
  </w:num>
  <w:num w:numId="5">
    <w:abstractNumId w:val="8"/>
  </w:num>
  <w:num w:numId="6">
    <w:abstractNumId w:val="7"/>
  </w:num>
  <w:num w:numId="7">
    <w:abstractNumId w:val="0"/>
  </w:num>
  <w:num w:numId="8">
    <w:abstractNumId w:val="5"/>
  </w:num>
  <w:num w:numId="9">
    <w:abstractNumId w:val="4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4"/>
  <w:displayBackgroundShape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5743"/>
    <w:rsid w:val="00021354"/>
    <w:rsid w:val="000363D2"/>
    <w:rsid w:val="00041160"/>
    <w:rsid w:val="00057A15"/>
    <w:rsid w:val="00062EF8"/>
    <w:rsid w:val="00076597"/>
    <w:rsid w:val="000955C2"/>
    <w:rsid w:val="00095B29"/>
    <w:rsid w:val="00097CEE"/>
    <w:rsid w:val="000A2084"/>
    <w:rsid w:val="000D68E6"/>
    <w:rsid w:val="00110471"/>
    <w:rsid w:val="001619C7"/>
    <w:rsid w:val="00172587"/>
    <w:rsid w:val="00175EBF"/>
    <w:rsid w:val="00186DEC"/>
    <w:rsid w:val="001D1966"/>
    <w:rsid w:val="001E7172"/>
    <w:rsid w:val="0022270A"/>
    <w:rsid w:val="00223969"/>
    <w:rsid w:val="00270248"/>
    <w:rsid w:val="00275E88"/>
    <w:rsid w:val="00292274"/>
    <w:rsid w:val="002B146D"/>
    <w:rsid w:val="002B5138"/>
    <w:rsid w:val="002B562D"/>
    <w:rsid w:val="002E4368"/>
    <w:rsid w:val="002F7D85"/>
    <w:rsid w:val="003270D8"/>
    <w:rsid w:val="00333796"/>
    <w:rsid w:val="003454C9"/>
    <w:rsid w:val="00352CFA"/>
    <w:rsid w:val="0038797A"/>
    <w:rsid w:val="0039276A"/>
    <w:rsid w:val="003B435F"/>
    <w:rsid w:val="003B732F"/>
    <w:rsid w:val="003B74AD"/>
    <w:rsid w:val="003C3F64"/>
    <w:rsid w:val="003C6A04"/>
    <w:rsid w:val="003F2535"/>
    <w:rsid w:val="004069D9"/>
    <w:rsid w:val="004520EA"/>
    <w:rsid w:val="0046323D"/>
    <w:rsid w:val="004674F3"/>
    <w:rsid w:val="00470AA9"/>
    <w:rsid w:val="004A7921"/>
    <w:rsid w:val="004B3403"/>
    <w:rsid w:val="004B75EA"/>
    <w:rsid w:val="004E2AF4"/>
    <w:rsid w:val="004F0EA6"/>
    <w:rsid w:val="004F7458"/>
    <w:rsid w:val="00502645"/>
    <w:rsid w:val="00514324"/>
    <w:rsid w:val="005179A9"/>
    <w:rsid w:val="00524D20"/>
    <w:rsid w:val="005258DD"/>
    <w:rsid w:val="00544AE6"/>
    <w:rsid w:val="00547CDD"/>
    <w:rsid w:val="00550D06"/>
    <w:rsid w:val="00557547"/>
    <w:rsid w:val="00557F57"/>
    <w:rsid w:val="00570922"/>
    <w:rsid w:val="00580E62"/>
    <w:rsid w:val="00593B4F"/>
    <w:rsid w:val="005C6323"/>
    <w:rsid w:val="005E4844"/>
    <w:rsid w:val="005E48B4"/>
    <w:rsid w:val="005F215F"/>
    <w:rsid w:val="00622766"/>
    <w:rsid w:val="00635743"/>
    <w:rsid w:val="006406A8"/>
    <w:rsid w:val="006670B1"/>
    <w:rsid w:val="00687C24"/>
    <w:rsid w:val="006A2B43"/>
    <w:rsid w:val="006D3088"/>
    <w:rsid w:val="006F2C88"/>
    <w:rsid w:val="00704FCB"/>
    <w:rsid w:val="00726F6C"/>
    <w:rsid w:val="00734E01"/>
    <w:rsid w:val="00753994"/>
    <w:rsid w:val="007737DF"/>
    <w:rsid w:val="00793814"/>
    <w:rsid w:val="007B69FB"/>
    <w:rsid w:val="007C2BCB"/>
    <w:rsid w:val="007C549E"/>
    <w:rsid w:val="007D71D8"/>
    <w:rsid w:val="007F7CB7"/>
    <w:rsid w:val="0081411B"/>
    <w:rsid w:val="00825837"/>
    <w:rsid w:val="00854003"/>
    <w:rsid w:val="00885E0B"/>
    <w:rsid w:val="0089778D"/>
    <w:rsid w:val="008A2673"/>
    <w:rsid w:val="008B1A49"/>
    <w:rsid w:val="008D0C7F"/>
    <w:rsid w:val="00900C81"/>
    <w:rsid w:val="009116D6"/>
    <w:rsid w:val="009607C2"/>
    <w:rsid w:val="00964458"/>
    <w:rsid w:val="009937CC"/>
    <w:rsid w:val="009A5DF3"/>
    <w:rsid w:val="009B449C"/>
    <w:rsid w:val="009F6A3C"/>
    <w:rsid w:val="00A02B52"/>
    <w:rsid w:val="00A426FA"/>
    <w:rsid w:val="00A564B8"/>
    <w:rsid w:val="00A62BB2"/>
    <w:rsid w:val="00A77C13"/>
    <w:rsid w:val="00A93276"/>
    <w:rsid w:val="00AE03A1"/>
    <w:rsid w:val="00AE52D2"/>
    <w:rsid w:val="00B06C75"/>
    <w:rsid w:val="00B113D2"/>
    <w:rsid w:val="00B156C5"/>
    <w:rsid w:val="00B265CA"/>
    <w:rsid w:val="00B431B2"/>
    <w:rsid w:val="00B52672"/>
    <w:rsid w:val="00B52D21"/>
    <w:rsid w:val="00B7670F"/>
    <w:rsid w:val="00B840C0"/>
    <w:rsid w:val="00BE24CB"/>
    <w:rsid w:val="00C00857"/>
    <w:rsid w:val="00C11E1F"/>
    <w:rsid w:val="00C12FF8"/>
    <w:rsid w:val="00C339E6"/>
    <w:rsid w:val="00C452F2"/>
    <w:rsid w:val="00C45D54"/>
    <w:rsid w:val="00C55184"/>
    <w:rsid w:val="00C7712D"/>
    <w:rsid w:val="00C935F9"/>
    <w:rsid w:val="00C9399F"/>
    <w:rsid w:val="00CA236D"/>
    <w:rsid w:val="00CB5E3E"/>
    <w:rsid w:val="00CC7BC2"/>
    <w:rsid w:val="00D045E3"/>
    <w:rsid w:val="00D1166F"/>
    <w:rsid w:val="00D34534"/>
    <w:rsid w:val="00D80E41"/>
    <w:rsid w:val="00D976D8"/>
    <w:rsid w:val="00DB4ECD"/>
    <w:rsid w:val="00DE0D22"/>
    <w:rsid w:val="00DE673D"/>
    <w:rsid w:val="00DE6BAA"/>
    <w:rsid w:val="00E04637"/>
    <w:rsid w:val="00E12292"/>
    <w:rsid w:val="00E41157"/>
    <w:rsid w:val="00E46EE6"/>
    <w:rsid w:val="00E53FB3"/>
    <w:rsid w:val="00E67707"/>
    <w:rsid w:val="00E77CD5"/>
    <w:rsid w:val="00E8758D"/>
    <w:rsid w:val="00EB55E8"/>
    <w:rsid w:val="00F10610"/>
    <w:rsid w:val="00F24C99"/>
    <w:rsid w:val="00F37BBA"/>
    <w:rsid w:val="00F75767"/>
    <w:rsid w:val="00F97F40"/>
    <w:rsid w:val="00FA01D8"/>
    <w:rsid w:val="00FA487A"/>
    <w:rsid w:val="00FD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CB2C2"/>
  <w15:docId w15:val="{1FEBEE5C-3474-294E-999E-FEB21BD57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2BC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24"/>
      <w:szCs w:val="24"/>
      <w:bdr w:val="none" w:sz="0" w:space="0" w:color="auto"/>
    </w:rPr>
  </w:style>
  <w:style w:type="paragraph" w:styleId="Nadpis3">
    <w:name w:val="heading 3"/>
    <w:basedOn w:val="Normln"/>
    <w:link w:val="Nadpis3Char"/>
    <w:uiPriority w:val="9"/>
    <w:qFormat/>
    <w:rsid w:val="003C3F6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hlavazpat">
    <w:name w:val="Záhlaví a zápatí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Zpat">
    <w:name w:val="footer"/>
    <w:pPr>
      <w:tabs>
        <w:tab w:val="center" w:pos="4536"/>
        <w:tab w:val="right" w:pos="9072"/>
      </w:tabs>
    </w:pPr>
    <w:rPr>
      <w:rFonts w:ascii="Calibri" w:eastAsia="Calibri" w:hAnsi="Calibri" w:cs="Calibri"/>
      <w:color w:val="000000"/>
      <w:u w:color="000000"/>
    </w:rPr>
  </w:style>
  <w:style w:type="paragraph" w:styleId="Odstavecseseznamem">
    <w:name w:val="List Paragraph"/>
    <w:uiPriority w:val="34"/>
    <w:qFormat/>
    <w:pPr>
      <w:spacing w:after="200" w:line="276" w:lineRule="auto"/>
      <w:ind w:left="720"/>
    </w:pPr>
    <w:rPr>
      <w:rFonts w:ascii="Calibri" w:eastAsia="Calibri" w:hAnsi="Calibri" w:cs="Calibri"/>
      <w:color w:val="000000"/>
      <w:u w:color="000000"/>
    </w:rPr>
  </w:style>
  <w:style w:type="numbering" w:customStyle="1" w:styleId="Importovanstyl1">
    <w:name w:val="Importovaný styl 1"/>
    <w:pPr>
      <w:numPr>
        <w:numId w:val="1"/>
      </w:numPr>
    </w:pPr>
  </w:style>
  <w:style w:type="character" w:customStyle="1" w:styleId="Nadpis3Char">
    <w:name w:val="Nadpis 3 Char"/>
    <w:basedOn w:val="Standardnpsmoodstavce"/>
    <w:link w:val="Nadpis3"/>
    <w:uiPriority w:val="9"/>
    <w:rsid w:val="003C3F64"/>
    <w:rPr>
      <w:rFonts w:eastAsia="Times New Roman"/>
      <w:b/>
      <w:bCs/>
      <w:sz w:val="27"/>
      <w:szCs w:val="27"/>
      <w:bdr w:val="none" w:sz="0" w:space="0" w:color="auto"/>
    </w:rPr>
  </w:style>
  <w:style w:type="paragraph" w:customStyle="1" w:styleId="l2">
    <w:name w:val="l2"/>
    <w:basedOn w:val="Normln"/>
    <w:rsid w:val="003C3F64"/>
    <w:pPr>
      <w:spacing w:before="100" w:beforeAutospacing="1" w:after="100" w:afterAutospacing="1"/>
    </w:pPr>
  </w:style>
  <w:style w:type="paragraph" w:customStyle="1" w:styleId="l3">
    <w:name w:val="l3"/>
    <w:basedOn w:val="Normln"/>
    <w:rsid w:val="003C3F64"/>
    <w:pPr>
      <w:spacing w:before="100" w:beforeAutospacing="1" w:after="100" w:afterAutospacing="1"/>
    </w:pPr>
  </w:style>
  <w:style w:type="character" w:styleId="PromnnHTML">
    <w:name w:val="HTML Variable"/>
    <w:basedOn w:val="Standardnpsmoodstavce"/>
    <w:uiPriority w:val="99"/>
    <w:semiHidden/>
    <w:unhideWhenUsed/>
    <w:rsid w:val="003C3F64"/>
    <w:rPr>
      <w:i/>
      <w:iCs/>
    </w:rPr>
  </w:style>
  <w:style w:type="character" w:customStyle="1" w:styleId="apple-converted-space">
    <w:name w:val="apple-converted-space"/>
    <w:basedOn w:val="Standardnpsmoodstavce"/>
    <w:rsid w:val="003C3F64"/>
  </w:style>
  <w:style w:type="paragraph" w:styleId="Bezmezer">
    <w:name w:val="No Spacing"/>
    <w:qFormat/>
    <w:rsid w:val="0038797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ascii="Calibri" w:eastAsia="Calibri" w:hAnsi="Calibri"/>
      <w:sz w:val="22"/>
      <w:szCs w:val="22"/>
      <w:bdr w:val="none" w:sz="0" w:space="0" w:color="auto"/>
      <w:lang w:eastAsia="zh-CN"/>
    </w:rPr>
  </w:style>
  <w:style w:type="paragraph" w:styleId="Normlnweb">
    <w:name w:val="Normal (Web)"/>
    <w:basedOn w:val="Normln"/>
    <w:uiPriority w:val="99"/>
    <w:unhideWhenUsed/>
    <w:rsid w:val="006A2B43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339E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339E6"/>
    <w:rPr>
      <w:rFonts w:eastAsia="Times New Roman"/>
      <w:bdr w:val="none" w:sz="0" w:space="0" w:color="auto"/>
    </w:rPr>
  </w:style>
  <w:style w:type="character" w:styleId="Znakapoznpodarou">
    <w:name w:val="footnote reference"/>
    <w:basedOn w:val="Standardnpsmoodstavce"/>
    <w:uiPriority w:val="99"/>
    <w:semiHidden/>
    <w:unhideWhenUsed/>
    <w:rsid w:val="00C339E6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2672"/>
    <w:rPr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2672"/>
    <w:rPr>
      <w:rFonts w:eastAsia="Times New Roman"/>
      <w:sz w:val="18"/>
      <w:szCs w:val="18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1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0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7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38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71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13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47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25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8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455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1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3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57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13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93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74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1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9C46533-17E0-5B45-89E5-4D065B935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8</Pages>
  <Words>2549</Words>
  <Characters>14403</Characters>
  <Application>Microsoft Office Word</Application>
  <DocSecurity>0</DocSecurity>
  <Lines>293</Lines>
  <Paragraphs>91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KrutakovaJ</dc:creator>
  <cp:lastModifiedBy>Veronika Houserová</cp:lastModifiedBy>
  <cp:revision>11</cp:revision>
  <dcterms:created xsi:type="dcterms:W3CDTF">2019-07-09T13:44:00Z</dcterms:created>
  <dcterms:modified xsi:type="dcterms:W3CDTF">2019-12-18T11:36:00Z</dcterms:modified>
</cp:coreProperties>
</file>