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5B6F3" w14:textId="77777777" w:rsidR="00945144" w:rsidRDefault="00945144" w:rsidP="00945144">
      <w:pPr>
        <w:jc w:val="center"/>
        <w:rPr>
          <w:rFonts w:ascii="Times New Roman" w:hAnsi="Times New Roman" w:cs="Times New Roman"/>
          <w:spacing w:val="34"/>
          <w:sz w:val="24"/>
          <w:szCs w:val="24"/>
        </w:rPr>
      </w:pPr>
      <w:r w:rsidRPr="00D41299">
        <w:rPr>
          <w:rFonts w:ascii="Times New Roman" w:hAnsi="Times New Roman" w:cs="Times New Roman"/>
          <w:spacing w:val="34"/>
          <w:sz w:val="24"/>
          <w:szCs w:val="24"/>
        </w:rPr>
        <w:t>Návrh Zastupitelstva hlavního města Prahy</w:t>
      </w:r>
    </w:p>
    <w:p w14:paraId="5BE13CC9" w14:textId="77777777" w:rsidR="00003432" w:rsidRDefault="00003432" w:rsidP="00BF6E28">
      <w:pPr>
        <w:jc w:val="center"/>
        <w:rPr>
          <w:rFonts w:ascii="Arial" w:hAnsi="Arial" w:cs="Arial"/>
        </w:rPr>
      </w:pPr>
    </w:p>
    <w:p w14:paraId="580E8C2C" w14:textId="77777777" w:rsidR="00416033" w:rsidRPr="00904E86" w:rsidRDefault="00416033" w:rsidP="00BF6E28">
      <w:pPr>
        <w:jc w:val="center"/>
        <w:rPr>
          <w:rFonts w:ascii="Arial" w:hAnsi="Arial" w:cs="Arial"/>
          <w:b/>
        </w:rPr>
      </w:pPr>
      <w:r w:rsidRPr="00904E86">
        <w:rPr>
          <w:rFonts w:ascii="Arial" w:hAnsi="Arial" w:cs="Arial"/>
          <w:b/>
        </w:rPr>
        <w:t xml:space="preserve">ZÁKON  </w:t>
      </w:r>
    </w:p>
    <w:p w14:paraId="41246341" w14:textId="77777777" w:rsidR="00416033" w:rsidRPr="00904E86" w:rsidRDefault="00416033" w:rsidP="00BF6E28">
      <w:pPr>
        <w:jc w:val="center"/>
        <w:rPr>
          <w:rFonts w:ascii="Arial" w:hAnsi="Arial" w:cs="Arial"/>
        </w:rPr>
      </w:pPr>
      <w:r w:rsidRPr="00904E86">
        <w:rPr>
          <w:rFonts w:ascii="Arial" w:hAnsi="Arial" w:cs="Arial"/>
          <w:b/>
        </w:rPr>
        <w:t xml:space="preserve">  </w:t>
      </w:r>
      <w:r w:rsidRPr="00904E86">
        <w:rPr>
          <w:rFonts w:ascii="Arial" w:hAnsi="Arial" w:cs="Arial"/>
        </w:rPr>
        <w:t>ze dne…</w:t>
      </w:r>
    </w:p>
    <w:p w14:paraId="2C008457" w14:textId="2486ACC0" w:rsidR="00416033" w:rsidRPr="00904E86" w:rsidRDefault="00416033" w:rsidP="0094098E">
      <w:pPr>
        <w:pStyle w:val="l1"/>
        <w:spacing w:line="276" w:lineRule="auto"/>
        <w:jc w:val="center"/>
        <w:rPr>
          <w:rFonts w:ascii="Arial" w:hAnsi="Arial" w:cs="Arial"/>
          <w:b/>
          <w:sz w:val="22"/>
          <w:szCs w:val="22"/>
        </w:rPr>
      </w:pPr>
      <w:r w:rsidRPr="00904E86">
        <w:rPr>
          <w:rFonts w:ascii="Arial" w:hAnsi="Arial" w:cs="Arial"/>
          <w:b/>
          <w:snapToGrid w:val="0"/>
          <w:sz w:val="22"/>
          <w:szCs w:val="22"/>
        </w:rPr>
        <w:t xml:space="preserve">kterým se mění </w:t>
      </w:r>
      <w:r w:rsidRPr="00904E86">
        <w:rPr>
          <w:rFonts w:ascii="Arial" w:hAnsi="Arial" w:cs="Arial"/>
          <w:b/>
          <w:sz w:val="22"/>
          <w:szCs w:val="22"/>
        </w:rPr>
        <w:t>zákon č. 235/2004 Sb.</w:t>
      </w:r>
      <w:r>
        <w:rPr>
          <w:rFonts w:ascii="Arial" w:hAnsi="Arial" w:cs="Arial"/>
          <w:b/>
          <w:sz w:val="22"/>
          <w:szCs w:val="22"/>
        </w:rPr>
        <w:t>,</w:t>
      </w:r>
      <w:r w:rsidRPr="00904E86">
        <w:rPr>
          <w:rFonts w:ascii="Arial" w:hAnsi="Arial" w:cs="Arial"/>
          <w:b/>
          <w:sz w:val="22"/>
          <w:szCs w:val="22"/>
        </w:rPr>
        <w:t xml:space="preserve"> o dani z přidané hodnoty</w:t>
      </w:r>
      <w:r>
        <w:rPr>
          <w:rFonts w:ascii="Arial" w:hAnsi="Arial" w:cs="Arial"/>
          <w:b/>
          <w:sz w:val="22"/>
          <w:szCs w:val="22"/>
        </w:rPr>
        <w:t>,</w:t>
      </w:r>
      <w:r w:rsidRPr="00904E86">
        <w:rPr>
          <w:rFonts w:ascii="Arial" w:hAnsi="Arial" w:cs="Arial"/>
          <w:b/>
          <w:sz w:val="22"/>
          <w:szCs w:val="22"/>
        </w:rPr>
        <w:t xml:space="preserve"> ve znění pozdějších předpisů, zákonné opatření Senátu č. 340/2013 Sb.</w:t>
      </w:r>
      <w:r>
        <w:rPr>
          <w:rFonts w:ascii="Arial" w:hAnsi="Arial" w:cs="Arial"/>
          <w:b/>
          <w:sz w:val="22"/>
          <w:szCs w:val="22"/>
        </w:rPr>
        <w:t>,</w:t>
      </w:r>
      <w:r w:rsidRPr="00904E86">
        <w:rPr>
          <w:rFonts w:ascii="Arial" w:hAnsi="Arial" w:cs="Arial"/>
          <w:b/>
          <w:sz w:val="22"/>
          <w:szCs w:val="22"/>
        </w:rPr>
        <w:t xml:space="preserve"> </w:t>
      </w:r>
      <w:r>
        <w:rPr>
          <w:rFonts w:ascii="Arial" w:hAnsi="Arial" w:cs="Arial"/>
          <w:b/>
          <w:sz w:val="22"/>
          <w:szCs w:val="22"/>
        </w:rPr>
        <w:t xml:space="preserve">o dani z nabytí nemovitých věcí, </w:t>
      </w:r>
      <w:r w:rsidR="0094098E">
        <w:rPr>
          <w:rFonts w:ascii="Arial" w:hAnsi="Arial" w:cs="Arial"/>
          <w:b/>
          <w:sz w:val="22"/>
          <w:szCs w:val="22"/>
        </w:rPr>
        <w:t>ve </w:t>
      </w:r>
      <w:r w:rsidRPr="00904E86">
        <w:rPr>
          <w:rFonts w:ascii="Arial" w:hAnsi="Arial" w:cs="Arial"/>
          <w:b/>
          <w:sz w:val="22"/>
          <w:szCs w:val="22"/>
        </w:rPr>
        <w:t>znění pozdějších předpisů</w:t>
      </w:r>
      <w:r>
        <w:rPr>
          <w:rFonts w:ascii="Arial" w:hAnsi="Arial" w:cs="Arial"/>
          <w:b/>
          <w:sz w:val="22"/>
          <w:szCs w:val="22"/>
        </w:rPr>
        <w:t>,</w:t>
      </w:r>
      <w:r w:rsidRPr="00904E86">
        <w:rPr>
          <w:rFonts w:ascii="Arial" w:hAnsi="Arial" w:cs="Arial"/>
          <w:b/>
          <w:sz w:val="22"/>
          <w:szCs w:val="22"/>
        </w:rPr>
        <w:t xml:space="preserve"> zákon č. 586/1992 Sb.</w:t>
      </w:r>
      <w:r>
        <w:rPr>
          <w:rFonts w:ascii="Arial" w:hAnsi="Arial" w:cs="Arial"/>
          <w:b/>
          <w:sz w:val="22"/>
          <w:szCs w:val="22"/>
        </w:rPr>
        <w:t>,</w:t>
      </w:r>
      <w:r w:rsidRPr="00904E86">
        <w:rPr>
          <w:rFonts w:ascii="Arial" w:hAnsi="Arial" w:cs="Arial"/>
          <w:b/>
          <w:sz w:val="22"/>
          <w:szCs w:val="22"/>
        </w:rPr>
        <w:t xml:space="preserve"> o dan</w:t>
      </w:r>
      <w:r>
        <w:rPr>
          <w:rFonts w:ascii="Arial" w:hAnsi="Arial" w:cs="Arial"/>
          <w:b/>
          <w:sz w:val="22"/>
          <w:szCs w:val="22"/>
        </w:rPr>
        <w:t xml:space="preserve">ích </w:t>
      </w:r>
      <w:r w:rsidRPr="00904E86">
        <w:rPr>
          <w:rFonts w:ascii="Arial" w:hAnsi="Arial" w:cs="Arial"/>
          <w:b/>
          <w:sz w:val="22"/>
          <w:szCs w:val="22"/>
        </w:rPr>
        <w:t>z</w:t>
      </w:r>
      <w:r>
        <w:rPr>
          <w:rFonts w:ascii="Arial" w:hAnsi="Arial" w:cs="Arial"/>
          <w:b/>
          <w:sz w:val="22"/>
          <w:szCs w:val="22"/>
        </w:rPr>
        <w:t> </w:t>
      </w:r>
      <w:r w:rsidRPr="00904E86">
        <w:rPr>
          <w:rFonts w:ascii="Arial" w:hAnsi="Arial" w:cs="Arial"/>
          <w:b/>
          <w:sz w:val="22"/>
          <w:szCs w:val="22"/>
        </w:rPr>
        <w:t>příjm</w:t>
      </w:r>
      <w:r>
        <w:rPr>
          <w:rFonts w:ascii="Arial" w:hAnsi="Arial" w:cs="Arial"/>
          <w:b/>
          <w:sz w:val="22"/>
          <w:szCs w:val="22"/>
        </w:rPr>
        <w:t>ů,</w:t>
      </w:r>
      <w:r w:rsidRPr="00904E86">
        <w:rPr>
          <w:rFonts w:ascii="Arial" w:hAnsi="Arial" w:cs="Arial"/>
          <w:b/>
          <w:sz w:val="22"/>
          <w:szCs w:val="22"/>
        </w:rPr>
        <w:t xml:space="preserve"> ve znění pozdějších předpisů</w:t>
      </w:r>
      <w:r w:rsidR="0094098E">
        <w:rPr>
          <w:rFonts w:ascii="Arial" w:hAnsi="Arial" w:cs="Arial"/>
          <w:b/>
          <w:sz w:val="22"/>
          <w:szCs w:val="22"/>
        </w:rPr>
        <w:t>,</w:t>
      </w:r>
      <w:r>
        <w:rPr>
          <w:rFonts w:ascii="Arial" w:hAnsi="Arial" w:cs="Arial"/>
          <w:b/>
          <w:sz w:val="22"/>
          <w:szCs w:val="22"/>
        </w:rPr>
        <w:t xml:space="preserve"> </w:t>
      </w:r>
      <w:r w:rsidRPr="00B96B4F">
        <w:rPr>
          <w:rFonts w:ascii="Arial" w:hAnsi="Arial" w:cs="Arial"/>
          <w:b/>
          <w:sz w:val="22"/>
          <w:szCs w:val="22"/>
        </w:rPr>
        <w:t>a zákon č. 243/2000 Sb.</w:t>
      </w:r>
      <w:r>
        <w:rPr>
          <w:rFonts w:ascii="Arial" w:hAnsi="Arial" w:cs="Arial"/>
          <w:b/>
          <w:sz w:val="22"/>
          <w:szCs w:val="22"/>
        </w:rPr>
        <w:t>,</w:t>
      </w:r>
      <w:r w:rsidRPr="00B96B4F">
        <w:rPr>
          <w:rFonts w:ascii="Arial" w:hAnsi="Arial" w:cs="Arial"/>
          <w:b/>
          <w:sz w:val="22"/>
          <w:szCs w:val="22"/>
        </w:rPr>
        <w:t xml:space="preserve"> o rozpočtovém určení výnosů některých daní územním samosprávným celkům a některým státním fondům </w:t>
      </w:r>
      <w:r w:rsidR="0094098E">
        <w:rPr>
          <w:rFonts w:ascii="Arial" w:hAnsi="Arial" w:cs="Arial"/>
          <w:b/>
          <w:sz w:val="22"/>
          <w:szCs w:val="22"/>
        </w:rPr>
        <w:t>(zákon o </w:t>
      </w:r>
      <w:r>
        <w:rPr>
          <w:rFonts w:ascii="Arial" w:hAnsi="Arial" w:cs="Arial"/>
          <w:b/>
          <w:sz w:val="22"/>
          <w:szCs w:val="22"/>
        </w:rPr>
        <w:t xml:space="preserve">rozpočtovém určení daní), </w:t>
      </w:r>
      <w:r w:rsidRPr="00B96B4F">
        <w:rPr>
          <w:rFonts w:ascii="Arial" w:hAnsi="Arial" w:cs="Arial"/>
          <w:b/>
          <w:sz w:val="22"/>
          <w:szCs w:val="22"/>
        </w:rPr>
        <w:t>ve znění pozdějších předpisů</w:t>
      </w:r>
    </w:p>
    <w:p w14:paraId="2AE1BB46" w14:textId="77777777" w:rsidR="00416033" w:rsidRPr="00904E86" w:rsidRDefault="00416033" w:rsidP="00BF6E28">
      <w:pPr>
        <w:pStyle w:val="l1"/>
        <w:spacing w:line="276" w:lineRule="auto"/>
        <w:jc w:val="both"/>
        <w:rPr>
          <w:rFonts w:ascii="Arial" w:hAnsi="Arial" w:cs="Arial"/>
          <w:sz w:val="22"/>
          <w:szCs w:val="22"/>
        </w:rPr>
      </w:pPr>
      <w:r w:rsidRPr="00904E86">
        <w:rPr>
          <w:rFonts w:ascii="Arial" w:hAnsi="Arial" w:cs="Arial"/>
          <w:sz w:val="22"/>
          <w:szCs w:val="22"/>
        </w:rPr>
        <w:t>Parlament se usnesl na tomto zákoně České republiky:</w:t>
      </w:r>
    </w:p>
    <w:p w14:paraId="47B9E6CC" w14:textId="77777777" w:rsidR="00416033" w:rsidRDefault="00416033" w:rsidP="00BF6E28">
      <w:pPr>
        <w:pStyle w:val="l1"/>
        <w:spacing w:line="276" w:lineRule="auto"/>
        <w:jc w:val="center"/>
        <w:rPr>
          <w:rFonts w:ascii="Arial" w:hAnsi="Arial" w:cs="Arial"/>
          <w:sz w:val="22"/>
          <w:szCs w:val="22"/>
        </w:rPr>
      </w:pPr>
    </w:p>
    <w:p w14:paraId="3DD8587E" w14:textId="77777777" w:rsidR="00416033"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t>ČÁST PRVNÍ</w:t>
      </w:r>
    </w:p>
    <w:p w14:paraId="2FC7B496" w14:textId="77777777" w:rsidR="00416033" w:rsidRDefault="00416033" w:rsidP="00BF6E28">
      <w:pPr>
        <w:pStyle w:val="l1"/>
        <w:spacing w:line="276" w:lineRule="auto"/>
        <w:jc w:val="center"/>
        <w:rPr>
          <w:rFonts w:ascii="Arial" w:hAnsi="Arial" w:cs="Arial"/>
          <w:sz w:val="22"/>
          <w:szCs w:val="22"/>
        </w:rPr>
      </w:pPr>
      <w:r>
        <w:rPr>
          <w:rFonts w:ascii="Arial" w:hAnsi="Arial" w:cs="Arial"/>
          <w:b/>
          <w:snapToGrid w:val="0"/>
          <w:sz w:val="22"/>
          <w:szCs w:val="22"/>
        </w:rPr>
        <w:t>Z</w:t>
      </w:r>
      <w:r w:rsidRPr="00904E86">
        <w:rPr>
          <w:rFonts w:ascii="Arial" w:hAnsi="Arial" w:cs="Arial"/>
          <w:b/>
          <w:snapToGrid w:val="0"/>
          <w:sz w:val="22"/>
          <w:szCs w:val="22"/>
        </w:rPr>
        <w:t>měn</w:t>
      </w:r>
      <w:r>
        <w:rPr>
          <w:rFonts w:ascii="Arial" w:hAnsi="Arial" w:cs="Arial"/>
          <w:b/>
          <w:snapToGrid w:val="0"/>
          <w:sz w:val="22"/>
          <w:szCs w:val="22"/>
        </w:rPr>
        <w:t>a</w:t>
      </w:r>
      <w:r w:rsidRPr="00904E86">
        <w:rPr>
          <w:rFonts w:ascii="Arial" w:hAnsi="Arial" w:cs="Arial"/>
          <w:b/>
          <w:snapToGrid w:val="0"/>
          <w:sz w:val="22"/>
          <w:szCs w:val="22"/>
        </w:rPr>
        <w:t xml:space="preserve"> </w:t>
      </w:r>
      <w:r w:rsidRPr="00904E86">
        <w:rPr>
          <w:rFonts w:ascii="Arial" w:hAnsi="Arial" w:cs="Arial"/>
          <w:b/>
          <w:sz w:val="22"/>
          <w:szCs w:val="22"/>
        </w:rPr>
        <w:t>zákon</w:t>
      </w:r>
      <w:r>
        <w:rPr>
          <w:rFonts w:ascii="Arial" w:hAnsi="Arial" w:cs="Arial"/>
          <w:b/>
          <w:sz w:val="22"/>
          <w:szCs w:val="22"/>
        </w:rPr>
        <w:t>a</w:t>
      </w:r>
      <w:r w:rsidRPr="00904E86">
        <w:rPr>
          <w:rFonts w:ascii="Arial" w:hAnsi="Arial" w:cs="Arial"/>
          <w:b/>
          <w:sz w:val="22"/>
          <w:szCs w:val="22"/>
        </w:rPr>
        <w:t xml:space="preserve"> č. 235/2004 Sb.</w:t>
      </w:r>
      <w:r>
        <w:rPr>
          <w:rFonts w:ascii="Arial" w:hAnsi="Arial" w:cs="Arial"/>
          <w:b/>
          <w:sz w:val="22"/>
          <w:szCs w:val="22"/>
        </w:rPr>
        <w:t>,</w:t>
      </w:r>
      <w:r w:rsidRPr="00904E86">
        <w:rPr>
          <w:rFonts w:ascii="Arial" w:hAnsi="Arial" w:cs="Arial"/>
          <w:b/>
          <w:sz w:val="22"/>
          <w:szCs w:val="22"/>
        </w:rPr>
        <w:t xml:space="preserve"> o dani z přidané hodnoty</w:t>
      </w:r>
    </w:p>
    <w:p w14:paraId="1B67BE07" w14:textId="77777777" w:rsidR="00416033" w:rsidRPr="00904E86"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t>Čl. I</w:t>
      </w:r>
    </w:p>
    <w:p w14:paraId="5AAD784D" w14:textId="31FBAD38" w:rsidR="00416033" w:rsidRDefault="00416033" w:rsidP="0094098E">
      <w:pPr>
        <w:ind w:firstLine="708"/>
        <w:jc w:val="both"/>
        <w:rPr>
          <w:rFonts w:ascii="Arial" w:hAnsi="Arial" w:cs="Arial"/>
        </w:rPr>
      </w:pPr>
      <w:r w:rsidRPr="00EB6C1C">
        <w:rPr>
          <w:rFonts w:ascii="Arial" w:hAnsi="Arial" w:cs="Arial"/>
        </w:rPr>
        <w:t xml:space="preserve">Zákon č. 235/2004 Sb., o dani z přidané hodnoty, ve znění zákona č. 635/2004 Sb., zákona č. 669/2004 Sb., zákona č. 124/2005 Sb., zákona č. 215/2005 Sb., </w:t>
      </w:r>
      <w:r w:rsidR="0094098E">
        <w:rPr>
          <w:rFonts w:ascii="Arial" w:hAnsi="Arial" w:cs="Arial"/>
        </w:rPr>
        <w:t>zákona č. 217/2005 </w:t>
      </w:r>
      <w:r w:rsidRPr="00EB6C1C">
        <w:rPr>
          <w:rFonts w:ascii="Arial" w:hAnsi="Arial" w:cs="Arial"/>
        </w:rPr>
        <w:t>Sb., zákona č. 377/2005 Sb., zákona č. 441/2005 Sb., zákona č. 545/2005 Sb., zákona č. 109/2006 Sb., zákona č. 230/2006 Sb., zákona č. 3</w:t>
      </w:r>
      <w:r w:rsidR="0094098E">
        <w:rPr>
          <w:rFonts w:ascii="Arial" w:hAnsi="Arial" w:cs="Arial"/>
        </w:rPr>
        <w:t>19/2006 Sb., zákona č. 172/2007 </w:t>
      </w:r>
      <w:r w:rsidRPr="00EB6C1C">
        <w:rPr>
          <w:rFonts w:ascii="Arial" w:hAnsi="Arial" w:cs="Arial"/>
        </w:rPr>
        <w:t xml:space="preserve">Sb., zákona č. 261/2007 Sb., zákona č. 270/2007 Sb., zákona č. 296/2007 Sb., zákona č. 124/2008 Sb., zákona č. 126/2008 Sb., zákona č. </w:t>
      </w:r>
      <w:r w:rsidR="0094098E">
        <w:rPr>
          <w:rFonts w:ascii="Arial" w:hAnsi="Arial" w:cs="Arial"/>
        </w:rPr>
        <w:t>302/2008 Sb., zákona č. 87/2009 </w:t>
      </w:r>
      <w:r w:rsidRPr="00EB6C1C">
        <w:rPr>
          <w:rFonts w:ascii="Arial" w:hAnsi="Arial" w:cs="Arial"/>
        </w:rPr>
        <w:t>Sb., zákona č. 281/2009 Sb., zákona č. 362/2009 Sb., zákona č. 489/2009 Sb., zákona č. 120/2010 Sb., zákona č. 199/2010 Sb., z</w:t>
      </w:r>
      <w:r w:rsidR="0094098E">
        <w:rPr>
          <w:rFonts w:ascii="Arial" w:hAnsi="Arial" w:cs="Arial"/>
        </w:rPr>
        <w:t>ákona č. 47/2011 Sb., zákona č. 370/2011 </w:t>
      </w:r>
      <w:r w:rsidRPr="00EB6C1C">
        <w:rPr>
          <w:rFonts w:ascii="Arial" w:hAnsi="Arial" w:cs="Arial"/>
        </w:rPr>
        <w:t>Sb., zákona č. 375/2011 Sb., zákona č. 457/2011 Sb., zákona č. 18/2012 Sb., zákona č. 167/2012 Sb., zákona č. 333/2012 Sb., zákona č. 5</w:t>
      </w:r>
      <w:r w:rsidR="0094098E">
        <w:rPr>
          <w:rFonts w:ascii="Arial" w:hAnsi="Arial" w:cs="Arial"/>
        </w:rPr>
        <w:t>00/2012 Sb., zákona č. 502/2012 </w:t>
      </w:r>
      <w:r w:rsidRPr="00EB6C1C">
        <w:rPr>
          <w:rFonts w:ascii="Arial" w:hAnsi="Arial" w:cs="Arial"/>
        </w:rPr>
        <w:t>Sb., zákona č. 241/2013 Sb., zákonného opatření Senátu č. 344/2013 Sb., zákona č. 196/2014 Sb., zákona č. 262/2014 Sb., zákona č. 360/2014 Sb., zákona č. 377/2015 Sb., zákona č. 113/2016 Sb., zákona č. 188/2016 Sb., zákona č. 2</w:t>
      </w:r>
      <w:r w:rsidR="0094098E">
        <w:rPr>
          <w:rFonts w:ascii="Arial" w:hAnsi="Arial" w:cs="Arial"/>
        </w:rPr>
        <w:t>43/2016 Sb., zákona č. 298/2016 </w:t>
      </w:r>
      <w:r w:rsidRPr="00EB6C1C">
        <w:rPr>
          <w:rFonts w:ascii="Arial" w:hAnsi="Arial" w:cs="Arial"/>
        </w:rPr>
        <w:t>Sb., zákona č. 33/2017 Sb., nálezu Ústa</w:t>
      </w:r>
      <w:r w:rsidR="0094098E">
        <w:rPr>
          <w:rFonts w:ascii="Arial" w:hAnsi="Arial" w:cs="Arial"/>
        </w:rPr>
        <w:t>vního soudu, vyhlášeného pod č. </w:t>
      </w:r>
      <w:r w:rsidRPr="00EB6C1C">
        <w:rPr>
          <w:rFonts w:ascii="Arial" w:hAnsi="Arial" w:cs="Arial"/>
        </w:rPr>
        <w:t>40/201</w:t>
      </w:r>
      <w:r w:rsidR="0094098E">
        <w:rPr>
          <w:rFonts w:ascii="Arial" w:hAnsi="Arial" w:cs="Arial"/>
        </w:rPr>
        <w:t>7 </w:t>
      </w:r>
      <w:r w:rsidRPr="00EB6C1C">
        <w:rPr>
          <w:rFonts w:ascii="Arial" w:hAnsi="Arial" w:cs="Arial"/>
        </w:rPr>
        <w:t>Sb., zákona č. 170/2017 Sb., zákona č. 225/2017 Sb., zákona č. 371/2017 Sb.</w:t>
      </w:r>
      <w:r>
        <w:rPr>
          <w:rFonts w:ascii="Arial" w:hAnsi="Arial" w:cs="Arial"/>
        </w:rPr>
        <w:t>, zákona č. </w:t>
      </w:r>
      <w:r w:rsidRPr="00EB6C1C">
        <w:rPr>
          <w:rFonts w:ascii="Arial" w:hAnsi="Arial" w:cs="Arial"/>
        </w:rPr>
        <w:t>283/2018 Sb. a zákona č. 80/201</w:t>
      </w:r>
      <w:r>
        <w:rPr>
          <w:rFonts w:ascii="Arial" w:hAnsi="Arial" w:cs="Arial"/>
        </w:rPr>
        <w:t>9</w:t>
      </w:r>
      <w:r w:rsidRPr="00EB6C1C">
        <w:rPr>
          <w:rFonts w:ascii="Arial" w:hAnsi="Arial" w:cs="Arial"/>
        </w:rPr>
        <w:t xml:space="preserve"> Sb.</w:t>
      </w:r>
      <w:r>
        <w:rPr>
          <w:rFonts w:ascii="Arial" w:hAnsi="Arial" w:cs="Arial"/>
        </w:rPr>
        <w:t xml:space="preserve">, </w:t>
      </w:r>
      <w:r w:rsidRPr="00EB6C1C">
        <w:rPr>
          <w:rFonts w:ascii="Arial" w:hAnsi="Arial" w:cs="Arial"/>
        </w:rPr>
        <w:t>se mění takto:</w:t>
      </w:r>
    </w:p>
    <w:p w14:paraId="6C891319" w14:textId="77777777" w:rsidR="00416033" w:rsidRPr="00EB6C1C" w:rsidRDefault="00416033" w:rsidP="00BF6E28">
      <w:pPr>
        <w:jc w:val="both"/>
        <w:rPr>
          <w:rFonts w:ascii="Arial" w:hAnsi="Arial" w:cs="Arial"/>
        </w:rPr>
      </w:pPr>
    </w:p>
    <w:p w14:paraId="4BED0CBF" w14:textId="77777777" w:rsidR="00416033" w:rsidRPr="00904E86" w:rsidRDefault="00416033" w:rsidP="00BF6E28">
      <w:pPr>
        <w:pStyle w:val="Odstavecseseznamem"/>
        <w:numPr>
          <w:ilvl w:val="0"/>
          <w:numId w:val="8"/>
        </w:numPr>
        <w:spacing w:after="120"/>
        <w:contextualSpacing w:val="0"/>
        <w:jc w:val="both"/>
        <w:rPr>
          <w:rFonts w:ascii="Times New Roman" w:hAnsi="Times New Roman" w:cs="Times New Roman"/>
        </w:rPr>
      </w:pPr>
      <w:r w:rsidRPr="00904E86">
        <w:rPr>
          <w:rFonts w:ascii="Arial" w:hAnsi="Arial" w:cs="Arial"/>
        </w:rPr>
        <w:t>V § </w:t>
      </w:r>
      <w:r w:rsidRPr="005B73B8">
        <w:rPr>
          <w:rFonts w:ascii="Arial" w:hAnsi="Arial" w:cs="Arial"/>
        </w:rPr>
        <w:t xml:space="preserve">49 </w:t>
      </w:r>
      <w:r>
        <w:rPr>
          <w:rFonts w:ascii="Arial" w:hAnsi="Arial" w:cs="Arial"/>
        </w:rPr>
        <w:t>odstavci</w:t>
      </w:r>
      <w:r w:rsidRPr="00904E86">
        <w:rPr>
          <w:rFonts w:ascii="Arial" w:hAnsi="Arial" w:cs="Arial"/>
        </w:rPr>
        <w:t xml:space="preserve"> 1 se slovo „První“ nahrazuje slovem „Druhá“.</w:t>
      </w:r>
    </w:p>
    <w:p w14:paraId="600ECF01" w14:textId="77777777" w:rsidR="00416033" w:rsidRPr="00904E86" w:rsidRDefault="00416033" w:rsidP="00BF6E28">
      <w:pPr>
        <w:pStyle w:val="Odstavecseseznamem"/>
        <w:numPr>
          <w:ilvl w:val="0"/>
          <w:numId w:val="8"/>
        </w:numPr>
        <w:spacing w:after="120"/>
        <w:contextualSpacing w:val="0"/>
        <w:jc w:val="both"/>
        <w:rPr>
          <w:rFonts w:ascii="Times New Roman" w:hAnsi="Times New Roman" w:cs="Times New Roman"/>
        </w:rPr>
      </w:pPr>
      <w:r w:rsidRPr="00904E86">
        <w:rPr>
          <w:rFonts w:ascii="Arial" w:hAnsi="Arial" w:cs="Arial"/>
        </w:rPr>
        <w:t>V § </w:t>
      </w:r>
      <w:r w:rsidRPr="005B73B8">
        <w:rPr>
          <w:rFonts w:ascii="Arial" w:hAnsi="Arial" w:cs="Arial"/>
        </w:rPr>
        <w:t xml:space="preserve">49 </w:t>
      </w:r>
      <w:r w:rsidRPr="00904E86">
        <w:rPr>
          <w:rFonts w:ascii="Arial" w:hAnsi="Arial" w:cs="Arial"/>
        </w:rPr>
        <w:t>odst</w:t>
      </w:r>
      <w:r>
        <w:rPr>
          <w:rFonts w:ascii="Arial" w:hAnsi="Arial" w:cs="Arial"/>
        </w:rPr>
        <w:t>avci</w:t>
      </w:r>
      <w:r w:rsidRPr="00904E86">
        <w:rPr>
          <w:rFonts w:ascii="Arial" w:hAnsi="Arial" w:cs="Arial"/>
        </w:rPr>
        <w:t xml:space="preserve"> 2 se slovo „První“ nahrazuje slovem „Druhá“.</w:t>
      </w:r>
    </w:p>
    <w:p w14:paraId="33284E7A" w14:textId="77777777" w:rsidR="00416033" w:rsidRPr="005B73B8" w:rsidRDefault="00416033" w:rsidP="00BF6E28">
      <w:pPr>
        <w:pStyle w:val="Odstavecseseznamem"/>
        <w:numPr>
          <w:ilvl w:val="0"/>
          <w:numId w:val="8"/>
        </w:numPr>
        <w:jc w:val="both"/>
        <w:rPr>
          <w:rFonts w:ascii="Arial" w:hAnsi="Arial" w:cs="Arial"/>
        </w:rPr>
      </w:pPr>
      <w:r w:rsidRPr="00904E86">
        <w:rPr>
          <w:rFonts w:ascii="Arial" w:hAnsi="Arial" w:cs="Arial"/>
        </w:rPr>
        <w:t>V § </w:t>
      </w:r>
      <w:r w:rsidRPr="005B73B8">
        <w:rPr>
          <w:rFonts w:ascii="Arial" w:hAnsi="Arial" w:cs="Arial"/>
        </w:rPr>
        <w:t xml:space="preserve">49 </w:t>
      </w:r>
      <w:r w:rsidRPr="00904E86">
        <w:rPr>
          <w:rFonts w:ascii="Arial" w:hAnsi="Arial" w:cs="Arial"/>
        </w:rPr>
        <w:t>odst</w:t>
      </w:r>
      <w:r>
        <w:rPr>
          <w:rFonts w:ascii="Arial" w:hAnsi="Arial" w:cs="Arial"/>
        </w:rPr>
        <w:t>avci</w:t>
      </w:r>
      <w:r w:rsidRPr="00904E86">
        <w:rPr>
          <w:rFonts w:ascii="Arial" w:hAnsi="Arial" w:cs="Arial"/>
        </w:rPr>
        <w:t xml:space="preserve"> 3 se slovo „První“ nahrazuje slovem „Druhá“.</w:t>
      </w:r>
    </w:p>
    <w:p w14:paraId="06284666" w14:textId="77777777" w:rsidR="00945144" w:rsidRDefault="00945144" w:rsidP="00003432">
      <w:pPr>
        <w:shd w:val="clear" w:color="auto" w:fill="FFFFFF"/>
        <w:spacing w:before="100" w:beforeAutospacing="1" w:after="100" w:afterAutospacing="1"/>
        <w:jc w:val="center"/>
        <w:rPr>
          <w:rFonts w:ascii="Arial" w:hAnsi="Arial" w:cs="Arial"/>
        </w:rPr>
      </w:pPr>
    </w:p>
    <w:p w14:paraId="1254E56D" w14:textId="2DD37715" w:rsidR="00416033" w:rsidRPr="00692FF6" w:rsidRDefault="00416033" w:rsidP="00003432">
      <w:pPr>
        <w:shd w:val="clear" w:color="auto" w:fill="FFFFFF"/>
        <w:spacing w:before="100" w:beforeAutospacing="1" w:after="100" w:afterAutospacing="1"/>
        <w:jc w:val="center"/>
        <w:rPr>
          <w:rFonts w:ascii="Arial" w:hAnsi="Arial" w:cs="Arial"/>
        </w:rPr>
      </w:pPr>
      <w:r w:rsidRPr="00692FF6">
        <w:rPr>
          <w:rFonts w:ascii="Arial" w:hAnsi="Arial" w:cs="Arial"/>
        </w:rPr>
        <w:lastRenderedPageBreak/>
        <w:t>ČÁST DRUHÁ</w:t>
      </w:r>
    </w:p>
    <w:p w14:paraId="5DF24277" w14:textId="77777777" w:rsidR="00416033" w:rsidRDefault="00416033" w:rsidP="00BF6E28">
      <w:pPr>
        <w:pStyle w:val="l1"/>
        <w:spacing w:line="276" w:lineRule="auto"/>
        <w:jc w:val="center"/>
        <w:rPr>
          <w:rFonts w:ascii="Arial" w:hAnsi="Arial" w:cs="Arial"/>
          <w:sz w:val="22"/>
          <w:szCs w:val="22"/>
        </w:rPr>
      </w:pPr>
      <w:r>
        <w:rPr>
          <w:rFonts w:ascii="Arial" w:hAnsi="Arial" w:cs="Arial"/>
          <w:b/>
          <w:sz w:val="22"/>
          <w:szCs w:val="22"/>
        </w:rPr>
        <w:t xml:space="preserve">Změna </w:t>
      </w:r>
      <w:r w:rsidRPr="00A367D1">
        <w:rPr>
          <w:rFonts w:ascii="Arial" w:hAnsi="Arial" w:cs="Arial"/>
          <w:b/>
          <w:sz w:val="22"/>
          <w:szCs w:val="22"/>
        </w:rPr>
        <w:t>zákonné</w:t>
      </w:r>
      <w:r>
        <w:rPr>
          <w:rFonts w:ascii="Arial" w:hAnsi="Arial" w:cs="Arial"/>
          <w:b/>
          <w:sz w:val="22"/>
          <w:szCs w:val="22"/>
        </w:rPr>
        <w:t>ho</w:t>
      </w:r>
      <w:r w:rsidRPr="00A367D1">
        <w:rPr>
          <w:rFonts w:ascii="Arial" w:hAnsi="Arial" w:cs="Arial"/>
          <w:b/>
          <w:sz w:val="22"/>
          <w:szCs w:val="22"/>
        </w:rPr>
        <w:t xml:space="preserve"> opatření Senátu č. 340/2013 Sb., o dani z nabytí nemovitých věcí</w:t>
      </w:r>
    </w:p>
    <w:p w14:paraId="31ECAE17" w14:textId="77777777" w:rsidR="00416033" w:rsidRPr="00692FF6" w:rsidRDefault="00416033" w:rsidP="00BF6E28">
      <w:pPr>
        <w:pStyle w:val="l1"/>
        <w:spacing w:line="276" w:lineRule="auto"/>
        <w:jc w:val="center"/>
        <w:rPr>
          <w:rFonts w:ascii="Arial" w:hAnsi="Arial" w:cs="Arial"/>
          <w:sz w:val="22"/>
          <w:szCs w:val="22"/>
        </w:rPr>
      </w:pPr>
      <w:r w:rsidRPr="00692FF6">
        <w:rPr>
          <w:rFonts w:ascii="Arial" w:hAnsi="Arial" w:cs="Arial"/>
          <w:sz w:val="22"/>
          <w:szCs w:val="22"/>
        </w:rPr>
        <w:t>Čl. II</w:t>
      </w:r>
    </w:p>
    <w:p w14:paraId="5FDF808B" w14:textId="045EEDFF" w:rsidR="00416033" w:rsidRDefault="00416033" w:rsidP="0094098E">
      <w:pPr>
        <w:ind w:firstLine="708"/>
        <w:jc w:val="both"/>
        <w:rPr>
          <w:rFonts w:ascii="Arial" w:hAnsi="Arial" w:cs="Arial"/>
        </w:rPr>
      </w:pPr>
      <w:r w:rsidRPr="004C39A8">
        <w:rPr>
          <w:rFonts w:ascii="Arial" w:hAnsi="Arial" w:cs="Arial"/>
        </w:rPr>
        <w:t>Zákonné opatření Senátu č. 340/2013 Sb., o dani z nabytí nemovitých věcí, ve znění zákona č. 254/2016 Sb.</w:t>
      </w:r>
      <w:r>
        <w:rPr>
          <w:rFonts w:ascii="Arial" w:hAnsi="Arial" w:cs="Arial"/>
        </w:rPr>
        <w:t xml:space="preserve"> a </w:t>
      </w:r>
      <w:r w:rsidRPr="004C39A8">
        <w:rPr>
          <w:rFonts w:ascii="Arial" w:hAnsi="Arial" w:cs="Arial"/>
        </w:rPr>
        <w:t>zákona č. 2</w:t>
      </w:r>
      <w:r>
        <w:rPr>
          <w:rFonts w:ascii="Arial" w:hAnsi="Arial" w:cs="Arial"/>
        </w:rPr>
        <w:t>6</w:t>
      </w:r>
      <w:r w:rsidRPr="004C39A8">
        <w:rPr>
          <w:rFonts w:ascii="Arial" w:hAnsi="Arial" w:cs="Arial"/>
        </w:rPr>
        <w:t>4/201</w:t>
      </w:r>
      <w:r>
        <w:rPr>
          <w:rFonts w:ascii="Arial" w:hAnsi="Arial" w:cs="Arial"/>
        </w:rPr>
        <w:t>9 Sb., s</w:t>
      </w:r>
      <w:r w:rsidRPr="005B73B8">
        <w:rPr>
          <w:rFonts w:ascii="Arial" w:hAnsi="Arial" w:cs="Arial"/>
        </w:rPr>
        <w:t>e mění takto:</w:t>
      </w:r>
    </w:p>
    <w:p w14:paraId="48DD0955" w14:textId="77777777" w:rsidR="00416033" w:rsidRDefault="00416033" w:rsidP="00BF6E28">
      <w:pPr>
        <w:ind w:firstLine="708"/>
        <w:jc w:val="both"/>
        <w:rPr>
          <w:rFonts w:ascii="Arial" w:hAnsi="Arial" w:cs="Arial"/>
        </w:rPr>
      </w:pPr>
    </w:p>
    <w:p w14:paraId="1C534CAF" w14:textId="77777777" w:rsidR="00416033" w:rsidRPr="006C30B8" w:rsidRDefault="00416033" w:rsidP="00BF6E28">
      <w:pPr>
        <w:ind w:firstLine="708"/>
        <w:jc w:val="both"/>
        <w:rPr>
          <w:rFonts w:ascii="Times New Roman" w:hAnsi="Times New Roman" w:cs="Times New Roman"/>
        </w:rPr>
      </w:pPr>
      <w:r w:rsidRPr="006C30B8">
        <w:rPr>
          <w:rFonts w:ascii="Arial" w:hAnsi="Arial" w:cs="Arial"/>
        </w:rPr>
        <w:t>V § </w:t>
      </w:r>
      <w:r>
        <w:rPr>
          <w:rFonts w:ascii="Arial" w:hAnsi="Arial" w:cs="Arial"/>
        </w:rPr>
        <w:t>7</w:t>
      </w:r>
      <w:r w:rsidRPr="005B73B8">
        <w:rPr>
          <w:rFonts w:ascii="Arial" w:hAnsi="Arial" w:cs="Arial"/>
        </w:rPr>
        <w:t xml:space="preserve"> </w:t>
      </w:r>
      <w:r>
        <w:rPr>
          <w:rFonts w:ascii="Arial" w:hAnsi="Arial" w:cs="Arial"/>
        </w:rPr>
        <w:t>se za odstavec 2</w:t>
      </w:r>
      <w:r w:rsidRPr="006C30B8">
        <w:rPr>
          <w:rFonts w:ascii="Arial" w:hAnsi="Arial" w:cs="Arial"/>
        </w:rPr>
        <w:t xml:space="preserve"> </w:t>
      </w:r>
      <w:r>
        <w:rPr>
          <w:rFonts w:ascii="Arial" w:hAnsi="Arial" w:cs="Arial"/>
        </w:rPr>
        <w:t>vkládají nové odstavce 3 a 4, které zní:</w:t>
      </w:r>
    </w:p>
    <w:p w14:paraId="42B1968A" w14:textId="77777777" w:rsidR="00416033" w:rsidRPr="00146046" w:rsidRDefault="00416033" w:rsidP="00BF6E28">
      <w:pPr>
        <w:pStyle w:val="l4"/>
        <w:spacing w:line="276" w:lineRule="auto"/>
        <w:jc w:val="both"/>
      </w:pPr>
      <w:r w:rsidRPr="00AD114E">
        <w:rPr>
          <w:rFonts w:ascii="Arial" w:hAnsi="Arial" w:cs="Arial"/>
        </w:rPr>
        <w:t>„</w:t>
      </w:r>
      <w:r w:rsidRPr="00AD114E">
        <w:rPr>
          <w:rStyle w:val="PromnnHTML"/>
          <w:rFonts w:ascii="Arial" w:hAnsi="Arial" w:cs="Arial"/>
          <w:i w:val="0"/>
          <w:sz w:val="22"/>
          <w:szCs w:val="22"/>
        </w:rPr>
        <w:t>(3)</w:t>
      </w:r>
      <w:r w:rsidRPr="00AD114E">
        <w:rPr>
          <w:rFonts w:ascii="Arial" w:hAnsi="Arial" w:cs="Arial"/>
          <w:sz w:val="22"/>
          <w:szCs w:val="22"/>
        </w:rPr>
        <w:t xml:space="preserve"> Od daně z nabytí nemovitých věcí je osvobozeno i jiné než první úplatné nabytí vlastnického práva k nemovité věci popsané v odst</w:t>
      </w:r>
      <w:r>
        <w:rPr>
          <w:rFonts w:ascii="Arial" w:hAnsi="Arial" w:cs="Arial"/>
          <w:sz w:val="22"/>
          <w:szCs w:val="22"/>
        </w:rPr>
        <w:t>avci</w:t>
      </w:r>
      <w:r w:rsidRPr="00AD114E">
        <w:rPr>
          <w:rFonts w:ascii="Arial" w:hAnsi="Arial" w:cs="Arial"/>
          <w:sz w:val="22"/>
          <w:szCs w:val="22"/>
        </w:rPr>
        <w:t xml:space="preserve"> 1, pokud je je</w:t>
      </w:r>
      <w:r>
        <w:rPr>
          <w:rFonts w:ascii="Arial" w:hAnsi="Arial" w:cs="Arial"/>
          <w:sz w:val="22"/>
          <w:szCs w:val="22"/>
        </w:rPr>
        <w:t>ho</w:t>
      </w:r>
      <w:r w:rsidRPr="00AD114E">
        <w:rPr>
          <w:rFonts w:ascii="Arial" w:hAnsi="Arial" w:cs="Arial"/>
          <w:sz w:val="22"/>
          <w:szCs w:val="22"/>
        </w:rPr>
        <w:t xml:space="preserve"> nabyvatelem fyzická osoba, která v den skončení lhůty pro podání daňového přiznání </w:t>
      </w:r>
      <w:r>
        <w:rPr>
          <w:rFonts w:ascii="Arial" w:hAnsi="Arial" w:cs="Arial"/>
          <w:sz w:val="22"/>
          <w:szCs w:val="22"/>
        </w:rPr>
        <w:t xml:space="preserve">k dani z nabytí nemovitých věcí </w:t>
      </w:r>
      <w:r w:rsidRPr="00AD114E">
        <w:rPr>
          <w:rFonts w:ascii="Arial" w:hAnsi="Arial" w:cs="Arial"/>
          <w:sz w:val="22"/>
          <w:szCs w:val="22"/>
        </w:rPr>
        <w:t xml:space="preserve">nebude vlastnit ani spoluvlastnit </w:t>
      </w:r>
      <w:r w:rsidRPr="004A4701">
        <w:rPr>
          <w:rFonts w:ascii="Arial" w:hAnsi="Arial" w:cs="Arial"/>
          <w:sz w:val="22"/>
          <w:szCs w:val="22"/>
        </w:rPr>
        <w:t>jinou takovou nemovitou věc</w:t>
      </w:r>
      <w:r w:rsidRPr="00AD114E">
        <w:rPr>
          <w:rFonts w:ascii="Arial" w:hAnsi="Arial" w:cs="Arial"/>
          <w:sz w:val="22"/>
          <w:szCs w:val="22"/>
        </w:rPr>
        <w:t xml:space="preserve"> ani družstevní podíl, </w:t>
      </w:r>
      <w:r>
        <w:rPr>
          <w:rFonts w:ascii="Arial" w:hAnsi="Arial" w:cs="Arial"/>
          <w:sz w:val="22"/>
          <w:szCs w:val="22"/>
        </w:rPr>
        <w:t xml:space="preserve">s nímž je spojen </w:t>
      </w:r>
      <w:r w:rsidRPr="00AD114E">
        <w:rPr>
          <w:rFonts w:ascii="Arial" w:hAnsi="Arial" w:cs="Arial"/>
          <w:sz w:val="22"/>
          <w:szCs w:val="22"/>
        </w:rPr>
        <w:t>náj</w:t>
      </w:r>
      <w:r>
        <w:rPr>
          <w:rFonts w:ascii="Arial" w:hAnsi="Arial" w:cs="Arial"/>
          <w:sz w:val="22"/>
          <w:szCs w:val="22"/>
        </w:rPr>
        <w:t>em</w:t>
      </w:r>
      <w:r w:rsidRPr="00AD114E">
        <w:rPr>
          <w:rFonts w:ascii="Arial" w:hAnsi="Arial" w:cs="Arial"/>
          <w:sz w:val="22"/>
          <w:szCs w:val="22"/>
        </w:rPr>
        <w:t xml:space="preserve"> družstevní</w:t>
      </w:r>
      <w:r>
        <w:rPr>
          <w:rFonts w:ascii="Arial" w:hAnsi="Arial" w:cs="Arial"/>
          <w:sz w:val="22"/>
          <w:szCs w:val="22"/>
        </w:rPr>
        <w:t xml:space="preserve">ho </w:t>
      </w:r>
      <w:r w:rsidRPr="00AD114E">
        <w:rPr>
          <w:rFonts w:ascii="Arial" w:hAnsi="Arial" w:cs="Arial"/>
          <w:sz w:val="22"/>
          <w:szCs w:val="22"/>
        </w:rPr>
        <w:t>byt</w:t>
      </w:r>
      <w:r>
        <w:rPr>
          <w:rFonts w:ascii="Arial" w:hAnsi="Arial" w:cs="Arial"/>
          <w:sz w:val="22"/>
          <w:szCs w:val="22"/>
        </w:rPr>
        <w:t>u</w:t>
      </w:r>
      <w:r w:rsidRPr="00AD114E">
        <w:rPr>
          <w:rFonts w:ascii="Arial" w:hAnsi="Arial" w:cs="Arial"/>
          <w:sz w:val="22"/>
          <w:szCs w:val="22"/>
        </w:rPr>
        <w:t xml:space="preserve"> v takové nemovité věci.</w:t>
      </w:r>
      <w:r w:rsidRPr="00146046">
        <w:rPr>
          <w:rFonts w:ascii="Arial" w:hAnsi="Arial" w:cs="Arial"/>
          <w:sz w:val="22"/>
          <w:szCs w:val="22"/>
        </w:rPr>
        <w:t xml:space="preserve"> </w:t>
      </w:r>
    </w:p>
    <w:p w14:paraId="31E8F21E" w14:textId="2B23B2BF" w:rsidR="00416033" w:rsidRPr="007B27EF" w:rsidRDefault="00416033" w:rsidP="00BF6E28">
      <w:pPr>
        <w:pStyle w:val="l4"/>
        <w:spacing w:line="276" w:lineRule="auto"/>
        <w:jc w:val="both"/>
        <w:rPr>
          <w:rFonts w:ascii="Arial" w:hAnsi="Arial" w:cs="Arial"/>
          <w:sz w:val="22"/>
          <w:szCs w:val="22"/>
        </w:rPr>
      </w:pPr>
      <w:r w:rsidRPr="007B27EF">
        <w:rPr>
          <w:rFonts w:ascii="Arial" w:hAnsi="Arial" w:cs="Arial"/>
          <w:sz w:val="22"/>
          <w:szCs w:val="22"/>
        </w:rPr>
        <w:t xml:space="preserve"> </w:t>
      </w:r>
      <w:r w:rsidRPr="005B73B8">
        <w:rPr>
          <w:rFonts w:ascii="Arial" w:hAnsi="Arial" w:cs="Arial"/>
          <w:sz w:val="22"/>
          <w:szCs w:val="22"/>
        </w:rPr>
        <w:t>(4) Od daně z nabytí nemovitých věcí je osvobozeno i jiné než první úplatné nabytí vlastnického práva k nemovité věci popsané v odst</w:t>
      </w:r>
      <w:r>
        <w:rPr>
          <w:rFonts w:ascii="Arial" w:hAnsi="Arial" w:cs="Arial"/>
          <w:sz w:val="22"/>
          <w:szCs w:val="22"/>
        </w:rPr>
        <w:t>avci</w:t>
      </w:r>
      <w:r w:rsidRPr="005B73B8">
        <w:rPr>
          <w:rFonts w:ascii="Arial" w:hAnsi="Arial" w:cs="Arial"/>
          <w:sz w:val="22"/>
          <w:szCs w:val="22"/>
        </w:rPr>
        <w:t xml:space="preserve"> 1</w:t>
      </w:r>
      <w:r>
        <w:rPr>
          <w:rFonts w:ascii="Arial" w:hAnsi="Arial" w:cs="Arial"/>
          <w:sz w:val="22"/>
          <w:szCs w:val="22"/>
        </w:rPr>
        <w:t>, pokud je jeho nabyvatelem</w:t>
      </w:r>
      <w:r w:rsidRPr="005B73B8">
        <w:rPr>
          <w:rFonts w:ascii="Arial" w:hAnsi="Arial" w:cs="Arial"/>
          <w:sz w:val="22"/>
          <w:szCs w:val="22"/>
        </w:rPr>
        <w:t xml:space="preserve"> </w:t>
      </w:r>
      <w:r>
        <w:rPr>
          <w:rFonts w:ascii="Arial" w:hAnsi="Arial" w:cs="Arial"/>
          <w:sz w:val="22"/>
          <w:szCs w:val="22"/>
        </w:rPr>
        <w:t xml:space="preserve">bytové </w:t>
      </w:r>
      <w:r w:rsidRPr="005B73B8">
        <w:rPr>
          <w:rFonts w:ascii="Arial" w:hAnsi="Arial" w:cs="Arial"/>
          <w:sz w:val="22"/>
          <w:szCs w:val="22"/>
        </w:rPr>
        <w:t>družstv</w:t>
      </w:r>
      <w:r>
        <w:rPr>
          <w:rFonts w:ascii="Arial" w:hAnsi="Arial" w:cs="Arial"/>
          <w:sz w:val="22"/>
          <w:szCs w:val="22"/>
        </w:rPr>
        <w:t xml:space="preserve">o, vzniklé podle zákona o obchodních korporacích, </w:t>
      </w:r>
      <w:r w:rsidRPr="005B73B8">
        <w:rPr>
          <w:rFonts w:ascii="Arial" w:hAnsi="Arial" w:cs="Arial"/>
          <w:sz w:val="22"/>
          <w:szCs w:val="22"/>
        </w:rPr>
        <w:t>jestliže na uzavření nájemní smlouvy k družstevním</w:t>
      </w:r>
      <w:r>
        <w:rPr>
          <w:rFonts w:ascii="Arial" w:hAnsi="Arial" w:cs="Arial"/>
          <w:sz w:val="22"/>
          <w:szCs w:val="22"/>
        </w:rPr>
        <w:t>u</w:t>
      </w:r>
      <w:r w:rsidRPr="005B73B8">
        <w:rPr>
          <w:rFonts w:ascii="Arial" w:hAnsi="Arial" w:cs="Arial"/>
          <w:sz w:val="22"/>
          <w:szCs w:val="22"/>
        </w:rPr>
        <w:t xml:space="preserve"> byt</w:t>
      </w:r>
      <w:r>
        <w:rPr>
          <w:rFonts w:ascii="Arial" w:hAnsi="Arial" w:cs="Arial"/>
          <w:sz w:val="22"/>
          <w:szCs w:val="22"/>
        </w:rPr>
        <w:t>u</w:t>
      </w:r>
      <w:r w:rsidRPr="005B73B8">
        <w:rPr>
          <w:rFonts w:ascii="Arial" w:hAnsi="Arial" w:cs="Arial"/>
          <w:sz w:val="22"/>
          <w:szCs w:val="22"/>
        </w:rPr>
        <w:t xml:space="preserve"> v nemovité věci vznikl ke dni nabytí </w:t>
      </w:r>
      <w:r w:rsidR="0094098E">
        <w:rPr>
          <w:rFonts w:ascii="Arial" w:hAnsi="Arial" w:cs="Arial"/>
          <w:sz w:val="22"/>
          <w:szCs w:val="22"/>
        </w:rPr>
        <w:t>vlastnického práva k </w:t>
      </w:r>
      <w:r w:rsidRPr="005B73B8">
        <w:rPr>
          <w:rFonts w:ascii="Arial" w:hAnsi="Arial" w:cs="Arial"/>
          <w:sz w:val="22"/>
          <w:szCs w:val="22"/>
        </w:rPr>
        <w:t>nemovité věci nárok fyzické osobě, která v</w:t>
      </w:r>
      <w:r w:rsidR="0094098E">
        <w:rPr>
          <w:rFonts w:ascii="Arial" w:hAnsi="Arial" w:cs="Arial"/>
          <w:sz w:val="22"/>
          <w:szCs w:val="22"/>
        </w:rPr>
        <w:t> </w:t>
      </w:r>
      <w:r w:rsidRPr="005B73B8">
        <w:rPr>
          <w:rFonts w:ascii="Arial" w:hAnsi="Arial" w:cs="Arial"/>
          <w:sz w:val="22"/>
          <w:szCs w:val="22"/>
        </w:rPr>
        <w:t xml:space="preserve">den skončení lhůty pro podání daňového přiznání </w:t>
      </w:r>
      <w:r>
        <w:rPr>
          <w:rFonts w:ascii="Arial" w:hAnsi="Arial" w:cs="Arial"/>
          <w:sz w:val="22"/>
          <w:szCs w:val="22"/>
        </w:rPr>
        <w:t>k</w:t>
      </w:r>
      <w:r w:rsidR="0094098E">
        <w:rPr>
          <w:rFonts w:ascii="Arial" w:hAnsi="Arial" w:cs="Arial"/>
          <w:sz w:val="22"/>
          <w:szCs w:val="22"/>
        </w:rPr>
        <w:t> </w:t>
      </w:r>
      <w:r>
        <w:rPr>
          <w:rFonts w:ascii="Arial" w:hAnsi="Arial" w:cs="Arial"/>
          <w:sz w:val="22"/>
          <w:szCs w:val="22"/>
        </w:rPr>
        <w:t>dani z</w:t>
      </w:r>
      <w:r w:rsidR="0094098E">
        <w:rPr>
          <w:rFonts w:ascii="Arial" w:hAnsi="Arial" w:cs="Arial"/>
          <w:sz w:val="22"/>
          <w:szCs w:val="22"/>
        </w:rPr>
        <w:t> </w:t>
      </w:r>
      <w:r>
        <w:rPr>
          <w:rFonts w:ascii="Arial" w:hAnsi="Arial" w:cs="Arial"/>
          <w:sz w:val="22"/>
          <w:szCs w:val="22"/>
        </w:rPr>
        <w:t xml:space="preserve">nabytí nemovitých věcí </w:t>
      </w:r>
      <w:r w:rsidRPr="005B73B8">
        <w:rPr>
          <w:rFonts w:ascii="Arial" w:hAnsi="Arial" w:cs="Arial"/>
          <w:sz w:val="22"/>
          <w:szCs w:val="22"/>
        </w:rPr>
        <w:t xml:space="preserve">nebude vlastnit ani spoluvlastnit jinou takovou nemovitou věc ani družstevní podíl, </w:t>
      </w:r>
      <w:r>
        <w:rPr>
          <w:rFonts w:ascii="Arial" w:hAnsi="Arial" w:cs="Arial"/>
          <w:sz w:val="22"/>
          <w:szCs w:val="22"/>
        </w:rPr>
        <w:t>s</w:t>
      </w:r>
      <w:r w:rsidR="0094098E">
        <w:rPr>
          <w:rFonts w:ascii="Arial" w:hAnsi="Arial" w:cs="Arial"/>
          <w:sz w:val="22"/>
          <w:szCs w:val="22"/>
        </w:rPr>
        <w:t> </w:t>
      </w:r>
      <w:r>
        <w:rPr>
          <w:rFonts w:ascii="Arial" w:hAnsi="Arial" w:cs="Arial"/>
          <w:sz w:val="22"/>
          <w:szCs w:val="22"/>
        </w:rPr>
        <w:t xml:space="preserve">nímž je spojen </w:t>
      </w:r>
      <w:r w:rsidRPr="00AD114E">
        <w:rPr>
          <w:rFonts w:ascii="Arial" w:hAnsi="Arial" w:cs="Arial"/>
          <w:sz w:val="22"/>
          <w:szCs w:val="22"/>
        </w:rPr>
        <w:t>náj</w:t>
      </w:r>
      <w:r>
        <w:rPr>
          <w:rFonts w:ascii="Arial" w:hAnsi="Arial" w:cs="Arial"/>
          <w:sz w:val="22"/>
          <w:szCs w:val="22"/>
        </w:rPr>
        <w:t>em</w:t>
      </w:r>
      <w:r w:rsidRPr="00AD114E">
        <w:rPr>
          <w:rFonts w:ascii="Arial" w:hAnsi="Arial" w:cs="Arial"/>
          <w:sz w:val="22"/>
          <w:szCs w:val="22"/>
        </w:rPr>
        <w:t xml:space="preserve"> družstevní</w:t>
      </w:r>
      <w:r>
        <w:rPr>
          <w:rFonts w:ascii="Arial" w:hAnsi="Arial" w:cs="Arial"/>
          <w:sz w:val="22"/>
          <w:szCs w:val="22"/>
        </w:rPr>
        <w:t xml:space="preserve">ho </w:t>
      </w:r>
      <w:r w:rsidRPr="00AD114E">
        <w:rPr>
          <w:rFonts w:ascii="Arial" w:hAnsi="Arial" w:cs="Arial"/>
          <w:sz w:val="22"/>
          <w:szCs w:val="22"/>
        </w:rPr>
        <w:t>byt</w:t>
      </w:r>
      <w:r>
        <w:rPr>
          <w:rFonts w:ascii="Arial" w:hAnsi="Arial" w:cs="Arial"/>
          <w:sz w:val="22"/>
          <w:szCs w:val="22"/>
        </w:rPr>
        <w:t>u</w:t>
      </w:r>
      <w:r w:rsidRPr="00AD114E">
        <w:rPr>
          <w:rFonts w:ascii="Arial" w:hAnsi="Arial" w:cs="Arial"/>
          <w:sz w:val="22"/>
          <w:szCs w:val="22"/>
        </w:rPr>
        <w:t xml:space="preserve"> v</w:t>
      </w:r>
      <w:r w:rsidR="0094098E">
        <w:rPr>
          <w:rFonts w:ascii="Arial" w:hAnsi="Arial" w:cs="Arial"/>
          <w:sz w:val="22"/>
          <w:szCs w:val="22"/>
        </w:rPr>
        <w:t> </w:t>
      </w:r>
      <w:r w:rsidRPr="00AD114E">
        <w:rPr>
          <w:rFonts w:ascii="Arial" w:hAnsi="Arial" w:cs="Arial"/>
          <w:sz w:val="22"/>
          <w:szCs w:val="22"/>
        </w:rPr>
        <w:t>takové nemovité věci</w:t>
      </w:r>
      <w:r w:rsidRPr="005B73B8">
        <w:rPr>
          <w:rFonts w:ascii="Arial" w:hAnsi="Arial" w:cs="Arial"/>
          <w:sz w:val="22"/>
          <w:szCs w:val="22"/>
        </w:rPr>
        <w:t>.</w:t>
      </w:r>
      <w:r>
        <w:rPr>
          <w:rFonts w:ascii="Arial" w:hAnsi="Arial" w:cs="Arial"/>
          <w:sz w:val="22"/>
          <w:szCs w:val="22"/>
        </w:rPr>
        <w:t>“</w:t>
      </w:r>
      <w:r w:rsidR="0094098E">
        <w:rPr>
          <w:rFonts w:ascii="Arial" w:hAnsi="Arial" w:cs="Arial"/>
          <w:sz w:val="22"/>
          <w:szCs w:val="22"/>
        </w:rPr>
        <w:t>.</w:t>
      </w:r>
      <w:r w:rsidRPr="007B27EF">
        <w:rPr>
          <w:rFonts w:ascii="Arial" w:hAnsi="Arial" w:cs="Arial"/>
          <w:sz w:val="22"/>
          <w:szCs w:val="22"/>
        </w:rPr>
        <w:t xml:space="preserve">   </w:t>
      </w:r>
    </w:p>
    <w:p w14:paraId="509D3566" w14:textId="77777777" w:rsidR="00416033" w:rsidRDefault="00416033" w:rsidP="00BF6E28">
      <w:pPr>
        <w:pStyle w:val="l1"/>
        <w:spacing w:line="276" w:lineRule="auto"/>
        <w:jc w:val="center"/>
        <w:rPr>
          <w:rFonts w:ascii="Arial" w:hAnsi="Arial" w:cs="Arial"/>
          <w:sz w:val="22"/>
          <w:szCs w:val="22"/>
        </w:rPr>
      </w:pPr>
    </w:p>
    <w:p w14:paraId="3A16755A" w14:textId="77777777" w:rsidR="00416033"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t xml:space="preserve">ČÁST </w:t>
      </w:r>
      <w:r>
        <w:rPr>
          <w:rFonts w:ascii="Arial" w:hAnsi="Arial" w:cs="Arial"/>
          <w:sz w:val="22"/>
          <w:szCs w:val="22"/>
        </w:rPr>
        <w:t>TŘETÍ</w:t>
      </w:r>
    </w:p>
    <w:p w14:paraId="0AA0DBBC" w14:textId="77777777" w:rsidR="00416033" w:rsidRDefault="00416033" w:rsidP="00BF6E28">
      <w:pPr>
        <w:pStyle w:val="l1"/>
        <w:spacing w:line="276" w:lineRule="auto"/>
        <w:jc w:val="center"/>
        <w:rPr>
          <w:rFonts w:ascii="Arial" w:hAnsi="Arial" w:cs="Arial"/>
          <w:sz w:val="22"/>
          <w:szCs w:val="22"/>
        </w:rPr>
      </w:pPr>
      <w:r>
        <w:rPr>
          <w:rFonts w:ascii="Arial" w:hAnsi="Arial" w:cs="Arial"/>
          <w:b/>
          <w:snapToGrid w:val="0"/>
          <w:sz w:val="22"/>
          <w:szCs w:val="22"/>
        </w:rPr>
        <w:t>Z</w:t>
      </w:r>
      <w:r w:rsidRPr="00904E86">
        <w:rPr>
          <w:rFonts w:ascii="Arial" w:hAnsi="Arial" w:cs="Arial"/>
          <w:b/>
          <w:snapToGrid w:val="0"/>
          <w:sz w:val="22"/>
          <w:szCs w:val="22"/>
        </w:rPr>
        <w:t>měn</w:t>
      </w:r>
      <w:r>
        <w:rPr>
          <w:rFonts w:ascii="Arial" w:hAnsi="Arial" w:cs="Arial"/>
          <w:b/>
          <w:snapToGrid w:val="0"/>
          <w:sz w:val="22"/>
          <w:szCs w:val="22"/>
        </w:rPr>
        <w:t>a</w:t>
      </w:r>
      <w:r w:rsidRPr="00904E86">
        <w:rPr>
          <w:rFonts w:ascii="Arial" w:hAnsi="Arial" w:cs="Arial"/>
          <w:b/>
          <w:snapToGrid w:val="0"/>
          <w:sz w:val="22"/>
          <w:szCs w:val="22"/>
        </w:rPr>
        <w:t xml:space="preserve"> </w:t>
      </w:r>
      <w:r w:rsidRPr="00904E86">
        <w:rPr>
          <w:rFonts w:ascii="Arial" w:hAnsi="Arial" w:cs="Arial"/>
          <w:b/>
          <w:sz w:val="22"/>
          <w:szCs w:val="22"/>
        </w:rPr>
        <w:t>zákon</w:t>
      </w:r>
      <w:r>
        <w:rPr>
          <w:rFonts w:ascii="Arial" w:hAnsi="Arial" w:cs="Arial"/>
          <w:b/>
          <w:sz w:val="22"/>
          <w:szCs w:val="22"/>
        </w:rPr>
        <w:t>a</w:t>
      </w:r>
      <w:r w:rsidRPr="00904E86">
        <w:rPr>
          <w:rFonts w:ascii="Arial" w:hAnsi="Arial" w:cs="Arial"/>
          <w:b/>
          <w:sz w:val="22"/>
          <w:szCs w:val="22"/>
        </w:rPr>
        <w:t xml:space="preserve"> č. </w:t>
      </w:r>
      <w:r w:rsidRPr="005D181A">
        <w:rPr>
          <w:rFonts w:ascii="Arial" w:hAnsi="Arial" w:cs="Arial"/>
          <w:b/>
          <w:sz w:val="22"/>
          <w:szCs w:val="22"/>
        </w:rPr>
        <w:t>586/1992 Sb.</w:t>
      </w:r>
      <w:r>
        <w:rPr>
          <w:rFonts w:ascii="Arial" w:hAnsi="Arial" w:cs="Arial"/>
          <w:b/>
          <w:sz w:val="22"/>
          <w:szCs w:val="22"/>
        </w:rPr>
        <w:t>,</w:t>
      </w:r>
      <w:r w:rsidRPr="00904E86">
        <w:rPr>
          <w:rFonts w:ascii="Arial" w:hAnsi="Arial" w:cs="Arial"/>
          <w:b/>
          <w:sz w:val="22"/>
          <w:szCs w:val="22"/>
        </w:rPr>
        <w:t xml:space="preserve"> o dan</w:t>
      </w:r>
      <w:r>
        <w:rPr>
          <w:rFonts w:ascii="Arial" w:hAnsi="Arial" w:cs="Arial"/>
          <w:b/>
          <w:sz w:val="22"/>
          <w:szCs w:val="22"/>
        </w:rPr>
        <w:t>ích</w:t>
      </w:r>
      <w:r w:rsidRPr="00904E86">
        <w:rPr>
          <w:rFonts w:ascii="Arial" w:hAnsi="Arial" w:cs="Arial"/>
          <w:b/>
          <w:sz w:val="22"/>
          <w:szCs w:val="22"/>
        </w:rPr>
        <w:t xml:space="preserve"> z </w:t>
      </w:r>
      <w:r>
        <w:rPr>
          <w:rFonts w:ascii="Arial" w:hAnsi="Arial" w:cs="Arial"/>
          <w:b/>
          <w:sz w:val="22"/>
          <w:szCs w:val="22"/>
        </w:rPr>
        <w:t>příjmů</w:t>
      </w:r>
    </w:p>
    <w:p w14:paraId="581A6D33" w14:textId="77777777" w:rsidR="00416033" w:rsidRPr="00904E86"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t>Čl. I</w:t>
      </w:r>
      <w:r>
        <w:rPr>
          <w:rFonts w:ascii="Arial" w:hAnsi="Arial" w:cs="Arial"/>
          <w:sz w:val="22"/>
          <w:szCs w:val="22"/>
        </w:rPr>
        <w:t>II</w:t>
      </w:r>
    </w:p>
    <w:p w14:paraId="08DC1652" w14:textId="03FC4830" w:rsidR="00416033" w:rsidRDefault="00416033" w:rsidP="0094098E">
      <w:pPr>
        <w:ind w:firstLine="708"/>
        <w:jc w:val="both"/>
        <w:rPr>
          <w:rFonts w:ascii="Arial" w:hAnsi="Arial" w:cs="Arial"/>
        </w:rPr>
      </w:pPr>
      <w:r w:rsidRPr="00844528">
        <w:rPr>
          <w:rFonts w:ascii="Arial" w:hAnsi="Arial" w:cs="Arial"/>
        </w:rPr>
        <w:t>Zákon č. 586/1992 Sb.</w:t>
      </w:r>
      <w:r>
        <w:rPr>
          <w:rFonts w:ascii="Arial" w:hAnsi="Arial" w:cs="Arial"/>
        </w:rPr>
        <w:t xml:space="preserve">, </w:t>
      </w:r>
      <w:r w:rsidRPr="00844528">
        <w:rPr>
          <w:rFonts w:ascii="Arial" w:hAnsi="Arial" w:cs="Arial"/>
        </w:rPr>
        <w:t>o daních z příjmů, ve znění z</w:t>
      </w:r>
      <w:r w:rsidR="0094098E">
        <w:rPr>
          <w:rFonts w:ascii="Arial" w:hAnsi="Arial" w:cs="Arial"/>
        </w:rPr>
        <w:t>ákona č. 35/1993 Sb., zákona č. </w:t>
      </w:r>
      <w:r w:rsidRPr="00844528">
        <w:rPr>
          <w:rFonts w:ascii="Arial" w:hAnsi="Arial" w:cs="Arial"/>
        </w:rPr>
        <w:t>96/1993 Sb., zákona č. 157/1993 Sb., zákona č. 196/1993 Sb., zákona č. 323/1993 Sb., zákona č. 42/1994 Sb., zákona č. 85/1994 Sb., zákona č. 1</w:t>
      </w:r>
      <w:r w:rsidR="0094098E">
        <w:rPr>
          <w:rFonts w:ascii="Arial" w:hAnsi="Arial" w:cs="Arial"/>
        </w:rPr>
        <w:t>14/1994 Sb., zákona č. 259/1994 </w:t>
      </w:r>
      <w:r w:rsidRPr="00844528">
        <w:rPr>
          <w:rFonts w:ascii="Arial" w:hAnsi="Arial" w:cs="Arial"/>
        </w:rPr>
        <w:t xml:space="preserve">Sb., zákona č. 32/1995 Sb., zákona č. 87/1995 Sb., zákona č. 118/1995 Sb., zákona č. 149/1995 Sb., zákona č. 248/1995 Sb., zákona č. </w:t>
      </w:r>
      <w:r w:rsidR="0094098E">
        <w:rPr>
          <w:rFonts w:ascii="Arial" w:hAnsi="Arial" w:cs="Arial"/>
        </w:rPr>
        <w:t>316/1996 Sb., zákona č. 18/1997 </w:t>
      </w:r>
      <w:r w:rsidRPr="00844528">
        <w:rPr>
          <w:rFonts w:ascii="Arial" w:hAnsi="Arial" w:cs="Arial"/>
        </w:rPr>
        <w:t>Sb., zákona č. 151/1997 Sb., zákona č. 209/1997 Sb., zákona č. 210/1997 Sb., zákona č. 227/1997 Sb., zákona č. 111/1998 Sb., zákona č. 1</w:t>
      </w:r>
      <w:r w:rsidR="0094098E">
        <w:rPr>
          <w:rFonts w:ascii="Arial" w:hAnsi="Arial" w:cs="Arial"/>
        </w:rPr>
        <w:t>49/1998 Sb., zákona č. 168/1998 </w:t>
      </w:r>
      <w:r w:rsidRPr="00844528">
        <w:rPr>
          <w:rFonts w:ascii="Arial" w:hAnsi="Arial" w:cs="Arial"/>
        </w:rPr>
        <w:t>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w:t>
      </w:r>
      <w:r w:rsidR="0094098E">
        <w:rPr>
          <w:rFonts w:ascii="Arial" w:hAnsi="Arial" w:cs="Arial"/>
        </w:rPr>
        <w:t>40/2000 Sb., zákona č. 492/2000 </w:t>
      </w:r>
      <w:r w:rsidRPr="00844528">
        <w:rPr>
          <w:rFonts w:ascii="Arial" w:hAnsi="Arial" w:cs="Arial"/>
        </w:rPr>
        <w:t xml:space="preserve">Sb., zákona č. 117/2001 Sb., zákona č. 120/2001 Sb., zákona č. 239/2001 Sb., zákona č. 453/2001 Sb., zákona č. 483/2001 Sb., zákona č. 50/2002 Sb., zákona </w:t>
      </w:r>
      <w:r w:rsidRPr="00844528">
        <w:rPr>
          <w:rFonts w:ascii="Arial" w:hAnsi="Arial" w:cs="Arial"/>
        </w:rPr>
        <w:lastRenderedPageBreak/>
        <w:t>č.</w:t>
      </w:r>
      <w:r w:rsidR="0094098E">
        <w:rPr>
          <w:rFonts w:ascii="Arial" w:hAnsi="Arial" w:cs="Arial"/>
        </w:rPr>
        <w:t> </w:t>
      </w:r>
      <w:r w:rsidRPr="00844528">
        <w:rPr>
          <w:rFonts w:ascii="Arial" w:hAnsi="Arial" w:cs="Arial"/>
        </w:rPr>
        <w:t>128/2002</w:t>
      </w:r>
      <w:r w:rsidR="0094098E">
        <w:rPr>
          <w:rFonts w:ascii="Arial" w:hAnsi="Arial" w:cs="Arial"/>
        </w:rPr>
        <w:t> </w:t>
      </w:r>
      <w:r w:rsidRPr="00844528">
        <w:rPr>
          <w:rFonts w:ascii="Arial" w:hAnsi="Arial" w:cs="Arial"/>
        </w:rPr>
        <w:t>Sb., zákona č. 198/2002 Sb., zákona č. 210/2002 Sb., zákona č. 260/2002 Sb., zákona č. 308/2002 Sb., zákona č. 575/2002 Sb., zákona č. 1</w:t>
      </w:r>
      <w:r w:rsidR="0094098E">
        <w:rPr>
          <w:rFonts w:ascii="Arial" w:hAnsi="Arial" w:cs="Arial"/>
        </w:rPr>
        <w:t>62/2003 Sb., zákona č. 362/2003 </w:t>
      </w:r>
      <w:r w:rsidRPr="00844528">
        <w:rPr>
          <w:rFonts w:ascii="Arial" w:hAnsi="Arial" w:cs="Arial"/>
        </w:rPr>
        <w:t>Sb., zákona č. 438/2003 Sb., zákona č. 19/2004 Sb., zákona č. 47/2004 Sb., zákona č. 49/2004 Sb., zákona č. 257/2004 Sb., zákona č. 2</w:t>
      </w:r>
      <w:r w:rsidR="0094098E">
        <w:rPr>
          <w:rFonts w:ascii="Arial" w:hAnsi="Arial" w:cs="Arial"/>
        </w:rPr>
        <w:t>80/2004 Sb., zákona č. 359/2004 </w:t>
      </w:r>
      <w:r w:rsidRPr="00844528">
        <w:rPr>
          <w:rFonts w:ascii="Arial" w:hAnsi="Arial" w:cs="Arial"/>
        </w:rPr>
        <w:t>Sb., zákona č. 360/2004 Sb., zákona č. 436/2004 Sb., zákona č. 562/2004 Sb., zákona č. 628/2004 Sb., zákona č. 669/2004 Sb., zákona č. 6</w:t>
      </w:r>
      <w:r w:rsidR="0094098E">
        <w:rPr>
          <w:rFonts w:ascii="Arial" w:hAnsi="Arial" w:cs="Arial"/>
        </w:rPr>
        <w:t>76/2004 Sb., zákona č. 179/2005 </w:t>
      </w:r>
      <w:r w:rsidRPr="00844528">
        <w:rPr>
          <w:rFonts w:ascii="Arial" w:hAnsi="Arial" w:cs="Arial"/>
        </w:rPr>
        <w:t>Sb., zákona č. 217/2005 Sb., zákona č. 342/2005 Sb., zákona č. 357/2005 Sb., zákona č. 441/2005 Sb., zákona č. 530/2005 Sb., zákona č. 5</w:t>
      </w:r>
      <w:r w:rsidR="0094098E">
        <w:rPr>
          <w:rFonts w:ascii="Arial" w:hAnsi="Arial" w:cs="Arial"/>
        </w:rPr>
        <w:t>45/2005 Sb., zákona č. 552/2005 </w:t>
      </w:r>
      <w:r w:rsidRPr="00844528">
        <w:rPr>
          <w:rFonts w:ascii="Arial" w:hAnsi="Arial" w:cs="Arial"/>
        </w:rPr>
        <w:t>Sb., zákona č. 56/2006 Sb., zákona č. 57/2006 Sb., zákona č. 109/2006 Sb., zákona č. 112/2006 Sb., zákona č. 179/2006 Sb., zákona č. 1</w:t>
      </w:r>
      <w:r w:rsidR="0094098E">
        <w:rPr>
          <w:rFonts w:ascii="Arial" w:hAnsi="Arial" w:cs="Arial"/>
        </w:rPr>
        <w:t>89/2006 Sb., zákona č. 203/2006 </w:t>
      </w:r>
      <w:r w:rsidRPr="00844528">
        <w:rPr>
          <w:rFonts w:ascii="Arial" w:hAnsi="Arial" w:cs="Arial"/>
        </w:rPr>
        <w:t>Sb., zákona č. 223/2006 Sb., zákona č. 245/2006 Sb., zákona č. 264/2006 Sb., zákona č. 29/2007 Sb., zákona č. 67/2007 Sb., zákona č. 1</w:t>
      </w:r>
      <w:r w:rsidR="0094098E">
        <w:rPr>
          <w:rFonts w:ascii="Arial" w:hAnsi="Arial" w:cs="Arial"/>
        </w:rPr>
        <w:t>59/2007 Sb., zákona č. 261/2007 </w:t>
      </w:r>
      <w:r w:rsidRPr="00844528">
        <w:rPr>
          <w:rFonts w:ascii="Arial" w:hAnsi="Arial" w:cs="Arial"/>
        </w:rPr>
        <w:t>Sb., zákona č. 296/2007 Sb., zákona č. 362/2007 Sb., zákona č. 126/2008 Sb., zákona č. 306/2008 Sb., zákona č. 482/2008 Sb., zákona č</w:t>
      </w:r>
      <w:r w:rsidR="0094098E">
        <w:rPr>
          <w:rFonts w:ascii="Arial" w:hAnsi="Arial" w:cs="Arial"/>
        </w:rPr>
        <w:t>. 2/2009 Sb., zákona č. 87/2009 </w:t>
      </w:r>
      <w:r w:rsidRPr="00844528">
        <w:rPr>
          <w:rFonts w:ascii="Arial" w:hAnsi="Arial" w:cs="Arial"/>
        </w:rPr>
        <w:t>Sb., zákona č. 216/2009 Sb., zákona č. 221/2009 Sb., zákona č. 227/2009 Sb., zákona č. 281/2009 Sb., zákona č. 289/2009 Sb., zákona č. 3</w:t>
      </w:r>
      <w:r w:rsidR="0094098E">
        <w:rPr>
          <w:rFonts w:ascii="Arial" w:hAnsi="Arial" w:cs="Arial"/>
        </w:rPr>
        <w:t>03/2009 Sb., zákona č. 304/2009 </w:t>
      </w:r>
      <w:r w:rsidRPr="00844528">
        <w:rPr>
          <w:rFonts w:ascii="Arial" w:hAnsi="Arial" w:cs="Arial"/>
        </w:rPr>
        <w:t>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w:t>
      </w:r>
      <w:r w:rsidR="0094098E">
        <w:rPr>
          <w:rFonts w:ascii="Arial" w:hAnsi="Arial" w:cs="Arial"/>
        </w:rPr>
        <w:t>kona č. 458/2011 Sb., zákona č. </w:t>
      </w:r>
      <w:r w:rsidRPr="00844528">
        <w:rPr>
          <w:rFonts w:ascii="Arial" w:hAnsi="Arial" w:cs="Arial"/>
        </w:rPr>
        <w:t>466/2011 Sb., zákona č. 470/2011 Sb., zákona č. 192/2012 Sb., zákona č. 399/2012 Sb., zákona č. 401/2012 Sb., zákona č. 403/2012 Sb., zákona č. 4</w:t>
      </w:r>
      <w:r w:rsidR="0094098E">
        <w:rPr>
          <w:rFonts w:ascii="Arial" w:hAnsi="Arial" w:cs="Arial"/>
        </w:rPr>
        <w:t>28/2012 Sb., zákona č. 500/2012 </w:t>
      </w:r>
      <w:r w:rsidRPr="00844528">
        <w:rPr>
          <w:rFonts w:ascii="Arial" w:hAnsi="Arial" w:cs="Arial"/>
        </w:rPr>
        <w:t>Sb., zákona č. 503/2012 Sb., zákona č. 44/2013 Sb., zákona č. 80/2013 Sb., zákona č. 105/2013 Sb., zákona č. 160/2013 Sb., zákona č. 2</w:t>
      </w:r>
      <w:r w:rsidR="0094098E">
        <w:rPr>
          <w:rFonts w:ascii="Arial" w:hAnsi="Arial" w:cs="Arial"/>
        </w:rPr>
        <w:t>15/2013 Sb., zákona č. 241/2013 </w:t>
      </w:r>
      <w:r w:rsidRPr="00844528">
        <w:rPr>
          <w:rFonts w:ascii="Arial" w:hAnsi="Arial" w:cs="Arial"/>
        </w:rPr>
        <w:t xml:space="preserve">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w:t>
      </w:r>
      <w:r w:rsidR="0094098E">
        <w:rPr>
          <w:rFonts w:ascii="Arial" w:hAnsi="Arial" w:cs="Arial"/>
        </w:rPr>
        <w:t>47/2016 Sb., zákona č.105/2016 </w:t>
      </w:r>
      <w:r w:rsidRPr="00844528">
        <w:rPr>
          <w:rFonts w:ascii="Arial" w:hAnsi="Arial" w:cs="Arial"/>
        </w:rPr>
        <w:t>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w:t>
      </w:r>
      <w:r w:rsidR="0094098E">
        <w:rPr>
          <w:rFonts w:ascii="Arial" w:hAnsi="Arial" w:cs="Arial"/>
        </w:rPr>
        <w:t>54/2017 Sb., zákona č. 293/2017 </w:t>
      </w:r>
      <w:r w:rsidRPr="00844528">
        <w:rPr>
          <w:rFonts w:ascii="Arial" w:hAnsi="Arial" w:cs="Arial"/>
        </w:rPr>
        <w:t>Sb., zákona č. 92/2018 Sb., zákona č. 174/2018 Sb.</w:t>
      </w:r>
      <w:r>
        <w:rPr>
          <w:rFonts w:ascii="Arial" w:hAnsi="Arial" w:cs="Arial"/>
        </w:rPr>
        <w:t>,</w:t>
      </w:r>
      <w:r w:rsidRPr="00844528">
        <w:rPr>
          <w:rFonts w:ascii="Arial" w:hAnsi="Arial" w:cs="Arial"/>
        </w:rPr>
        <w:t xml:space="preserve"> zákona č. 306/2018 Sb.</w:t>
      </w:r>
      <w:r>
        <w:rPr>
          <w:rFonts w:ascii="Arial" w:hAnsi="Arial" w:cs="Arial"/>
        </w:rPr>
        <w:t xml:space="preserve"> a </w:t>
      </w:r>
      <w:r w:rsidRPr="00844528">
        <w:rPr>
          <w:rFonts w:ascii="Arial" w:hAnsi="Arial" w:cs="Arial"/>
        </w:rPr>
        <w:t xml:space="preserve">zákona č. </w:t>
      </w:r>
      <w:r>
        <w:rPr>
          <w:rFonts w:ascii="Arial" w:hAnsi="Arial" w:cs="Arial"/>
        </w:rPr>
        <w:t>80</w:t>
      </w:r>
      <w:r w:rsidRPr="00844528">
        <w:rPr>
          <w:rFonts w:ascii="Arial" w:hAnsi="Arial" w:cs="Arial"/>
        </w:rPr>
        <w:t>/201</w:t>
      </w:r>
      <w:r>
        <w:rPr>
          <w:rFonts w:ascii="Arial" w:hAnsi="Arial" w:cs="Arial"/>
        </w:rPr>
        <w:t>9</w:t>
      </w:r>
      <w:r w:rsidRPr="00844528">
        <w:rPr>
          <w:rFonts w:ascii="Arial" w:hAnsi="Arial" w:cs="Arial"/>
        </w:rPr>
        <w:t xml:space="preserve"> Sb.</w:t>
      </w:r>
      <w:r>
        <w:rPr>
          <w:rFonts w:ascii="Arial" w:hAnsi="Arial" w:cs="Arial"/>
        </w:rPr>
        <w:t>,</w:t>
      </w:r>
      <w:r w:rsidRPr="00844528">
        <w:rPr>
          <w:rFonts w:ascii="Arial" w:hAnsi="Arial" w:cs="Arial"/>
        </w:rPr>
        <w:t xml:space="preserve"> se mění takto:</w:t>
      </w:r>
    </w:p>
    <w:p w14:paraId="7E5104A1" w14:textId="77777777" w:rsidR="00416033" w:rsidRPr="00844528" w:rsidRDefault="00416033" w:rsidP="00BF6E28">
      <w:pPr>
        <w:jc w:val="both"/>
        <w:rPr>
          <w:rFonts w:ascii="Arial" w:hAnsi="Arial" w:cs="Arial"/>
        </w:rPr>
      </w:pPr>
    </w:p>
    <w:p w14:paraId="052B8137" w14:textId="7FD75AAB" w:rsidR="00416033" w:rsidRPr="00F94669" w:rsidRDefault="00416033" w:rsidP="00BF6E28">
      <w:pPr>
        <w:pStyle w:val="Odstavecseseznamem"/>
        <w:numPr>
          <w:ilvl w:val="0"/>
          <w:numId w:val="10"/>
        </w:numPr>
        <w:spacing w:after="120"/>
        <w:jc w:val="both"/>
        <w:rPr>
          <w:rFonts w:ascii="Times New Roman" w:hAnsi="Times New Roman" w:cs="Times New Roman"/>
        </w:rPr>
      </w:pPr>
      <w:r w:rsidRPr="00F94669">
        <w:rPr>
          <w:rFonts w:ascii="Arial" w:hAnsi="Arial" w:cs="Arial"/>
        </w:rPr>
        <w:t>V § 15 odst</w:t>
      </w:r>
      <w:r>
        <w:rPr>
          <w:rFonts w:ascii="Arial" w:hAnsi="Arial" w:cs="Arial"/>
        </w:rPr>
        <w:t>avci</w:t>
      </w:r>
      <w:r w:rsidRPr="00F94669">
        <w:rPr>
          <w:rFonts w:ascii="Arial" w:hAnsi="Arial" w:cs="Arial"/>
        </w:rPr>
        <w:t xml:space="preserve"> 3 se </w:t>
      </w:r>
      <w:r>
        <w:rPr>
          <w:rFonts w:ascii="Arial" w:hAnsi="Arial" w:cs="Arial"/>
        </w:rPr>
        <w:t xml:space="preserve">za </w:t>
      </w:r>
      <w:r w:rsidRPr="00F94669">
        <w:rPr>
          <w:rFonts w:ascii="Arial" w:hAnsi="Arial" w:cs="Arial"/>
        </w:rPr>
        <w:t>slova „</w:t>
      </w:r>
      <w:r w:rsidRPr="00F94669">
        <w:rPr>
          <w:rFonts w:ascii="Arial" w:hAnsi="Arial" w:cs="Arial"/>
          <w:color w:val="000000"/>
        </w:rPr>
        <w:t>s hypotečním úvěrem</w:t>
      </w:r>
      <w:r w:rsidRPr="00F94669">
        <w:rPr>
          <w:rFonts w:ascii="Arial" w:hAnsi="Arial" w:cs="Arial"/>
        </w:rPr>
        <w:t xml:space="preserve">“ vkládají slova </w:t>
      </w:r>
      <w:r w:rsidRPr="00C71153">
        <w:rPr>
          <w:rFonts w:ascii="Arial" w:hAnsi="Arial" w:cs="Arial"/>
        </w:rPr>
        <w:t>„</w:t>
      </w:r>
      <w:r w:rsidRPr="00C71153">
        <w:rPr>
          <w:rFonts w:ascii="Arial" w:hAnsi="Arial" w:cs="Arial"/>
          <w:color w:val="000000"/>
        </w:rPr>
        <w:t>jakož</w:t>
      </w:r>
      <w:r w:rsidRPr="00F94669">
        <w:rPr>
          <w:rFonts w:ascii="Arial" w:hAnsi="Arial" w:cs="Arial"/>
          <w:color w:val="000000"/>
        </w:rPr>
        <w:t xml:space="preserve"> i </w:t>
      </w:r>
      <w:r w:rsidRPr="00F94669">
        <w:rPr>
          <w:rFonts w:ascii="Arial" w:hAnsi="Arial" w:cs="Arial"/>
        </w:rPr>
        <w:t>platbám člena bytového druž</w:t>
      </w:r>
      <w:r>
        <w:rPr>
          <w:rFonts w:ascii="Arial" w:hAnsi="Arial" w:cs="Arial"/>
        </w:rPr>
        <w:t>stva, který je nájemcem družstevního bytu</w:t>
      </w:r>
      <w:r w:rsidRPr="00F94669">
        <w:rPr>
          <w:rFonts w:ascii="Arial" w:hAnsi="Arial" w:cs="Arial"/>
        </w:rPr>
        <w:t xml:space="preserve">, </w:t>
      </w:r>
      <w:r>
        <w:rPr>
          <w:rFonts w:ascii="Arial" w:hAnsi="Arial" w:cs="Arial"/>
        </w:rPr>
        <w:t>jimiž s</w:t>
      </w:r>
      <w:r w:rsidRPr="00F94669">
        <w:rPr>
          <w:rFonts w:ascii="Arial" w:hAnsi="Arial" w:cs="Arial"/>
        </w:rPr>
        <w:t xml:space="preserve">e </w:t>
      </w:r>
      <w:r>
        <w:rPr>
          <w:rFonts w:ascii="Arial" w:hAnsi="Arial" w:cs="Arial"/>
        </w:rPr>
        <w:t xml:space="preserve">podílel </w:t>
      </w:r>
      <w:r w:rsidR="0094098E">
        <w:rPr>
          <w:rFonts w:ascii="Arial" w:hAnsi="Arial" w:cs="Arial"/>
        </w:rPr>
        <w:t>na </w:t>
      </w:r>
      <w:r w:rsidRPr="00F94669">
        <w:rPr>
          <w:rFonts w:ascii="Arial" w:hAnsi="Arial" w:cs="Arial"/>
        </w:rPr>
        <w:t>splácení úroků z úvěru poskytnutého bytovému družstvu na je</w:t>
      </w:r>
      <w:r>
        <w:rPr>
          <w:rFonts w:ascii="Arial" w:hAnsi="Arial" w:cs="Arial"/>
        </w:rPr>
        <w:t xml:space="preserve">ho </w:t>
      </w:r>
      <w:r w:rsidRPr="00F94669">
        <w:rPr>
          <w:rFonts w:ascii="Arial" w:hAnsi="Arial" w:cs="Arial"/>
        </w:rPr>
        <w:t>pořízení“.</w:t>
      </w:r>
    </w:p>
    <w:p w14:paraId="7108BDAB" w14:textId="77777777" w:rsidR="00416033" w:rsidRDefault="00416033" w:rsidP="00BF6E28">
      <w:pPr>
        <w:pStyle w:val="Odstavecseseznamem"/>
        <w:spacing w:after="120"/>
        <w:jc w:val="both"/>
        <w:rPr>
          <w:rFonts w:ascii="Times New Roman" w:hAnsi="Times New Roman" w:cs="Times New Roman"/>
        </w:rPr>
      </w:pPr>
    </w:p>
    <w:p w14:paraId="77614D24" w14:textId="357210D8" w:rsidR="00416033" w:rsidRPr="005B73B8" w:rsidRDefault="00416033" w:rsidP="00BF6E28">
      <w:pPr>
        <w:pStyle w:val="Odstavecseseznamem"/>
        <w:numPr>
          <w:ilvl w:val="0"/>
          <w:numId w:val="10"/>
        </w:numPr>
        <w:spacing w:after="120"/>
        <w:jc w:val="both"/>
        <w:rPr>
          <w:rFonts w:ascii="Times New Roman" w:hAnsi="Times New Roman" w:cs="Times New Roman"/>
        </w:rPr>
      </w:pPr>
      <w:r w:rsidRPr="00CB4D63">
        <w:rPr>
          <w:rFonts w:ascii="Arial" w:hAnsi="Arial" w:cs="Arial"/>
        </w:rPr>
        <w:t>V § </w:t>
      </w:r>
      <w:r>
        <w:rPr>
          <w:rFonts w:ascii="Arial" w:hAnsi="Arial" w:cs="Arial"/>
        </w:rPr>
        <w:t>15</w:t>
      </w:r>
      <w:r w:rsidRPr="005B73B8">
        <w:rPr>
          <w:rFonts w:ascii="Arial" w:hAnsi="Arial" w:cs="Arial"/>
        </w:rPr>
        <w:t xml:space="preserve"> </w:t>
      </w:r>
      <w:r w:rsidRPr="00CB4D63">
        <w:rPr>
          <w:rFonts w:ascii="Arial" w:hAnsi="Arial" w:cs="Arial"/>
        </w:rPr>
        <w:t>odst</w:t>
      </w:r>
      <w:r>
        <w:rPr>
          <w:rFonts w:ascii="Arial" w:hAnsi="Arial" w:cs="Arial"/>
        </w:rPr>
        <w:t>avci</w:t>
      </w:r>
      <w:r w:rsidRPr="00CB4D63">
        <w:rPr>
          <w:rFonts w:ascii="Arial" w:hAnsi="Arial" w:cs="Arial"/>
        </w:rPr>
        <w:t xml:space="preserve"> </w:t>
      </w:r>
      <w:r>
        <w:rPr>
          <w:rFonts w:ascii="Arial" w:hAnsi="Arial" w:cs="Arial"/>
        </w:rPr>
        <w:t>4</w:t>
      </w:r>
      <w:r w:rsidRPr="00CB4D63">
        <w:rPr>
          <w:rFonts w:ascii="Arial" w:hAnsi="Arial" w:cs="Arial"/>
        </w:rPr>
        <w:t xml:space="preserve"> se </w:t>
      </w:r>
      <w:r>
        <w:rPr>
          <w:rFonts w:ascii="Arial" w:hAnsi="Arial" w:cs="Arial"/>
        </w:rPr>
        <w:t>ve druhé větě za s</w:t>
      </w:r>
      <w:r w:rsidRPr="00CB4D63">
        <w:rPr>
          <w:rFonts w:ascii="Arial" w:hAnsi="Arial" w:cs="Arial"/>
        </w:rPr>
        <w:t>lov</w:t>
      </w:r>
      <w:r>
        <w:rPr>
          <w:rFonts w:ascii="Arial" w:hAnsi="Arial" w:cs="Arial"/>
        </w:rPr>
        <w:t>a</w:t>
      </w:r>
      <w:r w:rsidRPr="00CB4D63">
        <w:rPr>
          <w:rFonts w:ascii="Arial" w:hAnsi="Arial" w:cs="Arial"/>
        </w:rPr>
        <w:t xml:space="preserve"> </w:t>
      </w:r>
      <w:r w:rsidRPr="00F26D88">
        <w:rPr>
          <w:rFonts w:ascii="Arial" w:hAnsi="Arial" w:cs="Arial"/>
        </w:rPr>
        <w:t>„písm. a) až c)“</w:t>
      </w:r>
      <w:r w:rsidRPr="00CB4D63">
        <w:rPr>
          <w:rFonts w:ascii="Arial" w:hAnsi="Arial" w:cs="Arial"/>
        </w:rPr>
        <w:t xml:space="preserve"> </w:t>
      </w:r>
      <w:r w:rsidR="0094098E">
        <w:rPr>
          <w:rFonts w:ascii="Arial" w:hAnsi="Arial" w:cs="Arial"/>
        </w:rPr>
        <w:t>vkládají slova „nebo </w:t>
      </w:r>
      <w:r>
        <w:rPr>
          <w:rFonts w:ascii="Arial" w:hAnsi="Arial" w:cs="Arial"/>
        </w:rPr>
        <w:t>družstevní podíl</w:t>
      </w:r>
      <w:r w:rsidRPr="00CB4D63">
        <w:rPr>
          <w:rFonts w:ascii="Arial" w:hAnsi="Arial" w:cs="Arial"/>
        </w:rPr>
        <w:t>“.</w:t>
      </w:r>
    </w:p>
    <w:p w14:paraId="6AD96060" w14:textId="77777777" w:rsidR="00416033" w:rsidRDefault="00416033" w:rsidP="00BF6E28">
      <w:pPr>
        <w:pStyle w:val="l3"/>
        <w:shd w:val="clear" w:color="auto" w:fill="FFFFFF"/>
        <w:spacing w:before="0" w:beforeAutospacing="0" w:after="0" w:afterAutospacing="0" w:line="276" w:lineRule="auto"/>
        <w:jc w:val="both"/>
        <w:rPr>
          <w:rFonts w:ascii="Verdana" w:hAnsi="Verdana" w:cs="Verdana"/>
          <w:color w:val="000000"/>
          <w:sz w:val="19"/>
          <w:szCs w:val="19"/>
        </w:rPr>
      </w:pPr>
    </w:p>
    <w:p w14:paraId="30533E48" w14:textId="77777777" w:rsidR="00416033" w:rsidRDefault="00416033" w:rsidP="00BF6E28">
      <w:pPr>
        <w:pStyle w:val="l3"/>
        <w:shd w:val="clear" w:color="auto" w:fill="FFFFFF"/>
        <w:spacing w:before="0" w:beforeAutospacing="0" w:after="0" w:afterAutospacing="0" w:line="276" w:lineRule="auto"/>
        <w:jc w:val="both"/>
        <w:rPr>
          <w:rFonts w:ascii="Verdana" w:hAnsi="Verdana" w:cs="Verdana"/>
          <w:color w:val="000000"/>
          <w:sz w:val="19"/>
          <w:szCs w:val="19"/>
        </w:rPr>
      </w:pPr>
    </w:p>
    <w:p w14:paraId="0489304B" w14:textId="77777777" w:rsidR="00416033" w:rsidRDefault="00416033" w:rsidP="00BF6E28">
      <w:pPr>
        <w:pStyle w:val="l3"/>
        <w:shd w:val="clear" w:color="auto" w:fill="FFFFFF"/>
        <w:spacing w:before="0" w:beforeAutospacing="0" w:after="0" w:afterAutospacing="0" w:line="276" w:lineRule="auto"/>
        <w:jc w:val="both"/>
        <w:rPr>
          <w:rFonts w:ascii="Verdana" w:hAnsi="Verdana" w:cs="Verdana"/>
          <w:color w:val="000000"/>
          <w:sz w:val="19"/>
          <w:szCs w:val="19"/>
        </w:rPr>
      </w:pPr>
    </w:p>
    <w:p w14:paraId="1E0E6273" w14:textId="77777777" w:rsidR="00416033" w:rsidRDefault="00416033" w:rsidP="00BF6E28">
      <w:pPr>
        <w:pStyle w:val="l3"/>
        <w:shd w:val="clear" w:color="auto" w:fill="FFFFFF"/>
        <w:spacing w:before="0" w:beforeAutospacing="0" w:after="0" w:afterAutospacing="0" w:line="276" w:lineRule="auto"/>
        <w:jc w:val="both"/>
        <w:rPr>
          <w:rFonts w:ascii="Verdana" w:hAnsi="Verdana" w:cs="Verdana"/>
          <w:color w:val="000000"/>
          <w:sz w:val="19"/>
          <w:szCs w:val="19"/>
        </w:rPr>
      </w:pPr>
    </w:p>
    <w:p w14:paraId="3BE1969D" w14:textId="77777777" w:rsidR="00416033"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lastRenderedPageBreak/>
        <w:t xml:space="preserve">ČÁST </w:t>
      </w:r>
      <w:r>
        <w:rPr>
          <w:rFonts w:ascii="Arial" w:hAnsi="Arial" w:cs="Arial"/>
          <w:sz w:val="22"/>
          <w:szCs w:val="22"/>
        </w:rPr>
        <w:t>ČTVRTÁ</w:t>
      </w:r>
    </w:p>
    <w:p w14:paraId="570F0E38" w14:textId="77777777" w:rsidR="00416033" w:rsidRDefault="00416033" w:rsidP="00BF6E28">
      <w:pPr>
        <w:spacing w:after="0"/>
        <w:jc w:val="center"/>
        <w:rPr>
          <w:rFonts w:ascii="Arial" w:hAnsi="Arial" w:cs="Arial"/>
          <w:b/>
        </w:rPr>
      </w:pPr>
      <w:r>
        <w:rPr>
          <w:rFonts w:ascii="Arial" w:hAnsi="Arial" w:cs="Arial"/>
          <w:b/>
        </w:rPr>
        <w:t>Změna zákona č. 243/2000 Sb.,</w:t>
      </w:r>
    </w:p>
    <w:p w14:paraId="77A15F1F" w14:textId="77777777" w:rsidR="00416033" w:rsidRDefault="00416033" w:rsidP="00BF6E28">
      <w:pPr>
        <w:spacing w:after="0"/>
        <w:jc w:val="center"/>
        <w:rPr>
          <w:rFonts w:ascii="Arial" w:hAnsi="Arial" w:cs="Arial"/>
          <w:b/>
        </w:rPr>
      </w:pPr>
      <w:r>
        <w:rPr>
          <w:rFonts w:ascii="Arial" w:hAnsi="Arial" w:cs="Arial"/>
          <w:b/>
        </w:rPr>
        <w:t xml:space="preserve">o rozpočtovém určení výnosů některých daní územním samosprávným celkům a některým státním fondům </w:t>
      </w:r>
      <w:r w:rsidRPr="004205A7">
        <w:rPr>
          <w:rFonts w:ascii="Arial" w:hAnsi="Arial" w:cs="Arial"/>
          <w:b/>
        </w:rPr>
        <w:t>(zákon o rozpočtovém určení daní)</w:t>
      </w:r>
    </w:p>
    <w:p w14:paraId="04CB0DDE" w14:textId="77777777" w:rsidR="00416033" w:rsidRDefault="00416033" w:rsidP="00BF6E28">
      <w:pPr>
        <w:jc w:val="center"/>
        <w:rPr>
          <w:rFonts w:ascii="Arial" w:hAnsi="Arial" w:cs="Arial"/>
        </w:rPr>
      </w:pPr>
    </w:p>
    <w:p w14:paraId="7CDFBCCF" w14:textId="57F41B3D" w:rsidR="00416033" w:rsidRDefault="00416033" w:rsidP="00BF6E28">
      <w:pPr>
        <w:spacing w:after="0"/>
        <w:jc w:val="center"/>
        <w:rPr>
          <w:rFonts w:ascii="Arial" w:hAnsi="Arial" w:cs="Arial"/>
        </w:rPr>
      </w:pPr>
      <w:r>
        <w:rPr>
          <w:rFonts w:ascii="Arial" w:hAnsi="Arial" w:cs="Arial"/>
        </w:rPr>
        <w:t>Čl. IV</w:t>
      </w:r>
    </w:p>
    <w:p w14:paraId="2E5B5620" w14:textId="77777777" w:rsidR="00416033" w:rsidRDefault="00416033" w:rsidP="00BF6E28">
      <w:pPr>
        <w:spacing w:after="0"/>
        <w:jc w:val="center"/>
        <w:rPr>
          <w:rFonts w:ascii="Arial" w:hAnsi="Arial" w:cs="Arial"/>
        </w:rPr>
      </w:pPr>
    </w:p>
    <w:p w14:paraId="0103C619" w14:textId="5090A418" w:rsidR="00416033" w:rsidRDefault="00416033" w:rsidP="0094098E">
      <w:pPr>
        <w:spacing w:after="0"/>
        <w:ind w:firstLine="708"/>
        <w:jc w:val="both"/>
        <w:rPr>
          <w:rFonts w:ascii="Arial" w:hAnsi="Arial" w:cs="Arial"/>
        </w:rPr>
      </w:pPr>
      <w:r>
        <w:rPr>
          <w:rFonts w:ascii="Arial" w:hAnsi="Arial" w:cs="Arial"/>
        </w:rPr>
        <w:t>Zákon č. 243/2000 Sb., o rozpočtovém určení výnosů některých daní územním samosprávným celkům a některým státním fondům (zákon</w:t>
      </w:r>
      <w:r w:rsidR="0094098E">
        <w:rPr>
          <w:rFonts w:ascii="Arial" w:hAnsi="Arial" w:cs="Arial"/>
        </w:rPr>
        <w:t xml:space="preserve"> o rozpočtovém určení daní), ve </w:t>
      </w:r>
      <w:r>
        <w:rPr>
          <w:rFonts w:ascii="Arial" w:hAnsi="Arial" w:cs="Arial"/>
        </w:rPr>
        <w:t>znění zákona č. 492/2000 Sb., zákona č. 483/2001 Sb., zá</w:t>
      </w:r>
      <w:r w:rsidR="0094098E">
        <w:rPr>
          <w:rFonts w:ascii="Arial" w:hAnsi="Arial" w:cs="Arial"/>
        </w:rPr>
        <w:t>kona č. 387/2004 Sb., zákona č. </w:t>
      </w:r>
      <w:r>
        <w:rPr>
          <w:rFonts w:ascii="Arial" w:hAnsi="Arial" w:cs="Arial"/>
        </w:rPr>
        <w:t>1/2005 Sb., zákona č. 377/2007 Sb., zákona č. 370/2011 Sb., zákona č. 295/2012 Sb., zákona č. 500/2012 Sb., zákona č. 344/2013 Sb., zákona č. 4</w:t>
      </w:r>
      <w:r w:rsidR="0094098E">
        <w:rPr>
          <w:rFonts w:ascii="Arial" w:hAnsi="Arial" w:cs="Arial"/>
        </w:rPr>
        <w:t>58/2011 Sb., zákona č. 267/2014 </w:t>
      </w:r>
      <w:r>
        <w:rPr>
          <w:rFonts w:ascii="Arial" w:hAnsi="Arial" w:cs="Arial"/>
        </w:rPr>
        <w:t>Sb., zákona č. 295/2012 Sb., zákona č. 500/2012 Sb., zákona č. 391/2015 Sb., zákona č. 391/2015 Sb., zákona č. 24/2017 Sb. a zákona č. 260/2017 Sb., se mění takto:</w:t>
      </w:r>
    </w:p>
    <w:p w14:paraId="5B1FBC91" w14:textId="77777777" w:rsidR="00416033" w:rsidRDefault="00416033" w:rsidP="00BF6E28">
      <w:pPr>
        <w:spacing w:after="0"/>
        <w:jc w:val="both"/>
        <w:rPr>
          <w:rFonts w:ascii="Arial" w:hAnsi="Arial" w:cs="Arial"/>
        </w:rPr>
      </w:pPr>
    </w:p>
    <w:p w14:paraId="08D3509A" w14:textId="77777777" w:rsidR="00416033" w:rsidRDefault="00416033" w:rsidP="00BF6E28">
      <w:pPr>
        <w:spacing w:after="0"/>
        <w:jc w:val="both"/>
        <w:rPr>
          <w:rFonts w:ascii="Arial" w:hAnsi="Arial" w:cs="Arial"/>
        </w:rPr>
      </w:pPr>
    </w:p>
    <w:p w14:paraId="2DC7DB2C" w14:textId="77777777" w:rsidR="00416033" w:rsidRDefault="00416033" w:rsidP="00BF6E28">
      <w:pPr>
        <w:pStyle w:val="Odstavecseseznamem"/>
        <w:numPr>
          <w:ilvl w:val="0"/>
          <w:numId w:val="23"/>
        </w:numPr>
        <w:spacing w:after="0"/>
        <w:jc w:val="both"/>
        <w:rPr>
          <w:rFonts w:ascii="Arial" w:hAnsi="Arial" w:cs="Arial"/>
          <w:u w:val="single"/>
        </w:rPr>
      </w:pPr>
      <w:r>
        <w:rPr>
          <w:rFonts w:ascii="Arial" w:hAnsi="Arial" w:cs="Arial"/>
        </w:rPr>
        <w:t>V ustanovení § 3 odstavci 1 písm. b) se číslo „8,92“ nahrazuje číslem „9,61“.</w:t>
      </w:r>
    </w:p>
    <w:p w14:paraId="672FE0F0" w14:textId="77777777" w:rsidR="00416033" w:rsidRDefault="00416033" w:rsidP="00BF6E28">
      <w:pPr>
        <w:pStyle w:val="Odstavecseseznamem"/>
        <w:spacing w:after="0"/>
        <w:ind w:left="1068"/>
        <w:jc w:val="both"/>
        <w:rPr>
          <w:rFonts w:ascii="Arial" w:hAnsi="Arial" w:cs="Arial"/>
          <w:u w:val="single"/>
        </w:rPr>
      </w:pPr>
    </w:p>
    <w:p w14:paraId="32D5575A" w14:textId="77777777" w:rsidR="00416033" w:rsidRDefault="00416033" w:rsidP="00BF6E28">
      <w:pPr>
        <w:pStyle w:val="Odstavecseseznamem"/>
        <w:numPr>
          <w:ilvl w:val="0"/>
          <w:numId w:val="23"/>
        </w:numPr>
        <w:spacing w:after="0"/>
        <w:jc w:val="both"/>
        <w:rPr>
          <w:rFonts w:ascii="Arial" w:hAnsi="Arial" w:cs="Arial"/>
          <w:u w:val="single"/>
        </w:rPr>
      </w:pPr>
      <w:r>
        <w:rPr>
          <w:rFonts w:ascii="Arial" w:hAnsi="Arial" w:cs="Arial"/>
        </w:rPr>
        <w:t>V ustanovení § 4 odstavci 1 písm. b) se číslo „23,58“ nahrazuje číslem „25,39“.</w:t>
      </w:r>
    </w:p>
    <w:p w14:paraId="3D84F91A" w14:textId="77777777" w:rsidR="00416033" w:rsidRDefault="00416033" w:rsidP="00BF6E28">
      <w:pPr>
        <w:spacing w:after="0"/>
        <w:jc w:val="both"/>
        <w:rPr>
          <w:rFonts w:ascii="Arial" w:hAnsi="Arial" w:cs="Arial"/>
        </w:rPr>
      </w:pPr>
    </w:p>
    <w:p w14:paraId="31553961" w14:textId="77777777" w:rsidR="00416033" w:rsidRDefault="00416033" w:rsidP="00BF6E28">
      <w:pPr>
        <w:jc w:val="center"/>
        <w:rPr>
          <w:rFonts w:ascii="Arial" w:hAnsi="Arial" w:cs="Arial"/>
        </w:rPr>
      </w:pPr>
    </w:p>
    <w:p w14:paraId="2D871D66" w14:textId="77777777" w:rsidR="00416033" w:rsidRDefault="00416033" w:rsidP="00BF6E28">
      <w:pPr>
        <w:jc w:val="center"/>
        <w:rPr>
          <w:rFonts w:ascii="Arial" w:hAnsi="Arial" w:cs="Arial"/>
        </w:rPr>
      </w:pPr>
      <w:r>
        <w:rPr>
          <w:rFonts w:ascii="Arial" w:hAnsi="Arial" w:cs="Arial"/>
        </w:rPr>
        <w:t>ČÁST PÁTÁ</w:t>
      </w:r>
    </w:p>
    <w:p w14:paraId="337F9FC2" w14:textId="77777777" w:rsidR="00416033" w:rsidRPr="003E13B6" w:rsidRDefault="00416033" w:rsidP="00BF6E28">
      <w:pPr>
        <w:ind w:firstLine="708"/>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3E13B6">
        <w:rPr>
          <w:rFonts w:ascii="Arial" w:hAnsi="Arial" w:cs="Arial"/>
          <w:b/>
        </w:rPr>
        <w:t>ÚČINNOST</w:t>
      </w:r>
    </w:p>
    <w:p w14:paraId="422096D0" w14:textId="77777777" w:rsidR="00416033" w:rsidRPr="00904E86" w:rsidRDefault="00416033" w:rsidP="00BF6E28">
      <w:pPr>
        <w:pStyle w:val="l1"/>
        <w:spacing w:line="276" w:lineRule="auto"/>
        <w:jc w:val="center"/>
        <w:rPr>
          <w:rFonts w:ascii="Arial" w:hAnsi="Arial" w:cs="Arial"/>
          <w:sz w:val="22"/>
          <w:szCs w:val="22"/>
        </w:rPr>
      </w:pPr>
      <w:r w:rsidRPr="00904E86">
        <w:rPr>
          <w:rFonts w:ascii="Arial" w:hAnsi="Arial" w:cs="Arial"/>
          <w:sz w:val="22"/>
          <w:szCs w:val="22"/>
        </w:rPr>
        <w:t xml:space="preserve">Čl. </w:t>
      </w:r>
      <w:r>
        <w:rPr>
          <w:rFonts w:ascii="Arial" w:hAnsi="Arial" w:cs="Arial"/>
          <w:sz w:val="22"/>
          <w:szCs w:val="22"/>
        </w:rPr>
        <w:t>V</w:t>
      </w:r>
    </w:p>
    <w:p w14:paraId="77469262" w14:textId="77777777" w:rsidR="00416033" w:rsidRDefault="00416033" w:rsidP="0094098E">
      <w:pPr>
        <w:ind w:firstLine="708"/>
        <w:jc w:val="center"/>
        <w:rPr>
          <w:rFonts w:ascii="Arial" w:hAnsi="Arial" w:cs="Arial"/>
        </w:rPr>
      </w:pPr>
      <w:r>
        <w:rPr>
          <w:rFonts w:ascii="Arial" w:hAnsi="Arial" w:cs="Arial"/>
        </w:rPr>
        <w:t>Tento zákon nabývá účinnosti patnáctým dnem po jeho vyhlášení.</w:t>
      </w:r>
    </w:p>
    <w:p w14:paraId="696ABE39" w14:textId="77777777" w:rsidR="00416033" w:rsidRDefault="00416033" w:rsidP="00BF6E28">
      <w:pPr>
        <w:ind w:firstLine="708"/>
        <w:rPr>
          <w:rFonts w:ascii="Arial" w:hAnsi="Arial" w:cs="Arial"/>
        </w:rPr>
      </w:pPr>
    </w:p>
    <w:p w14:paraId="3F107E07" w14:textId="77777777" w:rsidR="00416033" w:rsidRDefault="00416033" w:rsidP="00BF6E28">
      <w:pPr>
        <w:ind w:firstLine="708"/>
        <w:rPr>
          <w:rFonts w:ascii="Arial" w:hAnsi="Arial" w:cs="Arial"/>
        </w:rPr>
      </w:pPr>
    </w:p>
    <w:p w14:paraId="76BFACE7" w14:textId="77777777" w:rsidR="00416033" w:rsidRDefault="00416033" w:rsidP="00BF6E28">
      <w:pPr>
        <w:ind w:firstLine="708"/>
        <w:rPr>
          <w:rFonts w:ascii="Arial" w:hAnsi="Arial" w:cs="Arial"/>
        </w:rPr>
      </w:pPr>
    </w:p>
    <w:p w14:paraId="32591C5F" w14:textId="77777777" w:rsidR="00416033" w:rsidRDefault="00416033" w:rsidP="00BF6E28">
      <w:pPr>
        <w:ind w:firstLine="708"/>
        <w:rPr>
          <w:rFonts w:ascii="Arial" w:hAnsi="Arial" w:cs="Arial"/>
        </w:rPr>
      </w:pPr>
    </w:p>
    <w:p w14:paraId="1FA22522" w14:textId="77777777" w:rsidR="00416033" w:rsidRDefault="00416033" w:rsidP="00BF6E28">
      <w:pPr>
        <w:ind w:firstLine="708"/>
        <w:rPr>
          <w:rFonts w:ascii="Arial" w:hAnsi="Arial" w:cs="Arial"/>
        </w:rPr>
      </w:pPr>
    </w:p>
    <w:p w14:paraId="2A773ACE" w14:textId="77777777" w:rsidR="00416033" w:rsidRDefault="00416033" w:rsidP="00BF6E28">
      <w:pPr>
        <w:ind w:firstLine="708"/>
        <w:rPr>
          <w:rFonts w:ascii="Arial" w:hAnsi="Arial" w:cs="Arial"/>
        </w:rPr>
      </w:pPr>
    </w:p>
    <w:p w14:paraId="3B17C62E" w14:textId="77777777" w:rsidR="00416033" w:rsidRDefault="00416033" w:rsidP="00BF6E28">
      <w:pPr>
        <w:ind w:firstLine="708"/>
        <w:rPr>
          <w:rFonts w:ascii="Arial" w:hAnsi="Arial" w:cs="Arial"/>
        </w:rPr>
      </w:pPr>
    </w:p>
    <w:p w14:paraId="1A1AA848" w14:textId="77777777" w:rsidR="00416033" w:rsidRDefault="00416033" w:rsidP="00BF6E28">
      <w:pPr>
        <w:ind w:firstLine="708"/>
        <w:rPr>
          <w:rFonts w:ascii="Arial" w:hAnsi="Arial" w:cs="Arial"/>
        </w:rPr>
      </w:pPr>
    </w:p>
    <w:p w14:paraId="0BB69645" w14:textId="77777777" w:rsidR="00416033" w:rsidRDefault="00416033" w:rsidP="00BF6E28">
      <w:pPr>
        <w:ind w:firstLine="708"/>
        <w:rPr>
          <w:rFonts w:ascii="Arial" w:hAnsi="Arial" w:cs="Arial"/>
        </w:rPr>
      </w:pPr>
    </w:p>
    <w:p w14:paraId="76AF8CCF" w14:textId="77777777" w:rsidR="00416033" w:rsidRDefault="00416033" w:rsidP="00BF6E28">
      <w:pPr>
        <w:ind w:firstLine="708"/>
        <w:rPr>
          <w:rFonts w:ascii="Arial" w:hAnsi="Arial" w:cs="Arial"/>
        </w:rPr>
      </w:pPr>
    </w:p>
    <w:p w14:paraId="12040C79" w14:textId="3E8177A3" w:rsidR="00785707" w:rsidRPr="00BF6E28" w:rsidRDefault="00785707" w:rsidP="00BF6E28">
      <w:pPr>
        <w:jc w:val="center"/>
        <w:rPr>
          <w:rFonts w:ascii="Arial" w:hAnsi="Arial" w:cs="Arial"/>
          <w:b/>
        </w:rPr>
      </w:pPr>
      <w:r w:rsidRPr="00BF6E28">
        <w:rPr>
          <w:rFonts w:ascii="Arial" w:hAnsi="Arial" w:cs="Arial"/>
          <w:b/>
        </w:rPr>
        <w:lastRenderedPageBreak/>
        <w:t>Důvodová zpráva</w:t>
      </w:r>
    </w:p>
    <w:p w14:paraId="405F27FE" w14:textId="77777777" w:rsidR="00541F62" w:rsidRPr="00BF6E28" w:rsidRDefault="00541F62" w:rsidP="00BF6E28">
      <w:pPr>
        <w:pStyle w:val="Odstavecseseznamem"/>
        <w:numPr>
          <w:ilvl w:val="0"/>
          <w:numId w:val="17"/>
        </w:numPr>
        <w:rPr>
          <w:rFonts w:ascii="Arial" w:hAnsi="Arial" w:cs="Arial"/>
          <w:b/>
          <w:u w:val="single"/>
        </w:rPr>
      </w:pPr>
      <w:r w:rsidRPr="00BF6E28">
        <w:rPr>
          <w:rFonts w:ascii="Arial" w:hAnsi="Arial" w:cs="Arial"/>
          <w:b/>
          <w:u w:val="single"/>
        </w:rPr>
        <w:t xml:space="preserve">Obecná část </w:t>
      </w:r>
    </w:p>
    <w:p w14:paraId="1D8E114B" w14:textId="77777777" w:rsidR="00785707" w:rsidRPr="00BF6E28" w:rsidRDefault="00785707" w:rsidP="00BF6E28">
      <w:pPr>
        <w:pStyle w:val="l1"/>
        <w:spacing w:line="276" w:lineRule="auto"/>
        <w:jc w:val="both"/>
        <w:rPr>
          <w:rFonts w:ascii="Arial" w:hAnsi="Arial" w:cs="Arial"/>
          <w:sz w:val="22"/>
          <w:szCs w:val="22"/>
        </w:rPr>
      </w:pPr>
      <w:r w:rsidRPr="00BF6E28">
        <w:rPr>
          <w:rFonts w:ascii="Arial" w:hAnsi="Arial" w:cs="Arial"/>
          <w:b/>
          <w:sz w:val="22"/>
          <w:szCs w:val="22"/>
        </w:rPr>
        <w:t>1. Zhodnocení platného právního stavu, vysvětlení nezbytnosti navrhované právní úpravy a odůvodnění jejích hlavních principů</w:t>
      </w:r>
    </w:p>
    <w:p w14:paraId="6E3A31CD" w14:textId="11F3C931" w:rsidR="00E44F88" w:rsidRPr="00BF6E28" w:rsidRDefault="0048736C" w:rsidP="00BF6E28">
      <w:pPr>
        <w:spacing w:after="0"/>
        <w:jc w:val="both"/>
        <w:rPr>
          <w:rFonts w:ascii="Arial" w:hAnsi="Arial" w:cs="Arial"/>
          <w:b/>
        </w:rPr>
      </w:pPr>
      <w:r w:rsidRPr="00BF6E28">
        <w:rPr>
          <w:rFonts w:ascii="Arial" w:hAnsi="Arial" w:cs="Arial"/>
        </w:rPr>
        <w:t>Navrhuje se využít zákonodárn</w:t>
      </w:r>
      <w:r w:rsidR="009B6149" w:rsidRPr="00BF6E28">
        <w:rPr>
          <w:rFonts w:ascii="Arial" w:hAnsi="Arial" w:cs="Arial"/>
        </w:rPr>
        <w:t>ou</w:t>
      </w:r>
      <w:r w:rsidRPr="00BF6E28">
        <w:rPr>
          <w:rFonts w:ascii="Arial" w:hAnsi="Arial" w:cs="Arial"/>
        </w:rPr>
        <w:t xml:space="preserve"> iniciativ</w:t>
      </w:r>
      <w:r w:rsidR="009B6149" w:rsidRPr="00BF6E28">
        <w:rPr>
          <w:rFonts w:ascii="Arial" w:hAnsi="Arial" w:cs="Arial"/>
        </w:rPr>
        <w:t>u</w:t>
      </w:r>
      <w:r w:rsidRPr="00BF6E28">
        <w:rPr>
          <w:rFonts w:ascii="Arial" w:hAnsi="Arial" w:cs="Arial"/>
        </w:rPr>
        <w:t xml:space="preserve"> hlavního města Prahy za účelem </w:t>
      </w:r>
      <w:r w:rsidR="000F0A70" w:rsidRPr="00BF6E28">
        <w:rPr>
          <w:rFonts w:ascii="Arial" w:hAnsi="Arial" w:cs="Arial"/>
        </w:rPr>
        <w:t xml:space="preserve">zvýšení dostupnosti bydlení, a to cestou </w:t>
      </w:r>
      <w:r w:rsidRPr="00BF6E28">
        <w:rPr>
          <w:rFonts w:ascii="Arial" w:hAnsi="Arial" w:cs="Arial"/>
        </w:rPr>
        <w:t xml:space="preserve">snížení daňového zatížení pořizování bydlení ve třech oblastech, </w:t>
      </w:r>
      <w:r w:rsidR="0050535B" w:rsidRPr="00BF6E28">
        <w:rPr>
          <w:rFonts w:ascii="Arial" w:hAnsi="Arial" w:cs="Arial"/>
        </w:rPr>
        <w:t xml:space="preserve">a to </w:t>
      </w:r>
      <w:r w:rsidRPr="00BF6E28">
        <w:rPr>
          <w:rFonts w:ascii="Arial" w:hAnsi="Arial" w:cs="Arial"/>
        </w:rPr>
        <w:t>u DPH, daně z nabytí nemovité věci a daní z</w:t>
      </w:r>
      <w:r w:rsidR="00E44F88" w:rsidRPr="00BF6E28">
        <w:rPr>
          <w:rFonts w:ascii="Arial" w:hAnsi="Arial" w:cs="Arial"/>
        </w:rPr>
        <w:t> </w:t>
      </w:r>
      <w:r w:rsidRPr="00BF6E28">
        <w:rPr>
          <w:rFonts w:ascii="Arial" w:hAnsi="Arial" w:cs="Arial"/>
        </w:rPr>
        <w:t>příjmů</w:t>
      </w:r>
      <w:r w:rsidR="00E44F88" w:rsidRPr="00BF6E28">
        <w:rPr>
          <w:rFonts w:ascii="Arial" w:hAnsi="Arial" w:cs="Arial"/>
        </w:rPr>
        <w:t xml:space="preserve">, a </w:t>
      </w:r>
      <w:r w:rsidR="0044567A" w:rsidRPr="00BF6E28">
        <w:rPr>
          <w:rFonts w:ascii="Arial" w:hAnsi="Arial" w:cs="Arial"/>
        </w:rPr>
        <w:t xml:space="preserve">dále </w:t>
      </w:r>
      <w:r w:rsidR="00E44F88" w:rsidRPr="00BF6E28">
        <w:rPr>
          <w:rFonts w:ascii="Arial" w:hAnsi="Arial" w:cs="Arial"/>
        </w:rPr>
        <w:t>změn</w:t>
      </w:r>
      <w:r w:rsidR="007D59FA" w:rsidRPr="00BF6E28">
        <w:rPr>
          <w:rFonts w:ascii="Arial" w:hAnsi="Arial" w:cs="Arial"/>
        </w:rPr>
        <w:t>ou</w:t>
      </w:r>
      <w:r w:rsidR="00E44F88" w:rsidRPr="00BF6E28">
        <w:rPr>
          <w:rFonts w:ascii="Arial" w:hAnsi="Arial" w:cs="Arial"/>
        </w:rPr>
        <w:t xml:space="preserve"> rozpočtového určení výnosů některých daní územním samosprávným celkům.</w:t>
      </w:r>
    </w:p>
    <w:p w14:paraId="273CBE62" w14:textId="4F004AE8" w:rsidR="008434C2" w:rsidRPr="008434C2" w:rsidRDefault="00EB6609" w:rsidP="008434C2">
      <w:pPr>
        <w:pStyle w:val="l1"/>
        <w:spacing w:line="276" w:lineRule="auto"/>
        <w:jc w:val="both"/>
        <w:rPr>
          <w:rFonts w:ascii="Arial" w:hAnsi="Arial" w:cs="Arial"/>
        </w:rPr>
      </w:pPr>
      <w:r w:rsidRPr="008434C2">
        <w:rPr>
          <w:rFonts w:ascii="Arial" w:eastAsiaTheme="minorHAnsi" w:hAnsi="Arial" w:cs="Arial"/>
          <w:sz w:val="22"/>
          <w:szCs w:val="22"/>
          <w:lang w:eastAsia="en-US"/>
        </w:rPr>
        <w:t>A</w:t>
      </w:r>
      <w:r w:rsidR="0018251F" w:rsidRPr="008434C2">
        <w:rPr>
          <w:rFonts w:ascii="Arial" w:eastAsiaTheme="minorHAnsi" w:hAnsi="Arial" w:cs="Arial"/>
          <w:sz w:val="22"/>
          <w:szCs w:val="22"/>
          <w:lang w:eastAsia="en-US"/>
        </w:rPr>
        <w:t>ktuálně se v Praze (a dalších velkých městech</w:t>
      </w:r>
      <w:r w:rsidR="007D59FA" w:rsidRPr="008434C2">
        <w:rPr>
          <w:rFonts w:ascii="Arial" w:eastAsiaTheme="minorHAnsi" w:hAnsi="Arial" w:cs="Arial"/>
          <w:sz w:val="22"/>
          <w:szCs w:val="22"/>
          <w:lang w:eastAsia="en-US"/>
        </w:rPr>
        <w:t xml:space="preserve"> v ČR</w:t>
      </w:r>
      <w:r w:rsidR="0018251F" w:rsidRPr="008434C2">
        <w:rPr>
          <w:rFonts w:ascii="Arial" w:eastAsiaTheme="minorHAnsi" w:hAnsi="Arial" w:cs="Arial"/>
          <w:sz w:val="22"/>
          <w:szCs w:val="22"/>
          <w:lang w:eastAsia="en-US"/>
        </w:rPr>
        <w:t>) dostupnost bydlení trvale zhoršuje</w:t>
      </w:r>
      <w:r w:rsidR="008434C2" w:rsidRPr="008434C2">
        <w:rPr>
          <w:rFonts w:ascii="Arial" w:eastAsiaTheme="minorHAnsi" w:hAnsi="Arial" w:cs="Arial"/>
          <w:sz w:val="22"/>
          <w:szCs w:val="22"/>
          <w:lang w:eastAsia="en-US"/>
        </w:rPr>
        <w:t xml:space="preserve">, přičemž příčinou je komplex důvodů, které lze shrnout jako neadekvátní nabídka při velmi silné poptávce po bydlení. </w:t>
      </w:r>
      <w:r w:rsidR="008434C2">
        <w:rPr>
          <w:rFonts w:ascii="Arial" w:eastAsiaTheme="minorHAnsi" w:hAnsi="Arial" w:cs="Arial"/>
          <w:sz w:val="22"/>
          <w:szCs w:val="22"/>
          <w:lang w:eastAsia="en-US"/>
        </w:rPr>
        <w:t>P</w:t>
      </w:r>
      <w:r w:rsidR="008434C2" w:rsidRPr="008434C2">
        <w:rPr>
          <w:rFonts w:ascii="Arial" w:eastAsiaTheme="minorHAnsi" w:hAnsi="Arial" w:cs="Arial"/>
          <w:sz w:val="22"/>
          <w:szCs w:val="22"/>
          <w:lang w:eastAsia="en-US"/>
        </w:rPr>
        <w:t>říčin</w:t>
      </w:r>
      <w:r w:rsidR="008434C2">
        <w:rPr>
          <w:rFonts w:ascii="Arial" w:eastAsiaTheme="minorHAnsi" w:hAnsi="Arial" w:cs="Arial"/>
          <w:sz w:val="22"/>
          <w:szCs w:val="22"/>
          <w:lang w:eastAsia="en-US"/>
        </w:rPr>
        <w:t>y</w:t>
      </w:r>
      <w:r w:rsidR="008434C2" w:rsidRPr="008434C2">
        <w:rPr>
          <w:rFonts w:ascii="Arial" w:eastAsiaTheme="minorHAnsi" w:hAnsi="Arial" w:cs="Arial"/>
          <w:sz w:val="22"/>
          <w:szCs w:val="22"/>
          <w:lang w:eastAsia="en-US"/>
        </w:rPr>
        <w:t xml:space="preserve"> současného stavu dostupnosti bydlení a jeho vývoje v posledních dvaceti letech</w:t>
      </w:r>
      <w:r w:rsidR="008434C2">
        <w:rPr>
          <w:rFonts w:ascii="Arial" w:eastAsiaTheme="minorHAnsi" w:hAnsi="Arial" w:cs="Arial"/>
          <w:sz w:val="22"/>
          <w:szCs w:val="22"/>
          <w:lang w:eastAsia="en-US"/>
        </w:rPr>
        <w:t>,</w:t>
      </w:r>
      <w:r w:rsidR="008434C2" w:rsidRPr="008434C2">
        <w:rPr>
          <w:rFonts w:ascii="Arial" w:eastAsiaTheme="minorHAnsi" w:hAnsi="Arial" w:cs="Arial"/>
          <w:sz w:val="22"/>
          <w:szCs w:val="22"/>
          <w:lang w:eastAsia="en-US"/>
        </w:rPr>
        <w:t xml:space="preserve"> stejně jako srovnání s ostatními hlavními městy ve střední Evropě a možnosti vývoje</w:t>
      </w:r>
      <w:r w:rsidR="008434C2">
        <w:rPr>
          <w:rFonts w:ascii="Arial" w:eastAsiaTheme="minorHAnsi" w:hAnsi="Arial" w:cs="Arial"/>
          <w:sz w:val="22"/>
          <w:szCs w:val="22"/>
          <w:lang w:eastAsia="en-US"/>
        </w:rPr>
        <w:t>,</w:t>
      </w:r>
      <w:r w:rsidR="008434C2" w:rsidRPr="008434C2">
        <w:rPr>
          <w:rFonts w:ascii="Arial" w:eastAsiaTheme="minorHAnsi" w:hAnsi="Arial" w:cs="Arial"/>
          <w:sz w:val="22"/>
          <w:szCs w:val="22"/>
          <w:lang w:eastAsia="en-US"/>
        </w:rPr>
        <w:t xml:space="preserve"> dokládá </w:t>
      </w:r>
      <w:r w:rsidR="00691F3D">
        <w:rPr>
          <w:rFonts w:ascii="Arial" w:eastAsiaTheme="minorHAnsi" w:hAnsi="Arial" w:cs="Arial"/>
          <w:sz w:val="22"/>
          <w:szCs w:val="22"/>
          <w:lang w:eastAsia="en-US"/>
        </w:rPr>
        <w:t>a</w:t>
      </w:r>
      <w:r w:rsidR="008434C2" w:rsidRPr="008434C2">
        <w:rPr>
          <w:rFonts w:ascii="Arial" w:eastAsiaTheme="minorHAnsi" w:hAnsi="Arial" w:cs="Arial"/>
          <w:sz w:val="22"/>
          <w:szCs w:val="22"/>
          <w:lang w:eastAsia="en-US"/>
        </w:rPr>
        <w:t>nalýza Zkvalitnění systémů a procesů povolování nové výstavby v Praze: dostupnost bydlení</w:t>
      </w:r>
      <w:r w:rsidR="00691F3D">
        <w:rPr>
          <w:rFonts w:ascii="Arial" w:eastAsiaTheme="minorHAnsi" w:hAnsi="Arial" w:cs="Arial"/>
          <w:sz w:val="22"/>
          <w:szCs w:val="22"/>
          <w:lang w:eastAsia="en-US"/>
        </w:rPr>
        <w:t xml:space="preserve"> (</w:t>
      </w:r>
      <w:r w:rsidR="00691F3D" w:rsidRPr="00691F3D">
        <w:rPr>
          <w:rFonts w:ascii="Arial" w:eastAsiaTheme="minorHAnsi" w:hAnsi="Arial" w:cs="Arial"/>
          <w:sz w:val="22"/>
          <w:szCs w:val="22"/>
          <w:lang w:eastAsia="en-US"/>
        </w:rPr>
        <w:t xml:space="preserve">zpracovaná jako jeden z průběžných </w:t>
      </w:r>
      <w:r w:rsidR="00877339">
        <w:rPr>
          <w:rFonts w:ascii="Arial" w:eastAsiaTheme="minorHAnsi" w:hAnsi="Arial" w:cs="Arial"/>
          <w:sz w:val="22"/>
          <w:szCs w:val="22"/>
          <w:lang w:eastAsia="en-US"/>
        </w:rPr>
        <w:t>výstupů grantu TAČR projektu 1. </w:t>
      </w:r>
      <w:r w:rsidR="00691F3D" w:rsidRPr="00691F3D">
        <w:rPr>
          <w:rFonts w:ascii="Arial" w:eastAsiaTheme="minorHAnsi" w:hAnsi="Arial" w:cs="Arial"/>
          <w:sz w:val="22"/>
          <w:szCs w:val="22"/>
          <w:lang w:eastAsia="en-US"/>
        </w:rPr>
        <w:t>veřejné soutěže Programu na podporu aplikovaného společenskovědního a humanitního výzkumu, experimentálního vývoje a inovací ÉTA, TL 01000423</w:t>
      </w:r>
      <w:r w:rsidR="00691F3D">
        <w:rPr>
          <w:rFonts w:ascii="Arial" w:eastAsiaTheme="minorHAnsi" w:hAnsi="Arial" w:cs="Arial"/>
          <w:sz w:val="22"/>
          <w:szCs w:val="22"/>
          <w:lang w:eastAsia="en-US"/>
        </w:rPr>
        <w:t xml:space="preserve">), </w:t>
      </w:r>
      <w:r w:rsidR="008434C2" w:rsidRPr="008434C2">
        <w:rPr>
          <w:rFonts w:ascii="Arial" w:eastAsiaTheme="minorHAnsi" w:hAnsi="Arial" w:cs="Arial"/>
          <w:sz w:val="22"/>
          <w:szCs w:val="22"/>
          <w:lang w:eastAsia="en-US"/>
        </w:rPr>
        <w:t>která byla poskytnuta hlavnímu městu. Hl. m. Praha čelí problémům a výzvám v oblasti bytové politiky, přičemž jednou jedním z hlavních důsledků současného stavu</w:t>
      </w:r>
      <w:r w:rsidR="008434C2">
        <w:rPr>
          <w:rFonts w:ascii="Arial" w:eastAsiaTheme="minorHAnsi" w:hAnsi="Arial" w:cs="Arial"/>
          <w:sz w:val="22"/>
          <w:szCs w:val="22"/>
          <w:lang w:eastAsia="en-US"/>
        </w:rPr>
        <w:t xml:space="preserve"> je</w:t>
      </w:r>
      <w:r w:rsidR="008434C2" w:rsidRPr="008434C2">
        <w:rPr>
          <w:rFonts w:ascii="Arial" w:eastAsiaTheme="minorHAnsi" w:hAnsi="Arial" w:cs="Arial"/>
          <w:sz w:val="22"/>
          <w:szCs w:val="22"/>
          <w:lang w:eastAsia="en-US"/>
        </w:rPr>
        <w:t>, že ceny bytů rostou daleko rychleji než příjmy obyvatel Prahy</w:t>
      </w:r>
      <w:r w:rsidR="008434C2" w:rsidRPr="008434C2">
        <w:rPr>
          <w:rFonts w:ascii="Arial" w:hAnsi="Arial" w:cs="Arial"/>
        </w:rPr>
        <w:t>.</w:t>
      </w:r>
    </w:p>
    <w:p w14:paraId="052552FB" w14:textId="68C0DE66" w:rsidR="0018251F" w:rsidRPr="00BF6E28" w:rsidRDefault="0018251F" w:rsidP="00BF6E28">
      <w:pPr>
        <w:pStyle w:val="l1"/>
        <w:spacing w:line="276" w:lineRule="auto"/>
        <w:jc w:val="both"/>
        <w:rPr>
          <w:rFonts w:ascii="Arial" w:hAnsi="Arial" w:cs="Arial"/>
          <w:sz w:val="22"/>
          <w:szCs w:val="22"/>
        </w:rPr>
      </w:pPr>
      <w:r w:rsidRPr="00BF6E28">
        <w:rPr>
          <w:rFonts w:ascii="Arial" w:hAnsi="Arial" w:cs="Arial"/>
          <w:sz w:val="22"/>
          <w:szCs w:val="22"/>
        </w:rPr>
        <w:t xml:space="preserve">Dostupnost bydlení obvykle charakterizují různě konstruované ukazatele, které jsou založené na poměru mezi cenou bydlení a příjmy. Organizace OECD </w:t>
      </w:r>
      <w:r w:rsidR="00877339">
        <w:rPr>
          <w:rFonts w:ascii="Arial" w:hAnsi="Arial" w:cs="Arial"/>
          <w:sz w:val="22"/>
          <w:szCs w:val="22"/>
        </w:rPr>
        <w:t>vydala loni žebříček zemí podle </w:t>
      </w:r>
      <w:r w:rsidRPr="00BF6E28">
        <w:rPr>
          <w:rFonts w:ascii="Arial" w:hAnsi="Arial" w:cs="Arial"/>
          <w:sz w:val="22"/>
          <w:szCs w:val="22"/>
        </w:rPr>
        <w:t>dostupnosti bydlení, který dobře vypovídá o rychlosti,</w:t>
      </w:r>
      <w:r w:rsidR="00877339">
        <w:rPr>
          <w:rFonts w:ascii="Arial" w:hAnsi="Arial" w:cs="Arial"/>
          <w:sz w:val="22"/>
          <w:szCs w:val="22"/>
        </w:rPr>
        <w:t xml:space="preserve"> kterou se rozvírají nůžky mezi </w:t>
      </w:r>
      <w:r w:rsidRPr="00BF6E28">
        <w:rPr>
          <w:rFonts w:ascii="Arial" w:hAnsi="Arial" w:cs="Arial"/>
          <w:sz w:val="22"/>
          <w:szCs w:val="22"/>
        </w:rPr>
        <w:t>cenami bydlení a příjmy občanů. Česká republika patří mezi deset států s nejnedostupnějším bydlením</w:t>
      </w:r>
      <w:r w:rsidR="00E51A72" w:rsidRPr="00BF6E28">
        <w:rPr>
          <w:rFonts w:ascii="Arial" w:hAnsi="Arial" w:cs="Arial"/>
          <w:sz w:val="22"/>
          <w:szCs w:val="22"/>
        </w:rPr>
        <w:t>;</w:t>
      </w:r>
      <w:r w:rsidRPr="00BF6E28">
        <w:rPr>
          <w:rFonts w:ascii="Arial" w:hAnsi="Arial" w:cs="Arial"/>
          <w:sz w:val="22"/>
          <w:szCs w:val="22"/>
        </w:rPr>
        <w:t xml:space="preserve"> je na osmém místě</w:t>
      </w:r>
      <w:r w:rsidR="00E51A72" w:rsidRPr="00BF6E28">
        <w:rPr>
          <w:rFonts w:ascii="Arial" w:hAnsi="Arial" w:cs="Arial"/>
          <w:sz w:val="22"/>
          <w:szCs w:val="22"/>
        </w:rPr>
        <w:t>,</w:t>
      </w:r>
      <w:r w:rsidRPr="00BF6E28">
        <w:rPr>
          <w:rFonts w:ascii="Arial" w:hAnsi="Arial" w:cs="Arial"/>
          <w:sz w:val="22"/>
          <w:szCs w:val="22"/>
        </w:rPr>
        <w:t xml:space="preserve"> vysoko nad průměrem eurozóny.</w:t>
      </w:r>
    </w:p>
    <w:tbl>
      <w:tblPr>
        <w:tblW w:w="0" w:type="auto"/>
        <w:tblCellSpacing w:w="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0"/>
        <w:gridCol w:w="2095"/>
        <w:gridCol w:w="851"/>
      </w:tblGrid>
      <w:tr w:rsidR="0018251F" w:rsidRPr="00BF6E28" w14:paraId="6BBE1771"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03ED0E4D"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w:t>
            </w:r>
          </w:p>
        </w:tc>
        <w:tc>
          <w:tcPr>
            <w:tcW w:w="2065" w:type="dxa"/>
            <w:tcBorders>
              <w:top w:val="nil"/>
              <w:left w:val="nil"/>
              <w:bottom w:val="nil"/>
              <w:right w:val="nil"/>
            </w:tcBorders>
            <w:tcMar>
              <w:top w:w="15" w:type="dxa"/>
              <w:left w:w="15" w:type="dxa"/>
              <w:bottom w:w="15" w:type="dxa"/>
              <w:right w:w="15" w:type="dxa"/>
            </w:tcMar>
            <w:vAlign w:val="center"/>
            <w:hideMark/>
          </w:tcPr>
          <w:p w14:paraId="384A4C68"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Kanada</w:t>
            </w:r>
          </w:p>
        </w:tc>
        <w:tc>
          <w:tcPr>
            <w:tcW w:w="806" w:type="dxa"/>
            <w:tcBorders>
              <w:top w:val="nil"/>
              <w:left w:val="nil"/>
              <w:bottom w:val="nil"/>
              <w:right w:val="nil"/>
            </w:tcBorders>
            <w:tcMar>
              <w:top w:w="15" w:type="dxa"/>
              <w:left w:w="15" w:type="dxa"/>
              <w:bottom w:w="15" w:type="dxa"/>
              <w:right w:w="15" w:type="dxa"/>
            </w:tcMar>
            <w:vAlign w:val="center"/>
            <w:hideMark/>
          </w:tcPr>
          <w:p w14:paraId="1562009C"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122.91</w:t>
            </w:r>
          </w:p>
        </w:tc>
      </w:tr>
      <w:tr w:rsidR="0018251F" w:rsidRPr="00BF6E28" w14:paraId="3892C3AF"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769641C8"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2</w:t>
            </w:r>
          </w:p>
        </w:tc>
        <w:tc>
          <w:tcPr>
            <w:tcW w:w="2065" w:type="dxa"/>
            <w:tcBorders>
              <w:top w:val="nil"/>
              <w:left w:val="nil"/>
              <w:bottom w:val="nil"/>
              <w:right w:val="nil"/>
            </w:tcBorders>
            <w:tcMar>
              <w:top w:w="15" w:type="dxa"/>
              <w:left w:w="15" w:type="dxa"/>
              <w:bottom w:w="15" w:type="dxa"/>
              <w:right w:w="15" w:type="dxa"/>
            </w:tcMar>
            <w:vAlign w:val="center"/>
            <w:hideMark/>
          </w:tcPr>
          <w:p w14:paraId="7D66A00C"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Portugalsko</w:t>
            </w:r>
          </w:p>
        </w:tc>
        <w:tc>
          <w:tcPr>
            <w:tcW w:w="806" w:type="dxa"/>
            <w:tcBorders>
              <w:top w:val="nil"/>
              <w:left w:val="nil"/>
              <w:bottom w:val="nil"/>
              <w:right w:val="nil"/>
            </w:tcBorders>
            <w:tcMar>
              <w:top w:w="15" w:type="dxa"/>
              <w:left w:w="15" w:type="dxa"/>
              <w:bottom w:w="15" w:type="dxa"/>
              <w:right w:w="15" w:type="dxa"/>
            </w:tcMar>
            <w:vAlign w:val="center"/>
            <w:hideMark/>
          </w:tcPr>
          <w:p w14:paraId="6516D914"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117.7</w:t>
            </w:r>
          </w:p>
        </w:tc>
      </w:tr>
      <w:tr w:rsidR="0018251F" w:rsidRPr="00BF6E28" w14:paraId="21F679E2"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7169EE3B"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3</w:t>
            </w:r>
          </w:p>
        </w:tc>
        <w:tc>
          <w:tcPr>
            <w:tcW w:w="2065" w:type="dxa"/>
            <w:tcBorders>
              <w:top w:val="nil"/>
              <w:left w:val="nil"/>
              <w:bottom w:val="nil"/>
              <w:right w:val="nil"/>
            </w:tcBorders>
            <w:tcMar>
              <w:top w:w="15" w:type="dxa"/>
              <w:left w:w="15" w:type="dxa"/>
              <w:bottom w:w="15" w:type="dxa"/>
              <w:right w:w="15" w:type="dxa"/>
            </w:tcMar>
            <w:vAlign w:val="center"/>
            <w:hideMark/>
          </w:tcPr>
          <w:p w14:paraId="07E54F96"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Slovinsko</w:t>
            </w:r>
          </w:p>
        </w:tc>
        <w:tc>
          <w:tcPr>
            <w:tcW w:w="806" w:type="dxa"/>
            <w:tcBorders>
              <w:top w:val="nil"/>
              <w:left w:val="nil"/>
              <w:bottom w:val="nil"/>
              <w:right w:val="nil"/>
            </w:tcBorders>
            <w:tcMar>
              <w:top w:w="15" w:type="dxa"/>
              <w:left w:w="15" w:type="dxa"/>
              <w:bottom w:w="15" w:type="dxa"/>
              <w:right w:w="15" w:type="dxa"/>
            </w:tcMar>
            <w:vAlign w:val="center"/>
            <w:hideMark/>
          </w:tcPr>
          <w:p w14:paraId="032AF49A"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116.22</w:t>
            </w:r>
          </w:p>
        </w:tc>
      </w:tr>
      <w:tr w:rsidR="0018251F" w:rsidRPr="00BF6E28" w14:paraId="00EDD086"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07AEA6F4"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4</w:t>
            </w:r>
          </w:p>
        </w:tc>
        <w:tc>
          <w:tcPr>
            <w:tcW w:w="2065" w:type="dxa"/>
            <w:tcBorders>
              <w:top w:val="nil"/>
              <w:left w:val="nil"/>
              <w:bottom w:val="nil"/>
              <w:right w:val="nil"/>
            </w:tcBorders>
            <w:tcMar>
              <w:top w:w="15" w:type="dxa"/>
              <w:left w:w="15" w:type="dxa"/>
              <w:bottom w:w="15" w:type="dxa"/>
              <w:right w:w="15" w:type="dxa"/>
            </w:tcMar>
            <w:vAlign w:val="center"/>
            <w:hideMark/>
          </w:tcPr>
          <w:p w14:paraId="52478C92"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Nizozemsko</w:t>
            </w:r>
          </w:p>
        </w:tc>
        <w:tc>
          <w:tcPr>
            <w:tcW w:w="806" w:type="dxa"/>
            <w:tcBorders>
              <w:top w:val="nil"/>
              <w:left w:val="nil"/>
              <w:bottom w:val="nil"/>
              <w:right w:val="nil"/>
            </w:tcBorders>
            <w:tcMar>
              <w:top w:w="15" w:type="dxa"/>
              <w:left w:w="15" w:type="dxa"/>
              <w:bottom w:w="15" w:type="dxa"/>
              <w:right w:w="15" w:type="dxa"/>
            </w:tcMar>
            <w:vAlign w:val="center"/>
            <w:hideMark/>
          </w:tcPr>
          <w:p w14:paraId="1DE8A425"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116.18</w:t>
            </w:r>
          </w:p>
        </w:tc>
      </w:tr>
      <w:tr w:rsidR="0018251F" w:rsidRPr="00BF6E28" w14:paraId="1AD6EDF6"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3E65572F"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5</w:t>
            </w:r>
          </w:p>
        </w:tc>
        <w:tc>
          <w:tcPr>
            <w:tcW w:w="2065" w:type="dxa"/>
            <w:tcBorders>
              <w:top w:val="nil"/>
              <w:left w:val="nil"/>
              <w:bottom w:val="nil"/>
              <w:right w:val="nil"/>
            </w:tcBorders>
            <w:tcMar>
              <w:top w:w="15" w:type="dxa"/>
              <w:left w:w="15" w:type="dxa"/>
              <w:bottom w:w="15" w:type="dxa"/>
              <w:right w:w="15" w:type="dxa"/>
            </w:tcMar>
            <w:vAlign w:val="center"/>
            <w:hideMark/>
          </w:tcPr>
          <w:p w14:paraId="50CE69E3"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Irsko</w:t>
            </w:r>
          </w:p>
        </w:tc>
        <w:tc>
          <w:tcPr>
            <w:tcW w:w="806" w:type="dxa"/>
            <w:tcBorders>
              <w:top w:val="nil"/>
              <w:left w:val="nil"/>
              <w:bottom w:val="nil"/>
              <w:right w:val="nil"/>
            </w:tcBorders>
            <w:tcMar>
              <w:top w:w="15" w:type="dxa"/>
              <w:left w:w="15" w:type="dxa"/>
              <w:bottom w:w="15" w:type="dxa"/>
              <w:right w:w="15" w:type="dxa"/>
            </w:tcMar>
            <w:vAlign w:val="center"/>
            <w:hideMark/>
          </w:tcPr>
          <w:p w14:paraId="19C0F72B"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115.85</w:t>
            </w:r>
          </w:p>
        </w:tc>
      </w:tr>
      <w:tr w:rsidR="0018251F" w:rsidRPr="00BF6E28" w14:paraId="2FC6F573"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4273B8D4"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6</w:t>
            </w:r>
          </w:p>
        </w:tc>
        <w:tc>
          <w:tcPr>
            <w:tcW w:w="2065" w:type="dxa"/>
            <w:tcBorders>
              <w:top w:val="nil"/>
              <w:left w:val="nil"/>
              <w:bottom w:val="nil"/>
              <w:right w:val="nil"/>
            </w:tcBorders>
            <w:tcMar>
              <w:top w:w="15" w:type="dxa"/>
              <w:left w:w="15" w:type="dxa"/>
              <w:bottom w:w="15" w:type="dxa"/>
              <w:right w:w="15" w:type="dxa"/>
            </w:tcMar>
            <w:vAlign w:val="center"/>
            <w:hideMark/>
          </w:tcPr>
          <w:p w14:paraId="6C867B46"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Nový Zéland</w:t>
            </w:r>
          </w:p>
        </w:tc>
        <w:tc>
          <w:tcPr>
            <w:tcW w:w="806" w:type="dxa"/>
            <w:tcBorders>
              <w:top w:val="nil"/>
              <w:left w:val="nil"/>
              <w:bottom w:val="nil"/>
              <w:right w:val="nil"/>
            </w:tcBorders>
            <w:tcMar>
              <w:top w:w="15" w:type="dxa"/>
              <w:left w:w="15" w:type="dxa"/>
              <w:bottom w:w="15" w:type="dxa"/>
              <w:right w:w="15" w:type="dxa"/>
            </w:tcMar>
            <w:vAlign w:val="center"/>
            <w:hideMark/>
          </w:tcPr>
          <w:p w14:paraId="7E341999"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114.86</w:t>
            </w:r>
          </w:p>
        </w:tc>
      </w:tr>
      <w:tr w:rsidR="0018251F" w:rsidRPr="00BF6E28" w14:paraId="31030451"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7EC301C8"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7</w:t>
            </w:r>
          </w:p>
        </w:tc>
        <w:tc>
          <w:tcPr>
            <w:tcW w:w="2065" w:type="dxa"/>
            <w:tcBorders>
              <w:top w:val="nil"/>
              <w:left w:val="nil"/>
              <w:bottom w:val="nil"/>
              <w:right w:val="nil"/>
            </w:tcBorders>
            <w:tcMar>
              <w:top w:w="15" w:type="dxa"/>
              <w:left w:w="15" w:type="dxa"/>
              <w:bottom w:w="15" w:type="dxa"/>
              <w:right w:w="15" w:type="dxa"/>
            </w:tcMar>
            <w:vAlign w:val="center"/>
            <w:hideMark/>
          </w:tcPr>
          <w:p w14:paraId="1A286107"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Španělsko</w:t>
            </w:r>
          </w:p>
        </w:tc>
        <w:tc>
          <w:tcPr>
            <w:tcW w:w="806" w:type="dxa"/>
            <w:tcBorders>
              <w:top w:val="nil"/>
              <w:left w:val="nil"/>
              <w:bottom w:val="nil"/>
              <w:right w:val="nil"/>
            </w:tcBorders>
            <w:tcMar>
              <w:top w:w="15" w:type="dxa"/>
              <w:left w:w="15" w:type="dxa"/>
              <w:bottom w:w="15" w:type="dxa"/>
              <w:right w:w="15" w:type="dxa"/>
            </w:tcMar>
            <w:vAlign w:val="center"/>
            <w:hideMark/>
          </w:tcPr>
          <w:p w14:paraId="1A1EF754"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113.94</w:t>
            </w:r>
          </w:p>
        </w:tc>
      </w:tr>
      <w:tr w:rsidR="0018251F" w:rsidRPr="00BF6E28" w14:paraId="0DE601BF"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5BC9771C"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8</w:t>
            </w:r>
          </w:p>
        </w:tc>
        <w:tc>
          <w:tcPr>
            <w:tcW w:w="2065" w:type="dxa"/>
            <w:tcBorders>
              <w:top w:val="nil"/>
              <w:left w:val="nil"/>
              <w:bottom w:val="nil"/>
              <w:right w:val="nil"/>
            </w:tcBorders>
            <w:tcMar>
              <w:top w:w="15" w:type="dxa"/>
              <w:left w:w="15" w:type="dxa"/>
              <w:bottom w:w="15" w:type="dxa"/>
              <w:right w:w="15" w:type="dxa"/>
            </w:tcMar>
            <w:vAlign w:val="center"/>
            <w:hideMark/>
          </w:tcPr>
          <w:p w14:paraId="5AEB4549"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ČR</w:t>
            </w:r>
          </w:p>
        </w:tc>
        <w:tc>
          <w:tcPr>
            <w:tcW w:w="806" w:type="dxa"/>
            <w:tcBorders>
              <w:top w:val="nil"/>
              <w:left w:val="nil"/>
              <w:bottom w:val="nil"/>
              <w:right w:val="nil"/>
            </w:tcBorders>
            <w:tcMar>
              <w:top w:w="15" w:type="dxa"/>
              <w:left w:w="15" w:type="dxa"/>
              <w:bottom w:w="15" w:type="dxa"/>
              <w:right w:w="15" w:type="dxa"/>
            </w:tcMar>
            <w:vAlign w:val="center"/>
            <w:hideMark/>
          </w:tcPr>
          <w:p w14:paraId="0ECDF2BD"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113.3</w:t>
            </w:r>
          </w:p>
        </w:tc>
      </w:tr>
      <w:tr w:rsidR="0018251F" w:rsidRPr="00BF6E28" w14:paraId="703123FC"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4BDDC1FF"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9</w:t>
            </w:r>
          </w:p>
        </w:tc>
        <w:tc>
          <w:tcPr>
            <w:tcW w:w="2065" w:type="dxa"/>
            <w:tcBorders>
              <w:top w:val="nil"/>
              <w:left w:val="nil"/>
              <w:bottom w:val="nil"/>
              <w:right w:val="nil"/>
            </w:tcBorders>
            <w:tcMar>
              <w:top w:w="15" w:type="dxa"/>
              <w:left w:w="15" w:type="dxa"/>
              <w:bottom w:w="15" w:type="dxa"/>
              <w:right w:w="15" w:type="dxa"/>
            </w:tcMar>
            <w:vAlign w:val="center"/>
            <w:hideMark/>
          </w:tcPr>
          <w:p w14:paraId="156823AA"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Rakousko</w:t>
            </w:r>
          </w:p>
        </w:tc>
        <w:tc>
          <w:tcPr>
            <w:tcW w:w="806" w:type="dxa"/>
            <w:tcBorders>
              <w:top w:val="nil"/>
              <w:left w:val="nil"/>
              <w:bottom w:val="nil"/>
              <w:right w:val="nil"/>
            </w:tcBorders>
            <w:tcMar>
              <w:top w:w="15" w:type="dxa"/>
              <w:left w:w="15" w:type="dxa"/>
              <w:bottom w:w="15" w:type="dxa"/>
              <w:right w:w="15" w:type="dxa"/>
            </w:tcMar>
            <w:vAlign w:val="center"/>
            <w:hideMark/>
          </w:tcPr>
          <w:p w14:paraId="572CE3EF"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112.3</w:t>
            </w:r>
          </w:p>
        </w:tc>
      </w:tr>
      <w:tr w:rsidR="0018251F" w:rsidRPr="00BF6E28" w14:paraId="32FCAED1"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283E646C"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w:t>
            </w:r>
          </w:p>
        </w:tc>
        <w:tc>
          <w:tcPr>
            <w:tcW w:w="2065" w:type="dxa"/>
            <w:tcBorders>
              <w:top w:val="nil"/>
              <w:left w:val="nil"/>
              <w:bottom w:val="nil"/>
              <w:right w:val="nil"/>
            </w:tcBorders>
            <w:tcMar>
              <w:top w:w="15" w:type="dxa"/>
              <w:left w:w="15" w:type="dxa"/>
              <w:bottom w:w="15" w:type="dxa"/>
              <w:right w:w="15" w:type="dxa"/>
            </w:tcMar>
            <w:vAlign w:val="center"/>
            <w:hideMark/>
          </w:tcPr>
          <w:p w14:paraId="7C9F5008"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Lucembursko</w:t>
            </w:r>
          </w:p>
        </w:tc>
        <w:tc>
          <w:tcPr>
            <w:tcW w:w="806" w:type="dxa"/>
            <w:tcBorders>
              <w:top w:val="nil"/>
              <w:left w:val="nil"/>
              <w:bottom w:val="nil"/>
              <w:right w:val="nil"/>
            </w:tcBorders>
            <w:tcMar>
              <w:top w:w="15" w:type="dxa"/>
              <w:left w:w="15" w:type="dxa"/>
              <w:bottom w:w="15" w:type="dxa"/>
              <w:right w:w="15" w:type="dxa"/>
            </w:tcMar>
            <w:vAlign w:val="center"/>
            <w:hideMark/>
          </w:tcPr>
          <w:p w14:paraId="06CE4A15"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110.68</w:t>
            </w:r>
          </w:p>
        </w:tc>
      </w:tr>
      <w:tr w:rsidR="0018251F" w:rsidRPr="00BF6E28" w14:paraId="29C6F43A"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22CB61B1"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11</w:t>
            </w:r>
          </w:p>
        </w:tc>
        <w:tc>
          <w:tcPr>
            <w:tcW w:w="2065" w:type="dxa"/>
            <w:tcBorders>
              <w:top w:val="nil"/>
              <w:left w:val="nil"/>
              <w:bottom w:val="nil"/>
              <w:right w:val="nil"/>
            </w:tcBorders>
            <w:tcMar>
              <w:top w:w="15" w:type="dxa"/>
              <w:left w:w="15" w:type="dxa"/>
              <w:bottom w:w="15" w:type="dxa"/>
              <w:right w:w="15" w:type="dxa"/>
            </w:tcMar>
            <w:vAlign w:val="center"/>
            <w:hideMark/>
          </w:tcPr>
          <w:p w14:paraId="6F6F8E00"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USA</w:t>
            </w:r>
          </w:p>
        </w:tc>
        <w:tc>
          <w:tcPr>
            <w:tcW w:w="806" w:type="dxa"/>
            <w:tcBorders>
              <w:top w:val="nil"/>
              <w:left w:val="nil"/>
              <w:bottom w:val="nil"/>
              <w:right w:val="nil"/>
            </w:tcBorders>
            <w:tcMar>
              <w:top w:w="15" w:type="dxa"/>
              <w:left w:w="15" w:type="dxa"/>
              <w:bottom w:w="15" w:type="dxa"/>
              <w:right w:w="15" w:type="dxa"/>
            </w:tcMar>
            <w:vAlign w:val="center"/>
            <w:hideMark/>
          </w:tcPr>
          <w:p w14:paraId="25A799E0"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109.16</w:t>
            </w:r>
          </w:p>
        </w:tc>
      </w:tr>
      <w:tr w:rsidR="0018251F" w:rsidRPr="00BF6E28" w14:paraId="72BB018F"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50942458"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12</w:t>
            </w:r>
          </w:p>
        </w:tc>
        <w:tc>
          <w:tcPr>
            <w:tcW w:w="2065" w:type="dxa"/>
            <w:tcBorders>
              <w:top w:val="nil"/>
              <w:left w:val="nil"/>
              <w:bottom w:val="nil"/>
              <w:right w:val="nil"/>
            </w:tcBorders>
            <w:tcMar>
              <w:top w:w="15" w:type="dxa"/>
              <w:left w:w="15" w:type="dxa"/>
              <w:bottom w:w="15" w:type="dxa"/>
              <w:right w:w="15" w:type="dxa"/>
            </w:tcMar>
            <w:vAlign w:val="center"/>
            <w:hideMark/>
          </w:tcPr>
          <w:p w14:paraId="5E43248D"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Slovensko</w:t>
            </w:r>
          </w:p>
        </w:tc>
        <w:tc>
          <w:tcPr>
            <w:tcW w:w="806" w:type="dxa"/>
            <w:tcBorders>
              <w:top w:val="nil"/>
              <w:left w:val="nil"/>
              <w:bottom w:val="nil"/>
              <w:right w:val="nil"/>
            </w:tcBorders>
            <w:tcMar>
              <w:top w:w="15" w:type="dxa"/>
              <w:left w:w="15" w:type="dxa"/>
              <w:bottom w:w="15" w:type="dxa"/>
              <w:right w:w="15" w:type="dxa"/>
            </w:tcMar>
            <w:vAlign w:val="center"/>
            <w:hideMark/>
          </w:tcPr>
          <w:p w14:paraId="50DE143B"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108.66</w:t>
            </w:r>
          </w:p>
        </w:tc>
      </w:tr>
      <w:tr w:rsidR="0018251F" w:rsidRPr="00BF6E28" w14:paraId="7AFC834A"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0B37BAE5"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13</w:t>
            </w:r>
          </w:p>
        </w:tc>
        <w:tc>
          <w:tcPr>
            <w:tcW w:w="2065" w:type="dxa"/>
            <w:tcBorders>
              <w:top w:val="nil"/>
              <w:left w:val="nil"/>
              <w:bottom w:val="nil"/>
              <w:right w:val="nil"/>
            </w:tcBorders>
            <w:tcMar>
              <w:top w:w="15" w:type="dxa"/>
              <w:left w:w="15" w:type="dxa"/>
              <w:bottom w:w="15" w:type="dxa"/>
              <w:right w:w="15" w:type="dxa"/>
            </w:tcMar>
            <w:vAlign w:val="center"/>
            <w:hideMark/>
          </w:tcPr>
          <w:p w14:paraId="7409A50D"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Německo</w:t>
            </w:r>
          </w:p>
        </w:tc>
        <w:tc>
          <w:tcPr>
            <w:tcW w:w="806" w:type="dxa"/>
            <w:tcBorders>
              <w:top w:val="nil"/>
              <w:left w:val="nil"/>
              <w:bottom w:val="nil"/>
              <w:right w:val="nil"/>
            </w:tcBorders>
            <w:tcMar>
              <w:top w:w="15" w:type="dxa"/>
              <w:left w:w="15" w:type="dxa"/>
              <w:bottom w:w="15" w:type="dxa"/>
              <w:right w:w="15" w:type="dxa"/>
            </w:tcMar>
            <w:vAlign w:val="center"/>
            <w:hideMark/>
          </w:tcPr>
          <w:p w14:paraId="310DD6F7"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107.95</w:t>
            </w:r>
          </w:p>
        </w:tc>
      </w:tr>
      <w:tr w:rsidR="0018251F" w:rsidRPr="00BF6E28" w14:paraId="0F634F20"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4445AB9D"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14</w:t>
            </w:r>
          </w:p>
        </w:tc>
        <w:tc>
          <w:tcPr>
            <w:tcW w:w="2065" w:type="dxa"/>
            <w:tcBorders>
              <w:top w:val="nil"/>
              <w:left w:val="nil"/>
              <w:bottom w:val="nil"/>
              <w:right w:val="nil"/>
            </w:tcBorders>
            <w:tcMar>
              <w:top w:w="15" w:type="dxa"/>
              <w:left w:w="15" w:type="dxa"/>
              <w:bottom w:w="15" w:type="dxa"/>
              <w:right w:w="15" w:type="dxa"/>
            </w:tcMar>
            <w:vAlign w:val="center"/>
            <w:hideMark/>
          </w:tcPr>
          <w:p w14:paraId="3FD57815"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Spojené království</w:t>
            </w:r>
          </w:p>
        </w:tc>
        <w:tc>
          <w:tcPr>
            <w:tcW w:w="806" w:type="dxa"/>
            <w:tcBorders>
              <w:top w:val="nil"/>
              <w:left w:val="nil"/>
              <w:bottom w:val="nil"/>
              <w:right w:val="nil"/>
            </w:tcBorders>
            <w:tcMar>
              <w:top w:w="15" w:type="dxa"/>
              <w:left w:w="15" w:type="dxa"/>
              <w:bottom w:w="15" w:type="dxa"/>
              <w:right w:w="15" w:type="dxa"/>
            </w:tcMar>
            <w:vAlign w:val="center"/>
            <w:hideMark/>
          </w:tcPr>
          <w:p w14:paraId="7B6C937E"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107.82</w:t>
            </w:r>
          </w:p>
        </w:tc>
      </w:tr>
      <w:tr w:rsidR="0018251F" w:rsidRPr="00BF6E28" w14:paraId="51D0C542"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hideMark/>
          </w:tcPr>
          <w:p w14:paraId="6FDF25F6"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15</w:t>
            </w:r>
          </w:p>
        </w:tc>
        <w:tc>
          <w:tcPr>
            <w:tcW w:w="2065" w:type="dxa"/>
            <w:tcBorders>
              <w:top w:val="nil"/>
              <w:left w:val="nil"/>
              <w:bottom w:val="nil"/>
              <w:right w:val="nil"/>
            </w:tcBorders>
            <w:tcMar>
              <w:top w:w="15" w:type="dxa"/>
              <w:left w:w="15" w:type="dxa"/>
              <w:bottom w:w="15" w:type="dxa"/>
              <w:right w:w="15" w:type="dxa"/>
            </w:tcMar>
            <w:vAlign w:val="center"/>
            <w:hideMark/>
          </w:tcPr>
          <w:p w14:paraId="5EC03611"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Maďarsko</w:t>
            </w:r>
          </w:p>
        </w:tc>
        <w:tc>
          <w:tcPr>
            <w:tcW w:w="806" w:type="dxa"/>
            <w:tcBorders>
              <w:top w:val="nil"/>
              <w:left w:val="nil"/>
              <w:bottom w:val="nil"/>
              <w:right w:val="nil"/>
            </w:tcBorders>
            <w:tcMar>
              <w:top w:w="15" w:type="dxa"/>
              <w:left w:w="15" w:type="dxa"/>
              <w:bottom w:w="15" w:type="dxa"/>
              <w:right w:w="15" w:type="dxa"/>
            </w:tcMar>
            <w:vAlign w:val="center"/>
            <w:hideMark/>
          </w:tcPr>
          <w:p w14:paraId="0EE71301"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107.77</w:t>
            </w:r>
          </w:p>
        </w:tc>
      </w:tr>
      <w:tr w:rsidR="0018251F" w:rsidRPr="00BF6E28" w14:paraId="1EC9E200" w14:textId="77777777" w:rsidTr="0018251F">
        <w:trPr>
          <w:tblCellSpacing w:w="15" w:type="dxa"/>
        </w:trPr>
        <w:tc>
          <w:tcPr>
            <w:tcW w:w="270" w:type="dxa"/>
            <w:tcBorders>
              <w:top w:val="nil"/>
              <w:left w:val="nil"/>
              <w:bottom w:val="nil"/>
              <w:right w:val="nil"/>
            </w:tcBorders>
            <w:tcMar>
              <w:top w:w="15" w:type="dxa"/>
              <w:left w:w="15" w:type="dxa"/>
              <w:bottom w:w="15" w:type="dxa"/>
              <w:right w:w="15" w:type="dxa"/>
            </w:tcMar>
          </w:tcPr>
          <w:p w14:paraId="512C6225" w14:textId="77777777" w:rsidR="0018251F" w:rsidRPr="00BF6E28" w:rsidRDefault="0018251F" w:rsidP="00BF6E28">
            <w:pPr>
              <w:spacing w:after="0"/>
              <w:rPr>
                <w:rFonts w:ascii="Arial" w:eastAsia="Times New Roman" w:hAnsi="Arial" w:cs="Arial"/>
                <w:lang w:eastAsia="cs-CZ"/>
              </w:rPr>
            </w:pPr>
          </w:p>
        </w:tc>
        <w:tc>
          <w:tcPr>
            <w:tcW w:w="2065" w:type="dxa"/>
            <w:tcBorders>
              <w:top w:val="nil"/>
              <w:left w:val="nil"/>
              <w:bottom w:val="nil"/>
              <w:right w:val="nil"/>
            </w:tcBorders>
            <w:tcMar>
              <w:top w:w="15" w:type="dxa"/>
              <w:left w:w="15" w:type="dxa"/>
              <w:bottom w:w="15" w:type="dxa"/>
              <w:right w:w="15" w:type="dxa"/>
            </w:tcMar>
            <w:vAlign w:val="center"/>
            <w:hideMark/>
          </w:tcPr>
          <w:p w14:paraId="2EBE183C"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OECD – celkem</w:t>
            </w:r>
          </w:p>
        </w:tc>
        <w:tc>
          <w:tcPr>
            <w:tcW w:w="806" w:type="dxa"/>
            <w:tcBorders>
              <w:top w:val="nil"/>
              <w:left w:val="nil"/>
              <w:bottom w:val="nil"/>
              <w:right w:val="nil"/>
            </w:tcBorders>
            <w:tcMar>
              <w:top w:w="15" w:type="dxa"/>
              <w:left w:w="15" w:type="dxa"/>
              <w:bottom w:w="15" w:type="dxa"/>
              <w:right w:w="15" w:type="dxa"/>
            </w:tcMar>
            <w:vAlign w:val="center"/>
            <w:hideMark/>
          </w:tcPr>
          <w:p w14:paraId="4DB473C3"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106.23</w:t>
            </w:r>
          </w:p>
        </w:tc>
      </w:tr>
      <w:tr w:rsidR="0018251F" w:rsidRPr="00BF6E28" w14:paraId="363169B6" w14:textId="77777777" w:rsidTr="00EB6609">
        <w:trPr>
          <w:tblCellSpacing w:w="15" w:type="dxa"/>
        </w:trPr>
        <w:tc>
          <w:tcPr>
            <w:tcW w:w="270" w:type="dxa"/>
            <w:tcBorders>
              <w:top w:val="nil"/>
              <w:left w:val="nil"/>
              <w:bottom w:val="nil"/>
              <w:right w:val="nil"/>
            </w:tcBorders>
            <w:tcMar>
              <w:top w:w="15" w:type="dxa"/>
              <w:left w:w="15" w:type="dxa"/>
              <w:bottom w:w="15" w:type="dxa"/>
              <w:right w:w="15" w:type="dxa"/>
            </w:tcMar>
          </w:tcPr>
          <w:p w14:paraId="41EFCB87" w14:textId="77777777" w:rsidR="0018251F" w:rsidRPr="00BF6E28" w:rsidRDefault="0018251F" w:rsidP="00BF6E28">
            <w:pPr>
              <w:spacing w:after="0"/>
              <w:rPr>
                <w:rFonts w:ascii="Arial" w:eastAsia="Times New Roman" w:hAnsi="Arial" w:cs="Arial"/>
                <w:lang w:eastAsia="cs-CZ"/>
              </w:rPr>
            </w:pPr>
          </w:p>
        </w:tc>
        <w:tc>
          <w:tcPr>
            <w:tcW w:w="2065" w:type="dxa"/>
            <w:tcBorders>
              <w:top w:val="nil"/>
              <w:left w:val="nil"/>
              <w:bottom w:val="nil"/>
              <w:right w:val="nil"/>
            </w:tcBorders>
            <w:tcMar>
              <w:top w:w="15" w:type="dxa"/>
              <w:left w:w="15" w:type="dxa"/>
              <w:bottom w:w="15" w:type="dxa"/>
              <w:right w:w="15" w:type="dxa"/>
            </w:tcMar>
            <w:vAlign w:val="center"/>
            <w:hideMark/>
          </w:tcPr>
          <w:p w14:paraId="275FD65B"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Eurozóna</w:t>
            </w:r>
          </w:p>
        </w:tc>
        <w:tc>
          <w:tcPr>
            <w:tcW w:w="806" w:type="dxa"/>
            <w:tcBorders>
              <w:top w:val="nil"/>
              <w:left w:val="nil"/>
              <w:bottom w:val="nil"/>
              <w:right w:val="nil"/>
            </w:tcBorders>
            <w:tcMar>
              <w:top w:w="15" w:type="dxa"/>
              <w:left w:w="15" w:type="dxa"/>
              <w:bottom w:w="15" w:type="dxa"/>
              <w:right w:w="15" w:type="dxa"/>
            </w:tcMar>
            <w:vAlign w:val="center"/>
            <w:hideMark/>
          </w:tcPr>
          <w:p w14:paraId="22AF3282" w14:textId="77777777" w:rsidR="0018251F" w:rsidRPr="00BF6E28" w:rsidRDefault="0018251F" w:rsidP="00BF6E28">
            <w:pPr>
              <w:spacing w:after="0"/>
              <w:rPr>
                <w:rFonts w:ascii="Arial" w:eastAsia="Times New Roman" w:hAnsi="Arial" w:cs="Arial"/>
                <w:lang w:eastAsia="cs-CZ"/>
              </w:rPr>
            </w:pPr>
            <w:r w:rsidRPr="00BF6E28">
              <w:rPr>
                <w:rFonts w:ascii="Arial" w:eastAsia="Times New Roman" w:hAnsi="Arial" w:cs="Arial"/>
                <w:lang w:eastAsia="cs-CZ"/>
              </w:rPr>
              <w:t>104.31</w:t>
            </w:r>
          </w:p>
        </w:tc>
      </w:tr>
    </w:tbl>
    <w:p w14:paraId="111E1F9F" w14:textId="185C6944" w:rsidR="00E51A72" w:rsidRPr="00BF6E28" w:rsidRDefault="00E51A72" w:rsidP="00BF6E28">
      <w:pPr>
        <w:pStyle w:val="l1"/>
        <w:tabs>
          <w:tab w:val="left" w:pos="709"/>
        </w:tabs>
        <w:spacing w:before="0" w:beforeAutospacing="0" w:after="0" w:afterAutospacing="0" w:line="276" w:lineRule="auto"/>
        <w:jc w:val="both"/>
        <w:rPr>
          <w:rFonts w:ascii="Arial" w:hAnsi="Arial" w:cs="Arial"/>
          <w:sz w:val="22"/>
          <w:szCs w:val="22"/>
        </w:rPr>
      </w:pPr>
      <w:r w:rsidRPr="00BF6E28">
        <w:rPr>
          <w:rStyle w:val="Zdraznn"/>
          <w:rFonts w:ascii="Arial" w:hAnsi="Arial" w:cs="Arial"/>
          <w:sz w:val="22"/>
          <w:szCs w:val="22"/>
        </w:rPr>
        <w:t>Zdroj: OECD, Better Dwelling</w:t>
      </w:r>
    </w:p>
    <w:p w14:paraId="5ADBAF16" w14:textId="77777777" w:rsidR="00691F3D" w:rsidRDefault="0018251F" w:rsidP="00691F3D">
      <w:pPr>
        <w:pStyle w:val="l1"/>
        <w:spacing w:line="276" w:lineRule="auto"/>
        <w:jc w:val="both"/>
        <w:rPr>
          <w:rFonts w:ascii="Arial" w:hAnsi="Arial" w:cs="Arial"/>
          <w:sz w:val="22"/>
          <w:szCs w:val="22"/>
        </w:rPr>
      </w:pPr>
      <w:r w:rsidRPr="00BF6E28">
        <w:rPr>
          <w:rFonts w:ascii="Arial" w:hAnsi="Arial" w:cs="Arial"/>
          <w:sz w:val="22"/>
          <w:szCs w:val="22"/>
        </w:rPr>
        <w:t>Ukazatel OECD pro ČR ve výši 113,3 znamená, že ceny bydlení (resp. medián cen) rostly v letech 2015</w:t>
      </w:r>
      <w:r w:rsidR="00D60EC1" w:rsidRPr="00BF6E28">
        <w:rPr>
          <w:rFonts w:ascii="Arial" w:hAnsi="Arial" w:cs="Arial"/>
          <w:sz w:val="22"/>
          <w:szCs w:val="22"/>
        </w:rPr>
        <w:t>–</w:t>
      </w:r>
      <w:r w:rsidRPr="00BF6E28">
        <w:rPr>
          <w:rFonts w:ascii="Arial" w:hAnsi="Arial" w:cs="Arial"/>
          <w:sz w:val="22"/>
          <w:szCs w:val="22"/>
        </w:rPr>
        <w:t xml:space="preserve">2018 o třináct procent rychleji nežli příjmy (resp. medián příjmů). </w:t>
      </w:r>
    </w:p>
    <w:p w14:paraId="6F653BF5" w14:textId="1B551DE2" w:rsidR="00691F3D" w:rsidRDefault="00691F3D" w:rsidP="00691F3D">
      <w:pPr>
        <w:pStyle w:val="l1"/>
        <w:spacing w:line="276" w:lineRule="auto"/>
        <w:jc w:val="both"/>
        <w:rPr>
          <w:rFonts w:ascii="Arial" w:hAnsi="Arial" w:cs="Arial"/>
          <w:sz w:val="22"/>
          <w:szCs w:val="22"/>
        </w:rPr>
      </w:pPr>
      <w:r w:rsidRPr="00691F3D">
        <w:rPr>
          <w:rFonts w:ascii="Arial" w:hAnsi="Arial" w:cs="Arial"/>
          <w:sz w:val="22"/>
          <w:szCs w:val="22"/>
        </w:rPr>
        <w:t>Pravidelně zveřejňovaná data o dostupnosti bydlení v Praze, i v porovnání s dalšími městy Evropy, která pracují s průměrnými hrubými mzdami převzatými z informačního systému o průměrném výdělku (ISPV) Ministerstva práce a sociálních věcí a vycházejí z průměrných cen bytů, které jsou sledovány na pražském nemovitostním trhu</w:t>
      </w:r>
      <w:r>
        <w:rPr>
          <w:rFonts w:ascii="Arial" w:hAnsi="Arial" w:cs="Arial"/>
          <w:sz w:val="22"/>
          <w:szCs w:val="22"/>
        </w:rPr>
        <w:t>,</w:t>
      </w:r>
      <w:r w:rsidRPr="00691F3D">
        <w:rPr>
          <w:rFonts w:ascii="Arial" w:hAnsi="Arial" w:cs="Arial"/>
          <w:sz w:val="22"/>
          <w:szCs w:val="22"/>
        </w:rPr>
        <w:t xml:space="preserve"> ukazují výstižněji než jiné statistiky situaci vztaženou přímo k Praze, kde je příjmová i bytová situace z hlediska atraktivity města zcela jiná než ve zbytku republiky. Z těchto dat, která pravidelně zveřej</w:t>
      </w:r>
      <w:r>
        <w:rPr>
          <w:rFonts w:ascii="Arial" w:hAnsi="Arial" w:cs="Arial"/>
          <w:sz w:val="22"/>
          <w:szCs w:val="22"/>
        </w:rPr>
        <w:t>ň</w:t>
      </w:r>
      <w:r w:rsidR="00877339">
        <w:rPr>
          <w:rFonts w:ascii="Arial" w:hAnsi="Arial" w:cs="Arial"/>
          <w:sz w:val="22"/>
          <w:szCs w:val="22"/>
        </w:rPr>
        <w:t>uje např. </w:t>
      </w:r>
      <w:r w:rsidRPr="00691F3D">
        <w:rPr>
          <w:rFonts w:ascii="Arial" w:hAnsi="Arial" w:cs="Arial"/>
          <w:sz w:val="22"/>
          <w:szCs w:val="22"/>
        </w:rPr>
        <w:t>společnost KPMG, vyplývá, jak dlouho by průměrný Pražan střádal všechny své příjmy na byt.  Zatímco ještě v roce 2015 by bylo třeba hypoteticky na byt průměrné velikosti spořit 10 let</w:t>
      </w:r>
      <w:r>
        <w:rPr>
          <w:rFonts w:ascii="Arial" w:hAnsi="Arial" w:cs="Arial"/>
          <w:sz w:val="22"/>
          <w:szCs w:val="22"/>
        </w:rPr>
        <w:t>,</w:t>
      </w:r>
      <w:r w:rsidRPr="00691F3D">
        <w:rPr>
          <w:rFonts w:ascii="Arial" w:hAnsi="Arial" w:cs="Arial"/>
          <w:sz w:val="22"/>
          <w:szCs w:val="22"/>
        </w:rPr>
        <w:t xml:space="preserve"> v roce 2019 je tento ukazatel již na hodnotě 14,6</w:t>
      </w:r>
      <w:r>
        <w:rPr>
          <w:rFonts w:ascii="Arial" w:hAnsi="Arial" w:cs="Arial"/>
          <w:sz w:val="22"/>
          <w:szCs w:val="22"/>
        </w:rPr>
        <w:t xml:space="preserve"> roků</w:t>
      </w:r>
      <w:r w:rsidRPr="00691F3D">
        <w:rPr>
          <w:rFonts w:ascii="Arial" w:hAnsi="Arial" w:cs="Arial"/>
          <w:sz w:val="22"/>
          <w:szCs w:val="22"/>
        </w:rPr>
        <w:t>, tzn.</w:t>
      </w:r>
      <w:r>
        <w:rPr>
          <w:rFonts w:ascii="Arial" w:hAnsi="Arial" w:cs="Arial"/>
          <w:sz w:val="22"/>
          <w:szCs w:val="22"/>
        </w:rPr>
        <w:t>,</w:t>
      </w:r>
      <w:r w:rsidR="00877339">
        <w:rPr>
          <w:rFonts w:ascii="Arial" w:hAnsi="Arial" w:cs="Arial"/>
          <w:sz w:val="22"/>
          <w:szCs w:val="22"/>
        </w:rPr>
        <w:t xml:space="preserve"> že za posledních pět let se </w:t>
      </w:r>
      <w:r w:rsidRPr="00691F3D">
        <w:rPr>
          <w:rFonts w:ascii="Arial" w:hAnsi="Arial" w:cs="Arial"/>
          <w:sz w:val="22"/>
          <w:szCs w:val="22"/>
        </w:rPr>
        <w:t>tato doba prodloužila skoro o polovinu. Výše průměrného nájemného v Praze přesahuje hypotéční splátky o 10-20 % podle velikosti bytu.</w:t>
      </w:r>
    </w:p>
    <w:p w14:paraId="6B77B524" w14:textId="1F308453" w:rsidR="00D42A12" w:rsidRPr="00BF6E28" w:rsidRDefault="00E32AA1" w:rsidP="00BF6E28">
      <w:pPr>
        <w:pStyle w:val="l1"/>
        <w:spacing w:line="276" w:lineRule="auto"/>
        <w:jc w:val="both"/>
        <w:rPr>
          <w:rFonts w:ascii="Arial" w:hAnsi="Arial" w:cs="Arial"/>
          <w:sz w:val="22"/>
          <w:szCs w:val="22"/>
        </w:rPr>
      </w:pPr>
      <w:r w:rsidRPr="00BF6E28">
        <w:rPr>
          <w:rFonts w:ascii="Arial" w:hAnsi="Arial" w:cs="Arial"/>
          <w:sz w:val="22"/>
          <w:szCs w:val="22"/>
        </w:rPr>
        <w:t xml:space="preserve">Situace v oblasti </w:t>
      </w:r>
      <w:r w:rsidR="00FA6944" w:rsidRPr="00BF6E28">
        <w:rPr>
          <w:rFonts w:ascii="Arial" w:hAnsi="Arial" w:cs="Arial"/>
          <w:sz w:val="22"/>
          <w:szCs w:val="22"/>
        </w:rPr>
        <w:t xml:space="preserve">vývoje sazeb </w:t>
      </w:r>
      <w:r w:rsidRPr="00BF6E28">
        <w:rPr>
          <w:rFonts w:ascii="Arial" w:hAnsi="Arial" w:cs="Arial"/>
          <w:sz w:val="22"/>
          <w:szCs w:val="22"/>
        </w:rPr>
        <w:t>DPH je poměrně složitá. O</w:t>
      </w:r>
      <w:r w:rsidR="005E39D6" w:rsidRPr="00BF6E28">
        <w:rPr>
          <w:rFonts w:ascii="Arial" w:hAnsi="Arial" w:cs="Arial"/>
          <w:sz w:val="22"/>
          <w:szCs w:val="22"/>
        </w:rPr>
        <w:t>d roku 2007, do kterého se pro tyto účely užívala snížená sazba DPH ve výši 5 %, do</w:t>
      </w:r>
      <w:r w:rsidR="002E6CF3" w:rsidRPr="00BF6E28">
        <w:rPr>
          <w:rFonts w:ascii="Arial" w:hAnsi="Arial" w:cs="Arial"/>
          <w:sz w:val="22"/>
          <w:szCs w:val="22"/>
        </w:rPr>
        <w:t>cházelo a</w:t>
      </w:r>
      <w:r w:rsidR="00B66C82" w:rsidRPr="00BF6E28">
        <w:rPr>
          <w:rFonts w:ascii="Arial" w:hAnsi="Arial" w:cs="Arial"/>
          <w:sz w:val="22"/>
          <w:szCs w:val="22"/>
        </w:rPr>
        <w:t xml:space="preserve">le i u bydlení </w:t>
      </w:r>
      <w:r w:rsidR="00B228D5" w:rsidRPr="00BF6E28">
        <w:rPr>
          <w:rFonts w:ascii="Arial" w:hAnsi="Arial" w:cs="Arial"/>
          <w:sz w:val="22"/>
          <w:szCs w:val="22"/>
        </w:rPr>
        <w:t xml:space="preserve">postupně </w:t>
      </w:r>
      <w:r w:rsidR="005E39D6" w:rsidRPr="00BF6E28">
        <w:rPr>
          <w:rFonts w:ascii="Arial" w:hAnsi="Arial" w:cs="Arial"/>
          <w:sz w:val="22"/>
          <w:szCs w:val="22"/>
        </w:rPr>
        <w:t>ke zv</w:t>
      </w:r>
      <w:r w:rsidR="00B228D5" w:rsidRPr="00BF6E28">
        <w:rPr>
          <w:rFonts w:ascii="Arial" w:hAnsi="Arial" w:cs="Arial"/>
          <w:sz w:val="22"/>
          <w:szCs w:val="22"/>
        </w:rPr>
        <w:t>y</w:t>
      </w:r>
      <w:r w:rsidR="005E39D6" w:rsidRPr="00BF6E28">
        <w:rPr>
          <w:rFonts w:ascii="Arial" w:hAnsi="Arial" w:cs="Arial"/>
          <w:sz w:val="22"/>
          <w:szCs w:val="22"/>
        </w:rPr>
        <w:t>š</w:t>
      </w:r>
      <w:r w:rsidR="00B228D5" w:rsidRPr="00BF6E28">
        <w:rPr>
          <w:rFonts w:ascii="Arial" w:hAnsi="Arial" w:cs="Arial"/>
          <w:sz w:val="22"/>
          <w:szCs w:val="22"/>
        </w:rPr>
        <w:t xml:space="preserve">ování </w:t>
      </w:r>
      <w:r w:rsidR="005E39D6" w:rsidRPr="00BF6E28">
        <w:rPr>
          <w:rFonts w:ascii="Arial" w:hAnsi="Arial" w:cs="Arial"/>
          <w:sz w:val="22"/>
          <w:szCs w:val="22"/>
        </w:rPr>
        <w:t xml:space="preserve">sazby na </w:t>
      </w:r>
      <w:r w:rsidR="00B65682" w:rsidRPr="00BF6E28">
        <w:rPr>
          <w:rFonts w:ascii="Arial" w:hAnsi="Arial" w:cs="Arial"/>
          <w:sz w:val="22"/>
          <w:szCs w:val="22"/>
        </w:rPr>
        <w:t xml:space="preserve">současných </w:t>
      </w:r>
      <w:r w:rsidR="005E39D6" w:rsidRPr="00BF6E28">
        <w:rPr>
          <w:rFonts w:ascii="Arial" w:hAnsi="Arial" w:cs="Arial"/>
          <w:sz w:val="22"/>
          <w:szCs w:val="22"/>
        </w:rPr>
        <w:t xml:space="preserve">15 %, tedy </w:t>
      </w:r>
      <w:r w:rsidRPr="00BF6E28">
        <w:rPr>
          <w:rFonts w:ascii="Arial" w:hAnsi="Arial" w:cs="Arial"/>
          <w:sz w:val="22"/>
          <w:szCs w:val="22"/>
        </w:rPr>
        <w:t xml:space="preserve">na </w:t>
      </w:r>
      <w:r w:rsidR="005E39D6" w:rsidRPr="00BF6E28">
        <w:rPr>
          <w:rFonts w:ascii="Arial" w:hAnsi="Arial" w:cs="Arial"/>
          <w:sz w:val="22"/>
          <w:szCs w:val="22"/>
        </w:rPr>
        <w:t>trojnásob</w:t>
      </w:r>
      <w:r w:rsidRPr="00BF6E28">
        <w:rPr>
          <w:rFonts w:ascii="Arial" w:hAnsi="Arial" w:cs="Arial"/>
          <w:sz w:val="22"/>
          <w:szCs w:val="22"/>
        </w:rPr>
        <w:t>ek</w:t>
      </w:r>
      <w:r w:rsidR="005E39D6" w:rsidRPr="00BF6E28">
        <w:rPr>
          <w:rFonts w:ascii="Arial" w:hAnsi="Arial" w:cs="Arial"/>
          <w:sz w:val="22"/>
          <w:szCs w:val="22"/>
        </w:rPr>
        <w:t xml:space="preserve">. </w:t>
      </w:r>
      <w:r w:rsidR="00551D51" w:rsidRPr="00BF6E28">
        <w:rPr>
          <w:rFonts w:ascii="Arial" w:hAnsi="Arial" w:cs="Arial"/>
          <w:sz w:val="22"/>
          <w:szCs w:val="22"/>
        </w:rPr>
        <w:t>K</w:t>
      </w:r>
      <w:r w:rsidR="00C66F26" w:rsidRPr="00BF6E28">
        <w:rPr>
          <w:rFonts w:ascii="Arial" w:hAnsi="Arial" w:cs="Arial"/>
          <w:sz w:val="22"/>
          <w:szCs w:val="22"/>
        </w:rPr>
        <w:t xml:space="preserve"> prvnímu </w:t>
      </w:r>
      <w:r w:rsidR="00551D51" w:rsidRPr="00BF6E28">
        <w:rPr>
          <w:rFonts w:ascii="Arial" w:hAnsi="Arial" w:cs="Arial"/>
          <w:sz w:val="22"/>
          <w:szCs w:val="22"/>
        </w:rPr>
        <w:t>zvýšení této sazby pak došlo v</w:t>
      </w:r>
      <w:r w:rsidRPr="00BF6E28">
        <w:rPr>
          <w:rFonts w:ascii="Arial" w:hAnsi="Arial" w:cs="Arial"/>
          <w:sz w:val="22"/>
          <w:szCs w:val="22"/>
        </w:rPr>
        <w:t xml:space="preserve"> časové </w:t>
      </w:r>
      <w:r w:rsidR="00551D51" w:rsidRPr="00BF6E28">
        <w:rPr>
          <w:rFonts w:ascii="Arial" w:hAnsi="Arial" w:cs="Arial"/>
          <w:sz w:val="22"/>
          <w:szCs w:val="22"/>
        </w:rPr>
        <w:t>souvislosti s ekonomickou krizí, resp. recesí, v roce 2008</w:t>
      </w:r>
      <w:r w:rsidRPr="00BF6E28">
        <w:rPr>
          <w:rFonts w:ascii="Arial" w:hAnsi="Arial" w:cs="Arial"/>
          <w:sz w:val="22"/>
          <w:szCs w:val="22"/>
        </w:rPr>
        <w:t xml:space="preserve">. Ovšem </w:t>
      </w:r>
      <w:r w:rsidR="00551D51" w:rsidRPr="00BF6E28">
        <w:rPr>
          <w:rFonts w:ascii="Arial" w:hAnsi="Arial" w:cs="Arial"/>
          <w:sz w:val="22"/>
          <w:szCs w:val="22"/>
        </w:rPr>
        <w:t xml:space="preserve">po </w:t>
      </w:r>
      <w:r w:rsidRPr="00BF6E28">
        <w:rPr>
          <w:rFonts w:ascii="Arial" w:hAnsi="Arial" w:cs="Arial"/>
          <w:sz w:val="22"/>
          <w:szCs w:val="22"/>
        </w:rPr>
        <w:t>o</w:t>
      </w:r>
      <w:r w:rsidR="00551D51" w:rsidRPr="00BF6E28">
        <w:rPr>
          <w:rFonts w:ascii="Arial" w:hAnsi="Arial" w:cs="Arial"/>
          <w:sz w:val="22"/>
          <w:szCs w:val="22"/>
        </w:rPr>
        <w:t xml:space="preserve">deznění </w:t>
      </w:r>
      <w:r w:rsidRPr="00BF6E28">
        <w:rPr>
          <w:rFonts w:ascii="Arial" w:hAnsi="Arial" w:cs="Arial"/>
          <w:sz w:val="22"/>
          <w:szCs w:val="22"/>
        </w:rPr>
        <w:t xml:space="preserve">krize (recese) </w:t>
      </w:r>
      <w:r w:rsidR="00551D51" w:rsidRPr="00BF6E28">
        <w:rPr>
          <w:rFonts w:ascii="Arial" w:hAnsi="Arial" w:cs="Arial"/>
          <w:sz w:val="22"/>
          <w:szCs w:val="22"/>
        </w:rPr>
        <w:t>se sazba už nesní</w:t>
      </w:r>
      <w:r w:rsidRPr="00BF6E28">
        <w:rPr>
          <w:rFonts w:ascii="Arial" w:hAnsi="Arial" w:cs="Arial"/>
          <w:sz w:val="22"/>
          <w:szCs w:val="22"/>
        </w:rPr>
        <w:t>žila</w:t>
      </w:r>
      <w:r w:rsidR="00551D51" w:rsidRPr="00BF6E28">
        <w:rPr>
          <w:rFonts w:ascii="Arial" w:hAnsi="Arial" w:cs="Arial"/>
          <w:sz w:val="22"/>
          <w:szCs w:val="22"/>
        </w:rPr>
        <w:t xml:space="preserve">, ale naopak dále rostla </w:t>
      </w:r>
      <w:r w:rsidRPr="00BF6E28">
        <w:rPr>
          <w:rFonts w:ascii="Arial" w:hAnsi="Arial" w:cs="Arial"/>
          <w:sz w:val="22"/>
          <w:szCs w:val="22"/>
        </w:rPr>
        <w:t>– v roce 2012 dosáhla 14 %</w:t>
      </w:r>
      <w:r w:rsidR="00E82B3E" w:rsidRPr="00BF6E28">
        <w:rPr>
          <w:rFonts w:ascii="Arial" w:hAnsi="Arial" w:cs="Arial"/>
          <w:sz w:val="22"/>
          <w:szCs w:val="22"/>
        </w:rPr>
        <w:t xml:space="preserve"> </w:t>
      </w:r>
      <w:r w:rsidR="00992E11" w:rsidRPr="00BF6E28">
        <w:rPr>
          <w:rFonts w:ascii="Arial" w:hAnsi="Arial" w:cs="Arial"/>
          <w:sz w:val="22"/>
          <w:szCs w:val="22"/>
        </w:rPr>
        <w:t>a </w:t>
      </w:r>
      <w:r w:rsidRPr="00BF6E28">
        <w:rPr>
          <w:rFonts w:ascii="Arial" w:hAnsi="Arial" w:cs="Arial"/>
          <w:sz w:val="22"/>
          <w:szCs w:val="22"/>
        </w:rPr>
        <w:t>v roce 201</w:t>
      </w:r>
      <w:r w:rsidR="00992E11" w:rsidRPr="00BF6E28">
        <w:rPr>
          <w:rFonts w:ascii="Arial" w:hAnsi="Arial" w:cs="Arial"/>
          <w:sz w:val="22"/>
          <w:szCs w:val="22"/>
        </w:rPr>
        <w:t>3 15 %</w:t>
      </w:r>
      <w:r w:rsidRPr="00BF6E28">
        <w:rPr>
          <w:rFonts w:ascii="Arial" w:hAnsi="Arial" w:cs="Arial"/>
          <w:sz w:val="22"/>
          <w:szCs w:val="22"/>
        </w:rPr>
        <w:t>.</w:t>
      </w:r>
    </w:p>
    <w:p w14:paraId="6A6D1E69" w14:textId="76D09C6F" w:rsidR="00551D51" w:rsidRPr="00BF6E28" w:rsidRDefault="00965503" w:rsidP="00BF6E28">
      <w:pPr>
        <w:pStyle w:val="l1"/>
        <w:spacing w:line="276" w:lineRule="auto"/>
        <w:jc w:val="both"/>
        <w:rPr>
          <w:rFonts w:ascii="Arial" w:hAnsi="Arial" w:cs="Arial"/>
          <w:sz w:val="22"/>
          <w:szCs w:val="22"/>
        </w:rPr>
      </w:pPr>
      <w:r w:rsidRPr="00BF6E28">
        <w:rPr>
          <w:rFonts w:ascii="Arial" w:hAnsi="Arial" w:cs="Arial"/>
          <w:sz w:val="22"/>
          <w:szCs w:val="22"/>
        </w:rPr>
        <w:t>V</w:t>
      </w:r>
      <w:r w:rsidR="00D42A12" w:rsidRPr="00BF6E28">
        <w:rPr>
          <w:rFonts w:ascii="Arial" w:hAnsi="Arial" w:cs="Arial"/>
          <w:sz w:val="22"/>
          <w:szCs w:val="22"/>
        </w:rPr>
        <w:t xml:space="preserve">ývoj sazby DPH pro bydlení </w:t>
      </w:r>
      <w:r w:rsidR="00A50806" w:rsidRPr="00BF6E28">
        <w:rPr>
          <w:rFonts w:ascii="Arial" w:hAnsi="Arial" w:cs="Arial"/>
          <w:sz w:val="22"/>
          <w:szCs w:val="22"/>
        </w:rPr>
        <w:t>a výši daně u nového tzv. běžného bytu</w:t>
      </w:r>
      <w:r w:rsidR="00691F3D">
        <w:rPr>
          <w:rFonts w:ascii="Arial" w:hAnsi="Arial" w:cs="Arial"/>
          <w:sz w:val="22"/>
          <w:szCs w:val="22"/>
        </w:rPr>
        <w:t xml:space="preserve"> v Praze</w:t>
      </w:r>
      <w:r w:rsidR="00A50806" w:rsidRPr="00BF6E28">
        <w:rPr>
          <w:rFonts w:ascii="Arial" w:hAnsi="Arial" w:cs="Arial"/>
          <w:sz w:val="22"/>
          <w:szCs w:val="22"/>
        </w:rPr>
        <w:t xml:space="preserve"> </w:t>
      </w:r>
      <w:r w:rsidR="00F94F75" w:rsidRPr="00BF6E28">
        <w:rPr>
          <w:rFonts w:ascii="Arial" w:hAnsi="Arial" w:cs="Arial"/>
          <w:sz w:val="22"/>
          <w:szCs w:val="22"/>
        </w:rPr>
        <w:t>ukazuje</w:t>
      </w:r>
      <w:r w:rsidRPr="00BF6E28">
        <w:rPr>
          <w:rFonts w:ascii="Arial" w:hAnsi="Arial" w:cs="Arial"/>
          <w:sz w:val="22"/>
          <w:szCs w:val="22"/>
        </w:rPr>
        <w:t xml:space="preserve"> následující tabulka:</w:t>
      </w:r>
    </w:p>
    <w:tbl>
      <w:tblPr>
        <w:tblW w:w="9194" w:type="dxa"/>
        <w:tblCellMar>
          <w:left w:w="0" w:type="dxa"/>
          <w:right w:w="0" w:type="dxa"/>
        </w:tblCellMar>
        <w:tblLook w:val="04A0" w:firstRow="1" w:lastRow="0" w:firstColumn="1" w:lastColumn="0" w:noHBand="0" w:noVBand="1"/>
      </w:tblPr>
      <w:tblGrid>
        <w:gridCol w:w="699"/>
        <w:gridCol w:w="1500"/>
        <w:gridCol w:w="2917"/>
        <w:gridCol w:w="1060"/>
        <w:gridCol w:w="1469"/>
        <w:gridCol w:w="1549"/>
      </w:tblGrid>
      <w:tr w:rsidR="00D42A12" w:rsidRPr="00BF6E28" w14:paraId="29B1CB6F" w14:textId="77777777" w:rsidTr="00D42A12">
        <w:trPr>
          <w:trHeight w:val="300"/>
        </w:trPr>
        <w:tc>
          <w:tcPr>
            <w:tcW w:w="69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734978E"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Rok</w:t>
            </w:r>
          </w:p>
        </w:tc>
        <w:tc>
          <w:tcPr>
            <w:tcW w:w="15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7A714A1"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Kč / m2 (s DPH)</w:t>
            </w:r>
          </w:p>
        </w:tc>
        <w:tc>
          <w:tcPr>
            <w:tcW w:w="291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FCF29A6"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Průměrná prodejní cena bytu (70 m2) s</w:t>
            </w:r>
            <w:r w:rsidR="00541F62" w:rsidRPr="00BF6E28">
              <w:rPr>
                <w:rFonts w:ascii="Arial" w:hAnsi="Arial" w:cs="Arial"/>
                <w:b/>
                <w:bCs/>
                <w:color w:val="000000"/>
                <w:lang w:eastAsia="cs-CZ"/>
              </w:rPr>
              <w:t> </w:t>
            </w:r>
            <w:r w:rsidRPr="00BF6E28">
              <w:rPr>
                <w:rFonts w:ascii="Arial" w:hAnsi="Arial" w:cs="Arial"/>
                <w:b/>
                <w:bCs/>
                <w:color w:val="000000"/>
                <w:lang w:eastAsia="cs-CZ"/>
              </w:rPr>
              <w:t>DPH</w:t>
            </w:r>
          </w:p>
        </w:tc>
        <w:tc>
          <w:tcPr>
            <w:tcW w:w="10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97D91E1"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sazba DPH</w:t>
            </w:r>
          </w:p>
        </w:tc>
        <w:tc>
          <w:tcPr>
            <w:tcW w:w="146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1525702"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cena bez DPH</w:t>
            </w:r>
          </w:p>
        </w:tc>
        <w:tc>
          <w:tcPr>
            <w:tcW w:w="154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EE09B48" w14:textId="77777777" w:rsidR="00D42A12" w:rsidRPr="00BF6E28" w:rsidRDefault="00D42A12" w:rsidP="00BF6E28">
            <w:pPr>
              <w:rPr>
                <w:rFonts w:ascii="Arial" w:hAnsi="Arial" w:cs="Arial"/>
                <w:b/>
                <w:bCs/>
                <w:color w:val="000000"/>
                <w:lang w:eastAsia="cs-CZ"/>
              </w:rPr>
            </w:pPr>
            <w:r w:rsidRPr="00BF6E28">
              <w:rPr>
                <w:rFonts w:ascii="Arial" w:hAnsi="Arial" w:cs="Arial"/>
                <w:b/>
                <w:bCs/>
                <w:color w:val="000000"/>
                <w:lang w:eastAsia="cs-CZ"/>
              </w:rPr>
              <w:t>výše DPH</w:t>
            </w:r>
          </w:p>
        </w:tc>
      </w:tr>
      <w:tr w:rsidR="00D42A12" w:rsidRPr="00BF6E28" w14:paraId="35B125ED"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4D63698"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2007</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8F933D1"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50 345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B45C78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3 524 150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04170D" w14:textId="66129A29"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AF5307B"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3 356 333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51A198"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167 817 Kč</w:t>
            </w:r>
          </w:p>
        </w:tc>
      </w:tr>
      <w:tr w:rsidR="00D42A12" w:rsidRPr="00BF6E28" w14:paraId="21AC3290"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08C98A"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2008</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428A82C"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50 879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C86F30"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3 561 530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5E37B1" w14:textId="72B11226"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9</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8B3E1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3 267 459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D8F7ED"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294 071 Kč</w:t>
            </w:r>
          </w:p>
        </w:tc>
      </w:tr>
      <w:tr w:rsidR="00D42A12" w:rsidRPr="00BF6E28" w14:paraId="6E49ED33"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61C94A1"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2009</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17EC7EA"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50 174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C85DA3"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3 512 180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BCF2FB" w14:textId="0E12344B"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9</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C26CF1"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3 222 183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8DA004A"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289 997 Kč</w:t>
            </w:r>
          </w:p>
        </w:tc>
      </w:tr>
      <w:tr w:rsidR="00D42A12" w:rsidRPr="00BF6E28" w14:paraId="3BEDE740"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51DA0F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2010</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B4B257"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49 049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2A9D8E"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3 433 430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EB246E" w14:textId="6B6CD7B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10</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E1739E"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3 121 300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1D3E5A"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312 130 Kč</w:t>
            </w:r>
          </w:p>
        </w:tc>
      </w:tr>
      <w:tr w:rsidR="00D42A12" w:rsidRPr="00BF6E28" w14:paraId="4EC323A6"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CD52F3"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2011</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F3FFCE"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50 188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A95F45"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3 513 160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B8C750" w14:textId="499C89B5"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10</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C31B7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3 193 782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0137B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319 378 Kč</w:t>
            </w:r>
          </w:p>
        </w:tc>
      </w:tr>
      <w:tr w:rsidR="00D42A12" w:rsidRPr="00BF6E28" w14:paraId="2E23C37A"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F3B6BAD"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2012</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9E938F"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51 139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8F81E7"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3 579 730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777A85" w14:textId="155BB2E8" w:rsidR="00D42A12" w:rsidRPr="00BF6E28" w:rsidRDefault="00D42A12" w:rsidP="00BF6E28">
            <w:pPr>
              <w:ind w:left="-523" w:firstLine="523"/>
              <w:rPr>
                <w:rFonts w:ascii="Arial" w:hAnsi="Arial" w:cs="Arial"/>
                <w:color w:val="000000"/>
                <w:lang w:eastAsia="cs-CZ"/>
              </w:rPr>
            </w:pPr>
            <w:r w:rsidRPr="00BF6E28">
              <w:rPr>
                <w:rFonts w:ascii="Arial" w:hAnsi="Arial" w:cs="Arial"/>
                <w:color w:val="000000"/>
                <w:lang w:eastAsia="cs-CZ"/>
              </w:rPr>
              <w:t>14</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5A4270B"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3 140 114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57AABF5"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439 616 Kč</w:t>
            </w:r>
          </w:p>
        </w:tc>
      </w:tr>
      <w:tr w:rsidR="00D42A12" w:rsidRPr="00BF6E28" w14:paraId="7C2C3BF9"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D0EE14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2013</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EE474D3"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54 738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627FF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3 831 660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D330B9" w14:textId="79EB3310"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00D97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3 331 878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A35CCF"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499 782 Kč</w:t>
            </w:r>
          </w:p>
        </w:tc>
      </w:tr>
      <w:tr w:rsidR="00D42A12" w:rsidRPr="00BF6E28" w14:paraId="2CD1E897"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805CA4D"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2014</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2EB5C7"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56 177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0069EA"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3 932 390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2EBE895" w14:textId="4F12E346"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F468D4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3 419 470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A6748C"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512 920 Kč</w:t>
            </w:r>
          </w:p>
        </w:tc>
      </w:tr>
      <w:tr w:rsidR="00D42A12" w:rsidRPr="00BF6E28" w14:paraId="508AE6D3"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BD4B88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2015</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AB709EC"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59 885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049380"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4 191 950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9B7D93" w14:textId="22A5D504"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D2D55B5"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3 645 174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F3DCA69"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546 776 Kč</w:t>
            </w:r>
          </w:p>
        </w:tc>
      </w:tr>
      <w:tr w:rsidR="00D42A12" w:rsidRPr="00BF6E28" w14:paraId="1029A9A2"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BC60DD5"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lastRenderedPageBreak/>
              <w:t>2016</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0D94C5"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71 567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113517"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5 009 690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2E8001" w14:textId="4EE9B319"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F19F99"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4 356 252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848686"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653 438 Kč</w:t>
            </w:r>
          </w:p>
        </w:tc>
      </w:tr>
      <w:tr w:rsidR="00D42A12" w:rsidRPr="00BF6E28" w14:paraId="725CC2B9"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95D758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2017</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71C4E9"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85 223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9BD978"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5 965 610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F27442" w14:textId="7688AC35"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62FF00"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5 187 487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DD5043"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778 123 Kč</w:t>
            </w:r>
          </w:p>
        </w:tc>
      </w:tr>
      <w:tr w:rsidR="00D42A12" w:rsidRPr="00BF6E28" w14:paraId="72EDF31C"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BA72FBC"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2018</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DF3B4F"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101 091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F2EA7E"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7 076 370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1A9E5F" w14:textId="74435D32"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3A57A2"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6 153 365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040D9BD"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923 005 Kč</w:t>
            </w:r>
          </w:p>
        </w:tc>
      </w:tr>
      <w:tr w:rsidR="00D42A12" w:rsidRPr="00BF6E28" w14:paraId="3EF7A17C" w14:textId="77777777" w:rsidTr="00D42A12">
        <w:trPr>
          <w:trHeight w:val="300"/>
        </w:trPr>
        <w:tc>
          <w:tcPr>
            <w:tcW w:w="69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D947601"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2019</w:t>
            </w:r>
          </w:p>
        </w:tc>
        <w:tc>
          <w:tcPr>
            <w:tcW w:w="150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7FCF84"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106 713 Kč</w:t>
            </w:r>
          </w:p>
        </w:tc>
        <w:tc>
          <w:tcPr>
            <w:tcW w:w="2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48DBE9"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7 469 910 Kč</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295523" w14:textId="575B2F63"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15</w:t>
            </w:r>
            <w:r w:rsidR="00E82B3E" w:rsidRPr="00BF6E28">
              <w:rPr>
                <w:rFonts w:ascii="Arial" w:hAnsi="Arial" w:cs="Arial"/>
                <w:color w:val="000000"/>
                <w:lang w:eastAsia="cs-CZ"/>
              </w:rPr>
              <w:t xml:space="preserve"> %</w:t>
            </w:r>
          </w:p>
        </w:tc>
        <w:tc>
          <w:tcPr>
            <w:tcW w:w="146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B3CAE0"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6 495 574 Kč</w:t>
            </w:r>
          </w:p>
        </w:tc>
        <w:tc>
          <w:tcPr>
            <w:tcW w:w="154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7ABED4" w14:textId="77777777" w:rsidR="00D42A12" w:rsidRPr="00BF6E28" w:rsidRDefault="00D42A12" w:rsidP="00BF6E28">
            <w:pPr>
              <w:rPr>
                <w:rFonts w:ascii="Arial" w:hAnsi="Arial" w:cs="Arial"/>
                <w:color w:val="000000"/>
                <w:lang w:eastAsia="cs-CZ"/>
              </w:rPr>
            </w:pPr>
            <w:r w:rsidRPr="00BF6E28">
              <w:rPr>
                <w:rFonts w:ascii="Arial" w:hAnsi="Arial" w:cs="Arial"/>
                <w:color w:val="000000"/>
                <w:lang w:eastAsia="cs-CZ"/>
              </w:rPr>
              <w:t>974 336 Kč</w:t>
            </w:r>
          </w:p>
        </w:tc>
      </w:tr>
    </w:tbl>
    <w:p w14:paraId="3CFADD0D" w14:textId="6035DC47" w:rsidR="00D42A12" w:rsidRPr="00BF6E28" w:rsidRDefault="00E82B3E" w:rsidP="00BF6E28">
      <w:pPr>
        <w:jc w:val="right"/>
        <w:rPr>
          <w:rFonts w:ascii="Arial" w:hAnsi="Arial" w:cs="Arial"/>
          <w:i/>
        </w:rPr>
      </w:pPr>
      <w:r w:rsidRPr="00BF6E28">
        <w:rPr>
          <w:rFonts w:ascii="Arial" w:hAnsi="Arial" w:cs="Arial"/>
        </w:rPr>
        <w:tab/>
      </w:r>
      <w:r w:rsidR="00D42A12" w:rsidRPr="00BF6E28">
        <w:rPr>
          <w:rFonts w:ascii="Arial" w:hAnsi="Arial" w:cs="Arial"/>
          <w:i/>
        </w:rPr>
        <w:t xml:space="preserve">Zdroj: Data Trigema, Skanska, CENTRAL GROUP </w:t>
      </w:r>
    </w:p>
    <w:p w14:paraId="4383F990" w14:textId="496BEF17" w:rsidR="00FB2354" w:rsidRPr="00BF6E28" w:rsidRDefault="00F4731A" w:rsidP="00BF6E28">
      <w:pPr>
        <w:tabs>
          <w:tab w:val="left" w:pos="405"/>
          <w:tab w:val="center" w:pos="4762"/>
          <w:tab w:val="left" w:pos="5387"/>
          <w:tab w:val="left" w:pos="7797"/>
          <w:tab w:val="left" w:pos="7938"/>
        </w:tabs>
        <w:jc w:val="both"/>
        <w:rPr>
          <w:rFonts w:ascii="Arial" w:hAnsi="Arial" w:cs="Arial"/>
        </w:rPr>
      </w:pPr>
      <w:r w:rsidRPr="00BF6E28">
        <w:rPr>
          <w:rFonts w:ascii="Arial" w:hAnsi="Arial" w:cs="Arial"/>
        </w:rPr>
        <w:t>O</w:t>
      </w:r>
      <w:r w:rsidR="00965503" w:rsidRPr="00BF6E28">
        <w:rPr>
          <w:rFonts w:ascii="Arial" w:hAnsi="Arial" w:cs="Arial"/>
        </w:rPr>
        <w:t xml:space="preserve">proti roku 2007 je současná výše sazby trojnásobná, </w:t>
      </w:r>
      <w:r w:rsidR="00A142C9" w:rsidRPr="00BF6E28">
        <w:rPr>
          <w:rFonts w:ascii="Arial" w:hAnsi="Arial" w:cs="Arial"/>
        </w:rPr>
        <w:t>jedná se tedy o </w:t>
      </w:r>
      <w:r w:rsidR="00965503" w:rsidRPr="00BF6E28">
        <w:rPr>
          <w:rFonts w:ascii="Arial" w:hAnsi="Arial" w:cs="Arial"/>
        </w:rPr>
        <w:t>deset</w:t>
      </w:r>
      <w:r w:rsidR="00BC3901" w:rsidRPr="00BF6E28">
        <w:rPr>
          <w:rFonts w:ascii="Arial" w:hAnsi="Arial" w:cs="Arial"/>
        </w:rPr>
        <w:t>i</w:t>
      </w:r>
      <w:r w:rsidR="00965503" w:rsidRPr="00BF6E28">
        <w:rPr>
          <w:rFonts w:ascii="Arial" w:hAnsi="Arial" w:cs="Arial"/>
        </w:rPr>
        <w:t>procent</w:t>
      </w:r>
      <w:r w:rsidR="00BC3901" w:rsidRPr="00BF6E28">
        <w:rPr>
          <w:rFonts w:ascii="Arial" w:hAnsi="Arial" w:cs="Arial"/>
        </w:rPr>
        <w:t>ní</w:t>
      </w:r>
      <w:r w:rsidR="00965503" w:rsidRPr="00BF6E28">
        <w:rPr>
          <w:rFonts w:ascii="Arial" w:hAnsi="Arial" w:cs="Arial"/>
        </w:rPr>
        <w:t xml:space="preserve"> </w:t>
      </w:r>
      <w:r w:rsidR="00BC3901" w:rsidRPr="00BF6E28">
        <w:rPr>
          <w:rFonts w:ascii="Arial" w:hAnsi="Arial" w:cs="Arial"/>
        </w:rPr>
        <w:t xml:space="preserve">nárůst </w:t>
      </w:r>
      <w:r w:rsidR="00965503" w:rsidRPr="00BF6E28">
        <w:rPr>
          <w:rFonts w:ascii="Arial" w:hAnsi="Arial" w:cs="Arial"/>
        </w:rPr>
        <w:t xml:space="preserve">ceny bytu </w:t>
      </w:r>
      <w:r w:rsidR="00BC3901" w:rsidRPr="00BF6E28">
        <w:rPr>
          <w:rFonts w:ascii="Arial" w:hAnsi="Arial" w:cs="Arial"/>
        </w:rPr>
        <w:t xml:space="preserve">jenom </w:t>
      </w:r>
      <w:r w:rsidR="0058073A" w:rsidRPr="00BF6E28">
        <w:rPr>
          <w:rFonts w:ascii="Arial" w:hAnsi="Arial" w:cs="Arial"/>
        </w:rPr>
        <w:t>na dani</w:t>
      </w:r>
      <w:r w:rsidR="00965503" w:rsidRPr="00BF6E28">
        <w:rPr>
          <w:rFonts w:ascii="Arial" w:hAnsi="Arial" w:cs="Arial"/>
        </w:rPr>
        <w:t xml:space="preserve">. Reálně </w:t>
      </w:r>
      <w:r w:rsidR="0095636D" w:rsidRPr="00BF6E28">
        <w:rPr>
          <w:rFonts w:ascii="Arial" w:hAnsi="Arial" w:cs="Arial"/>
        </w:rPr>
        <w:t>s</w:t>
      </w:r>
      <w:r w:rsidR="00965503" w:rsidRPr="00BF6E28">
        <w:rPr>
          <w:rFonts w:ascii="Arial" w:hAnsi="Arial" w:cs="Arial"/>
        </w:rPr>
        <w:t>e n</w:t>
      </w:r>
      <w:r w:rsidR="00D42A12" w:rsidRPr="00BF6E28">
        <w:rPr>
          <w:rFonts w:ascii="Arial" w:hAnsi="Arial" w:cs="Arial"/>
        </w:rPr>
        <w:t>a DPH v roce 2019 z běžného bytu odvádí bezmála 6x více než v roce 2007</w:t>
      </w:r>
      <w:r w:rsidR="000B361D" w:rsidRPr="00BF6E28">
        <w:rPr>
          <w:rFonts w:ascii="Arial" w:hAnsi="Arial" w:cs="Arial"/>
        </w:rPr>
        <w:t>. V</w:t>
      </w:r>
      <w:r w:rsidR="00F60416" w:rsidRPr="00BF6E28">
        <w:rPr>
          <w:rFonts w:ascii="Arial" w:hAnsi="Arial" w:cs="Arial"/>
        </w:rPr>
        <w:t xml:space="preserve"> roce 2007</w:t>
      </w:r>
      <w:r w:rsidR="000B361D" w:rsidRPr="00BF6E28">
        <w:rPr>
          <w:rFonts w:ascii="Arial" w:hAnsi="Arial" w:cs="Arial"/>
        </w:rPr>
        <w:t xml:space="preserve"> činila takto kalkulovaná daň </w:t>
      </w:r>
      <w:r w:rsidR="00EB7053" w:rsidRPr="00BF6E28">
        <w:rPr>
          <w:rFonts w:ascii="Arial" w:hAnsi="Arial" w:cs="Arial"/>
        </w:rPr>
        <w:t xml:space="preserve">necelých </w:t>
      </w:r>
      <w:r w:rsidR="000B361D" w:rsidRPr="00BF6E28">
        <w:rPr>
          <w:rFonts w:ascii="Arial" w:hAnsi="Arial" w:cs="Arial"/>
        </w:rPr>
        <w:t>170</w:t>
      </w:r>
      <w:r w:rsidR="00EB7053" w:rsidRPr="00BF6E28">
        <w:rPr>
          <w:rFonts w:ascii="Arial" w:hAnsi="Arial" w:cs="Arial"/>
        </w:rPr>
        <w:t xml:space="preserve"> </w:t>
      </w:r>
      <w:r w:rsidR="00877339">
        <w:rPr>
          <w:rFonts w:ascii="Arial" w:hAnsi="Arial" w:cs="Arial"/>
        </w:rPr>
        <w:t>000 Kč, letos už </w:t>
      </w:r>
      <w:r w:rsidR="000B361D" w:rsidRPr="00BF6E28">
        <w:rPr>
          <w:rFonts w:ascii="Arial" w:hAnsi="Arial" w:cs="Arial"/>
        </w:rPr>
        <w:t xml:space="preserve">je to téměř celý jeden </w:t>
      </w:r>
      <w:r w:rsidR="00D00670" w:rsidRPr="00BF6E28">
        <w:rPr>
          <w:rFonts w:ascii="Arial" w:hAnsi="Arial" w:cs="Arial"/>
        </w:rPr>
        <w:t xml:space="preserve">(1) </w:t>
      </w:r>
      <w:r w:rsidR="000B361D" w:rsidRPr="00BF6E28">
        <w:rPr>
          <w:rFonts w:ascii="Arial" w:hAnsi="Arial" w:cs="Arial"/>
        </w:rPr>
        <w:t>milion korun českých.</w:t>
      </w:r>
      <w:r w:rsidR="00F60416" w:rsidRPr="00BF6E28">
        <w:rPr>
          <w:rFonts w:ascii="Arial" w:hAnsi="Arial" w:cs="Arial"/>
        </w:rPr>
        <w:t xml:space="preserve"> </w:t>
      </w:r>
      <w:r w:rsidR="008C6817" w:rsidRPr="00BF6E28">
        <w:rPr>
          <w:rFonts w:ascii="Arial" w:hAnsi="Arial" w:cs="Arial"/>
        </w:rPr>
        <w:t>P</w:t>
      </w:r>
      <w:r w:rsidR="00A733E1" w:rsidRPr="00BF6E28">
        <w:rPr>
          <w:rFonts w:ascii="Arial" w:hAnsi="Arial" w:cs="Arial"/>
        </w:rPr>
        <w:t xml:space="preserve">ři </w:t>
      </w:r>
      <w:r w:rsidR="00D42A12" w:rsidRPr="00BF6E28">
        <w:rPr>
          <w:rFonts w:ascii="Arial" w:hAnsi="Arial" w:cs="Arial"/>
        </w:rPr>
        <w:t>snížení sazby DPH ze stávajících 15</w:t>
      </w:r>
      <w:r w:rsidR="004C3676" w:rsidRPr="00BF6E28">
        <w:rPr>
          <w:rFonts w:ascii="Arial" w:hAnsi="Arial" w:cs="Arial"/>
        </w:rPr>
        <w:t xml:space="preserve"> </w:t>
      </w:r>
      <w:r w:rsidR="00D42A12" w:rsidRPr="00BF6E28">
        <w:rPr>
          <w:rFonts w:ascii="Arial" w:hAnsi="Arial" w:cs="Arial"/>
        </w:rPr>
        <w:t>% na 10</w:t>
      </w:r>
      <w:r w:rsidR="00E82B3E" w:rsidRPr="00BF6E28">
        <w:rPr>
          <w:rFonts w:ascii="Arial" w:hAnsi="Arial" w:cs="Arial"/>
        </w:rPr>
        <w:t> </w:t>
      </w:r>
      <w:r w:rsidR="00D42A12" w:rsidRPr="00BF6E28">
        <w:rPr>
          <w:rFonts w:ascii="Arial" w:hAnsi="Arial" w:cs="Arial"/>
        </w:rPr>
        <w:t xml:space="preserve">% </w:t>
      </w:r>
      <w:r w:rsidR="0049229C" w:rsidRPr="00BF6E28">
        <w:rPr>
          <w:rFonts w:ascii="Arial" w:hAnsi="Arial" w:cs="Arial"/>
        </w:rPr>
        <w:t>by r</w:t>
      </w:r>
      <w:r w:rsidR="00A733E1" w:rsidRPr="00BF6E28">
        <w:rPr>
          <w:rFonts w:ascii="Arial" w:hAnsi="Arial" w:cs="Arial"/>
        </w:rPr>
        <w:t>eálná úspora na odváděné DPH u </w:t>
      </w:r>
      <w:r w:rsidR="00D42A12" w:rsidRPr="00BF6E28">
        <w:rPr>
          <w:rFonts w:ascii="Arial" w:hAnsi="Arial" w:cs="Arial"/>
        </w:rPr>
        <w:t xml:space="preserve">běžného bytu </w:t>
      </w:r>
      <w:r w:rsidR="0049229C" w:rsidRPr="00BF6E28">
        <w:rPr>
          <w:rFonts w:ascii="Arial" w:hAnsi="Arial" w:cs="Arial"/>
        </w:rPr>
        <w:t xml:space="preserve">v Praze </w:t>
      </w:r>
      <w:r w:rsidR="00A733E1" w:rsidRPr="00BF6E28">
        <w:rPr>
          <w:rFonts w:ascii="Arial" w:hAnsi="Arial" w:cs="Arial"/>
        </w:rPr>
        <w:t xml:space="preserve">přesahovala </w:t>
      </w:r>
      <w:r w:rsidR="00A57B65" w:rsidRPr="00BF6E28">
        <w:rPr>
          <w:rFonts w:ascii="Arial" w:hAnsi="Arial" w:cs="Arial"/>
        </w:rPr>
        <w:t xml:space="preserve">částku </w:t>
      </w:r>
      <w:r w:rsidR="00D42A12" w:rsidRPr="00BF6E28">
        <w:rPr>
          <w:rFonts w:ascii="Arial" w:hAnsi="Arial" w:cs="Arial"/>
        </w:rPr>
        <w:t>3</w:t>
      </w:r>
      <w:r w:rsidR="00A733E1" w:rsidRPr="00BF6E28">
        <w:rPr>
          <w:rFonts w:ascii="Arial" w:hAnsi="Arial" w:cs="Arial"/>
        </w:rPr>
        <w:t>00</w:t>
      </w:r>
      <w:r w:rsidR="00877339">
        <w:rPr>
          <w:rFonts w:ascii="Arial" w:hAnsi="Arial" w:cs="Arial"/>
        </w:rPr>
        <w:t> </w:t>
      </w:r>
      <w:r w:rsidR="00A733E1" w:rsidRPr="00BF6E28">
        <w:rPr>
          <w:rFonts w:ascii="Arial" w:hAnsi="Arial" w:cs="Arial"/>
        </w:rPr>
        <w:t>000</w:t>
      </w:r>
      <w:r w:rsidR="00931766" w:rsidRPr="00BF6E28">
        <w:rPr>
          <w:rFonts w:ascii="Arial" w:hAnsi="Arial" w:cs="Arial"/>
        </w:rPr>
        <w:t> </w:t>
      </w:r>
      <w:r w:rsidR="00D42A12" w:rsidRPr="00BF6E28">
        <w:rPr>
          <w:rFonts w:ascii="Arial" w:hAnsi="Arial" w:cs="Arial"/>
        </w:rPr>
        <w:t>Kč.</w:t>
      </w:r>
      <w:r w:rsidR="00D60EC1" w:rsidRPr="00BF6E28">
        <w:rPr>
          <w:rFonts w:ascii="Arial" w:hAnsi="Arial" w:cs="Arial"/>
        </w:rPr>
        <w:t xml:space="preserve"> </w:t>
      </w:r>
    </w:p>
    <w:p w14:paraId="4FCBFE5E" w14:textId="019C284B" w:rsidR="00894AFB" w:rsidRPr="00BF6E28" w:rsidRDefault="00FB2354" w:rsidP="00BF6E28">
      <w:pPr>
        <w:tabs>
          <w:tab w:val="left" w:pos="405"/>
          <w:tab w:val="center" w:pos="4762"/>
          <w:tab w:val="left" w:pos="5387"/>
          <w:tab w:val="left" w:pos="7797"/>
          <w:tab w:val="left" w:pos="7938"/>
        </w:tabs>
        <w:jc w:val="both"/>
        <w:rPr>
          <w:rFonts w:ascii="Arial" w:hAnsi="Arial" w:cs="Arial"/>
        </w:rPr>
      </w:pPr>
      <w:r w:rsidRPr="00BF6E28">
        <w:rPr>
          <w:rFonts w:ascii="Arial" w:eastAsia="Times New Roman" w:hAnsi="Arial" w:cs="Arial"/>
          <w:lang w:eastAsia="cs-CZ"/>
        </w:rPr>
        <w:t xml:space="preserve">K popsanému zvýšení sazby DPH na bydlení </w:t>
      </w:r>
      <w:r w:rsidR="00EB7053" w:rsidRPr="00BF6E28">
        <w:rPr>
          <w:rFonts w:ascii="Arial" w:eastAsia="Times New Roman" w:hAnsi="Arial" w:cs="Arial"/>
          <w:lang w:eastAsia="cs-CZ"/>
        </w:rPr>
        <w:t>navíc</w:t>
      </w:r>
      <w:r w:rsidRPr="00BF6E28">
        <w:rPr>
          <w:rFonts w:ascii="Arial" w:eastAsia="Times New Roman" w:hAnsi="Arial" w:cs="Arial"/>
          <w:lang w:eastAsia="cs-CZ"/>
        </w:rPr>
        <w:t xml:space="preserve"> došlo v době, kdy ceny nemovitostí (zejména v Praze) začaly závratně růst. Přehledně je vývoj cen bytů bez DPH vidět v předposledním sloupečku tabulky. Mezi lety 2007 a 2013 cenu bytu zvyšovalo prakticky jen zvyšující se DPH. Naopak v letech 2013</w:t>
      </w:r>
      <w:r w:rsidR="00877339">
        <w:rPr>
          <w:rFonts w:ascii="Arial" w:eastAsia="Times New Roman" w:hAnsi="Arial" w:cs="Arial"/>
          <w:lang w:eastAsia="cs-CZ"/>
        </w:rPr>
        <w:t>-</w:t>
      </w:r>
      <w:r w:rsidRPr="00BF6E28">
        <w:rPr>
          <w:rFonts w:ascii="Arial" w:eastAsia="Times New Roman" w:hAnsi="Arial" w:cs="Arial"/>
          <w:lang w:eastAsia="cs-CZ"/>
        </w:rPr>
        <w:t xml:space="preserve">2019, kdy cena bytu vzrostla téměř na dvojnásobek, DPH zůstalo na 15 %, tj. na své nejvyšší hodnotě </w:t>
      </w:r>
      <w:r w:rsidR="00894AFB" w:rsidRPr="00BF6E28">
        <w:rPr>
          <w:rFonts w:ascii="Arial" w:eastAsia="Times New Roman" w:hAnsi="Arial" w:cs="Arial"/>
          <w:lang w:eastAsia="cs-CZ"/>
        </w:rPr>
        <w:t xml:space="preserve">za </w:t>
      </w:r>
      <w:r w:rsidRPr="00BF6E28">
        <w:rPr>
          <w:rFonts w:ascii="Arial" w:eastAsia="Times New Roman" w:hAnsi="Arial" w:cs="Arial"/>
          <w:lang w:eastAsia="cs-CZ"/>
        </w:rPr>
        <w:t>posledních 10 let.</w:t>
      </w:r>
      <w:r w:rsidR="00204B66" w:rsidRPr="00BF6E28">
        <w:rPr>
          <w:rFonts w:ascii="Arial" w:hAnsi="Arial" w:cs="Arial"/>
        </w:rPr>
        <w:t xml:space="preserve"> </w:t>
      </w:r>
    </w:p>
    <w:p w14:paraId="19E572C1" w14:textId="6287A671" w:rsidR="00B8210B" w:rsidRPr="00BF6E28" w:rsidRDefault="00204B66" w:rsidP="00BF6E28">
      <w:pPr>
        <w:tabs>
          <w:tab w:val="left" w:pos="405"/>
          <w:tab w:val="center" w:pos="4762"/>
          <w:tab w:val="left" w:pos="5387"/>
          <w:tab w:val="left" w:pos="7797"/>
          <w:tab w:val="left" w:pos="7938"/>
        </w:tabs>
        <w:jc w:val="both"/>
        <w:rPr>
          <w:rFonts w:ascii="Arial" w:hAnsi="Arial" w:cs="Arial"/>
        </w:rPr>
      </w:pPr>
      <w:r w:rsidRPr="00BF6E28">
        <w:rPr>
          <w:rFonts w:ascii="Arial" w:hAnsi="Arial" w:cs="Arial"/>
        </w:rPr>
        <w:t>S</w:t>
      </w:r>
      <w:r w:rsidR="00B8210B" w:rsidRPr="00BF6E28">
        <w:rPr>
          <w:rFonts w:ascii="Arial" w:hAnsi="Arial" w:cs="Arial"/>
        </w:rPr>
        <w:t>rovnání snížených sazeb DPH v</w:t>
      </w:r>
      <w:r w:rsidR="003B2F73" w:rsidRPr="00BF6E28">
        <w:rPr>
          <w:rFonts w:ascii="Arial" w:hAnsi="Arial" w:cs="Arial"/>
        </w:rPr>
        <w:t> </w:t>
      </w:r>
      <w:r w:rsidR="00B8210B" w:rsidRPr="00BF6E28">
        <w:rPr>
          <w:rFonts w:ascii="Arial" w:hAnsi="Arial" w:cs="Arial"/>
        </w:rPr>
        <w:t>ČR</w:t>
      </w:r>
      <w:r w:rsidR="003B2F73" w:rsidRPr="00BF6E28">
        <w:rPr>
          <w:rFonts w:ascii="Arial" w:hAnsi="Arial" w:cs="Arial"/>
        </w:rPr>
        <w:t xml:space="preserve"> a v </w:t>
      </w:r>
      <w:r w:rsidR="00B8210B" w:rsidRPr="00BF6E28">
        <w:rPr>
          <w:rFonts w:ascii="Arial" w:hAnsi="Arial" w:cs="Arial"/>
        </w:rPr>
        <w:t>evropský</w:t>
      </w:r>
      <w:r w:rsidR="003B2F73" w:rsidRPr="00BF6E28">
        <w:rPr>
          <w:rFonts w:ascii="Arial" w:hAnsi="Arial" w:cs="Arial"/>
        </w:rPr>
        <w:t>ch</w:t>
      </w:r>
      <w:r w:rsidR="00B8210B" w:rsidRPr="00BF6E28">
        <w:rPr>
          <w:rFonts w:ascii="Arial" w:hAnsi="Arial" w:cs="Arial"/>
        </w:rPr>
        <w:t xml:space="preserve"> </w:t>
      </w:r>
      <w:r w:rsidR="003B2F73" w:rsidRPr="00BF6E28">
        <w:rPr>
          <w:rFonts w:ascii="Arial" w:hAnsi="Arial" w:cs="Arial"/>
        </w:rPr>
        <w:t>zemích</w:t>
      </w:r>
      <w:r w:rsidR="00B8210B" w:rsidRPr="00BF6E28">
        <w:rPr>
          <w:rFonts w:ascii="Arial" w:hAnsi="Arial" w:cs="Arial"/>
        </w:rPr>
        <w:t xml:space="preserve"> vyjadřuje přehledně n</w:t>
      </w:r>
      <w:r w:rsidR="00780F15" w:rsidRPr="00BF6E28">
        <w:rPr>
          <w:rFonts w:ascii="Arial" w:hAnsi="Arial" w:cs="Arial"/>
        </w:rPr>
        <w:t xml:space="preserve">ásledující </w:t>
      </w:r>
      <w:r w:rsidR="008C644A" w:rsidRPr="00BF6E28">
        <w:rPr>
          <w:rFonts w:ascii="Arial" w:hAnsi="Arial" w:cs="Arial"/>
        </w:rPr>
        <w:t>mapa.</w:t>
      </w:r>
      <w:r w:rsidR="00780F15" w:rsidRPr="00BF6E28">
        <w:rPr>
          <w:rFonts w:ascii="Arial" w:hAnsi="Arial" w:cs="Arial"/>
        </w:rPr>
        <w:t xml:space="preserve"> Z</w:t>
      </w:r>
      <w:r w:rsidR="008C644A" w:rsidRPr="00BF6E28">
        <w:rPr>
          <w:rFonts w:ascii="Arial" w:hAnsi="Arial" w:cs="Arial"/>
        </w:rPr>
        <w:t xml:space="preserve"> ní </w:t>
      </w:r>
      <w:r w:rsidR="00780F15" w:rsidRPr="00BF6E28">
        <w:rPr>
          <w:rFonts w:ascii="Arial" w:hAnsi="Arial" w:cs="Arial"/>
        </w:rPr>
        <w:t>plyne, že řada evropských zemí má snížené sazby v nižší výši než Česká republika (</w:t>
      </w:r>
      <w:r w:rsidR="00D87B2A" w:rsidRPr="00BF6E28">
        <w:rPr>
          <w:rFonts w:ascii="Arial" w:hAnsi="Arial" w:cs="Arial"/>
        </w:rPr>
        <w:t xml:space="preserve">z bližších sousedů </w:t>
      </w:r>
      <w:r w:rsidR="00924C56" w:rsidRPr="00BF6E28">
        <w:rPr>
          <w:rFonts w:ascii="Arial" w:hAnsi="Arial" w:cs="Arial"/>
        </w:rPr>
        <w:t xml:space="preserve">to jsou </w:t>
      </w:r>
      <w:r w:rsidR="00780F15" w:rsidRPr="00BF6E28">
        <w:rPr>
          <w:rFonts w:ascii="Arial" w:hAnsi="Arial" w:cs="Arial"/>
        </w:rPr>
        <w:t xml:space="preserve">Polsko a Maďarsko, </w:t>
      </w:r>
      <w:r w:rsidR="00675F25" w:rsidRPr="00BF6E28">
        <w:rPr>
          <w:rFonts w:ascii="Arial" w:hAnsi="Arial" w:cs="Arial"/>
        </w:rPr>
        <w:t xml:space="preserve">zejména </w:t>
      </w:r>
      <w:r w:rsidRPr="00BF6E28">
        <w:rPr>
          <w:rFonts w:ascii="Arial" w:hAnsi="Arial" w:cs="Arial"/>
        </w:rPr>
        <w:t xml:space="preserve">je </w:t>
      </w:r>
      <w:r w:rsidR="00780F15" w:rsidRPr="00BF6E28">
        <w:rPr>
          <w:rFonts w:ascii="Arial" w:hAnsi="Arial" w:cs="Arial"/>
        </w:rPr>
        <w:t>ale</w:t>
      </w:r>
      <w:r w:rsidR="00F94E8A" w:rsidRPr="00BF6E28">
        <w:rPr>
          <w:rFonts w:ascii="Arial" w:hAnsi="Arial" w:cs="Arial"/>
        </w:rPr>
        <w:t xml:space="preserve"> </w:t>
      </w:r>
      <w:r w:rsidRPr="00BF6E28">
        <w:rPr>
          <w:rFonts w:ascii="Arial" w:hAnsi="Arial" w:cs="Arial"/>
        </w:rPr>
        <w:t>maj</w:t>
      </w:r>
      <w:r w:rsidR="00F94E8A" w:rsidRPr="00BF6E28">
        <w:rPr>
          <w:rFonts w:ascii="Arial" w:hAnsi="Arial" w:cs="Arial"/>
        </w:rPr>
        <w:t>í</w:t>
      </w:r>
      <w:r w:rsidR="00780F15" w:rsidRPr="00BF6E28">
        <w:rPr>
          <w:rFonts w:ascii="Arial" w:hAnsi="Arial" w:cs="Arial"/>
        </w:rPr>
        <w:t xml:space="preserve"> takové země </w:t>
      </w:r>
      <w:r w:rsidR="00CB41C4" w:rsidRPr="00BF6E28">
        <w:rPr>
          <w:rFonts w:ascii="Arial" w:hAnsi="Arial" w:cs="Arial"/>
        </w:rPr>
        <w:t>jako Británie, Itálie, Francie</w:t>
      </w:r>
      <w:r w:rsidRPr="00BF6E28">
        <w:rPr>
          <w:rFonts w:ascii="Arial" w:hAnsi="Arial" w:cs="Arial"/>
        </w:rPr>
        <w:t xml:space="preserve"> nebo</w:t>
      </w:r>
      <w:r w:rsidR="00CB41C4" w:rsidRPr="00BF6E28">
        <w:rPr>
          <w:rFonts w:ascii="Arial" w:hAnsi="Arial" w:cs="Arial"/>
        </w:rPr>
        <w:t xml:space="preserve"> Španělsko). </w:t>
      </w:r>
      <w:r w:rsidR="004766A2" w:rsidRPr="00BF6E28">
        <w:rPr>
          <w:rFonts w:ascii="Arial" w:hAnsi="Arial" w:cs="Arial"/>
        </w:rPr>
        <w:t>Předkládaný n</w:t>
      </w:r>
      <w:r w:rsidR="00CB41C4" w:rsidRPr="00BF6E28">
        <w:rPr>
          <w:rFonts w:ascii="Arial" w:hAnsi="Arial" w:cs="Arial"/>
        </w:rPr>
        <w:t>ávrh přitom nepřináší další snížení již snížen</w:t>
      </w:r>
      <w:r w:rsidR="00D92530" w:rsidRPr="00BF6E28">
        <w:rPr>
          <w:rFonts w:ascii="Arial" w:hAnsi="Arial" w:cs="Arial"/>
        </w:rPr>
        <w:t>é</w:t>
      </w:r>
      <w:r w:rsidR="00CB41C4" w:rsidRPr="00BF6E28">
        <w:rPr>
          <w:rFonts w:ascii="Arial" w:hAnsi="Arial" w:cs="Arial"/>
        </w:rPr>
        <w:t xml:space="preserve"> sazby DPH, ale </w:t>
      </w:r>
      <w:r w:rsidR="001625AE" w:rsidRPr="00BF6E28">
        <w:rPr>
          <w:rFonts w:ascii="Arial" w:hAnsi="Arial" w:cs="Arial"/>
        </w:rPr>
        <w:t xml:space="preserve">jen přesun sociálního bydlení </w:t>
      </w:r>
      <w:r w:rsidR="00691F3D">
        <w:rPr>
          <w:rFonts w:ascii="Arial" w:hAnsi="Arial" w:cs="Arial"/>
        </w:rPr>
        <w:t>(dle zákona o dani z</w:t>
      </w:r>
      <w:r w:rsidR="00D1153E">
        <w:rPr>
          <w:rFonts w:ascii="Arial" w:hAnsi="Arial" w:cs="Arial"/>
        </w:rPr>
        <w:t> </w:t>
      </w:r>
      <w:r w:rsidR="00691F3D">
        <w:rPr>
          <w:rFonts w:ascii="Arial" w:hAnsi="Arial" w:cs="Arial"/>
        </w:rPr>
        <w:t>přidané</w:t>
      </w:r>
      <w:r w:rsidR="00D1153E">
        <w:rPr>
          <w:rFonts w:ascii="Arial" w:hAnsi="Arial" w:cs="Arial"/>
        </w:rPr>
        <w:t xml:space="preserve"> hodnoty) </w:t>
      </w:r>
      <w:r w:rsidR="00877339">
        <w:rPr>
          <w:rFonts w:ascii="Arial" w:hAnsi="Arial" w:cs="Arial"/>
        </w:rPr>
        <w:t>do </w:t>
      </w:r>
      <w:r w:rsidR="001625AE" w:rsidRPr="00BF6E28">
        <w:rPr>
          <w:rFonts w:ascii="Arial" w:hAnsi="Arial" w:cs="Arial"/>
        </w:rPr>
        <w:t xml:space="preserve">stávající nižší sazby DPH, která je ale </w:t>
      </w:r>
      <w:r w:rsidR="00A66AF6" w:rsidRPr="00BF6E28">
        <w:rPr>
          <w:rFonts w:ascii="Arial" w:hAnsi="Arial" w:cs="Arial"/>
        </w:rPr>
        <w:t xml:space="preserve">stejně </w:t>
      </w:r>
      <w:r w:rsidR="001625AE" w:rsidRPr="00BF6E28">
        <w:rPr>
          <w:rFonts w:ascii="Arial" w:hAnsi="Arial" w:cs="Arial"/>
        </w:rPr>
        <w:t xml:space="preserve">vyšší než u </w:t>
      </w:r>
      <w:r w:rsidR="007A465F" w:rsidRPr="00BF6E28">
        <w:rPr>
          <w:rFonts w:ascii="Arial" w:hAnsi="Arial" w:cs="Arial"/>
        </w:rPr>
        <w:t xml:space="preserve">řady </w:t>
      </w:r>
      <w:r w:rsidR="001625AE" w:rsidRPr="00BF6E28">
        <w:rPr>
          <w:rFonts w:ascii="Arial" w:hAnsi="Arial" w:cs="Arial"/>
        </w:rPr>
        <w:t>evropských zemí</w:t>
      </w:r>
      <w:r w:rsidR="00171AC2" w:rsidRPr="00BF6E28">
        <w:rPr>
          <w:rFonts w:ascii="Arial" w:hAnsi="Arial" w:cs="Arial"/>
        </w:rPr>
        <w:t xml:space="preserve"> (viz mapa)</w:t>
      </w:r>
      <w:r w:rsidR="001625AE" w:rsidRPr="00BF6E28">
        <w:rPr>
          <w:rFonts w:ascii="Arial" w:hAnsi="Arial" w:cs="Arial"/>
        </w:rPr>
        <w:t>.</w:t>
      </w:r>
      <w:r w:rsidR="00CB41C4" w:rsidRPr="00BF6E28">
        <w:rPr>
          <w:rFonts w:ascii="Arial" w:hAnsi="Arial" w:cs="Arial"/>
        </w:rPr>
        <w:t xml:space="preserve"> </w:t>
      </w:r>
      <w:r w:rsidR="00780F15" w:rsidRPr="00BF6E28">
        <w:rPr>
          <w:rFonts w:ascii="Arial" w:hAnsi="Arial" w:cs="Arial"/>
        </w:rPr>
        <w:t xml:space="preserve">  </w:t>
      </w:r>
    </w:p>
    <w:p w14:paraId="127026F7" w14:textId="77777777" w:rsidR="00B8210B" w:rsidRPr="00BF6E28" w:rsidRDefault="00B8210B" w:rsidP="00BF6E28">
      <w:pPr>
        <w:tabs>
          <w:tab w:val="left" w:pos="405"/>
          <w:tab w:val="center" w:pos="4762"/>
          <w:tab w:val="left" w:pos="5387"/>
          <w:tab w:val="left" w:pos="7797"/>
          <w:tab w:val="left" w:pos="7938"/>
        </w:tabs>
        <w:jc w:val="both"/>
        <w:rPr>
          <w:rFonts w:ascii="Arial" w:hAnsi="Arial" w:cs="Arial"/>
        </w:rPr>
      </w:pPr>
      <w:r w:rsidRPr="00BF6E28">
        <w:rPr>
          <w:rFonts w:ascii="Arial" w:hAnsi="Arial" w:cs="Arial"/>
          <w:noProof/>
          <w:lang w:eastAsia="cs-CZ"/>
        </w:rPr>
        <w:drawing>
          <wp:inline distT="0" distB="0" distL="0" distR="0" wp14:anchorId="167F660A" wp14:editId="307A5258">
            <wp:extent cx="4262120" cy="3192780"/>
            <wp:effectExtent l="0" t="0" r="5080" b="762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2120" cy="3192780"/>
                    </a:xfrm>
                    <a:prstGeom prst="rect">
                      <a:avLst/>
                    </a:prstGeom>
                    <a:noFill/>
                    <a:ln>
                      <a:noFill/>
                    </a:ln>
                  </pic:spPr>
                </pic:pic>
              </a:graphicData>
            </a:graphic>
          </wp:inline>
        </w:drawing>
      </w:r>
    </w:p>
    <w:p w14:paraId="089646A0" w14:textId="3E6A925A" w:rsidR="00D1153E" w:rsidRDefault="00C43FC6" w:rsidP="00BF6E28">
      <w:pPr>
        <w:pStyle w:val="l1"/>
        <w:spacing w:line="276" w:lineRule="auto"/>
        <w:jc w:val="both"/>
        <w:rPr>
          <w:rFonts w:ascii="Arial" w:hAnsi="Arial" w:cs="Arial"/>
          <w:sz w:val="22"/>
          <w:szCs w:val="22"/>
        </w:rPr>
      </w:pPr>
      <w:r w:rsidRPr="00BF6E28">
        <w:rPr>
          <w:rFonts w:ascii="Arial" w:hAnsi="Arial" w:cs="Arial"/>
          <w:sz w:val="22"/>
          <w:szCs w:val="22"/>
        </w:rPr>
        <w:lastRenderedPageBreak/>
        <w:t xml:space="preserve">Ke zvýšení dostupnosti </w:t>
      </w:r>
      <w:r w:rsidR="006068DB" w:rsidRPr="00BF6E28">
        <w:rPr>
          <w:rFonts w:ascii="Arial" w:hAnsi="Arial" w:cs="Arial"/>
          <w:sz w:val="22"/>
          <w:szCs w:val="22"/>
        </w:rPr>
        <w:t>b</w:t>
      </w:r>
      <w:r w:rsidR="005E39D6" w:rsidRPr="00BF6E28">
        <w:rPr>
          <w:rFonts w:ascii="Arial" w:hAnsi="Arial" w:cs="Arial"/>
          <w:sz w:val="22"/>
          <w:szCs w:val="22"/>
        </w:rPr>
        <w:t xml:space="preserve">ydlení </w:t>
      </w:r>
      <w:r w:rsidR="004C361A" w:rsidRPr="00BF6E28">
        <w:rPr>
          <w:rFonts w:ascii="Arial" w:hAnsi="Arial" w:cs="Arial"/>
          <w:sz w:val="22"/>
          <w:szCs w:val="22"/>
        </w:rPr>
        <w:t xml:space="preserve">v ČR </w:t>
      </w:r>
      <w:r w:rsidRPr="00BF6E28">
        <w:rPr>
          <w:rFonts w:ascii="Arial" w:hAnsi="Arial" w:cs="Arial"/>
          <w:sz w:val="22"/>
          <w:szCs w:val="22"/>
        </w:rPr>
        <w:t xml:space="preserve">sice </w:t>
      </w:r>
      <w:r w:rsidR="004C520B" w:rsidRPr="00BF6E28">
        <w:rPr>
          <w:rFonts w:ascii="Arial" w:hAnsi="Arial" w:cs="Arial"/>
          <w:sz w:val="22"/>
          <w:szCs w:val="22"/>
        </w:rPr>
        <w:t xml:space="preserve">chvilkově </w:t>
      </w:r>
      <w:r w:rsidRPr="00BF6E28">
        <w:rPr>
          <w:rFonts w:ascii="Arial" w:hAnsi="Arial" w:cs="Arial"/>
          <w:sz w:val="22"/>
          <w:szCs w:val="22"/>
        </w:rPr>
        <w:t xml:space="preserve">přispěla </w:t>
      </w:r>
      <w:r w:rsidR="009131D4" w:rsidRPr="00BF6E28">
        <w:rPr>
          <w:rFonts w:ascii="Arial" w:hAnsi="Arial" w:cs="Arial"/>
          <w:sz w:val="22"/>
          <w:szCs w:val="22"/>
        </w:rPr>
        <w:t xml:space="preserve">dočasná vyšší </w:t>
      </w:r>
      <w:r w:rsidR="006068DB" w:rsidRPr="00BF6E28">
        <w:rPr>
          <w:rFonts w:ascii="Arial" w:hAnsi="Arial" w:cs="Arial"/>
          <w:sz w:val="22"/>
          <w:szCs w:val="22"/>
        </w:rPr>
        <w:t>dostupnost hypoték včetně nízkých úrokových sazeb,</w:t>
      </w:r>
      <w:r w:rsidR="00D1153E" w:rsidRPr="00D1153E">
        <w:rPr>
          <w:rFonts w:ascii="Arial" w:hAnsi="Arial" w:cs="Arial"/>
          <w:sz w:val="22"/>
          <w:szCs w:val="22"/>
        </w:rPr>
        <w:t xml:space="preserve"> avšak od října roku 2018 byla dostupnost hypoték na základě regulatorních doporučení ČNB značně zpřísněna.</w:t>
      </w:r>
    </w:p>
    <w:p w14:paraId="0E548C92" w14:textId="218DA407" w:rsidR="004C2571" w:rsidRPr="00BF6E28" w:rsidRDefault="00D1153E" w:rsidP="00BF6E28">
      <w:pPr>
        <w:pStyle w:val="l1"/>
        <w:spacing w:line="276" w:lineRule="auto"/>
        <w:jc w:val="both"/>
        <w:rPr>
          <w:rFonts w:ascii="Arial" w:hAnsi="Arial" w:cs="Arial"/>
          <w:sz w:val="22"/>
          <w:szCs w:val="22"/>
        </w:rPr>
      </w:pPr>
      <w:r w:rsidRPr="00D1153E">
        <w:rPr>
          <w:rFonts w:ascii="Arial" w:hAnsi="Arial" w:cs="Arial"/>
          <w:sz w:val="22"/>
          <w:szCs w:val="22"/>
        </w:rPr>
        <w:t>Zejména výše uvedená analýza Zkvalitnění systémů a procesů povolování nové výstavby v Praze: dostupnost bydlení dokládá, že na zhoršení dostupnosti bydlení se podílely nejen vlivy obchodní a obecně legislativní, ale přímo i státní daňová politika, zejména pak zvyšování sazeb DPH. S takovými zásahy také souvisí nejistota celého segmentu trhu, kdy v důsledku očekávání častých (a ne zcela koncepčních) změn daň</w:t>
      </w:r>
      <w:r w:rsidR="00877339">
        <w:rPr>
          <w:rFonts w:ascii="Arial" w:hAnsi="Arial" w:cs="Arial"/>
          <w:sz w:val="22"/>
          <w:szCs w:val="22"/>
        </w:rPr>
        <w:t>ových sazeb je stimulována nebo </w:t>
      </w:r>
      <w:r w:rsidRPr="00D1153E">
        <w:rPr>
          <w:rFonts w:ascii="Arial" w:hAnsi="Arial" w:cs="Arial"/>
          <w:sz w:val="22"/>
          <w:szCs w:val="22"/>
        </w:rPr>
        <w:t>omezována nabídka a poptávka v očekávání změny podmíne</w:t>
      </w:r>
      <w:r>
        <w:rPr>
          <w:rFonts w:ascii="Arial" w:hAnsi="Arial" w:cs="Arial"/>
          <w:sz w:val="22"/>
          <w:szCs w:val="22"/>
        </w:rPr>
        <w:t>k, což vnášelo další nestabilitu</w:t>
      </w:r>
      <w:r w:rsidRPr="00D1153E">
        <w:rPr>
          <w:rFonts w:ascii="Arial" w:hAnsi="Arial" w:cs="Arial"/>
          <w:sz w:val="22"/>
          <w:szCs w:val="22"/>
        </w:rPr>
        <w:t xml:space="preserve"> do již tak křehkých podmínek. </w:t>
      </w:r>
      <w:r w:rsidR="008B7457" w:rsidRPr="00BF6E28">
        <w:rPr>
          <w:rFonts w:ascii="Arial" w:hAnsi="Arial" w:cs="Arial"/>
          <w:sz w:val="22"/>
          <w:szCs w:val="22"/>
        </w:rPr>
        <w:t>Celkově tyto vlivy ve</w:t>
      </w:r>
      <w:r w:rsidR="006068DB" w:rsidRPr="00BF6E28">
        <w:rPr>
          <w:rFonts w:ascii="Arial" w:hAnsi="Arial" w:cs="Arial"/>
          <w:sz w:val="22"/>
          <w:szCs w:val="22"/>
        </w:rPr>
        <w:t>d</w:t>
      </w:r>
      <w:r w:rsidR="00835D28" w:rsidRPr="00BF6E28">
        <w:rPr>
          <w:rFonts w:ascii="Arial" w:hAnsi="Arial" w:cs="Arial"/>
          <w:sz w:val="22"/>
          <w:szCs w:val="22"/>
        </w:rPr>
        <w:t>l</w:t>
      </w:r>
      <w:r w:rsidR="008B7457" w:rsidRPr="00BF6E28">
        <w:rPr>
          <w:rFonts w:ascii="Arial" w:hAnsi="Arial" w:cs="Arial"/>
          <w:sz w:val="22"/>
          <w:szCs w:val="22"/>
        </w:rPr>
        <w:t>y</w:t>
      </w:r>
      <w:r w:rsidR="00835D28" w:rsidRPr="00BF6E28">
        <w:rPr>
          <w:rFonts w:ascii="Arial" w:hAnsi="Arial" w:cs="Arial"/>
          <w:sz w:val="22"/>
          <w:szCs w:val="22"/>
        </w:rPr>
        <w:t xml:space="preserve"> </w:t>
      </w:r>
      <w:r w:rsidR="00621854" w:rsidRPr="00BF6E28">
        <w:rPr>
          <w:rFonts w:ascii="Arial" w:hAnsi="Arial" w:cs="Arial"/>
          <w:sz w:val="22"/>
          <w:szCs w:val="22"/>
        </w:rPr>
        <w:t xml:space="preserve">nejen v hlavním městě Praze, ale </w:t>
      </w:r>
      <w:r w:rsidR="006068DB" w:rsidRPr="00BF6E28">
        <w:rPr>
          <w:rFonts w:ascii="Arial" w:hAnsi="Arial" w:cs="Arial"/>
          <w:sz w:val="22"/>
          <w:szCs w:val="22"/>
        </w:rPr>
        <w:t>v podstatě v celé České republice</w:t>
      </w:r>
      <w:r w:rsidR="001B1E89" w:rsidRPr="00BF6E28">
        <w:rPr>
          <w:rFonts w:ascii="Arial" w:hAnsi="Arial" w:cs="Arial"/>
          <w:sz w:val="22"/>
          <w:szCs w:val="22"/>
        </w:rPr>
        <w:t xml:space="preserve"> (</w:t>
      </w:r>
      <w:r w:rsidR="009835EF" w:rsidRPr="00BF6E28">
        <w:rPr>
          <w:rFonts w:ascii="Arial" w:hAnsi="Arial" w:cs="Arial"/>
          <w:sz w:val="22"/>
          <w:szCs w:val="22"/>
        </w:rPr>
        <w:t xml:space="preserve">přesněji </w:t>
      </w:r>
      <w:r w:rsidR="007A4273" w:rsidRPr="00BF6E28">
        <w:rPr>
          <w:rFonts w:ascii="Arial" w:hAnsi="Arial" w:cs="Arial"/>
          <w:sz w:val="22"/>
          <w:szCs w:val="22"/>
        </w:rPr>
        <w:t>ve většině větších sídel</w:t>
      </w:r>
      <w:r w:rsidR="001B1E89" w:rsidRPr="00BF6E28">
        <w:rPr>
          <w:rFonts w:ascii="Arial" w:hAnsi="Arial" w:cs="Arial"/>
          <w:sz w:val="22"/>
          <w:szCs w:val="22"/>
        </w:rPr>
        <w:t>)</w:t>
      </w:r>
      <w:r w:rsidR="007A4273" w:rsidRPr="00BF6E28">
        <w:rPr>
          <w:rFonts w:ascii="Arial" w:hAnsi="Arial" w:cs="Arial"/>
          <w:sz w:val="22"/>
          <w:szCs w:val="22"/>
        </w:rPr>
        <w:t xml:space="preserve">, </w:t>
      </w:r>
      <w:r w:rsidR="00835D28" w:rsidRPr="00BF6E28">
        <w:rPr>
          <w:rFonts w:ascii="Arial" w:hAnsi="Arial" w:cs="Arial"/>
          <w:sz w:val="22"/>
          <w:szCs w:val="22"/>
        </w:rPr>
        <w:t>k</w:t>
      </w:r>
      <w:r w:rsidR="007A4273" w:rsidRPr="00BF6E28">
        <w:rPr>
          <w:rFonts w:ascii="Arial" w:hAnsi="Arial" w:cs="Arial"/>
          <w:sz w:val="22"/>
          <w:szCs w:val="22"/>
        </w:rPr>
        <w:t> </w:t>
      </w:r>
      <w:r w:rsidR="00835D28" w:rsidRPr="00BF6E28">
        <w:rPr>
          <w:rFonts w:ascii="Arial" w:hAnsi="Arial" w:cs="Arial"/>
          <w:sz w:val="22"/>
          <w:szCs w:val="22"/>
        </w:rPr>
        <w:t>v</w:t>
      </w:r>
      <w:r w:rsidR="007A4273" w:rsidRPr="00BF6E28">
        <w:rPr>
          <w:rFonts w:ascii="Arial" w:hAnsi="Arial" w:cs="Arial"/>
          <w:sz w:val="22"/>
          <w:szCs w:val="22"/>
        </w:rPr>
        <w:t xml:space="preserve">ýraznému zhoršení dostupnosti bydlení obecně, nejen </w:t>
      </w:r>
      <w:r w:rsidR="00F765AA" w:rsidRPr="00BF6E28">
        <w:rPr>
          <w:rFonts w:ascii="Arial" w:hAnsi="Arial" w:cs="Arial"/>
          <w:sz w:val="22"/>
          <w:szCs w:val="22"/>
        </w:rPr>
        <w:t xml:space="preserve">tedy </w:t>
      </w:r>
      <w:r w:rsidR="00621854" w:rsidRPr="00BF6E28">
        <w:rPr>
          <w:rFonts w:ascii="Arial" w:hAnsi="Arial" w:cs="Arial"/>
          <w:sz w:val="22"/>
          <w:szCs w:val="22"/>
        </w:rPr>
        <w:t xml:space="preserve">bydlení vlastnického, ale také bydlení nájemního. </w:t>
      </w:r>
      <w:r w:rsidR="00877339">
        <w:rPr>
          <w:rFonts w:ascii="Arial" w:hAnsi="Arial" w:cs="Arial"/>
          <w:sz w:val="22"/>
          <w:szCs w:val="22"/>
        </w:rPr>
        <w:t>S </w:t>
      </w:r>
      <w:r w:rsidR="001B1E89" w:rsidRPr="00BF6E28">
        <w:rPr>
          <w:rFonts w:ascii="Arial" w:hAnsi="Arial" w:cs="Arial"/>
          <w:sz w:val="22"/>
          <w:szCs w:val="22"/>
        </w:rPr>
        <w:t>tímto</w:t>
      </w:r>
      <w:r w:rsidR="00BC7796" w:rsidRPr="00BF6E28">
        <w:rPr>
          <w:rFonts w:ascii="Arial" w:hAnsi="Arial" w:cs="Arial"/>
          <w:sz w:val="22"/>
          <w:szCs w:val="22"/>
        </w:rPr>
        <w:t xml:space="preserve"> zhoršení</w:t>
      </w:r>
      <w:r w:rsidR="001B1E89" w:rsidRPr="00BF6E28">
        <w:rPr>
          <w:rFonts w:ascii="Arial" w:hAnsi="Arial" w:cs="Arial"/>
          <w:sz w:val="22"/>
          <w:szCs w:val="22"/>
        </w:rPr>
        <w:t>m</w:t>
      </w:r>
      <w:r w:rsidR="00BC7796" w:rsidRPr="00BF6E28">
        <w:rPr>
          <w:rFonts w:ascii="Arial" w:hAnsi="Arial" w:cs="Arial"/>
          <w:sz w:val="22"/>
          <w:szCs w:val="22"/>
        </w:rPr>
        <w:t xml:space="preserve"> dostupnosti bydlení jakožto základní lidské potřeby </w:t>
      </w:r>
      <w:r w:rsidR="001B1E89" w:rsidRPr="00BF6E28">
        <w:rPr>
          <w:rFonts w:ascii="Arial" w:hAnsi="Arial" w:cs="Arial"/>
          <w:sz w:val="22"/>
          <w:szCs w:val="22"/>
        </w:rPr>
        <w:t xml:space="preserve">se nelze smířit a </w:t>
      </w:r>
      <w:r w:rsidR="00BC7796" w:rsidRPr="00BF6E28">
        <w:rPr>
          <w:rFonts w:ascii="Arial" w:hAnsi="Arial" w:cs="Arial"/>
          <w:sz w:val="22"/>
          <w:szCs w:val="22"/>
        </w:rPr>
        <w:t xml:space="preserve">musí být řešeno </w:t>
      </w:r>
      <w:r w:rsidR="001B1E89" w:rsidRPr="00BF6E28">
        <w:rPr>
          <w:rFonts w:ascii="Arial" w:hAnsi="Arial" w:cs="Arial"/>
          <w:sz w:val="22"/>
          <w:szCs w:val="22"/>
        </w:rPr>
        <w:t xml:space="preserve">i v daňové oblasti. </w:t>
      </w:r>
      <w:r w:rsidR="00161D48" w:rsidRPr="00BF6E28">
        <w:rPr>
          <w:rFonts w:ascii="Arial" w:hAnsi="Arial" w:cs="Arial"/>
          <w:sz w:val="22"/>
          <w:szCs w:val="22"/>
        </w:rPr>
        <w:t>K</w:t>
      </w:r>
      <w:r w:rsidR="001B1E89" w:rsidRPr="00BF6E28">
        <w:rPr>
          <w:rFonts w:ascii="Arial" w:hAnsi="Arial" w:cs="Arial"/>
          <w:sz w:val="22"/>
          <w:szCs w:val="22"/>
        </w:rPr>
        <w:t xml:space="preserve">rokem </w:t>
      </w:r>
      <w:r w:rsidR="00BC7796" w:rsidRPr="00BF6E28">
        <w:rPr>
          <w:rFonts w:ascii="Arial" w:hAnsi="Arial" w:cs="Arial"/>
          <w:sz w:val="22"/>
          <w:szCs w:val="22"/>
        </w:rPr>
        <w:t xml:space="preserve">k tomu </w:t>
      </w:r>
      <w:r w:rsidR="00161D48" w:rsidRPr="00BF6E28">
        <w:rPr>
          <w:rFonts w:ascii="Arial" w:hAnsi="Arial" w:cs="Arial"/>
          <w:sz w:val="22"/>
          <w:szCs w:val="22"/>
        </w:rPr>
        <w:t>má být i t</w:t>
      </w:r>
      <w:r w:rsidR="001B1E89" w:rsidRPr="00BF6E28">
        <w:rPr>
          <w:rFonts w:ascii="Arial" w:hAnsi="Arial" w:cs="Arial"/>
          <w:sz w:val="22"/>
          <w:szCs w:val="22"/>
        </w:rPr>
        <w:t xml:space="preserve">ento </w:t>
      </w:r>
      <w:r w:rsidR="00BC7796" w:rsidRPr="00BF6E28">
        <w:rPr>
          <w:rFonts w:ascii="Arial" w:hAnsi="Arial" w:cs="Arial"/>
          <w:sz w:val="22"/>
          <w:szCs w:val="22"/>
        </w:rPr>
        <w:t xml:space="preserve">návrh zákona. </w:t>
      </w:r>
    </w:p>
    <w:p w14:paraId="5CA176E2" w14:textId="2DB5D182" w:rsidR="00706809" w:rsidRPr="00BF6E28" w:rsidRDefault="00A94497" w:rsidP="00BF6E28">
      <w:pPr>
        <w:pStyle w:val="l1"/>
        <w:spacing w:line="276" w:lineRule="auto"/>
        <w:jc w:val="both"/>
        <w:rPr>
          <w:rFonts w:ascii="Arial" w:hAnsi="Arial" w:cs="Arial"/>
          <w:sz w:val="22"/>
          <w:szCs w:val="22"/>
        </w:rPr>
      </w:pPr>
      <w:r w:rsidRPr="00BF6E28">
        <w:rPr>
          <w:rFonts w:ascii="Arial" w:hAnsi="Arial" w:cs="Arial"/>
          <w:sz w:val="22"/>
          <w:szCs w:val="22"/>
        </w:rPr>
        <w:t xml:space="preserve">Cílem návrhu je </w:t>
      </w:r>
      <w:r w:rsidR="001D7B9B" w:rsidRPr="00BF6E28">
        <w:rPr>
          <w:rFonts w:ascii="Arial" w:hAnsi="Arial" w:cs="Arial"/>
          <w:sz w:val="22"/>
          <w:szCs w:val="22"/>
        </w:rPr>
        <w:t xml:space="preserve">zvýšení dostupnosti bydlení </w:t>
      </w:r>
      <w:r w:rsidRPr="00BF6E28">
        <w:rPr>
          <w:rFonts w:ascii="Arial" w:hAnsi="Arial" w:cs="Arial"/>
          <w:sz w:val="22"/>
          <w:szCs w:val="22"/>
        </w:rPr>
        <w:t>snížení</w:t>
      </w:r>
      <w:r w:rsidR="001D7B9B" w:rsidRPr="00BF6E28">
        <w:rPr>
          <w:rFonts w:ascii="Arial" w:hAnsi="Arial" w:cs="Arial"/>
          <w:sz w:val="22"/>
          <w:szCs w:val="22"/>
        </w:rPr>
        <w:t>m</w:t>
      </w:r>
      <w:r w:rsidRPr="00BF6E28">
        <w:rPr>
          <w:rFonts w:ascii="Arial" w:hAnsi="Arial" w:cs="Arial"/>
          <w:sz w:val="22"/>
          <w:szCs w:val="22"/>
        </w:rPr>
        <w:t xml:space="preserve"> daňového zatížení všech nabyvatelů bytů už ve fázi samotné úhrady ceny těchto nemovitých věcí ve formě vyúčtování jejich ceny s nižší sazbou daně z přidané hodnoty (dále také „DPH“) užitím </w:t>
      </w:r>
      <w:r w:rsidR="00877339">
        <w:rPr>
          <w:rFonts w:ascii="Arial" w:hAnsi="Arial" w:cs="Arial"/>
          <w:sz w:val="22"/>
          <w:szCs w:val="22"/>
        </w:rPr>
        <w:t>tzv. druhé snížené sazby oproti </w:t>
      </w:r>
      <w:r w:rsidRPr="00BF6E28">
        <w:rPr>
          <w:rFonts w:ascii="Arial" w:hAnsi="Arial" w:cs="Arial"/>
          <w:sz w:val="22"/>
          <w:szCs w:val="22"/>
        </w:rPr>
        <w:t>stávající první snížené sazbě (10 % namísto 15 %</w:t>
      </w:r>
      <w:r w:rsidR="00877339">
        <w:rPr>
          <w:rFonts w:ascii="Arial" w:hAnsi="Arial" w:cs="Arial"/>
          <w:sz w:val="22"/>
          <w:szCs w:val="22"/>
        </w:rPr>
        <w:t>). Totéž platí i o fázi oprav a </w:t>
      </w:r>
      <w:r w:rsidRPr="00BF6E28">
        <w:rPr>
          <w:rFonts w:ascii="Arial" w:hAnsi="Arial" w:cs="Arial"/>
          <w:sz w:val="22"/>
          <w:szCs w:val="22"/>
        </w:rPr>
        <w:t>rekonstrukcí bytů.</w:t>
      </w:r>
    </w:p>
    <w:p w14:paraId="358F9B0D" w14:textId="4BFC8B94" w:rsidR="00D201A8" w:rsidRPr="00BF6E28" w:rsidRDefault="00D201A8" w:rsidP="00BF6E28">
      <w:pPr>
        <w:pStyle w:val="l1"/>
        <w:spacing w:line="276" w:lineRule="auto"/>
        <w:jc w:val="both"/>
        <w:rPr>
          <w:rFonts w:ascii="Arial" w:hAnsi="Arial" w:cs="Arial"/>
          <w:sz w:val="22"/>
          <w:szCs w:val="22"/>
        </w:rPr>
      </w:pPr>
      <w:r w:rsidRPr="00BF6E28">
        <w:rPr>
          <w:rFonts w:ascii="Arial" w:hAnsi="Arial" w:cs="Arial"/>
          <w:sz w:val="22"/>
          <w:szCs w:val="22"/>
        </w:rPr>
        <w:t xml:space="preserve">Co se týče daně z nabytí nemovitých věcí, cílem návrhu je </w:t>
      </w:r>
      <w:r w:rsidR="00877339">
        <w:rPr>
          <w:rFonts w:ascii="Arial" w:hAnsi="Arial" w:cs="Arial"/>
          <w:sz w:val="22"/>
          <w:szCs w:val="22"/>
        </w:rPr>
        <w:t>rozšíření případů osvobození od </w:t>
      </w:r>
      <w:r w:rsidRPr="00BF6E28">
        <w:rPr>
          <w:rFonts w:ascii="Arial" w:hAnsi="Arial" w:cs="Arial"/>
          <w:sz w:val="22"/>
          <w:szCs w:val="22"/>
        </w:rPr>
        <w:t>daně z nabytí nemovitých věcí sloužících k bydlení na všechny fyzické osoby, které v danou dobu nemají jiné takové nemovité věci, a také na bytová družstva, pokud jejich členy jsou jen fyzické osoby splňující tutéž podmínku.</w:t>
      </w:r>
    </w:p>
    <w:p w14:paraId="3CC3F683" w14:textId="7A907CD3" w:rsidR="00850EA2" w:rsidRPr="00BF6E28" w:rsidRDefault="00D201A8" w:rsidP="00BF6E28">
      <w:pPr>
        <w:spacing w:after="120"/>
        <w:jc w:val="both"/>
        <w:rPr>
          <w:rFonts w:ascii="Arial" w:eastAsia="Times New Roman" w:hAnsi="Arial" w:cs="Arial"/>
        </w:rPr>
      </w:pPr>
      <w:r w:rsidRPr="00BF6E28">
        <w:rPr>
          <w:rFonts w:ascii="Arial" w:eastAsia="Times New Roman" w:hAnsi="Arial" w:cs="Arial"/>
        </w:rPr>
        <w:t xml:space="preserve">V současné době platí nabyvatel nemovitostí, pokud </w:t>
      </w:r>
      <w:r w:rsidR="00204B66" w:rsidRPr="00BF6E28">
        <w:rPr>
          <w:rFonts w:ascii="Arial" w:eastAsia="Times New Roman" w:hAnsi="Arial" w:cs="Arial"/>
        </w:rPr>
        <w:t>nemůže</w:t>
      </w:r>
      <w:r w:rsidRPr="00BF6E28">
        <w:rPr>
          <w:rFonts w:ascii="Arial" w:eastAsia="Times New Roman" w:hAnsi="Arial" w:cs="Arial"/>
        </w:rPr>
        <w:t xml:space="preserve"> využít některého z možných osvobození, daň z nabytí nemovitosti ve výši 4 % hodn</w:t>
      </w:r>
      <w:r w:rsidR="00877339">
        <w:rPr>
          <w:rFonts w:ascii="Arial" w:eastAsia="Times New Roman" w:hAnsi="Arial" w:cs="Arial"/>
        </w:rPr>
        <w:t>oty nemovitosti. Osvobození pro </w:t>
      </w:r>
      <w:r w:rsidRPr="00BF6E28">
        <w:rPr>
          <w:rFonts w:ascii="Arial" w:eastAsia="Times New Roman" w:hAnsi="Arial" w:cs="Arial"/>
        </w:rPr>
        <w:t>novostavby určené k bydlení mohou využít kupující bez omezení. Návrh změny zákona má učinit nabytí vlastního bydlení dostupnějším pro více zájemců, protože podmínka dalších 4 % z ceny nemovitosti je pro řadu zájemců z řad střední třídy poměrně obtížně splnitelná. Značnou část ceny pořizovaného bytu totiž zpravidla financují z hypotéky, při jejímž čerpání musí mít k dispozici vlastní prostředky nejméně v rozsahu 20 %, což reprezentuje zpravidla částku kolem jednoho milionu korun českých. Při splnění současných pravidel musí k tomu ještě navíc přičíst výši daně z nabytí nemovitosti (4 %), která se platí do 3 měsíců od zápisu do katastru nemovitostí. To znamená další statisíce korun českých (při ceně bytu 5 milionů Kč se jedná o částku 200</w:t>
      </w:r>
      <w:r w:rsidR="00F86C91" w:rsidRPr="00BF6E28">
        <w:rPr>
          <w:rFonts w:ascii="Arial" w:eastAsia="Times New Roman" w:hAnsi="Arial" w:cs="Arial"/>
        </w:rPr>
        <w:t xml:space="preserve"> </w:t>
      </w:r>
      <w:r w:rsidRPr="00BF6E28">
        <w:rPr>
          <w:rFonts w:ascii="Arial" w:eastAsia="Times New Roman" w:hAnsi="Arial" w:cs="Arial"/>
        </w:rPr>
        <w:t>000 Kč), které však řada zájemců o nákup bytu k dispozici nemá. I když je někdy možné tuto položku čerpat v rámci hypotéky, dostupnost nabytí nemovitosti to nepochybně snižuje</w:t>
      </w:r>
      <w:r w:rsidR="00850EA2" w:rsidRPr="00BF6E28">
        <w:rPr>
          <w:rFonts w:ascii="Arial" w:eastAsia="Times New Roman" w:hAnsi="Arial" w:cs="Arial"/>
        </w:rPr>
        <w:t>.</w:t>
      </w:r>
    </w:p>
    <w:p w14:paraId="5A432A5E" w14:textId="45D01073" w:rsidR="00204B66" w:rsidRPr="00BF6E28" w:rsidRDefault="00850EA2" w:rsidP="00BF6E28">
      <w:pPr>
        <w:spacing w:after="120"/>
        <w:jc w:val="both"/>
        <w:rPr>
          <w:rFonts w:ascii="Arial" w:eastAsia="Times New Roman" w:hAnsi="Arial" w:cs="Arial"/>
        </w:rPr>
      </w:pPr>
      <w:r w:rsidRPr="00BF6E28">
        <w:rPr>
          <w:rFonts w:ascii="Arial" w:eastAsia="Times New Roman" w:hAnsi="Arial" w:cs="Arial"/>
        </w:rPr>
        <w:t xml:space="preserve">Tento návrh míří zejména na osoby, které </w:t>
      </w:r>
      <w:r w:rsidR="00204B66" w:rsidRPr="00BF6E28">
        <w:rPr>
          <w:rFonts w:ascii="Arial" w:eastAsia="Times New Roman" w:hAnsi="Arial" w:cs="Arial"/>
        </w:rPr>
        <w:t xml:space="preserve">si </w:t>
      </w:r>
      <w:r w:rsidRPr="00BF6E28">
        <w:rPr>
          <w:rFonts w:ascii="Arial" w:eastAsia="Times New Roman" w:hAnsi="Arial" w:cs="Arial"/>
        </w:rPr>
        <w:t xml:space="preserve">kupují svůj první byt, nebo na osoby, které svůj jediný byt prodávají a z výtěžku si pořizují byt nový. Vyloučeny by </w:t>
      </w:r>
      <w:r w:rsidR="009A1E6C" w:rsidRPr="00BF6E28">
        <w:rPr>
          <w:rFonts w:ascii="Arial" w:eastAsia="Times New Roman" w:hAnsi="Arial" w:cs="Arial"/>
        </w:rPr>
        <w:t xml:space="preserve">proto </w:t>
      </w:r>
      <w:r w:rsidRPr="00BF6E28">
        <w:rPr>
          <w:rFonts w:ascii="Arial" w:eastAsia="Times New Roman" w:hAnsi="Arial" w:cs="Arial"/>
        </w:rPr>
        <w:t>z osvobození měly být ty fyzické osoby, které již jednu takovou nemovitou věc mají a chtějí si ji i nadále ponechat.</w:t>
      </w:r>
      <w:r w:rsidR="009A1E6C" w:rsidRPr="00BF6E28">
        <w:rPr>
          <w:rFonts w:ascii="Arial" w:eastAsia="Times New Roman" w:hAnsi="Arial" w:cs="Arial"/>
        </w:rPr>
        <w:t xml:space="preserve"> Také </w:t>
      </w:r>
      <w:r w:rsidRPr="00BF6E28">
        <w:rPr>
          <w:rFonts w:ascii="Arial" w:eastAsia="Times New Roman" w:hAnsi="Arial" w:cs="Arial"/>
        </w:rPr>
        <w:t xml:space="preserve">by </w:t>
      </w:r>
      <w:r w:rsidR="009A1E6C" w:rsidRPr="00BF6E28">
        <w:rPr>
          <w:rFonts w:ascii="Arial" w:eastAsia="Times New Roman" w:hAnsi="Arial" w:cs="Arial"/>
        </w:rPr>
        <w:t xml:space="preserve">neměly </w:t>
      </w:r>
      <w:r w:rsidRPr="00BF6E28">
        <w:rPr>
          <w:rFonts w:ascii="Arial" w:eastAsia="Times New Roman" w:hAnsi="Arial" w:cs="Arial"/>
        </w:rPr>
        <w:t xml:space="preserve">být zvýhodněny investiční nákupy, resp. nákupy bytů jen k jejich dalšímu pronájmu. </w:t>
      </w:r>
      <w:r w:rsidR="009A1E6C" w:rsidRPr="00BF6E28">
        <w:rPr>
          <w:rFonts w:ascii="Arial" w:eastAsia="Times New Roman" w:hAnsi="Arial" w:cs="Arial"/>
        </w:rPr>
        <w:t>Z</w:t>
      </w:r>
      <w:r w:rsidR="00204B66" w:rsidRPr="00BF6E28">
        <w:rPr>
          <w:rFonts w:ascii="Arial" w:eastAsia="Times New Roman" w:hAnsi="Arial" w:cs="Arial"/>
        </w:rPr>
        <w:t> osvobození</w:t>
      </w:r>
      <w:r w:rsidR="009A1E6C" w:rsidRPr="00BF6E28">
        <w:rPr>
          <w:rFonts w:ascii="Arial" w:eastAsia="Times New Roman" w:hAnsi="Arial" w:cs="Arial"/>
        </w:rPr>
        <w:t xml:space="preserve"> by rovněž</w:t>
      </w:r>
      <w:r w:rsidR="00204B66" w:rsidRPr="00BF6E28">
        <w:rPr>
          <w:rFonts w:ascii="Arial" w:eastAsia="Times New Roman" w:hAnsi="Arial" w:cs="Arial"/>
        </w:rPr>
        <w:t xml:space="preserve"> měly být </w:t>
      </w:r>
      <w:r w:rsidR="009A1E6C" w:rsidRPr="00BF6E28">
        <w:rPr>
          <w:rFonts w:ascii="Arial" w:eastAsia="Times New Roman" w:hAnsi="Arial" w:cs="Arial"/>
        </w:rPr>
        <w:t xml:space="preserve">vyloučeny právnické </w:t>
      </w:r>
      <w:r w:rsidR="00204B66" w:rsidRPr="00BF6E28">
        <w:rPr>
          <w:rFonts w:ascii="Arial" w:eastAsia="Times New Roman" w:hAnsi="Arial" w:cs="Arial"/>
        </w:rPr>
        <w:t xml:space="preserve">osoby, vyjma bytových družstev, pokud by tato družstva pořizovala byty pro své členy, </w:t>
      </w:r>
      <w:r w:rsidR="00415AB8" w:rsidRPr="00BF6E28">
        <w:rPr>
          <w:rFonts w:ascii="Arial" w:eastAsia="Times New Roman" w:hAnsi="Arial" w:cs="Arial"/>
        </w:rPr>
        <w:t>kteří</w:t>
      </w:r>
      <w:r w:rsidR="00204B66" w:rsidRPr="00BF6E28">
        <w:rPr>
          <w:rFonts w:ascii="Arial" w:eastAsia="Times New Roman" w:hAnsi="Arial" w:cs="Arial"/>
        </w:rPr>
        <w:t xml:space="preserve"> splňují podmínky pro výše zmíněné fyzické osoby, a v době nabytí bytu by už těmto f</w:t>
      </w:r>
      <w:r w:rsidR="00877339">
        <w:rPr>
          <w:rFonts w:ascii="Arial" w:eastAsia="Times New Roman" w:hAnsi="Arial" w:cs="Arial"/>
        </w:rPr>
        <w:t>yzickým osobám vzniklo právo na </w:t>
      </w:r>
      <w:r w:rsidR="00204B66" w:rsidRPr="00BF6E28">
        <w:rPr>
          <w:rFonts w:ascii="Arial" w:eastAsia="Times New Roman" w:hAnsi="Arial" w:cs="Arial"/>
        </w:rPr>
        <w:t xml:space="preserve">pronájem těchto družstevních bytů. Návrh v tomto směru míří na případy, kdy fyzické osoby </w:t>
      </w:r>
      <w:r w:rsidR="00204B66" w:rsidRPr="00BF6E28">
        <w:rPr>
          <w:rFonts w:ascii="Arial" w:eastAsia="Times New Roman" w:hAnsi="Arial" w:cs="Arial"/>
        </w:rPr>
        <w:lastRenderedPageBreak/>
        <w:t>nebudou schopny vyhovět řadě nových požadavků na individuální hypotéky, a proto požádají bytové družstvo, aby pro ně byty koupilo. Zákon o obchodních korporacích výslovně a velmi podrobně upravuje právní poměry bytového družstva (v § 727 až 757) jako zcela specifické formy korporace zakládané ze zákona jen za účelem uspokojení bytových potřeb (§ 727), výslovně definuje družstevní byt (§ 729) a stanoví výslovně jak řadu práv člena tohoto družstva (včetně práva na uzavření smlouvy o nájmu družstevního bytu podle § 742), tak řadu povinností a omezení bytového družstva, zejména omezení vykonávat jiné činnosti (§ 727) a nakládat se svým majetkem (§ 750 až 752)</w:t>
      </w:r>
      <w:r w:rsidR="00415AB8" w:rsidRPr="00BF6E28">
        <w:rPr>
          <w:rFonts w:ascii="Arial" w:eastAsia="Times New Roman" w:hAnsi="Arial" w:cs="Arial"/>
        </w:rPr>
        <w:t>, jakož i</w:t>
      </w:r>
      <w:r w:rsidR="00204B66" w:rsidRPr="00BF6E28">
        <w:rPr>
          <w:rFonts w:ascii="Arial" w:eastAsia="Times New Roman" w:hAnsi="Arial" w:cs="Arial"/>
        </w:rPr>
        <w:t xml:space="preserve"> sankce za jejich neplnění (§ 756). V tomto směru se tedy bytové družstvo jeví jako vhodná a zákonem určená forma korporace, kterou může fyzická osoba použít, pokud z uvedených důvodů nemůže nabýt byt samostatně.    </w:t>
      </w:r>
    </w:p>
    <w:p w14:paraId="5DBD49D0" w14:textId="1E956F89" w:rsidR="00204B66" w:rsidRPr="00BF6E28" w:rsidRDefault="00204B66" w:rsidP="00BF6E28">
      <w:pPr>
        <w:spacing w:after="120"/>
        <w:jc w:val="both"/>
        <w:rPr>
          <w:rFonts w:ascii="Arial" w:eastAsia="Times New Roman" w:hAnsi="Arial" w:cs="Arial"/>
        </w:rPr>
      </w:pPr>
      <w:r w:rsidRPr="00BF6E28">
        <w:rPr>
          <w:rFonts w:ascii="Arial" w:eastAsia="Times New Roman" w:hAnsi="Arial" w:cs="Arial"/>
        </w:rPr>
        <w:t>Návrh na osvobození v popsaných případech se jeví jako vhodnější než zrušení daně, protože míří v zásadě na skutečně potřebné fyzické osoby a poměrně jednoduchým způsobem limituje další osoby (které by musely své případné další nemovitosti převést)</w:t>
      </w:r>
      <w:r w:rsidR="00415AB8" w:rsidRPr="00BF6E28">
        <w:rPr>
          <w:rFonts w:ascii="Arial" w:eastAsia="Times New Roman" w:hAnsi="Arial" w:cs="Arial"/>
        </w:rPr>
        <w:t>,</w:t>
      </w:r>
      <w:r w:rsidRPr="00BF6E28">
        <w:rPr>
          <w:rFonts w:ascii="Arial" w:eastAsia="Times New Roman" w:hAnsi="Arial" w:cs="Arial"/>
        </w:rPr>
        <w:t xml:space="preserve"> a </w:t>
      </w:r>
      <w:r w:rsidR="009A1E6C" w:rsidRPr="00BF6E28">
        <w:rPr>
          <w:rFonts w:ascii="Arial" w:eastAsia="Times New Roman" w:hAnsi="Arial" w:cs="Arial"/>
        </w:rPr>
        <w:t xml:space="preserve">zároveň </w:t>
      </w:r>
      <w:r w:rsidRPr="00BF6E28">
        <w:rPr>
          <w:rFonts w:ascii="Arial" w:eastAsia="Times New Roman" w:hAnsi="Arial" w:cs="Arial"/>
        </w:rPr>
        <w:t xml:space="preserve">nezvýhodňuje ani soukromé investory, ani podnikatele při výkonu jejich podnikání. Bytové družstvo je totiž jen podnikatelem formálním a návrh je zvýhodňuje jen potud, pokud prokáže (písemnou smlouvou o dalším členském vkladu), že daný byt je výslovně určen pro konkrétní fyzickou osobu, která by sama měla také na zvýhodnění nárok. Zvýhodnění je proto cílené a limitované na osoby, které jsou podrobeny zvláštním omezením. </w:t>
      </w:r>
    </w:p>
    <w:p w14:paraId="141B2661" w14:textId="4AC3D465" w:rsidR="00697D24" w:rsidRPr="00BF6E28" w:rsidRDefault="00B63DDF" w:rsidP="00BF6E28">
      <w:pPr>
        <w:pStyle w:val="l1"/>
        <w:spacing w:line="276" w:lineRule="auto"/>
        <w:jc w:val="both"/>
        <w:rPr>
          <w:rFonts w:ascii="Arial" w:hAnsi="Arial" w:cs="Arial"/>
          <w:sz w:val="22"/>
          <w:szCs w:val="22"/>
          <w:highlight w:val="yellow"/>
        </w:rPr>
      </w:pPr>
      <w:r w:rsidRPr="00BF6E28">
        <w:rPr>
          <w:rFonts w:ascii="Arial" w:hAnsi="Arial" w:cs="Arial"/>
          <w:sz w:val="22"/>
          <w:szCs w:val="22"/>
        </w:rPr>
        <w:t>J</w:t>
      </w:r>
      <w:r w:rsidR="00204B66" w:rsidRPr="00BF6E28">
        <w:rPr>
          <w:rFonts w:ascii="Arial" w:hAnsi="Arial" w:cs="Arial"/>
          <w:sz w:val="22"/>
          <w:szCs w:val="22"/>
        </w:rPr>
        <w:t xml:space="preserve">e vhodné upozornit, že samotné zavedení této daně zákonným opatřením svědčí o podcenění možnosti ovlivnit daňovými nástroji dostupnost bydlení. Daň z nabytí totiž nahradila současně zrušenou daň z převodu nemovitosti, </w:t>
      </w:r>
      <w:r w:rsidR="00877339">
        <w:rPr>
          <w:rFonts w:ascii="Arial" w:hAnsi="Arial" w:cs="Arial"/>
          <w:sz w:val="22"/>
          <w:szCs w:val="22"/>
        </w:rPr>
        <w:t>ale sazba daně (původně 3 % pro </w:t>
      </w:r>
      <w:r w:rsidR="00204B66" w:rsidRPr="00BF6E28">
        <w:rPr>
          <w:rFonts w:ascii="Arial" w:hAnsi="Arial" w:cs="Arial"/>
          <w:sz w:val="22"/>
          <w:szCs w:val="22"/>
        </w:rPr>
        <w:t>obecné případy) byla ještě zvýšena. I když následující růst cen nemovitostí měl nepochybně především jiné příčiny, je téměř jisté, že zavedení daně z nabytí ve stávající sazbě přispělo ke zhoršení celkové situace, kterou je třeba</w:t>
      </w:r>
      <w:r w:rsidR="009A1E6C" w:rsidRPr="00BF6E28">
        <w:rPr>
          <w:rFonts w:ascii="Arial" w:hAnsi="Arial" w:cs="Arial"/>
          <w:sz w:val="22"/>
          <w:szCs w:val="22"/>
        </w:rPr>
        <w:t xml:space="preserve"> naléhavě</w:t>
      </w:r>
      <w:r w:rsidR="00204B66" w:rsidRPr="00BF6E28">
        <w:rPr>
          <w:rFonts w:ascii="Arial" w:hAnsi="Arial" w:cs="Arial"/>
          <w:sz w:val="22"/>
          <w:szCs w:val="22"/>
        </w:rPr>
        <w:t xml:space="preserve"> řešit.</w:t>
      </w:r>
      <w:r w:rsidR="009A1E6C" w:rsidRPr="00BF6E28">
        <w:rPr>
          <w:rFonts w:ascii="Arial" w:hAnsi="Arial" w:cs="Arial"/>
          <w:sz w:val="22"/>
          <w:szCs w:val="22"/>
        </w:rPr>
        <w:t xml:space="preserve"> </w:t>
      </w:r>
    </w:p>
    <w:p w14:paraId="3B515093" w14:textId="0EF93315" w:rsidR="009A1E6C" w:rsidRPr="00BF6E28" w:rsidRDefault="009A1E6C" w:rsidP="00BF6E28">
      <w:pPr>
        <w:jc w:val="both"/>
        <w:rPr>
          <w:rFonts w:ascii="Arial" w:eastAsia="Times New Roman" w:hAnsi="Arial" w:cs="Arial"/>
        </w:rPr>
      </w:pPr>
      <w:r w:rsidRPr="00BF6E28">
        <w:rPr>
          <w:rFonts w:ascii="Arial" w:hAnsi="Arial" w:cs="Arial"/>
        </w:rPr>
        <w:t>Pokud jde o daň z příjmů, cílem návrhu je rozšířit možnosti snížení základu daně fyzických osob pro výpočet daně z příjmů o platby členů bytových družstev (nájemců družstevních bytů), kterými se tito členové podíl</w:t>
      </w:r>
      <w:r w:rsidR="00E51A72" w:rsidRPr="00BF6E28">
        <w:rPr>
          <w:rFonts w:ascii="Arial" w:hAnsi="Arial" w:cs="Arial"/>
        </w:rPr>
        <w:t>ej</w:t>
      </w:r>
      <w:r w:rsidRPr="00BF6E28">
        <w:rPr>
          <w:rFonts w:ascii="Arial" w:hAnsi="Arial" w:cs="Arial"/>
        </w:rPr>
        <w:t xml:space="preserve">í na splácení úroků z úvěrů </w:t>
      </w:r>
      <w:r w:rsidR="00877339">
        <w:rPr>
          <w:rFonts w:ascii="Arial" w:hAnsi="Arial" w:cs="Arial"/>
        </w:rPr>
        <w:t>sjednaných bytovými družstvy na </w:t>
      </w:r>
      <w:r w:rsidRPr="00BF6E28">
        <w:rPr>
          <w:rFonts w:ascii="Arial" w:hAnsi="Arial" w:cs="Arial"/>
        </w:rPr>
        <w:t>pořízení těchto bytů. Důvodem pro toto rozšíření je potřeba stanovit i v případech pořizování bydlení pro fyzické osoby ve formě družstevního bytu stejné podmínky, jak</w:t>
      </w:r>
      <w:r w:rsidR="00E51A72" w:rsidRPr="00BF6E28">
        <w:rPr>
          <w:rFonts w:ascii="Arial" w:hAnsi="Arial" w:cs="Arial"/>
        </w:rPr>
        <w:t>é</w:t>
      </w:r>
      <w:r w:rsidRPr="00BF6E28">
        <w:rPr>
          <w:rFonts w:ascii="Arial" w:hAnsi="Arial" w:cs="Arial"/>
        </w:rPr>
        <w:t xml:space="preserve"> má fyzická osoba při pořízení bytu přímo do svého vlastnictví. To souvisí se snižováním dostupnosti hypotečních úvěrů a </w:t>
      </w:r>
      <w:r w:rsidR="00697D24" w:rsidRPr="00BF6E28">
        <w:rPr>
          <w:rFonts w:ascii="Arial" w:hAnsi="Arial" w:cs="Arial"/>
        </w:rPr>
        <w:t>zvýšením</w:t>
      </w:r>
      <w:r w:rsidRPr="00BF6E28">
        <w:rPr>
          <w:rFonts w:ascii="Arial" w:hAnsi="Arial" w:cs="Arial"/>
        </w:rPr>
        <w:t xml:space="preserve"> možnosti využít k pořízení bytu bytového družstva</w:t>
      </w:r>
      <w:r w:rsidR="00E51A72" w:rsidRPr="00BF6E28">
        <w:rPr>
          <w:rFonts w:ascii="Arial" w:hAnsi="Arial" w:cs="Arial"/>
        </w:rPr>
        <w:t>,</w:t>
      </w:r>
      <w:r w:rsidRPr="00BF6E28">
        <w:rPr>
          <w:rFonts w:ascii="Arial" w:hAnsi="Arial" w:cs="Arial"/>
        </w:rPr>
        <w:t xml:space="preserve"> a získat tak nájem družstevního bytu. Ačkoli se </w:t>
      </w:r>
      <w:r w:rsidR="00D3246C" w:rsidRPr="00BF6E28">
        <w:rPr>
          <w:rFonts w:ascii="Arial" w:hAnsi="Arial" w:cs="Arial"/>
        </w:rPr>
        <w:t>totiž</w:t>
      </w:r>
      <w:r w:rsidRPr="00BF6E28">
        <w:rPr>
          <w:rFonts w:ascii="Arial" w:hAnsi="Arial" w:cs="Arial"/>
        </w:rPr>
        <w:t xml:space="preserve"> jedná v podstatě o stejnou situaci (splácení úvěru na pořízení bytu, jen prostřednictvím bytového družstva), nájemce družstevního bytu nemá nárok na odpočet úroků, </w:t>
      </w:r>
      <w:r w:rsidR="00D3246C" w:rsidRPr="00BF6E28">
        <w:rPr>
          <w:rFonts w:ascii="Arial" w:hAnsi="Arial" w:cs="Arial"/>
        </w:rPr>
        <w:t>zatímco</w:t>
      </w:r>
      <w:r w:rsidRPr="00BF6E28">
        <w:rPr>
          <w:rFonts w:ascii="Arial" w:hAnsi="Arial" w:cs="Arial"/>
        </w:rPr>
        <w:t xml:space="preserve"> vlastník bytu</w:t>
      </w:r>
      <w:r w:rsidR="00D3246C" w:rsidRPr="00BF6E28">
        <w:rPr>
          <w:rFonts w:ascii="Arial" w:hAnsi="Arial" w:cs="Arial"/>
        </w:rPr>
        <w:t xml:space="preserve"> má</w:t>
      </w:r>
      <w:r w:rsidRPr="00BF6E28">
        <w:rPr>
          <w:rFonts w:ascii="Arial" w:hAnsi="Arial" w:cs="Arial"/>
        </w:rPr>
        <w:t xml:space="preserve">. To vede k nedůvodné nerovnosti obou skupin a nemotivuje dostatečně k pořízení družstevního (tedy po jeho pořízení jen nákladového) bydlení osoby, které by si je jinak touto cestou zajistily. </w:t>
      </w:r>
      <w:r w:rsidRPr="00BF6E28">
        <w:rPr>
          <w:rFonts w:ascii="Arial" w:eastAsia="Times New Roman" w:hAnsi="Arial" w:cs="Arial"/>
        </w:rPr>
        <w:t xml:space="preserve">Návrh změny zákona má učinit nabytí družstevního bytu dostupnějším pro více zájemců.  </w:t>
      </w:r>
    </w:p>
    <w:p w14:paraId="622B0478" w14:textId="77777777" w:rsidR="001C0BA1" w:rsidRPr="00BF6E28" w:rsidRDefault="001C0BA1" w:rsidP="001C0BA1">
      <w:pPr>
        <w:jc w:val="both"/>
        <w:rPr>
          <w:rFonts w:ascii="Arial" w:hAnsi="Arial" w:cs="Arial"/>
        </w:rPr>
      </w:pPr>
      <w:r w:rsidRPr="00BF6E28">
        <w:rPr>
          <w:rFonts w:ascii="Arial" w:hAnsi="Arial" w:cs="Arial"/>
        </w:rPr>
        <w:t>Pokud se týká rozpočtového určení výnosů některých daní územním samosprávným celkům a některým státním fondům, navrhuje se změna zákona za účelem zajištění finančních prostředků pro výstavbu veřejné dopravní a technické infrastruktury</w:t>
      </w:r>
      <w:r>
        <w:rPr>
          <w:rFonts w:ascii="Arial" w:hAnsi="Arial" w:cs="Arial"/>
        </w:rPr>
        <w:t xml:space="preserve"> a občanské vybavenosti (školy, školky atd.)</w:t>
      </w:r>
      <w:r w:rsidRPr="00BF6E28">
        <w:rPr>
          <w:rFonts w:ascii="Arial" w:hAnsi="Arial" w:cs="Arial"/>
        </w:rPr>
        <w:t xml:space="preserve">, která je nezbytnou podmínkou stavebního rozvoje na území krajů a obcí a současně představuje pro kraje a obce značnou finanční zátěž. Nedostatek finančních prostředků na výstavbu veřejné infrastruktury novou bytovou výstavbu ve výsledku oddaluje, resp. směrem ke kupujícímu prodražuje, když náklady spojené s výstavbou veřejné infrastruktury jsou </w:t>
      </w:r>
      <w:r>
        <w:rPr>
          <w:rFonts w:ascii="Arial" w:hAnsi="Arial" w:cs="Arial"/>
        </w:rPr>
        <w:t xml:space="preserve">často </w:t>
      </w:r>
      <w:r w:rsidRPr="00BF6E28">
        <w:rPr>
          <w:rFonts w:ascii="Arial" w:hAnsi="Arial" w:cs="Arial"/>
        </w:rPr>
        <w:t xml:space="preserve">přenášeny na investora a </w:t>
      </w:r>
      <w:r>
        <w:rPr>
          <w:rFonts w:ascii="Arial" w:hAnsi="Arial" w:cs="Arial"/>
        </w:rPr>
        <w:t>z</w:t>
      </w:r>
      <w:r w:rsidRPr="00BF6E28">
        <w:rPr>
          <w:rFonts w:ascii="Arial" w:hAnsi="Arial" w:cs="Arial"/>
        </w:rPr>
        <w:t xml:space="preserve"> něj na kupujícího. Stát získává z nové </w:t>
      </w:r>
      <w:r w:rsidRPr="00BF6E28">
        <w:rPr>
          <w:rFonts w:ascii="Arial" w:hAnsi="Arial" w:cs="Arial"/>
        </w:rPr>
        <w:lastRenderedPageBreak/>
        <w:t>výstavby na dani z přidané hodnoty desítky miliard korun ročně, finanční zátěž spojenou s novou výstavbou nicméně nesou kraje a obce. Navrhuje se proto zvýšení podílu krajů a obcí na celostátním hrubém výnosu daně z přidané hodnoty, a to ze současných 32,5 % na 35 %.</w:t>
      </w:r>
    </w:p>
    <w:p w14:paraId="1B965E90" w14:textId="5B518A14" w:rsidR="00D3246C" w:rsidRPr="00BF6E28" w:rsidRDefault="00D3246C" w:rsidP="00BF6E28">
      <w:pPr>
        <w:jc w:val="both"/>
        <w:rPr>
          <w:rFonts w:ascii="Arial" w:hAnsi="Arial" w:cs="Arial"/>
        </w:rPr>
      </w:pPr>
    </w:p>
    <w:p w14:paraId="4F25B6C5" w14:textId="77777777" w:rsidR="007926FC" w:rsidRPr="00BF6E28" w:rsidRDefault="007926FC" w:rsidP="00BF6E28">
      <w:pPr>
        <w:pStyle w:val="l1"/>
        <w:spacing w:line="276" w:lineRule="auto"/>
        <w:jc w:val="both"/>
        <w:rPr>
          <w:rFonts w:ascii="Arial" w:hAnsi="Arial" w:cs="Arial"/>
          <w:b/>
          <w:sz w:val="22"/>
          <w:szCs w:val="22"/>
        </w:rPr>
      </w:pPr>
      <w:r w:rsidRPr="00BF6E28">
        <w:rPr>
          <w:rFonts w:ascii="Arial" w:hAnsi="Arial" w:cs="Arial"/>
          <w:b/>
          <w:sz w:val="22"/>
          <w:szCs w:val="22"/>
        </w:rPr>
        <w:t xml:space="preserve">2. </w:t>
      </w:r>
      <w:r w:rsidRPr="00BF6E28">
        <w:rPr>
          <w:rFonts w:ascii="Arial" w:eastAsia="MS Mincho" w:hAnsi="Arial" w:cs="Arial"/>
          <w:b/>
          <w:sz w:val="22"/>
          <w:szCs w:val="22"/>
        </w:rPr>
        <w:t>Zhodnocení souladu navrhované právní úpravy s ústavním pořádkem České republiky</w:t>
      </w:r>
    </w:p>
    <w:p w14:paraId="74E19647" w14:textId="77777777" w:rsidR="007926FC" w:rsidRPr="00BF6E28" w:rsidRDefault="007926FC"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Navrhovaný právní předpis je v souladu s ústavním pořádkem České republiky.</w:t>
      </w:r>
    </w:p>
    <w:p w14:paraId="0D4F2585" w14:textId="77777777" w:rsidR="0093215A" w:rsidRPr="00BF6E28" w:rsidRDefault="0093215A" w:rsidP="00BF6E28">
      <w:pPr>
        <w:pStyle w:val="l1"/>
        <w:spacing w:line="276" w:lineRule="auto"/>
        <w:jc w:val="both"/>
        <w:rPr>
          <w:rFonts w:ascii="Arial" w:hAnsi="Arial" w:cs="Arial"/>
          <w:b/>
          <w:sz w:val="22"/>
          <w:szCs w:val="22"/>
        </w:rPr>
      </w:pPr>
      <w:r w:rsidRPr="00BF6E28">
        <w:rPr>
          <w:rFonts w:ascii="Arial" w:hAnsi="Arial" w:cs="Arial"/>
          <w:b/>
          <w:sz w:val="22"/>
          <w:szCs w:val="22"/>
        </w:rPr>
        <w:t xml:space="preserve">3. </w:t>
      </w:r>
      <w:r w:rsidRPr="00BF6E28">
        <w:rPr>
          <w:rFonts w:ascii="Arial" w:eastAsia="MS Mincho" w:hAnsi="Arial" w:cs="Arial"/>
          <w:b/>
          <w:sz w:val="22"/>
          <w:szCs w:val="22"/>
        </w:rPr>
        <w:t xml:space="preserve">Zhodnocení slučitelnosti navrhované právní úpravy s předpisy Evropské unie, judikaturou soudních orgánů Evropské unie nebo obecnými právními zásadami práva Evropské unie </w:t>
      </w:r>
    </w:p>
    <w:p w14:paraId="305F1F62" w14:textId="3E7DD9F5" w:rsidR="0036277C" w:rsidRPr="00BF6E28" w:rsidRDefault="0093215A" w:rsidP="00BF6E28">
      <w:pPr>
        <w:spacing w:after="120"/>
        <w:jc w:val="both"/>
        <w:rPr>
          <w:rFonts w:ascii="Arial" w:eastAsia="Times New Roman" w:hAnsi="Arial" w:cs="Arial"/>
        </w:rPr>
      </w:pPr>
      <w:r w:rsidRPr="00BF6E28">
        <w:rPr>
          <w:rFonts w:ascii="Arial" w:eastAsia="Times New Roman" w:hAnsi="Arial" w:cs="Arial"/>
          <w:color w:val="0D0D0D"/>
          <w:lang w:eastAsia="cs-CZ"/>
        </w:rPr>
        <w:t xml:space="preserve">Navrhovaná právní úprava </w:t>
      </w:r>
      <w:r w:rsidR="0036277C" w:rsidRPr="00BF6E28">
        <w:rPr>
          <w:rFonts w:ascii="Arial" w:eastAsia="Times New Roman" w:hAnsi="Arial" w:cs="Arial"/>
          <w:color w:val="0D0D0D"/>
          <w:lang w:eastAsia="cs-CZ"/>
        </w:rPr>
        <w:t xml:space="preserve">DPH </w:t>
      </w:r>
      <w:r w:rsidRPr="00BF6E28">
        <w:rPr>
          <w:rFonts w:ascii="Arial" w:eastAsia="Times New Roman" w:hAnsi="Arial" w:cs="Arial"/>
          <w:color w:val="0D0D0D"/>
          <w:lang w:eastAsia="cs-CZ"/>
        </w:rPr>
        <w:t>neimplementuje právo Evropské unie a je plně slučitelná s předpisy Evropské unie, judikaturou soudních orgánů Evropské unie i s obecnými právními zásadami práva Evropské unie.</w:t>
      </w:r>
      <w:r w:rsidR="008F6189" w:rsidRPr="00BF6E28">
        <w:rPr>
          <w:rFonts w:ascii="Arial" w:eastAsia="Times New Roman" w:hAnsi="Arial" w:cs="Arial"/>
          <w:color w:val="0D0D0D"/>
          <w:lang w:eastAsia="cs-CZ"/>
        </w:rPr>
        <w:t xml:space="preserve"> Konkrétně z</w:t>
      </w:r>
      <w:r w:rsidR="001A4B4E" w:rsidRPr="00BF6E28">
        <w:rPr>
          <w:rFonts w:ascii="Arial" w:hAnsi="Arial" w:cs="Arial"/>
        </w:rPr>
        <w:t>avedení dru</w:t>
      </w:r>
      <w:r w:rsidR="008F6189" w:rsidRPr="00BF6E28">
        <w:rPr>
          <w:rFonts w:ascii="Arial" w:hAnsi="Arial" w:cs="Arial"/>
        </w:rPr>
        <w:t>hé snížené sazby při výstavbě a </w:t>
      </w:r>
      <w:r w:rsidR="001A4B4E" w:rsidRPr="00BF6E28">
        <w:rPr>
          <w:rFonts w:ascii="Arial" w:hAnsi="Arial" w:cs="Arial"/>
        </w:rPr>
        <w:t>dodání staveb pro bydlení není v rozporu s evropským</w:t>
      </w:r>
      <w:r w:rsidR="00877339">
        <w:rPr>
          <w:rFonts w:ascii="Arial" w:hAnsi="Arial" w:cs="Arial"/>
        </w:rPr>
        <w:t xml:space="preserve"> právem. Tento závěr vychází ze </w:t>
      </w:r>
      <w:r w:rsidR="00BA1001" w:rsidRPr="00BF6E28">
        <w:rPr>
          <w:rFonts w:ascii="Arial" w:hAnsi="Arial" w:cs="Arial"/>
        </w:rPr>
        <w:t>s</w:t>
      </w:r>
      <w:r w:rsidR="001A4B4E" w:rsidRPr="00BF6E28">
        <w:rPr>
          <w:rFonts w:ascii="Arial" w:hAnsi="Arial" w:cs="Arial"/>
        </w:rPr>
        <w:t>měrnice Rady 2006/112/ES o společném systému daně z přidané hodnoty, která v čl</w:t>
      </w:r>
      <w:r w:rsidR="00EA78BF" w:rsidRPr="00BF6E28">
        <w:rPr>
          <w:rFonts w:ascii="Arial" w:hAnsi="Arial" w:cs="Arial"/>
        </w:rPr>
        <w:t>ánku</w:t>
      </w:r>
      <w:r w:rsidR="001A4B4E" w:rsidRPr="00BF6E28">
        <w:rPr>
          <w:rFonts w:ascii="Arial" w:hAnsi="Arial" w:cs="Arial"/>
        </w:rPr>
        <w:t xml:space="preserve"> 98 dává členským státům právo uplatňovat jed</w:t>
      </w:r>
      <w:r w:rsidR="008F6189" w:rsidRPr="00BF6E28">
        <w:rPr>
          <w:rFonts w:ascii="Arial" w:hAnsi="Arial" w:cs="Arial"/>
        </w:rPr>
        <w:t>nu či dvě snížené sazby daně, z </w:t>
      </w:r>
      <w:r w:rsidR="001A4B4E" w:rsidRPr="00BF6E28">
        <w:rPr>
          <w:rFonts w:ascii="Arial" w:hAnsi="Arial" w:cs="Arial"/>
        </w:rPr>
        <w:t xml:space="preserve">nichž ani jedna </w:t>
      </w:r>
      <w:r w:rsidR="008F6189" w:rsidRPr="00BF6E28">
        <w:rPr>
          <w:rFonts w:ascii="Arial" w:hAnsi="Arial" w:cs="Arial"/>
        </w:rPr>
        <w:t xml:space="preserve">ale </w:t>
      </w:r>
      <w:r w:rsidR="001A4B4E" w:rsidRPr="00BF6E28">
        <w:rPr>
          <w:rFonts w:ascii="Arial" w:hAnsi="Arial" w:cs="Arial"/>
        </w:rPr>
        <w:t xml:space="preserve">nemůže být nižší než 5 %. Snížené sazby je </w:t>
      </w:r>
      <w:r w:rsidR="00877339">
        <w:rPr>
          <w:rFonts w:ascii="Arial" w:hAnsi="Arial" w:cs="Arial"/>
        </w:rPr>
        <w:t>možné uplatnit u dodání zboží a </w:t>
      </w:r>
      <w:r w:rsidR="001A4B4E" w:rsidRPr="00BF6E28">
        <w:rPr>
          <w:rFonts w:ascii="Arial" w:hAnsi="Arial" w:cs="Arial"/>
        </w:rPr>
        <w:t>poskytnutí služeb, které jsou uvedeny v příloze III</w:t>
      </w:r>
      <w:r w:rsidR="008F6189" w:rsidRPr="00BF6E28">
        <w:rPr>
          <w:rFonts w:ascii="Arial" w:hAnsi="Arial" w:cs="Arial"/>
        </w:rPr>
        <w:t xml:space="preserve"> </w:t>
      </w:r>
      <w:r w:rsidR="00555C36" w:rsidRPr="00BF6E28">
        <w:rPr>
          <w:rFonts w:ascii="Arial" w:hAnsi="Arial" w:cs="Arial"/>
        </w:rPr>
        <w:t>s</w:t>
      </w:r>
      <w:r w:rsidR="008F6189" w:rsidRPr="00BF6E28">
        <w:rPr>
          <w:rFonts w:ascii="Arial" w:hAnsi="Arial" w:cs="Arial"/>
        </w:rPr>
        <w:t>měrnice</w:t>
      </w:r>
      <w:r w:rsidR="001A4B4E" w:rsidRPr="00BF6E28">
        <w:rPr>
          <w:rFonts w:ascii="Arial" w:hAnsi="Arial" w:cs="Arial"/>
        </w:rPr>
        <w:t>, kde pod bodem 10 najdeme dodání, výstavbu, renovace a přestavbu bytů v rámci sociální politiky.</w:t>
      </w:r>
      <w:r w:rsidR="0036277C" w:rsidRPr="00BF6E28">
        <w:rPr>
          <w:rFonts w:ascii="Arial" w:eastAsia="Times New Roman" w:hAnsi="Arial" w:cs="Arial"/>
        </w:rPr>
        <w:t xml:space="preserve"> </w:t>
      </w:r>
    </w:p>
    <w:p w14:paraId="4C43B1B1" w14:textId="24710A3E" w:rsidR="0036277C" w:rsidRPr="00BF6E28" w:rsidRDefault="007A71FC" w:rsidP="00BF6E28">
      <w:pPr>
        <w:spacing w:after="120"/>
        <w:jc w:val="both"/>
        <w:rPr>
          <w:rFonts w:ascii="Arial" w:eastAsia="Times New Roman" w:hAnsi="Arial" w:cs="Arial"/>
        </w:rPr>
      </w:pPr>
      <w:r w:rsidRPr="00BF6E28">
        <w:rPr>
          <w:rFonts w:ascii="Arial" w:eastAsia="Times New Roman" w:hAnsi="Arial" w:cs="Arial"/>
        </w:rPr>
        <w:t>Navrhovaná úprava daně z nabytí nemovitých věcí není v rozporu s právem Evropské unie, protože tato konkrétní otázka právem E</w:t>
      </w:r>
      <w:r w:rsidR="001C768D" w:rsidRPr="00BF6E28">
        <w:rPr>
          <w:rFonts w:ascii="Arial" w:eastAsia="Times New Roman" w:hAnsi="Arial" w:cs="Arial"/>
        </w:rPr>
        <w:t xml:space="preserve">vropské unie </w:t>
      </w:r>
      <w:r w:rsidRPr="00BF6E28">
        <w:rPr>
          <w:rFonts w:ascii="Arial" w:eastAsia="Times New Roman" w:hAnsi="Arial" w:cs="Arial"/>
        </w:rPr>
        <w:t>upravena</w:t>
      </w:r>
      <w:r w:rsidR="00877339">
        <w:rPr>
          <w:rFonts w:ascii="Arial" w:eastAsia="Times New Roman" w:hAnsi="Arial" w:cs="Arial"/>
        </w:rPr>
        <w:t xml:space="preserve"> není. Zvýhodnění je určeno pro </w:t>
      </w:r>
      <w:r w:rsidRPr="00BF6E28">
        <w:rPr>
          <w:rFonts w:ascii="Arial" w:eastAsia="Times New Roman" w:hAnsi="Arial" w:cs="Arial"/>
        </w:rPr>
        <w:t>všechny fyzické osoby, takže nepřipadá v úvahu jakákoli diskriminace. Není ani třeba řešit odlišné postavení osob nepodnikajících a podnikajících, protože každá fyzická osoba má právo být osvobozena pouze v rozsahu jedné nemovitosti tohoto typu. Pokud se týče právnických osob, je zvýhodnění určeno jen jedinému typu právnické osoby, bytovému družstvu, z důvodu jeho zákonných specifik, a to ještě zúženě ve prospěch jeho člena, fyzické osoby, pro kterou už musí být nabývaný byt přímo ur</w:t>
      </w:r>
      <w:r w:rsidR="00877339">
        <w:rPr>
          <w:rFonts w:ascii="Arial" w:eastAsia="Times New Roman" w:hAnsi="Arial" w:cs="Arial"/>
        </w:rPr>
        <w:t>čen. Zvýhodněné proto budou jen </w:t>
      </w:r>
      <w:r w:rsidRPr="00BF6E28">
        <w:rPr>
          <w:rFonts w:ascii="Arial" w:eastAsia="Times New Roman" w:hAnsi="Arial" w:cs="Arial"/>
        </w:rPr>
        <w:t xml:space="preserve">družstevní </w:t>
      </w:r>
      <w:r w:rsidR="00D87EF2" w:rsidRPr="00BF6E28">
        <w:rPr>
          <w:rFonts w:ascii="Arial" w:eastAsia="Times New Roman" w:hAnsi="Arial" w:cs="Arial"/>
        </w:rPr>
        <w:t xml:space="preserve">byty </w:t>
      </w:r>
      <w:r w:rsidRPr="00BF6E28">
        <w:rPr>
          <w:rFonts w:ascii="Arial" w:eastAsia="Times New Roman" w:hAnsi="Arial" w:cs="Arial"/>
        </w:rPr>
        <w:t xml:space="preserve">za účelem neziskového pronájmu členům, fyzickým osobám, </w:t>
      </w:r>
      <w:r w:rsidR="00D87EF2" w:rsidRPr="00BF6E28">
        <w:rPr>
          <w:rFonts w:ascii="Arial" w:eastAsia="Times New Roman" w:hAnsi="Arial" w:cs="Arial"/>
        </w:rPr>
        <w:t xml:space="preserve">splňujícím </w:t>
      </w:r>
      <w:r w:rsidRPr="00BF6E28">
        <w:rPr>
          <w:rFonts w:ascii="Arial" w:eastAsia="Times New Roman" w:hAnsi="Arial" w:cs="Arial"/>
        </w:rPr>
        <w:t>podmínky osvobození. V této souvislosti je třeba upozornit na výrazná specifika bytových družstev, která jsou ze zákona v řadě směrů omezena a sankcionována právě proto</w:t>
      </w:r>
      <w:r w:rsidR="00D87EF2" w:rsidRPr="00BF6E28">
        <w:rPr>
          <w:rFonts w:ascii="Arial" w:eastAsia="Times New Roman" w:hAnsi="Arial" w:cs="Arial"/>
        </w:rPr>
        <w:t>,</w:t>
      </w:r>
      <w:r w:rsidRPr="00BF6E28">
        <w:rPr>
          <w:rFonts w:ascii="Arial" w:eastAsia="Times New Roman" w:hAnsi="Arial" w:cs="Arial"/>
        </w:rPr>
        <w:t xml:space="preserve"> aby mohla naplňovat úkol veřejného zájmu, kterým zajištění bytových potřeb obecně je. Nemohou tedy být zvýhodněny korporace jiné, protože u nich potřebný účel založení, zákonná omezení ani záko</w:t>
      </w:r>
      <w:r w:rsidR="00070148" w:rsidRPr="00BF6E28">
        <w:rPr>
          <w:rFonts w:ascii="Arial" w:eastAsia="Times New Roman" w:hAnsi="Arial" w:cs="Arial"/>
        </w:rPr>
        <w:t>n</w:t>
      </w:r>
      <w:r w:rsidRPr="00BF6E28">
        <w:rPr>
          <w:rFonts w:ascii="Arial" w:eastAsia="Times New Roman" w:hAnsi="Arial" w:cs="Arial"/>
        </w:rPr>
        <w:t>né záruky neexistují.</w:t>
      </w:r>
    </w:p>
    <w:p w14:paraId="5C04AAE4" w14:textId="1FA2B19C" w:rsidR="0093215A" w:rsidRPr="00BF6E28" w:rsidRDefault="0036277C" w:rsidP="00BF6E28">
      <w:pPr>
        <w:spacing w:after="120"/>
        <w:jc w:val="both"/>
        <w:rPr>
          <w:rFonts w:ascii="Arial" w:eastAsia="Times New Roman" w:hAnsi="Arial" w:cs="Arial"/>
          <w:color w:val="0D0D0D"/>
          <w:lang w:eastAsia="cs-CZ"/>
        </w:rPr>
      </w:pPr>
      <w:r w:rsidRPr="00BF6E28">
        <w:rPr>
          <w:rFonts w:ascii="Arial" w:eastAsia="Times New Roman" w:hAnsi="Arial" w:cs="Arial"/>
        </w:rPr>
        <w:t xml:space="preserve">Navrhovaná úprava </w:t>
      </w:r>
      <w:r w:rsidR="0072762A" w:rsidRPr="00BF6E28">
        <w:rPr>
          <w:rFonts w:ascii="Arial" w:eastAsia="Times New Roman" w:hAnsi="Arial" w:cs="Arial"/>
        </w:rPr>
        <w:t xml:space="preserve">daně z příjmů </w:t>
      </w:r>
      <w:r w:rsidRPr="00BF6E28">
        <w:rPr>
          <w:rFonts w:ascii="Arial" w:eastAsia="Times New Roman" w:hAnsi="Arial" w:cs="Arial"/>
        </w:rPr>
        <w:t>není v rozporu s právem Evropské unie, protože tato konkrétní otázka právem E</w:t>
      </w:r>
      <w:r w:rsidR="00C17C3B" w:rsidRPr="00BF6E28">
        <w:rPr>
          <w:rFonts w:ascii="Arial" w:eastAsia="Times New Roman" w:hAnsi="Arial" w:cs="Arial"/>
        </w:rPr>
        <w:t xml:space="preserve">vropské unie </w:t>
      </w:r>
      <w:r w:rsidRPr="00BF6E28">
        <w:rPr>
          <w:rFonts w:ascii="Arial" w:eastAsia="Times New Roman" w:hAnsi="Arial" w:cs="Arial"/>
        </w:rPr>
        <w:t>upravena není. Zvýhodnění je určeno pro členy jediného typu právnické osoby, bytového družstva, z důvodu jeho zákonných specifik. Bytová družstva jsou ze zákona v řadě směrů omezena a sankcionována právě proto</w:t>
      </w:r>
      <w:r w:rsidR="00BB73FB" w:rsidRPr="00BF6E28">
        <w:rPr>
          <w:rFonts w:ascii="Arial" w:eastAsia="Times New Roman" w:hAnsi="Arial" w:cs="Arial"/>
        </w:rPr>
        <w:t>,</w:t>
      </w:r>
      <w:r w:rsidRPr="00BF6E28">
        <w:rPr>
          <w:rFonts w:ascii="Arial" w:eastAsia="Times New Roman" w:hAnsi="Arial" w:cs="Arial"/>
        </w:rPr>
        <w:t xml:space="preserve"> aby mohla naplňovat úkol veřejného zájmu, kterým zajištění bytových potřeb obecně je. Navíc jen bytová družstva mají upraven speciální nájem družstevního bytu, který je ze zákona součástí družstevního podílu a povinně neziskový (§ 744). Takto nemohou tedy být zvýhodněni členové jiných korporací, protože u nich potřebný účel založení, zákonná omezení</w:t>
      </w:r>
      <w:r w:rsidR="00BB73FB" w:rsidRPr="00BF6E28">
        <w:rPr>
          <w:rFonts w:ascii="Arial" w:eastAsia="Times New Roman" w:hAnsi="Arial" w:cs="Arial"/>
        </w:rPr>
        <w:t xml:space="preserve"> ani </w:t>
      </w:r>
      <w:r w:rsidRPr="00BF6E28">
        <w:rPr>
          <w:rFonts w:ascii="Arial" w:eastAsia="Times New Roman" w:hAnsi="Arial" w:cs="Arial"/>
        </w:rPr>
        <w:t>zákonné záruky</w:t>
      </w:r>
      <w:r w:rsidR="00BB73FB" w:rsidRPr="00BF6E28">
        <w:rPr>
          <w:rFonts w:ascii="Arial" w:eastAsia="Times New Roman" w:hAnsi="Arial" w:cs="Arial"/>
        </w:rPr>
        <w:t>,</w:t>
      </w:r>
      <w:r w:rsidRPr="00BF6E28">
        <w:rPr>
          <w:rFonts w:ascii="Arial" w:eastAsia="Times New Roman" w:hAnsi="Arial" w:cs="Arial"/>
        </w:rPr>
        <w:t xml:space="preserve"> včetně úpravy vztahu člena ke korporaci, neexistují.</w:t>
      </w:r>
    </w:p>
    <w:p w14:paraId="3A1CD3A1" w14:textId="781EA269" w:rsidR="00785707" w:rsidRPr="00BF6E28" w:rsidRDefault="00F970A4" w:rsidP="00BF6E28">
      <w:pPr>
        <w:pStyle w:val="l1"/>
        <w:spacing w:line="276" w:lineRule="auto"/>
        <w:jc w:val="both"/>
        <w:rPr>
          <w:rFonts w:ascii="Arial" w:hAnsi="Arial" w:cs="Arial"/>
          <w:sz w:val="22"/>
          <w:szCs w:val="22"/>
        </w:rPr>
      </w:pPr>
      <w:r w:rsidRPr="00BF6E28">
        <w:rPr>
          <w:rFonts w:ascii="Arial" w:hAnsi="Arial" w:cs="Arial"/>
          <w:b/>
          <w:sz w:val="22"/>
          <w:szCs w:val="22"/>
        </w:rPr>
        <w:lastRenderedPageBreak/>
        <w:t>4</w:t>
      </w:r>
      <w:r w:rsidR="00785707" w:rsidRPr="00BF6E28">
        <w:rPr>
          <w:rFonts w:ascii="Arial" w:hAnsi="Arial" w:cs="Arial"/>
          <w:b/>
          <w:sz w:val="22"/>
          <w:szCs w:val="22"/>
        </w:rPr>
        <w:t>.</w:t>
      </w:r>
      <w:r w:rsidR="00E82B3E" w:rsidRPr="00BF6E28">
        <w:rPr>
          <w:rFonts w:ascii="Arial" w:hAnsi="Arial" w:cs="Arial"/>
          <w:b/>
          <w:sz w:val="22"/>
          <w:szCs w:val="22"/>
        </w:rPr>
        <w:t xml:space="preserve"> </w:t>
      </w:r>
      <w:r w:rsidR="00785707" w:rsidRPr="00BF6E28">
        <w:rPr>
          <w:rFonts w:ascii="Arial" w:eastAsia="MS Mincho" w:hAnsi="Arial" w:cs="Arial"/>
          <w:b/>
          <w:sz w:val="22"/>
          <w:szCs w:val="22"/>
        </w:rPr>
        <w:t>Odůvodnění dopadů navrhovaného řešení ve vz</w:t>
      </w:r>
      <w:r w:rsidR="00877339">
        <w:rPr>
          <w:rFonts w:ascii="Arial" w:eastAsia="MS Mincho" w:hAnsi="Arial" w:cs="Arial"/>
          <w:b/>
          <w:sz w:val="22"/>
          <w:szCs w:val="22"/>
        </w:rPr>
        <w:t>tahu k zákazu diskriminace a ve </w:t>
      </w:r>
      <w:r w:rsidR="00785707" w:rsidRPr="00BF6E28">
        <w:rPr>
          <w:rFonts w:ascii="Arial" w:eastAsia="MS Mincho" w:hAnsi="Arial" w:cs="Arial"/>
          <w:b/>
          <w:sz w:val="22"/>
          <w:szCs w:val="22"/>
        </w:rPr>
        <w:t xml:space="preserve">vztahu k rovnosti mužů a žen </w:t>
      </w:r>
    </w:p>
    <w:p w14:paraId="7EEFA96B" w14:textId="77777777" w:rsidR="00785707" w:rsidRPr="00BF6E28" w:rsidRDefault="00785707"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 xml:space="preserve">Platná právní úprava nemá žádný vliv na zákaz diskriminace ani vazbu na vztah rovnosti mužů a </w:t>
      </w:r>
      <w:r w:rsidR="00F970A4" w:rsidRPr="00BF6E28">
        <w:rPr>
          <w:rFonts w:ascii="Arial" w:eastAsia="Times New Roman" w:hAnsi="Arial" w:cs="Arial"/>
          <w:color w:val="0D0D0D"/>
          <w:lang w:eastAsia="cs-CZ"/>
        </w:rPr>
        <w:t>žen a ani navrhovaná změna na tom nic nemění.</w:t>
      </w:r>
    </w:p>
    <w:p w14:paraId="4B435738" w14:textId="185B2D5D" w:rsidR="00764349" w:rsidRPr="00BF6E28" w:rsidRDefault="0080358B" w:rsidP="00BF6E28">
      <w:pPr>
        <w:pStyle w:val="l1"/>
        <w:spacing w:line="276" w:lineRule="auto"/>
        <w:jc w:val="both"/>
        <w:rPr>
          <w:rFonts w:ascii="Arial" w:hAnsi="Arial" w:cs="Arial"/>
          <w:sz w:val="22"/>
          <w:szCs w:val="22"/>
        </w:rPr>
      </w:pPr>
      <w:r w:rsidRPr="00BF6E28">
        <w:rPr>
          <w:rFonts w:ascii="Arial" w:hAnsi="Arial" w:cs="Arial"/>
          <w:b/>
          <w:sz w:val="22"/>
          <w:szCs w:val="22"/>
        </w:rPr>
        <w:t>5</w:t>
      </w:r>
      <w:r w:rsidR="00764349" w:rsidRPr="00BF6E28">
        <w:rPr>
          <w:rFonts w:ascii="Arial" w:hAnsi="Arial" w:cs="Arial"/>
          <w:b/>
          <w:sz w:val="22"/>
          <w:szCs w:val="22"/>
        </w:rPr>
        <w:t>.</w:t>
      </w:r>
      <w:r w:rsidR="00E82B3E" w:rsidRPr="00BF6E28">
        <w:rPr>
          <w:rFonts w:ascii="Arial" w:hAnsi="Arial" w:cs="Arial"/>
          <w:b/>
          <w:sz w:val="22"/>
          <w:szCs w:val="22"/>
        </w:rPr>
        <w:t xml:space="preserve"> </w:t>
      </w:r>
      <w:r w:rsidR="00764349" w:rsidRPr="00BF6E28">
        <w:rPr>
          <w:rFonts w:ascii="Arial" w:eastAsia="MS Mincho" w:hAnsi="Arial" w:cs="Arial"/>
          <w:b/>
          <w:sz w:val="22"/>
          <w:szCs w:val="22"/>
        </w:rPr>
        <w:t>Zhodnocení souladu navrhované právní úpravy s mezinárodními smlouvami, jimiž je Česká republika vázána</w:t>
      </w:r>
    </w:p>
    <w:p w14:paraId="7175E82A" w14:textId="77777777" w:rsidR="00785707" w:rsidRPr="00BF6E28" w:rsidRDefault="00785707"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Navrhovaná právní úprava není v rozporu s obecně uznávanými zásadami mezinárodního práva, s mezinárodními smlouvami, včetně mezinárodních smluv o lidských právech a základních svobodách</w:t>
      </w:r>
      <w:r w:rsidR="00764349" w:rsidRPr="00BF6E28">
        <w:rPr>
          <w:rFonts w:ascii="Arial" w:eastAsia="Times New Roman" w:hAnsi="Arial" w:cs="Arial"/>
          <w:color w:val="0D0D0D"/>
          <w:lang w:eastAsia="cs-CZ"/>
        </w:rPr>
        <w:t>.</w:t>
      </w:r>
      <w:r w:rsidRPr="00BF6E28">
        <w:rPr>
          <w:rFonts w:ascii="Arial" w:eastAsia="Times New Roman" w:hAnsi="Arial" w:cs="Arial"/>
          <w:color w:val="0D0D0D"/>
          <w:lang w:eastAsia="cs-CZ"/>
        </w:rPr>
        <w:t xml:space="preserve"> </w:t>
      </w:r>
    </w:p>
    <w:p w14:paraId="08C78010" w14:textId="6A218F62" w:rsidR="0072359C" w:rsidRPr="00BF6E28" w:rsidRDefault="0080358B" w:rsidP="00BF6E28">
      <w:pPr>
        <w:pStyle w:val="l1"/>
        <w:spacing w:line="276" w:lineRule="auto"/>
        <w:jc w:val="both"/>
        <w:rPr>
          <w:rFonts w:ascii="Arial" w:hAnsi="Arial" w:cs="Arial"/>
          <w:sz w:val="22"/>
          <w:szCs w:val="22"/>
        </w:rPr>
      </w:pPr>
      <w:r w:rsidRPr="00BF6E28">
        <w:rPr>
          <w:rFonts w:ascii="Arial" w:hAnsi="Arial" w:cs="Arial"/>
          <w:b/>
          <w:sz w:val="22"/>
          <w:szCs w:val="22"/>
        </w:rPr>
        <w:t>6</w:t>
      </w:r>
      <w:r w:rsidR="0072359C" w:rsidRPr="00BF6E28">
        <w:rPr>
          <w:rFonts w:ascii="Arial" w:hAnsi="Arial" w:cs="Arial"/>
          <w:b/>
          <w:sz w:val="22"/>
          <w:szCs w:val="22"/>
        </w:rPr>
        <w:t>.</w:t>
      </w:r>
      <w:r w:rsidR="00E82B3E" w:rsidRPr="00BF6E28">
        <w:rPr>
          <w:rFonts w:ascii="Arial" w:hAnsi="Arial" w:cs="Arial"/>
          <w:b/>
          <w:sz w:val="22"/>
          <w:szCs w:val="22"/>
        </w:rPr>
        <w:t xml:space="preserve"> </w:t>
      </w:r>
      <w:r w:rsidR="0072359C" w:rsidRPr="00BF6E28">
        <w:rPr>
          <w:rFonts w:ascii="Arial" w:eastAsia="MS Mincho" w:hAnsi="Arial" w:cs="Arial"/>
          <w:b/>
          <w:sz w:val="22"/>
          <w:szCs w:val="22"/>
        </w:rPr>
        <w:t>Zhodnocení dopadů navrhovaného řešení ve vztahu k ochraně soukromí a osobních údajů</w:t>
      </w:r>
    </w:p>
    <w:p w14:paraId="688899D0" w14:textId="57078538" w:rsidR="0072359C" w:rsidRPr="00BF6E28" w:rsidRDefault="005E3650"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Navrhovaná právní úprava nemá ž</w:t>
      </w:r>
      <w:r w:rsidR="007B69EE" w:rsidRPr="00BF6E28">
        <w:rPr>
          <w:rFonts w:ascii="Arial" w:eastAsia="Times New Roman" w:hAnsi="Arial" w:cs="Arial"/>
          <w:color w:val="0D0D0D"/>
          <w:lang w:eastAsia="cs-CZ"/>
        </w:rPr>
        <w:t xml:space="preserve">ádné dopady z hlediska ochrany soukromí. </w:t>
      </w:r>
    </w:p>
    <w:p w14:paraId="5B819CA6" w14:textId="568EAC41" w:rsidR="0080358B" w:rsidRPr="00BF6E28" w:rsidRDefault="0080358B" w:rsidP="00BF6E28">
      <w:pPr>
        <w:pStyle w:val="l1"/>
        <w:spacing w:line="276" w:lineRule="auto"/>
        <w:jc w:val="both"/>
        <w:rPr>
          <w:rFonts w:ascii="Arial" w:hAnsi="Arial" w:cs="Arial"/>
          <w:sz w:val="22"/>
          <w:szCs w:val="22"/>
        </w:rPr>
      </w:pPr>
      <w:r w:rsidRPr="00BF6E28">
        <w:rPr>
          <w:rFonts w:ascii="Arial" w:hAnsi="Arial" w:cs="Arial"/>
          <w:b/>
          <w:sz w:val="22"/>
          <w:szCs w:val="22"/>
        </w:rPr>
        <w:t>7.</w:t>
      </w:r>
      <w:r w:rsidR="00E82B3E" w:rsidRPr="00BF6E28">
        <w:rPr>
          <w:rFonts w:ascii="Arial" w:hAnsi="Arial" w:cs="Arial"/>
          <w:b/>
          <w:sz w:val="22"/>
          <w:szCs w:val="22"/>
        </w:rPr>
        <w:t xml:space="preserve"> </w:t>
      </w:r>
      <w:r w:rsidRPr="00BF6E28">
        <w:rPr>
          <w:rFonts w:ascii="Arial" w:eastAsia="MS Mincho" w:hAnsi="Arial" w:cs="Arial"/>
          <w:b/>
          <w:sz w:val="22"/>
          <w:szCs w:val="22"/>
        </w:rPr>
        <w:t>Zhodnocení korupčních rizik</w:t>
      </w:r>
    </w:p>
    <w:p w14:paraId="16636F37" w14:textId="77777777" w:rsidR="009F604E" w:rsidRPr="00BF6E28" w:rsidRDefault="0080358B"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Navrhovaná právní úprava nezakládá korupční rizika.</w:t>
      </w:r>
    </w:p>
    <w:p w14:paraId="7FAE3B76" w14:textId="3A731D91" w:rsidR="0080358B" w:rsidRPr="00BF6E28" w:rsidRDefault="0080358B" w:rsidP="00BF6E28">
      <w:pPr>
        <w:pStyle w:val="l1"/>
        <w:spacing w:line="276" w:lineRule="auto"/>
        <w:jc w:val="both"/>
        <w:rPr>
          <w:rFonts w:ascii="Arial" w:hAnsi="Arial" w:cs="Arial"/>
          <w:sz w:val="22"/>
          <w:szCs w:val="22"/>
        </w:rPr>
      </w:pPr>
      <w:r w:rsidRPr="00BF6E28">
        <w:rPr>
          <w:rFonts w:ascii="Arial" w:hAnsi="Arial" w:cs="Arial"/>
          <w:b/>
          <w:sz w:val="22"/>
          <w:szCs w:val="22"/>
        </w:rPr>
        <w:t>8.</w:t>
      </w:r>
      <w:r w:rsidR="00E82B3E" w:rsidRPr="00BF6E28">
        <w:rPr>
          <w:rFonts w:ascii="Arial" w:hAnsi="Arial" w:cs="Arial"/>
          <w:b/>
          <w:sz w:val="22"/>
          <w:szCs w:val="22"/>
        </w:rPr>
        <w:t xml:space="preserve"> </w:t>
      </w:r>
      <w:r w:rsidRPr="00BF6E28">
        <w:rPr>
          <w:rFonts w:ascii="Arial" w:eastAsia="MS Mincho" w:hAnsi="Arial" w:cs="Arial"/>
          <w:b/>
          <w:sz w:val="22"/>
          <w:szCs w:val="22"/>
        </w:rPr>
        <w:t>Zhodnocení dopadů na bezpečnost nebo obranu státu</w:t>
      </w:r>
    </w:p>
    <w:p w14:paraId="5A2C1DB2" w14:textId="77777777" w:rsidR="0080358B" w:rsidRPr="00BF6E28" w:rsidRDefault="0080358B" w:rsidP="00BF6E28">
      <w:pPr>
        <w:spacing w:after="120"/>
        <w:jc w:val="both"/>
        <w:rPr>
          <w:rFonts w:ascii="Arial" w:eastAsia="Times New Roman" w:hAnsi="Arial" w:cs="Arial"/>
          <w:color w:val="0D0D0D"/>
          <w:lang w:eastAsia="cs-CZ"/>
        </w:rPr>
      </w:pPr>
      <w:r w:rsidRPr="00BF6E28">
        <w:rPr>
          <w:rFonts w:ascii="Arial" w:eastAsia="Times New Roman" w:hAnsi="Arial" w:cs="Arial"/>
          <w:color w:val="0D0D0D"/>
          <w:lang w:eastAsia="cs-CZ"/>
        </w:rPr>
        <w:t>Navrhovaná právní úprava se žádným způsobem nedotýká bezpečnosti nebo obrany státu.</w:t>
      </w:r>
    </w:p>
    <w:p w14:paraId="697C0B01" w14:textId="6D42295A" w:rsidR="00167441" w:rsidRPr="00BF6E28" w:rsidRDefault="0080358B" w:rsidP="00BF6E28">
      <w:pPr>
        <w:pStyle w:val="l1"/>
        <w:spacing w:line="276" w:lineRule="auto"/>
        <w:jc w:val="both"/>
        <w:rPr>
          <w:rFonts w:ascii="Arial" w:eastAsia="MS Mincho" w:hAnsi="Arial" w:cs="Arial"/>
          <w:b/>
          <w:sz w:val="22"/>
          <w:szCs w:val="22"/>
        </w:rPr>
      </w:pPr>
      <w:r w:rsidRPr="00BF6E28">
        <w:rPr>
          <w:rFonts w:ascii="Arial" w:hAnsi="Arial" w:cs="Arial"/>
          <w:b/>
          <w:sz w:val="22"/>
          <w:szCs w:val="22"/>
        </w:rPr>
        <w:t>9</w:t>
      </w:r>
      <w:r w:rsidR="006D3859" w:rsidRPr="00BF6E28">
        <w:rPr>
          <w:rFonts w:ascii="Arial" w:hAnsi="Arial" w:cs="Arial"/>
          <w:b/>
          <w:sz w:val="22"/>
          <w:szCs w:val="22"/>
        </w:rPr>
        <w:t>.</w:t>
      </w:r>
      <w:r w:rsidR="00E82B3E" w:rsidRPr="00BF6E28">
        <w:rPr>
          <w:rFonts w:ascii="Arial" w:hAnsi="Arial" w:cs="Arial"/>
          <w:b/>
          <w:sz w:val="22"/>
          <w:szCs w:val="22"/>
        </w:rPr>
        <w:t xml:space="preserve"> </w:t>
      </w:r>
      <w:r w:rsidR="00785707" w:rsidRPr="00BF6E28">
        <w:rPr>
          <w:rFonts w:ascii="Arial" w:eastAsia="MS Mincho" w:hAnsi="Arial" w:cs="Arial"/>
          <w:b/>
          <w:sz w:val="22"/>
          <w:szCs w:val="22"/>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56BF214B" w14:textId="5129E832" w:rsidR="009439B3" w:rsidRPr="00BF6E28" w:rsidRDefault="00785707" w:rsidP="00BF6E28">
      <w:pPr>
        <w:pStyle w:val="l1"/>
        <w:spacing w:line="276" w:lineRule="auto"/>
        <w:jc w:val="both"/>
        <w:rPr>
          <w:rFonts w:ascii="Arial" w:hAnsi="Arial" w:cs="Arial"/>
          <w:color w:val="0D0D0D"/>
          <w:sz w:val="22"/>
          <w:szCs w:val="22"/>
        </w:rPr>
      </w:pPr>
      <w:r w:rsidRPr="00BF6E28">
        <w:rPr>
          <w:rFonts w:ascii="Arial" w:hAnsi="Arial" w:cs="Arial"/>
          <w:color w:val="0D0D0D"/>
          <w:sz w:val="22"/>
          <w:szCs w:val="22"/>
        </w:rPr>
        <w:t>N</w:t>
      </w:r>
      <w:r w:rsidR="00437162" w:rsidRPr="00BF6E28">
        <w:rPr>
          <w:rFonts w:ascii="Arial" w:hAnsi="Arial" w:cs="Arial"/>
          <w:color w:val="0D0D0D"/>
          <w:sz w:val="22"/>
          <w:szCs w:val="22"/>
        </w:rPr>
        <w:t xml:space="preserve">avrhovaná změna </w:t>
      </w:r>
      <w:r w:rsidR="00B1565A" w:rsidRPr="00BF6E28">
        <w:rPr>
          <w:rFonts w:ascii="Arial" w:hAnsi="Arial" w:cs="Arial"/>
          <w:color w:val="0D0D0D"/>
          <w:sz w:val="22"/>
          <w:szCs w:val="22"/>
        </w:rPr>
        <w:t xml:space="preserve">DPH </w:t>
      </w:r>
      <w:r w:rsidR="00437162" w:rsidRPr="00BF6E28">
        <w:rPr>
          <w:rFonts w:ascii="Arial" w:hAnsi="Arial" w:cs="Arial"/>
          <w:color w:val="0D0D0D"/>
          <w:sz w:val="22"/>
          <w:szCs w:val="22"/>
        </w:rPr>
        <w:t>bude mít dopad na státní rozpočet</w:t>
      </w:r>
      <w:r w:rsidR="007C70B2" w:rsidRPr="00BF6E28">
        <w:rPr>
          <w:rFonts w:ascii="Arial" w:hAnsi="Arial" w:cs="Arial"/>
          <w:color w:val="0D0D0D"/>
          <w:sz w:val="22"/>
          <w:szCs w:val="22"/>
        </w:rPr>
        <w:t>. Jeho rozsah se odhaduje poměrně obtížně. Pokud bychom vycházeli z</w:t>
      </w:r>
      <w:r w:rsidR="00AF3885" w:rsidRPr="00BF6E28">
        <w:rPr>
          <w:rFonts w:ascii="Arial" w:hAnsi="Arial" w:cs="Arial"/>
          <w:color w:val="0D0D0D"/>
          <w:sz w:val="22"/>
          <w:szCs w:val="22"/>
        </w:rPr>
        <w:t xml:space="preserve"> údajů zveřejněných ČSÚ </w:t>
      </w:r>
      <w:r w:rsidR="000662A4" w:rsidRPr="00BF6E28">
        <w:rPr>
          <w:rFonts w:ascii="Arial" w:hAnsi="Arial" w:cs="Arial"/>
          <w:color w:val="0D0D0D"/>
          <w:sz w:val="22"/>
          <w:szCs w:val="22"/>
        </w:rPr>
        <w:t>(https://www.czso.cz/csu/czso/stavebnictvi-se-v-poslednich-letech-dari)</w:t>
      </w:r>
      <w:r w:rsidR="00AF3885" w:rsidRPr="00BF6E28">
        <w:rPr>
          <w:rFonts w:ascii="Arial" w:hAnsi="Arial" w:cs="Arial"/>
          <w:color w:val="0D0D0D"/>
          <w:sz w:val="22"/>
          <w:szCs w:val="22"/>
        </w:rPr>
        <w:t xml:space="preserve">, tak v </w:t>
      </w:r>
      <w:r w:rsidR="007C70B2" w:rsidRPr="00BF6E28">
        <w:rPr>
          <w:rFonts w:ascii="Arial" w:hAnsi="Arial" w:cs="Arial"/>
          <w:iCs/>
          <w:color w:val="333333"/>
          <w:sz w:val="22"/>
          <w:szCs w:val="22"/>
        </w:rPr>
        <w:t>roce 2018 bylo dokončeno 18</w:t>
      </w:r>
      <w:r w:rsidR="00BB73FB" w:rsidRPr="00BF6E28">
        <w:rPr>
          <w:rFonts w:ascii="Arial" w:hAnsi="Arial" w:cs="Arial"/>
          <w:iCs/>
          <w:color w:val="333333"/>
          <w:sz w:val="22"/>
          <w:szCs w:val="22"/>
        </w:rPr>
        <w:t xml:space="preserve"> </w:t>
      </w:r>
      <w:r w:rsidR="007C70B2" w:rsidRPr="00BF6E28">
        <w:rPr>
          <w:rFonts w:ascii="Arial" w:hAnsi="Arial" w:cs="Arial"/>
          <w:iCs/>
          <w:color w:val="333333"/>
          <w:sz w:val="22"/>
          <w:szCs w:val="22"/>
        </w:rPr>
        <w:t>666 nových bytových budov a v nich 29</w:t>
      </w:r>
      <w:r w:rsidR="00BB73FB" w:rsidRPr="00BF6E28">
        <w:rPr>
          <w:rFonts w:ascii="Arial" w:hAnsi="Arial" w:cs="Arial"/>
          <w:iCs/>
          <w:color w:val="333333"/>
          <w:sz w:val="22"/>
          <w:szCs w:val="22"/>
        </w:rPr>
        <w:t xml:space="preserve"> </w:t>
      </w:r>
      <w:r w:rsidR="007C70B2" w:rsidRPr="00BF6E28">
        <w:rPr>
          <w:rFonts w:ascii="Arial" w:hAnsi="Arial" w:cs="Arial"/>
          <w:iCs/>
          <w:color w:val="333333"/>
          <w:sz w:val="22"/>
          <w:szCs w:val="22"/>
        </w:rPr>
        <w:t>657 bytů</w:t>
      </w:r>
      <w:r w:rsidR="000662A4" w:rsidRPr="00BF6E28">
        <w:rPr>
          <w:rFonts w:ascii="Arial" w:hAnsi="Arial" w:cs="Arial"/>
          <w:iCs/>
          <w:color w:val="333333"/>
          <w:sz w:val="22"/>
          <w:szCs w:val="22"/>
        </w:rPr>
        <w:t xml:space="preserve"> (p</w:t>
      </w:r>
      <w:r w:rsidR="00877339">
        <w:rPr>
          <w:rFonts w:ascii="Arial" w:hAnsi="Arial" w:cs="Arial"/>
          <w:iCs/>
          <w:color w:val="333333"/>
          <w:sz w:val="22"/>
          <w:szCs w:val="22"/>
        </w:rPr>
        <w:t>očty dokončených bytů ve </w:t>
      </w:r>
      <w:r w:rsidR="007C70B2" w:rsidRPr="00BF6E28">
        <w:rPr>
          <w:rFonts w:ascii="Arial" w:hAnsi="Arial" w:cs="Arial"/>
          <w:iCs/>
          <w:color w:val="333333"/>
          <w:sz w:val="22"/>
          <w:szCs w:val="22"/>
        </w:rPr>
        <w:t>srovnání s minulým rokem rost</w:t>
      </w:r>
      <w:r w:rsidR="0005141C" w:rsidRPr="00BF6E28">
        <w:rPr>
          <w:rFonts w:ascii="Arial" w:hAnsi="Arial" w:cs="Arial"/>
          <w:iCs/>
          <w:color w:val="333333"/>
          <w:sz w:val="22"/>
          <w:szCs w:val="22"/>
        </w:rPr>
        <w:t>ly, a to jak v rodinných, tak v </w:t>
      </w:r>
      <w:r w:rsidR="007C70B2" w:rsidRPr="00BF6E28">
        <w:rPr>
          <w:rFonts w:ascii="Arial" w:hAnsi="Arial" w:cs="Arial"/>
          <w:iCs/>
          <w:color w:val="333333"/>
          <w:sz w:val="22"/>
          <w:szCs w:val="22"/>
        </w:rPr>
        <w:t>bytových domech</w:t>
      </w:r>
      <w:r w:rsidR="000662A4" w:rsidRPr="00BF6E28">
        <w:rPr>
          <w:rFonts w:ascii="Arial" w:hAnsi="Arial" w:cs="Arial"/>
          <w:iCs/>
          <w:color w:val="333333"/>
          <w:sz w:val="22"/>
          <w:szCs w:val="22"/>
        </w:rPr>
        <w:t>, d</w:t>
      </w:r>
      <w:r w:rsidR="007C70B2" w:rsidRPr="00BF6E28">
        <w:rPr>
          <w:rFonts w:ascii="Arial" w:hAnsi="Arial" w:cs="Arial"/>
          <w:iCs/>
          <w:color w:val="333333"/>
          <w:sz w:val="22"/>
          <w:szCs w:val="22"/>
        </w:rPr>
        <w:t>vě třetiny bytů v nové výstavbě byly dokončeny v rodinných domech</w:t>
      </w:r>
      <w:r w:rsidR="000662A4" w:rsidRPr="00BF6E28">
        <w:rPr>
          <w:rFonts w:ascii="Arial" w:hAnsi="Arial" w:cs="Arial"/>
          <w:iCs/>
          <w:color w:val="333333"/>
          <w:sz w:val="22"/>
          <w:szCs w:val="22"/>
        </w:rPr>
        <w:t>).</w:t>
      </w:r>
      <w:r w:rsidR="00877339">
        <w:rPr>
          <w:rFonts w:ascii="Arial" w:hAnsi="Arial" w:cs="Arial"/>
          <w:iCs/>
          <w:color w:val="333333"/>
          <w:sz w:val="22"/>
          <w:szCs w:val="22"/>
        </w:rPr>
        <w:t xml:space="preserve"> Kdybychom tedy vycházeli z cca </w:t>
      </w:r>
      <w:r w:rsidR="000662A4" w:rsidRPr="00BF6E28">
        <w:rPr>
          <w:rFonts w:ascii="Arial" w:hAnsi="Arial" w:cs="Arial"/>
          <w:iCs/>
          <w:color w:val="333333"/>
          <w:sz w:val="22"/>
          <w:szCs w:val="22"/>
        </w:rPr>
        <w:t>30</w:t>
      </w:r>
      <w:r w:rsidR="00E82B3E" w:rsidRPr="00BF6E28">
        <w:rPr>
          <w:rFonts w:ascii="Arial" w:hAnsi="Arial" w:cs="Arial"/>
          <w:iCs/>
          <w:color w:val="333333"/>
          <w:sz w:val="22"/>
          <w:szCs w:val="22"/>
        </w:rPr>
        <w:t> </w:t>
      </w:r>
      <w:r w:rsidR="000662A4" w:rsidRPr="00BF6E28">
        <w:rPr>
          <w:rFonts w:ascii="Arial" w:hAnsi="Arial" w:cs="Arial"/>
          <w:iCs/>
          <w:color w:val="333333"/>
          <w:sz w:val="22"/>
          <w:szCs w:val="22"/>
        </w:rPr>
        <w:t xml:space="preserve">000 zdanitelných plnění (skutečnost bude asi podstatně nižší, protože </w:t>
      </w:r>
      <w:r w:rsidR="000662A4" w:rsidRPr="00BF6E28">
        <w:rPr>
          <w:rFonts w:ascii="Arial" w:hAnsi="Arial" w:cs="Arial"/>
          <w:color w:val="0D0D0D"/>
          <w:sz w:val="22"/>
          <w:szCs w:val="22"/>
        </w:rPr>
        <w:t xml:space="preserve">značná část, možná polovina </w:t>
      </w:r>
      <w:r w:rsidR="005D6943" w:rsidRPr="00BF6E28">
        <w:rPr>
          <w:rFonts w:ascii="Arial" w:hAnsi="Arial" w:cs="Arial"/>
          <w:color w:val="0D0D0D"/>
          <w:sz w:val="22"/>
          <w:szCs w:val="22"/>
        </w:rPr>
        <w:t xml:space="preserve">dodávek </w:t>
      </w:r>
      <w:r w:rsidR="00724318" w:rsidRPr="00BF6E28">
        <w:rPr>
          <w:rFonts w:ascii="Arial" w:hAnsi="Arial" w:cs="Arial"/>
          <w:color w:val="0D0D0D"/>
          <w:sz w:val="22"/>
          <w:szCs w:val="22"/>
        </w:rPr>
        <w:t xml:space="preserve">rodinných domů </w:t>
      </w:r>
      <w:r w:rsidR="005D6943" w:rsidRPr="00BF6E28">
        <w:rPr>
          <w:rFonts w:ascii="Arial" w:hAnsi="Arial" w:cs="Arial"/>
          <w:color w:val="0D0D0D"/>
          <w:sz w:val="22"/>
          <w:szCs w:val="22"/>
        </w:rPr>
        <w:t xml:space="preserve">nebude účtována s DPH), tak by to při </w:t>
      </w:r>
      <w:r w:rsidR="00877339">
        <w:rPr>
          <w:rFonts w:ascii="Arial" w:hAnsi="Arial" w:cs="Arial"/>
          <w:color w:val="0D0D0D"/>
          <w:sz w:val="22"/>
          <w:szCs w:val="22"/>
        </w:rPr>
        <w:t>rozdílu cca </w:t>
      </w:r>
      <w:r w:rsidR="007667A4" w:rsidRPr="00BF6E28">
        <w:rPr>
          <w:rFonts w:ascii="Arial" w:hAnsi="Arial" w:cs="Arial"/>
          <w:color w:val="0D0D0D"/>
          <w:sz w:val="22"/>
          <w:szCs w:val="22"/>
        </w:rPr>
        <w:t>300</w:t>
      </w:r>
      <w:r w:rsidR="00E82B3E" w:rsidRPr="00BF6E28">
        <w:rPr>
          <w:rFonts w:ascii="Arial" w:hAnsi="Arial" w:cs="Arial"/>
          <w:color w:val="0D0D0D"/>
          <w:sz w:val="22"/>
          <w:szCs w:val="22"/>
        </w:rPr>
        <w:t> </w:t>
      </w:r>
      <w:r w:rsidR="005D6943" w:rsidRPr="00BF6E28">
        <w:rPr>
          <w:rFonts w:ascii="Arial" w:hAnsi="Arial" w:cs="Arial"/>
          <w:color w:val="0D0D0D"/>
          <w:sz w:val="22"/>
          <w:szCs w:val="22"/>
        </w:rPr>
        <w:t>000</w:t>
      </w:r>
      <w:r w:rsidR="00E82B3E" w:rsidRPr="00BF6E28">
        <w:rPr>
          <w:rFonts w:ascii="Arial" w:hAnsi="Arial" w:cs="Arial"/>
          <w:color w:val="0D0D0D"/>
          <w:sz w:val="22"/>
          <w:szCs w:val="22"/>
        </w:rPr>
        <w:t> </w:t>
      </w:r>
      <w:r w:rsidR="005D6943" w:rsidRPr="00BF6E28">
        <w:rPr>
          <w:rFonts w:ascii="Arial" w:hAnsi="Arial" w:cs="Arial"/>
          <w:color w:val="0D0D0D"/>
          <w:sz w:val="22"/>
          <w:szCs w:val="22"/>
        </w:rPr>
        <w:t>Kč</w:t>
      </w:r>
      <w:r w:rsidR="007667A4" w:rsidRPr="00BF6E28">
        <w:rPr>
          <w:rFonts w:ascii="Arial" w:hAnsi="Arial" w:cs="Arial"/>
          <w:color w:val="0D0D0D"/>
          <w:sz w:val="22"/>
          <w:szCs w:val="22"/>
        </w:rPr>
        <w:t xml:space="preserve"> odpovídajícímu bytu v Praze </w:t>
      </w:r>
      <w:r w:rsidR="005D6943" w:rsidRPr="00BF6E28">
        <w:rPr>
          <w:rFonts w:ascii="Arial" w:hAnsi="Arial" w:cs="Arial"/>
          <w:color w:val="0D0D0D"/>
          <w:sz w:val="22"/>
          <w:szCs w:val="22"/>
        </w:rPr>
        <w:t>činilo</w:t>
      </w:r>
      <w:r w:rsidR="007667A4" w:rsidRPr="00BF6E28">
        <w:rPr>
          <w:rFonts w:ascii="Arial" w:hAnsi="Arial" w:cs="Arial"/>
          <w:color w:val="0D0D0D"/>
          <w:sz w:val="22"/>
          <w:szCs w:val="22"/>
        </w:rPr>
        <w:t xml:space="preserve"> </w:t>
      </w:r>
      <w:r w:rsidR="00DC1768" w:rsidRPr="00BF6E28">
        <w:rPr>
          <w:rFonts w:ascii="Arial" w:hAnsi="Arial" w:cs="Arial"/>
          <w:color w:val="0D0D0D"/>
          <w:sz w:val="22"/>
          <w:szCs w:val="22"/>
        </w:rPr>
        <w:t>9 mld. Kč, pokud bychom vycházeli z</w:t>
      </w:r>
      <w:r w:rsidR="000D5B51" w:rsidRPr="00BF6E28">
        <w:rPr>
          <w:rFonts w:ascii="Arial" w:hAnsi="Arial" w:cs="Arial"/>
          <w:color w:val="0D0D0D"/>
          <w:sz w:val="22"/>
          <w:szCs w:val="22"/>
        </w:rPr>
        <w:t xml:space="preserve"> reálnějšího počtu </w:t>
      </w:r>
      <w:r w:rsidR="00724318" w:rsidRPr="00BF6E28">
        <w:rPr>
          <w:rFonts w:ascii="Arial" w:hAnsi="Arial" w:cs="Arial"/>
          <w:color w:val="0D0D0D"/>
          <w:sz w:val="22"/>
          <w:szCs w:val="22"/>
        </w:rPr>
        <w:t>20</w:t>
      </w:r>
      <w:r w:rsidR="00E82B3E" w:rsidRPr="00BF6E28">
        <w:rPr>
          <w:rFonts w:ascii="Arial" w:hAnsi="Arial" w:cs="Arial"/>
          <w:color w:val="0D0D0D"/>
          <w:sz w:val="22"/>
          <w:szCs w:val="22"/>
        </w:rPr>
        <w:t> </w:t>
      </w:r>
      <w:r w:rsidR="00CA7AB4" w:rsidRPr="00BF6E28">
        <w:rPr>
          <w:rFonts w:ascii="Arial" w:hAnsi="Arial" w:cs="Arial"/>
          <w:color w:val="0D0D0D"/>
          <w:sz w:val="22"/>
          <w:szCs w:val="22"/>
        </w:rPr>
        <w:t xml:space="preserve">000 </w:t>
      </w:r>
      <w:r w:rsidR="000D5B51" w:rsidRPr="00BF6E28">
        <w:rPr>
          <w:rFonts w:ascii="Arial" w:hAnsi="Arial" w:cs="Arial"/>
          <w:color w:val="0D0D0D"/>
          <w:sz w:val="22"/>
          <w:szCs w:val="22"/>
        </w:rPr>
        <w:t xml:space="preserve">nových </w:t>
      </w:r>
      <w:r w:rsidR="00CA7AB4" w:rsidRPr="00BF6E28">
        <w:rPr>
          <w:rFonts w:ascii="Arial" w:hAnsi="Arial" w:cs="Arial"/>
          <w:color w:val="0D0D0D"/>
          <w:sz w:val="22"/>
          <w:szCs w:val="22"/>
        </w:rPr>
        <w:t>bytů a </w:t>
      </w:r>
      <w:r w:rsidR="000D5B51" w:rsidRPr="00BF6E28">
        <w:rPr>
          <w:rFonts w:ascii="Arial" w:hAnsi="Arial" w:cs="Arial"/>
          <w:color w:val="0D0D0D"/>
          <w:sz w:val="22"/>
          <w:szCs w:val="22"/>
        </w:rPr>
        <w:t xml:space="preserve">z </w:t>
      </w:r>
      <w:r w:rsidR="00CA7AB4" w:rsidRPr="00BF6E28">
        <w:rPr>
          <w:rFonts w:ascii="Arial" w:hAnsi="Arial" w:cs="Arial"/>
          <w:color w:val="0D0D0D"/>
          <w:sz w:val="22"/>
          <w:szCs w:val="22"/>
        </w:rPr>
        <w:t>částky 150</w:t>
      </w:r>
      <w:r w:rsidR="00E82B3E" w:rsidRPr="00BF6E28">
        <w:rPr>
          <w:rFonts w:ascii="Arial" w:hAnsi="Arial" w:cs="Arial"/>
          <w:color w:val="0D0D0D"/>
          <w:sz w:val="22"/>
          <w:szCs w:val="22"/>
        </w:rPr>
        <w:t> </w:t>
      </w:r>
      <w:r w:rsidR="00CA7AB4" w:rsidRPr="00BF6E28">
        <w:rPr>
          <w:rFonts w:ascii="Arial" w:hAnsi="Arial" w:cs="Arial"/>
          <w:color w:val="0D0D0D"/>
          <w:sz w:val="22"/>
          <w:szCs w:val="22"/>
        </w:rPr>
        <w:t>000 Kč na byt</w:t>
      </w:r>
      <w:r w:rsidR="000D5B51" w:rsidRPr="00BF6E28">
        <w:rPr>
          <w:rFonts w:ascii="Arial" w:hAnsi="Arial" w:cs="Arial"/>
          <w:color w:val="0D0D0D"/>
          <w:sz w:val="22"/>
          <w:szCs w:val="22"/>
        </w:rPr>
        <w:t>,</w:t>
      </w:r>
      <w:r w:rsidR="00CA7AB4" w:rsidRPr="00BF6E28">
        <w:rPr>
          <w:rFonts w:ascii="Arial" w:hAnsi="Arial" w:cs="Arial"/>
          <w:color w:val="0D0D0D"/>
          <w:sz w:val="22"/>
          <w:szCs w:val="22"/>
        </w:rPr>
        <w:t xml:space="preserve"> pak by rozdíl </w:t>
      </w:r>
      <w:r w:rsidR="00BA6D14" w:rsidRPr="00BF6E28">
        <w:rPr>
          <w:rFonts w:ascii="Arial" w:hAnsi="Arial" w:cs="Arial"/>
          <w:color w:val="0D0D0D"/>
          <w:sz w:val="22"/>
          <w:szCs w:val="22"/>
        </w:rPr>
        <w:t xml:space="preserve">mohl </w:t>
      </w:r>
      <w:r w:rsidR="00CA7AB4" w:rsidRPr="00BF6E28">
        <w:rPr>
          <w:rFonts w:ascii="Arial" w:hAnsi="Arial" w:cs="Arial"/>
          <w:color w:val="0D0D0D"/>
          <w:sz w:val="22"/>
          <w:szCs w:val="22"/>
        </w:rPr>
        <w:t>čini</w:t>
      </w:r>
      <w:r w:rsidR="00BA6D14" w:rsidRPr="00BF6E28">
        <w:rPr>
          <w:rFonts w:ascii="Arial" w:hAnsi="Arial" w:cs="Arial"/>
          <w:color w:val="0D0D0D"/>
          <w:sz w:val="22"/>
          <w:szCs w:val="22"/>
        </w:rPr>
        <w:t>t</w:t>
      </w:r>
      <w:r w:rsidR="00CA7AB4" w:rsidRPr="00BF6E28">
        <w:rPr>
          <w:rFonts w:ascii="Arial" w:hAnsi="Arial" w:cs="Arial"/>
          <w:color w:val="0D0D0D"/>
          <w:sz w:val="22"/>
          <w:szCs w:val="22"/>
        </w:rPr>
        <w:t xml:space="preserve"> </w:t>
      </w:r>
      <w:r w:rsidR="00724318" w:rsidRPr="00BF6E28">
        <w:rPr>
          <w:rFonts w:ascii="Arial" w:hAnsi="Arial" w:cs="Arial"/>
          <w:color w:val="0D0D0D"/>
          <w:sz w:val="22"/>
          <w:szCs w:val="22"/>
        </w:rPr>
        <w:t>3 </w:t>
      </w:r>
      <w:r w:rsidR="00CA7AB4" w:rsidRPr="00BF6E28">
        <w:rPr>
          <w:rFonts w:ascii="Arial" w:hAnsi="Arial" w:cs="Arial"/>
          <w:color w:val="0D0D0D"/>
          <w:sz w:val="22"/>
          <w:szCs w:val="22"/>
        </w:rPr>
        <w:t>mld. Kč</w:t>
      </w:r>
      <w:r w:rsidR="00724318" w:rsidRPr="00BF6E28">
        <w:rPr>
          <w:rFonts w:ascii="Arial" w:hAnsi="Arial" w:cs="Arial"/>
          <w:color w:val="0D0D0D"/>
          <w:sz w:val="22"/>
          <w:szCs w:val="22"/>
        </w:rPr>
        <w:t xml:space="preserve"> ročně</w:t>
      </w:r>
      <w:r w:rsidR="00CA7AB4" w:rsidRPr="00BF6E28">
        <w:rPr>
          <w:rFonts w:ascii="Arial" w:hAnsi="Arial" w:cs="Arial"/>
          <w:color w:val="0D0D0D"/>
          <w:sz w:val="22"/>
          <w:szCs w:val="22"/>
        </w:rPr>
        <w:t>.</w:t>
      </w:r>
      <w:r w:rsidR="001636F2" w:rsidRPr="00BF6E28">
        <w:rPr>
          <w:rFonts w:ascii="Arial" w:hAnsi="Arial" w:cs="Arial"/>
          <w:color w:val="0D0D0D"/>
          <w:sz w:val="22"/>
          <w:szCs w:val="22"/>
        </w:rPr>
        <w:t xml:space="preserve"> </w:t>
      </w:r>
      <w:r w:rsidR="00320B0E" w:rsidRPr="00BF6E28">
        <w:rPr>
          <w:rFonts w:ascii="Arial" w:hAnsi="Arial" w:cs="Arial"/>
          <w:color w:val="0D0D0D"/>
          <w:sz w:val="22"/>
          <w:szCs w:val="22"/>
        </w:rPr>
        <w:t>F</w:t>
      </w:r>
      <w:r w:rsidRPr="00BF6E28">
        <w:rPr>
          <w:rFonts w:ascii="Arial" w:hAnsi="Arial" w:cs="Arial"/>
          <w:color w:val="0D0D0D"/>
          <w:sz w:val="22"/>
          <w:szCs w:val="22"/>
        </w:rPr>
        <w:t>inanční dopad navrhované právní úpravy na ostatní veřejné rozpočty</w:t>
      </w:r>
      <w:r w:rsidR="000B612F" w:rsidRPr="00BF6E28">
        <w:rPr>
          <w:rFonts w:ascii="Arial" w:hAnsi="Arial" w:cs="Arial"/>
          <w:color w:val="0D0D0D"/>
          <w:sz w:val="22"/>
          <w:szCs w:val="22"/>
        </w:rPr>
        <w:t xml:space="preserve"> je dán rozpočtovým určením daní.</w:t>
      </w:r>
      <w:r w:rsidR="00667940" w:rsidRPr="00BF6E28">
        <w:rPr>
          <w:rFonts w:ascii="Arial" w:hAnsi="Arial" w:cs="Arial"/>
          <w:color w:val="0D0D0D"/>
          <w:sz w:val="22"/>
          <w:szCs w:val="22"/>
        </w:rPr>
        <w:t xml:space="preserve"> Pokud vycházíme z podílu </w:t>
      </w:r>
      <w:r w:rsidR="00566738" w:rsidRPr="00BF6E28">
        <w:rPr>
          <w:rFonts w:ascii="Arial" w:hAnsi="Arial" w:cs="Arial"/>
          <w:color w:val="0D0D0D"/>
          <w:sz w:val="22"/>
          <w:szCs w:val="22"/>
        </w:rPr>
        <w:t xml:space="preserve">cca </w:t>
      </w:r>
      <w:r w:rsidR="00667940" w:rsidRPr="00BF6E28">
        <w:rPr>
          <w:rFonts w:ascii="Arial" w:hAnsi="Arial" w:cs="Arial"/>
          <w:color w:val="0D0D0D"/>
          <w:sz w:val="22"/>
          <w:szCs w:val="22"/>
        </w:rPr>
        <w:t>68-24-9 (stát</w:t>
      </w:r>
      <w:r w:rsidR="00E82B3E" w:rsidRPr="00BF6E28">
        <w:rPr>
          <w:rFonts w:ascii="Arial" w:hAnsi="Arial" w:cs="Arial"/>
          <w:color w:val="0D0D0D"/>
          <w:sz w:val="22"/>
          <w:szCs w:val="22"/>
        </w:rPr>
        <w:t>–</w:t>
      </w:r>
      <w:r w:rsidR="00667940" w:rsidRPr="00BF6E28">
        <w:rPr>
          <w:rFonts w:ascii="Arial" w:hAnsi="Arial" w:cs="Arial"/>
          <w:color w:val="0D0D0D"/>
          <w:sz w:val="22"/>
          <w:szCs w:val="22"/>
        </w:rPr>
        <w:t>obce</w:t>
      </w:r>
      <w:r w:rsidR="00E82B3E" w:rsidRPr="00BF6E28">
        <w:rPr>
          <w:rFonts w:ascii="Arial" w:hAnsi="Arial" w:cs="Arial"/>
          <w:color w:val="0D0D0D"/>
          <w:sz w:val="22"/>
          <w:szCs w:val="22"/>
        </w:rPr>
        <w:t>–</w:t>
      </w:r>
      <w:r w:rsidR="00667940" w:rsidRPr="00BF6E28">
        <w:rPr>
          <w:rFonts w:ascii="Arial" w:hAnsi="Arial" w:cs="Arial"/>
          <w:color w:val="0D0D0D"/>
          <w:sz w:val="22"/>
          <w:szCs w:val="22"/>
        </w:rPr>
        <w:t>kraje)</w:t>
      </w:r>
      <w:r w:rsidR="003A08DD">
        <w:rPr>
          <w:rFonts w:ascii="Arial" w:hAnsi="Arial" w:cs="Arial"/>
          <w:color w:val="0D0D0D"/>
          <w:sz w:val="22"/>
          <w:szCs w:val="22"/>
        </w:rPr>
        <w:t>,</w:t>
      </w:r>
      <w:r w:rsidR="00667940" w:rsidRPr="00BF6E28">
        <w:rPr>
          <w:rFonts w:ascii="Arial" w:hAnsi="Arial" w:cs="Arial"/>
          <w:color w:val="0D0D0D"/>
          <w:sz w:val="22"/>
          <w:szCs w:val="22"/>
        </w:rPr>
        <w:t xml:space="preserve"> tak </w:t>
      </w:r>
      <w:r w:rsidR="00566738" w:rsidRPr="00BF6E28">
        <w:rPr>
          <w:rFonts w:ascii="Arial" w:hAnsi="Arial" w:cs="Arial"/>
          <w:color w:val="0D0D0D"/>
          <w:sz w:val="22"/>
          <w:szCs w:val="22"/>
        </w:rPr>
        <w:t xml:space="preserve">by obce byly kráceny při uvedených výsledcích celkem o cca 0,75 mld. Kč a </w:t>
      </w:r>
      <w:r w:rsidR="00A111A0" w:rsidRPr="00BF6E28">
        <w:rPr>
          <w:rFonts w:ascii="Arial" w:hAnsi="Arial" w:cs="Arial"/>
          <w:color w:val="0D0D0D"/>
          <w:sz w:val="22"/>
          <w:szCs w:val="22"/>
        </w:rPr>
        <w:t>kraje o 0,25 </w:t>
      </w:r>
      <w:r w:rsidR="00566738" w:rsidRPr="00BF6E28">
        <w:rPr>
          <w:rFonts w:ascii="Arial" w:hAnsi="Arial" w:cs="Arial"/>
          <w:color w:val="0D0D0D"/>
          <w:sz w:val="22"/>
          <w:szCs w:val="22"/>
        </w:rPr>
        <w:t>mld.</w:t>
      </w:r>
      <w:r w:rsidR="00A111A0" w:rsidRPr="00BF6E28">
        <w:rPr>
          <w:rFonts w:ascii="Arial" w:hAnsi="Arial" w:cs="Arial"/>
          <w:color w:val="0D0D0D"/>
          <w:sz w:val="22"/>
          <w:szCs w:val="22"/>
        </w:rPr>
        <w:t> Kč ročně.</w:t>
      </w:r>
      <w:r w:rsidR="001636F2" w:rsidRPr="00BF6E28">
        <w:rPr>
          <w:rFonts w:ascii="Arial" w:hAnsi="Arial" w:cs="Arial"/>
          <w:color w:val="0D0D0D"/>
          <w:sz w:val="22"/>
          <w:szCs w:val="22"/>
        </w:rPr>
        <w:t xml:space="preserve"> </w:t>
      </w:r>
      <w:r w:rsidR="009439B3" w:rsidRPr="00BF6E28">
        <w:rPr>
          <w:rFonts w:ascii="Arial" w:hAnsi="Arial" w:cs="Arial"/>
          <w:color w:val="0D0D0D"/>
          <w:sz w:val="22"/>
          <w:szCs w:val="22"/>
        </w:rPr>
        <w:t xml:space="preserve">Předpokládaná úprava </w:t>
      </w:r>
      <w:r w:rsidR="00BD4A05" w:rsidRPr="00BF6E28">
        <w:rPr>
          <w:rFonts w:ascii="Arial" w:hAnsi="Arial" w:cs="Arial"/>
          <w:color w:val="0D0D0D"/>
          <w:sz w:val="22"/>
          <w:szCs w:val="22"/>
        </w:rPr>
        <w:t xml:space="preserve">DPH </w:t>
      </w:r>
      <w:r w:rsidR="009439B3" w:rsidRPr="00BF6E28">
        <w:rPr>
          <w:rFonts w:ascii="Arial" w:hAnsi="Arial" w:cs="Arial"/>
          <w:color w:val="0D0D0D"/>
          <w:sz w:val="22"/>
          <w:szCs w:val="22"/>
        </w:rPr>
        <w:t>bude mít kladné sociální dopady, protože zmírní daňové zatížení nových bytů a lze očekávat</w:t>
      </w:r>
      <w:r w:rsidR="00E82B3E" w:rsidRPr="00BF6E28">
        <w:rPr>
          <w:rFonts w:ascii="Arial" w:hAnsi="Arial" w:cs="Arial"/>
          <w:color w:val="0D0D0D"/>
          <w:sz w:val="22"/>
          <w:szCs w:val="22"/>
        </w:rPr>
        <w:t>,</w:t>
      </w:r>
      <w:r w:rsidR="009439B3" w:rsidRPr="00BF6E28">
        <w:rPr>
          <w:rFonts w:ascii="Arial" w:hAnsi="Arial" w:cs="Arial"/>
          <w:color w:val="0D0D0D"/>
          <w:sz w:val="22"/>
          <w:szCs w:val="22"/>
        </w:rPr>
        <w:t xml:space="preserve"> že to bude bránit dalšímu zvyšování cen bytů a jejich nájmů nebo mírné snížení jejich cen. Na podnikatelské prostředí České republiky se větší </w:t>
      </w:r>
      <w:r w:rsidR="009439B3" w:rsidRPr="00BF6E28">
        <w:rPr>
          <w:rFonts w:ascii="Arial" w:hAnsi="Arial" w:cs="Arial"/>
          <w:color w:val="0D0D0D"/>
          <w:sz w:val="22"/>
          <w:szCs w:val="22"/>
        </w:rPr>
        <w:lastRenderedPageBreak/>
        <w:t>dopady nepředpokládají. Dopady na národnostní</w:t>
      </w:r>
      <w:r w:rsidR="003A08DD">
        <w:rPr>
          <w:rFonts w:ascii="Arial" w:hAnsi="Arial" w:cs="Arial"/>
          <w:color w:val="0D0D0D"/>
          <w:sz w:val="22"/>
          <w:szCs w:val="22"/>
        </w:rPr>
        <w:t xml:space="preserve"> menšiny a životní prostředí se </w:t>
      </w:r>
      <w:r w:rsidR="009439B3" w:rsidRPr="00BF6E28">
        <w:rPr>
          <w:rFonts w:ascii="Arial" w:hAnsi="Arial" w:cs="Arial"/>
          <w:color w:val="0D0D0D"/>
          <w:sz w:val="22"/>
          <w:szCs w:val="22"/>
        </w:rPr>
        <w:t xml:space="preserve">nepředpokládají. </w:t>
      </w:r>
    </w:p>
    <w:p w14:paraId="5F2684F4" w14:textId="355F1779" w:rsidR="00341E79" w:rsidRPr="00BF6E28" w:rsidRDefault="00341E79" w:rsidP="00BF6E28">
      <w:pPr>
        <w:spacing w:after="120"/>
        <w:jc w:val="both"/>
        <w:rPr>
          <w:rFonts w:ascii="Arial" w:eastAsia="Times New Roman" w:hAnsi="Arial" w:cs="Arial"/>
          <w:i/>
          <w:color w:val="0D0D0D"/>
          <w:lang w:eastAsia="cs-CZ"/>
        </w:rPr>
      </w:pPr>
      <w:r w:rsidRPr="00BF6E28">
        <w:rPr>
          <w:rFonts w:ascii="Arial" w:eastAsia="Times New Roman" w:hAnsi="Arial" w:cs="Arial"/>
          <w:color w:val="0D0D0D"/>
          <w:lang w:eastAsia="cs-CZ"/>
        </w:rPr>
        <w:t>Navrhovaná změna daně z nabytí nemovitých věcí bude mít dopad na státní rozpočet. Jeho rozsah se odhaduje poměrně obtížně.</w:t>
      </w:r>
      <w:r w:rsidRPr="00BF6E28">
        <w:rPr>
          <w:rFonts w:ascii="Arial" w:eastAsia="Times New Roman" w:hAnsi="Arial" w:cs="Arial"/>
          <w:i/>
          <w:color w:val="0D0D0D"/>
          <w:lang w:eastAsia="cs-CZ"/>
        </w:rPr>
        <w:t xml:space="preserve"> </w:t>
      </w:r>
      <w:r w:rsidRPr="00BF6E28">
        <w:rPr>
          <w:rFonts w:ascii="Arial" w:eastAsia="Times New Roman" w:hAnsi="Arial" w:cs="Arial"/>
          <w:bCs/>
          <w:color w:val="000000"/>
          <w:lang w:eastAsia="cs-CZ"/>
        </w:rPr>
        <w:t>Z údajů Generálního finančního ředitelství ČR plyne, že v roce 2018 činil výnos této daně celkem cca 13,5 mld. Kč. Bez znalosti detailních informací o</w:t>
      </w:r>
      <w:r w:rsidR="003A08DD">
        <w:rPr>
          <w:rFonts w:ascii="Arial" w:eastAsia="Times New Roman" w:hAnsi="Arial" w:cs="Arial"/>
          <w:bCs/>
          <w:color w:val="000000"/>
          <w:lang w:eastAsia="cs-CZ"/>
        </w:rPr>
        <w:t> </w:t>
      </w:r>
      <w:r w:rsidRPr="00BF6E28">
        <w:rPr>
          <w:rFonts w:ascii="Arial" w:eastAsia="Times New Roman" w:hAnsi="Arial" w:cs="Arial"/>
          <w:bCs/>
          <w:color w:val="000000"/>
          <w:lang w:eastAsia="cs-CZ"/>
        </w:rPr>
        <w:t xml:space="preserve">struktuře nabyvatelů nelze zřejmě výpadek příjmu vyčíslit. Je jen možné se pokusit spekulovat, že z dosud neosvobozených nabytí bude navíc osvobozeno cca 50 % transakcí, </w:t>
      </w:r>
      <w:r w:rsidR="00BB73FB" w:rsidRPr="00BF6E28">
        <w:rPr>
          <w:rFonts w:ascii="Arial" w:eastAsia="Times New Roman" w:hAnsi="Arial" w:cs="Arial"/>
          <w:bCs/>
          <w:color w:val="000000"/>
          <w:lang w:eastAsia="cs-CZ"/>
        </w:rPr>
        <w:t xml:space="preserve">neosvobozená </w:t>
      </w:r>
      <w:r w:rsidRPr="00BF6E28">
        <w:rPr>
          <w:rFonts w:ascii="Arial" w:eastAsia="Times New Roman" w:hAnsi="Arial" w:cs="Arial"/>
          <w:bCs/>
          <w:color w:val="000000"/>
          <w:lang w:eastAsia="cs-CZ"/>
        </w:rPr>
        <w:t xml:space="preserve">tedy zůstanou nabytí nemovitostí osobami, které další nemovitost v dané době budou mít, a naprostá většina nabytí nemovitostí právnickými osobami (bytová družstva zatím nabývají zanedbatelnou část nemovitostí). Na základě této úvahy by bylo lze předpokládat, že celkový dopad na státní rozpočet ve výši snížení příjmu cca až 7 mld. Kč ročně. </w:t>
      </w:r>
      <w:r w:rsidRPr="00BF6E28">
        <w:rPr>
          <w:rFonts w:ascii="Arial" w:eastAsia="Times New Roman" w:hAnsi="Arial" w:cs="Arial"/>
          <w:color w:val="0D0D0D"/>
          <w:lang w:eastAsia="cs-CZ"/>
        </w:rPr>
        <w:t xml:space="preserve">Finanční dopad navrhované právní úpravy </w:t>
      </w:r>
      <w:r w:rsidR="005044FF" w:rsidRPr="00BF6E28">
        <w:rPr>
          <w:rFonts w:ascii="Arial" w:eastAsia="Times New Roman" w:hAnsi="Arial" w:cs="Arial"/>
          <w:color w:val="0D0D0D"/>
          <w:lang w:eastAsia="cs-CZ"/>
        </w:rPr>
        <w:t xml:space="preserve">na ostatní veřejné rozpočty </w:t>
      </w:r>
      <w:r w:rsidR="00905905" w:rsidRPr="00BF6E28">
        <w:rPr>
          <w:rFonts w:ascii="Arial" w:eastAsia="Times New Roman" w:hAnsi="Arial" w:cs="Arial"/>
          <w:color w:val="0D0D0D"/>
          <w:lang w:eastAsia="cs-CZ"/>
        </w:rPr>
        <w:t xml:space="preserve">se v tomto případě </w:t>
      </w:r>
      <w:r w:rsidRPr="00BF6E28">
        <w:rPr>
          <w:rFonts w:ascii="Arial" w:eastAsia="Times New Roman" w:hAnsi="Arial" w:cs="Arial"/>
          <w:color w:val="0D0D0D"/>
          <w:lang w:eastAsia="cs-CZ"/>
        </w:rPr>
        <w:t xml:space="preserve">nepředpokládá. Výraznější přímý dopad na podnikatelské prostředí není očekáván. </w:t>
      </w:r>
      <w:r w:rsidR="003A08DD">
        <w:rPr>
          <w:rFonts w:ascii="Arial" w:eastAsia="Times New Roman" w:hAnsi="Arial" w:cs="Arial"/>
        </w:rPr>
        <w:t>Pokud se </w:t>
      </w:r>
      <w:r w:rsidRPr="00BF6E28">
        <w:rPr>
          <w:rFonts w:ascii="Arial" w:eastAsia="Times New Roman" w:hAnsi="Arial" w:cs="Arial"/>
        </w:rPr>
        <w:t>týče sociálních dopadů, návrh snižuje finanční nároky na pořízení nemovitosti pro vlastní bydlení, navíc z důvodu snížení transakčních nákladů zlepšuje sociální mobilitu se všemi důsledky. V to</w:t>
      </w:r>
      <w:r w:rsidR="00650E09" w:rsidRPr="00BF6E28">
        <w:rPr>
          <w:rFonts w:ascii="Arial" w:eastAsia="Times New Roman" w:hAnsi="Arial" w:cs="Arial"/>
        </w:rPr>
        <w:t>m</w:t>
      </w:r>
      <w:r w:rsidRPr="00BF6E28">
        <w:rPr>
          <w:rFonts w:ascii="Arial" w:eastAsia="Times New Roman" w:hAnsi="Arial" w:cs="Arial"/>
        </w:rPr>
        <w:t xml:space="preserve">to směru by měl návrh mít pozitivní dopad na rodiny. Dopady na specifické skupiny obyvatel se nepředpokládají. Dopad na životní prostředí by měl být mírně pozitivní z důvodu sociální mobility. </w:t>
      </w:r>
    </w:p>
    <w:p w14:paraId="63C763DF" w14:textId="49E6BF86" w:rsidR="002F46A9" w:rsidRPr="00BF6E28" w:rsidRDefault="002F46A9" w:rsidP="00BF6E28">
      <w:pPr>
        <w:spacing w:after="120"/>
        <w:jc w:val="both"/>
        <w:rPr>
          <w:rFonts w:ascii="Arial" w:eastAsia="Times New Roman" w:hAnsi="Arial" w:cs="Arial"/>
        </w:rPr>
      </w:pPr>
      <w:r w:rsidRPr="00BF6E28">
        <w:rPr>
          <w:rFonts w:ascii="Arial" w:eastAsia="Times New Roman" w:hAnsi="Arial" w:cs="Arial"/>
          <w:color w:val="0D0D0D"/>
          <w:lang w:eastAsia="cs-CZ"/>
        </w:rPr>
        <w:t>Navrhovaná změna daně z příjmů může mít dopad na stát</w:t>
      </w:r>
      <w:r w:rsidR="003A08DD">
        <w:rPr>
          <w:rFonts w:ascii="Arial" w:eastAsia="Times New Roman" w:hAnsi="Arial" w:cs="Arial"/>
          <w:color w:val="0D0D0D"/>
          <w:lang w:eastAsia="cs-CZ"/>
        </w:rPr>
        <w:t>ní rozpočet. Jeho existenci ani </w:t>
      </w:r>
      <w:r w:rsidRPr="00BF6E28">
        <w:rPr>
          <w:rFonts w:ascii="Arial" w:eastAsia="Times New Roman" w:hAnsi="Arial" w:cs="Arial"/>
          <w:color w:val="0D0D0D"/>
          <w:lang w:eastAsia="cs-CZ"/>
        </w:rPr>
        <w:t>rozsah ale nelze přesně odhadnout. Pokud bychom vycházeli ze současného objemu úroků zaplacených členy bytových družstev na pořízení jejich bytů, byl by dopad naprosto minimální, protože počet těchto členů můžeme dosud odhadnout nejvýše na několik set ročně. Obecně (tedy</w:t>
      </w:r>
      <w:r w:rsidR="003A08DD">
        <w:rPr>
          <w:rFonts w:ascii="Arial" w:eastAsia="Times New Roman" w:hAnsi="Arial" w:cs="Arial"/>
          <w:color w:val="0D0D0D"/>
          <w:lang w:eastAsia="cs-CZ"/>
        </w:rPr>
        <w:t>,</w:t>
      </w:r>
      <w:r w:rsidRPr="00BF6E28">
        <w:rPr>
          <w:rFonts w:ascii="Arial" w:eastAsia="Times New Roman" w:hAnsi="Arial" w:cs="Arial"/>
          <w:color w:val="0D0D0D"/>
          <w:lang w:eastAsia="cs-CZ"/>
        </w:rPr>
        <w:t xml:space="preserve"> i kdyby se počet takových členů</w:t>
      </w:r>
      <w:r w:rsidR="008829BF" w:rsidRPr="00BF6E28">
        <w:rPr>
          <w:rFonts w:ascii="Arial" w:eastAsia="Times New Roman" w:hAnsi="Arial" w:cs="Arial"/>
          <w:color w:val="0D0D0D"/>
          <w:lang w:eastAsia="cs-CZ"/>
        </w:rPr>
        <w:t>,</w:t>
      </w:r>
      <w:r w:rsidRPr="00BF6E28">
        <w:rPr>
          <w:rFonts w:ascii="Arial" w:eastAsia="Times New Roman" w:hAnsi="Arial" w:cs="Arial"/>
          <w:color w:val="0D0D0D"/>
          <w:lang w:eastAsia="cs-CZ"/>
        </w:rPr>
        <w:t xml:space="preserve"> a tedy i rozsah objemu úroků významně zvýšil), lze předpokládat, že by se jednalo o osoby, které by si dříve pořídily byt na hypotéku samy a do dosavadního daňového osvobození by spadaly. S poměrně vysokou mírou pravděpodobnosti lze tedy říci, že dopad na veřejné rozpočty bude neutrální. Ani finanční dopad navrhované právní úpravy na ostatní veřejné rozpočty se tedy v zásadě nepředpokládá. Dopad na podnikatelské prostředí by měl být pozitivní, stoupla by poptávka pro zakládání bytových družstev, a tedy i poptávka po stavebních a jiných dodávkách, což by zřejmě ve svém důsledku zvýšilo i počet pracovních míst. </w:t>
      </w:r>
      <w:r w:rsidRPr="00BF6E28">
        <w:rPr>
          <w:rFonts w:ascii="Arial" w:eastAsia="Times New Roman" w:hAnsi="Arial" w:cs="Arial"/>
        </w:rPr>
        <w:t>Pokud se týče sociálních dopadů, návrh snižuje finanční nároky na pořízení nemovitosti pro vlastní bydlení pro nikoli nevýznamnou část populace se všemi důsledky, včetně</w:t>
      </w:r>
      <w:r w:rsidR="00AE0A76" w:rsidRPr="00BF6E28">
        <w:rPr>
          <w:rFonts w:ascii="Arial" w:eastAsia="Times New Roman" w:hAnsi="Arial" w:cs="Arial"/>
        </w:rPr>
        <w:t xml:space="preserve"> pozitivního dopadu na rodiny a </w:t>
      </w:r>
      <w:r w:rsidRPr="00BF6E28">
        <w:rPr>
          <w:rFonts w:ascii="Arial" w:eastAsia="Times New Roman" w:hAnsi="Arial" w:cs="Arial"/>
        </w:rPr>
        <w:t>zvýšení přirozeného přírůstku obyvatelstva. Navíc je pořizování družstevních b</w:t>
      </w:r>
      <w:r w:rsidR="003A08DD">
        <w:rPr>
          <w:rFonts w:ascii="Arial" w:eastAsia="Times New Roman" w:hAnsi="Arial" w:cs="Arial"/>
        </w:rPr>
        <w:t>ytů sociálně více solidární než </w:t>
      </w:r>
      <w:r w:rsidRPr="00BF6E28">
        <w:rPr>
          <w:rFonts w:ascii="Arial" w:eastAsia="Times New Roman" w:hAnsi="Arial" w:cs="Arial"/>
        </w:rPr>
        <w:t xml:space="preserve">individuální pořizování bytů do vlastnictví, protože jednak umožňuje pořídit si byt i osobám, které by si to jinak dovolit nemohly, jednak jim i během splácení úvěru na družstevní byty pomáhá nést rizika s tím spojená. Dopady na specifické skupiny obyvatel se nepředpokládají. Dopad na životní prostředí nepředpokládá. </w:t>
      </w:r>
    </w:p>
    <w:p w14:paraId="46B15293" w14:textId="6637D309" w:rsidR="00E572C9" w:rsidRDefault="00E572C9" w:rsidP="00BF6E28">
      <w:pPr>
        <w:spacing w:after="120"/>
        <w:jc w:val="both"/>
        <w:rPr>
          <w:rFonts w:ascii="Arial" w:eastAsia="Times New Roman" w:hAnsi="Arial" w:cs="Arial"/>
        </w:rPr>
      </w:pPr>
      <w:r w:rsidRPr="00BF6E28">
        <w:rPr>
          <w:rFonts w:ascii="Arial" w:eastAsia="Times New Roman" w:hAnsi="Arial" w:cs="Arial"/>
        </w:rPr>
        <w:t xml:space="preserve">Navrhovaná změna rozpočtového určení daní </w:t>
      </w:r>
      <w:r w:rsidR="00E82B3E" w:rsidRPr="00BF6E28">
        <w:rPr>
          <w:rFonts w:ascii="Arial" w:eastAsia="Times New Roman" w:hAnsi="Arial" w:cs="Arial"/>
        </w:rPr>
        <w:t>směrem k</w:t>
      </w:r>
      <w:r w:rsidRPr="00BF6E28">
        <w:rPr>
          <w:rFonts w:ascii="Arial" w:eastAsia="Times New Roman" w:hAnsi="Arial" w:cs="Arial"/>
        </w:rPr>
        <w:t xml:space="preserve"> DPH bude mít odpovídající zjevný dopad jak na státní rozpočet, tak na další veřejné rozpočty.</w:t>
      </w:r>
    </w:p>
    <w:p w14:paraId="248C251E" w14:textId="77777777" w:rsidR="00003432" w:rsidRDefault="00003432" w:rsidP="00BF6E28">
      <w:pPr>
        <w:spacing w:after="120"/>
        <w:jc w:val="both"/>
        <w:rPr>
          <w:rFonts w:ascii="Arial" w:eastAsia="Times New Roman" w:hAnsi="Arial" w:cs="Arial"/>
        </w:rPr>
      </w:pPr>
    </w:p>
    <w:p w14:paraId="2F78A420" w14:textId="77777777" w:rsidR="00003432" w:rsidRDefault="00003432" w:rsidP="00BF6E28">
      <w:pPr>
        <w:spacing w:after="120"/>
        <w:jc w:val="both"/>
        <w:rPr>
          <w:rFonts w:ascii="Arial" w:eastAsia="Times New Roman" w:hAnsi="Arial" w:cs="Arial"/>
        </w:rPr>
      </w:pPr>
    </w:p>
    <w:p w14:paraId="423D2A41" w14:textId="77777777" w:rsidR="00003432" w:rsidRDefault="00003432" w:rsidP="00BF6E28">
      <w:pPr>
        <w:spacing w:after="120"/>
        <w:jc w:val="both"/>
        <w:rPr>
          <w:rFonts w:ascii="Arial" w:eastAsia="Times New Roman" w:hAnsi="Arial" w:cs="Arial"/>
        </w:rPr>
      </w:pPr>
    </w:p>
    <w:p w14:paraId="3F8AD628" w14:textId="77777777" w:rsidR="00003432" w:rsidRPr="00BF6E28" w:rsidRDefault="00003432" w:rsidP="00BF6E28">
      <w:pPr>
        <w:spacing w:after="120"/>
        <w:jc w:val="both"/>
        <w:rPr>
          <w:rFonts w:ascii="Arial" w:eastAsia="Times New Roman" w:hAnsi="Arial" w:cs="Arial"/>
          <w:i/>
          <w:color w:val="0D0D0D"/>
          <w:lang w:eastAsia="cs-CZ"/>
        </w:rPr>
      </w:pPr>
    </w:p>
    <w:p w14:paraId="1BB9BAAE" w14:textId="77777777" w:rsidR="0090686C" w:rsidRPr="00BF6E28" w:rsidRDefault="0090686C" w:rsidP="00BF6E28">
      <w:pPr>
        <w:spacing w:after="120"/>
        <w:ind w:firstLine="567"/>
        <w:jc w:val="both"/>
        <w:rPr>
          <w:rFonts w:ascii="Arial" w:eastAsia="Times New Roman" w:hAnsi="Arial" w:cs="Arial"/>
          <w:color w:val="0D0D0D"/>
          <w:lang w:eastAsia="cs-CZ"/>
        </w:rPr>
      </w:pPr>
    </w:p>
    <w:p w14:paraId="3F3B608E" w14:textId="77777777" w:rsidR="00541F62" w:rsidRPr="00BF6E28" w:rsidRDefault="00541F62" w:rsidP="00BF6E28">
      <w:pPr>
        <w:pStyle w:val="Odstavecseseznamem"/>
        <w:numPr>
          <w:ilvl w:val="0"/>
          <w:numId w:val="17"/>
        </w:numPr>
        <w:rPr>
          <w:rFonts w:ascii="Arial" w:hAnsi="Arial" w:cs="Arial"/>
          <w:b/>
          <w:u w:val="single"/>
        </w:rPr>
      </w:pPr>
      <w:r w:rsidRPr="00BF6E28">
        <w:rPr>
          <w:rFonts w:ascii="Arial" w:hAnsi="Arial" w:cs="Arial"/>
          <w:b/>
          <w:u w:val="single"/>
        </w:rPr>
        <w:lastRenderedPageBreak/>
        <w:t xml:space="preserve">Zvláštní část </w:t>
      </w:r>
    </w:p>
    <w:p w14:paraId="63F3FC07" w14:textId="5CA028AE" w:rsidR="005D2AF5" w:rsidRPr="00BF6E28" w:rsidRDefault="001B6E4F" w:rsidP="00BF6E28">
      <w:pPr>
        <w:jc w:val="both"/>
        <w:rPr>
          <w:rFonts w:ascii="Arial" w:hAnsi="Arial" w:cs="Arial"/>
        </w:rPr>
      </w:pPr>
      <w:r w:rsidRPr="00BF6E28">
        <w:rPr>
          <w:rFonts w:ascii="Arial" w:hAnsi="Arial" w:cs="Arial"/>
        </w:rPr>
        <w:t>V</w:t>
      </w:r>
      <w:r w:rsidR="005D2AF5" w:rsidRPr="00BF6E28">
        <w:rPr>
          <w:rFonts w:ascii="Arial" w:hAnsi="Arial" w:cs="Arial"/>
        </w:rPr>
        <w:t xml:space="preserve"> čl.</w:t>
      </w:r>
      <w:r w:rsidRPr="00BF6E28">
        <w:rPr>
          <w:rFonts w:ascii="Arial" w:hAnsi="Arial" w:cs="Arial"/>
        </w:rPr>
        <w:t xml:space="preserve"> I</w:t>
      </w:r>
      <w:r w:rsidR="005D2AF5" w:rsidRPr="00BF6E28">
        <w:rPr>
          <w:rFonts w:ascii="Arial" w:hAnsi="Arial" w:cs="Arial"/>
        </w:rPr>
        <w:t xml:space="preserve"> </w:t>
      </w:r>
      <w:r w:rsidR="00560864" w:rsidRPr="00BF6E28">
        <w:rPr>
          <w:rFonts w:ascii="Arial" w:hAnsi="Arial" w:cs="Arial"/>
        </w:rPr>
        <w:t>v bod</w:t>
      </w:r>
      <w:r w:rsidR="003A08DD">
        <w:rPr>
          <w:rFonts w:ascii="Arial" w:hAnsi="Arial" w:cs="Arial"/>
        </w:rPr>
        <w:t>u</w:t>
      </w:r>
      <w:r w:rsidR="00560864" w:rsidRPr="00BF6E28">
        <w:rPr>
          <w:rFonts w:ascii="Arial" w:hAnsi="Arial" w:cs="Arial"/>
        </w:rPr>
        <w:t xml:space="preserve"> 1, týkajícího se </w:t>
      </w:r>
      <w:r w:rsidR="00794759" w:rsidRPr="00BF6E28">
        <w:rPr>
          <w:rFonts w:ascii="Arial" w:hAnsi="Arial" w:cs="Arial"/>
        </w:rPr>
        <w:t>poskytnutí stavebních a montážních prací</w:t>
      </w:r>
      <w:r w:rsidR="001706E7" w:rsidRPr="00BF6E28">
        <w:rPr>
          <w:rFonts w:ascii="Arial" w:hAnsi="Arial" w:cs="Arial"/>
        </w:rPr>
        <w:t xml:space="preserve"> spojených se samotnou výstavbou </w:t>
      </w:r>
      <w:r w:rsidR="00F15D7C" w:rsidRPr="00BF6E28">
        <w:rPr>
          <w:rFonts w:ascii="Arial" w:hAnsi="Arial" w:cs="Arial"/>
        </w:rPr>
        <w:t>stavby pro sociální bydlení</w:t>
      </w:r>
      <w:r w:rsidR="00794759" w:rsidRPr="00BF6E28">
        <w:rPr>
          <w:rFonts w:ascii="Arial" w:hAnsi="Arial" w:cs="Arial"/>
        </w:rPr>
        <w:t xml:space="preserve">, se </w:t>
      </w:r>
      <w:r w:rsidR="00E922EA" w:rsidRPr="00BF6E28">
        <w:rPr>
          <w:rFonts w:ascii="Arial" w:hAnsi="Arial" w:cs="Arial"/>
        </w:rPr>
        <w:t>navrhuje namísto prvn</w:t>
      </w:r>
      <w:r w:rsidR="00470C9D" w:rsidRPr="00BF6E28">
        <w:rPr>
          <w:rFonts w:ascii="Arial" w:hAnsi="Arial" w:cs="Arial"/>
        </w:rPr>
        <w:t xml:space="preserve">í snížené sazby podle § 47 odst. 1 písm. </w:t>
      </w:r>
      <w:r w:rsidR="00DC1306">
        <w:rPr>
          <w:rFonts w:ascii="Arial" w:hAnsi="Arial" w:cs="Arial"/>
        </w:rPr>
        <w:t>b</w:t>
      </w:r>
      <w:r w:rsidR="00794759" w:rsidRPr="00BF6E28">
        <w:rPr>
          <w:rFonts w:ascii="Arial" w:hAnsi="Arial" w:cs="Arial"/>
        </w:rPr>
        <w:t xml:space="preserve">) </w:t>
      </w:r>
      <w:r w:rsidR="00470C9D" w:rsidRPr="00BF6E28">
        <w:rPr>
          <w:rFonts w:ascii="Arial" w:hAnsi="Arial" w:cs="Arial"/>
        </w:rPr>
        <w:t>ve výši 15 % použít druhou sníženou sazbu podle § 47 odst. 1 písm. c) ve výši 10 %.</w:t>
      </w:r>
    </w:p>
    <w:p w14:paraId="22188D95" w14:textId="0FFB7623" w:rsidR="00954602" w:rsidRPr="00BF6E28" w:rsidRDefault="00954602" w:rsidP="00BF6E28">
      <w:pPr>
        <w:jc w:val="both"/>
        <w:rPr>
          <w:rFonts w:ascii="Arial" w:hAnsi="Arial" w:cs="Arial"/>
        </w:rPr>
      </w:pPr>
      <w:r w:rsidRPr="00BF6E28">
        <w:rPr>
          <w:rFonts w:ascii="Arial" w:hAnsi="Arial" w:cs="Arial"/>
        </w:rPr>
        <w:t>V čl. I v bod</w:t>
      </w:r>
      <w:r w:rsidR="003A08DD">
        <w:rPr>
          <w:rFonts w:ascii="Arial" w:hAnsi="Arial" w:cs="Arial"/>
        </w:rPr>
        <w:t>u</w:t>
      </w:r>
      <w:r w:rsidRPr="00BF6E28">
        <w:rPr>
          <w:rFonts w:ascii="Arial" w:hAnsi="Arial" w:cs="Arial"/>
        </w:rPr>
        <w:t xml:space="preserve"> 2, týkajícího se poskytnutí stavebních a montážních prací, kterými se stavba nebo prostor mění na </w:t>
      </w:r>
      <w:r w:rsidR="00110AC9" w:rsidRPr="00BF6E28">
        <w:rPr>
          <w:rFonts w:ascii="Arial" w:hAnsi="Arial" w:cs="Arial"/>
        </w:rPr>
        <w:t xml:space="preserve">stavbu pro sociální bydlení, </w:t>
      </w:r>
      <w:r w:rsidRPr="00BF6E28">
        <w:rPr>
          <w:rFonts w:ascii="Arial" w:hAnsi="Arial" w:cs="Arial"/>
        </w:rPr>
        <w:t xml:space="preserve">se navrhuje namísto první snížené sazby podle § 47 odst. 1 písm. </w:t>
      </w:r>
      <w:r w:rsidR="00DC1306">
        <w:rPr>
          <w:rFonts w:ascii="Arial" w:hAnsi="Arial" w:cs="Arial"/>
        </w:rPr>
        <w:t>b</w:t>
      </w:r>
      <w:r w:rsidRPr="00BF6E28">
        <w:rPr>
          <w:rFonts w:ascii="Arial" w:hAnsi="Arial" w:cs="Arial"/>
        </w:rPr>
        <w:t>) ve výši 15 % použít druhou sníženou sazbu podle § 47 odst. 1 písm. c) ve výši 10 %.</w:t>
      </w:r>
    </w:p>
    <w:p w14:paraId="22FC5C55" w14:textId="58DEA4C7" w:rsidR="00CD49DF" w:rsidRPr="00BF6E28" w:rsidRDefault="00CD49DF" w:rsidP="00BF6E28">
      <w:pPr>
        <w:jc w:val="both"/>
        <w:rPr>
          <w:rFonts w:ascii="Arial" w:hAnsi="Arial" w:cs="Arial"/>
        </w:rPr>
      </w:pPr>
      <w:r w:rsidRPr="00BF6E28">
        <w:rPr>
          <w:rFonts w:ascii="Arial" w:hAnsi="Arial" w:cs="Arial"/>
        </w:rPr>
        <w:t>V čl. I v bod</w:t>
      </w:r>
      <w:r w:rsidR="003A08DD">
        <w:rPr>
          <w:rFonts w:ascii="Arial" w:hAnsi="Arial" w:cs="Arial"/>
        </w:rPr>
        <w:t>u</w:t>
      </w:r>
      <w:r w:rsidRPr="00BF6E28">
        <w:rPr>
          <w:rFonts w:ascii="Arial" w:hAnsi="Arial" w:cs="Arial"/>
        </w:rPr>
        <w:t xml:space="preserve"> 3, týkajícího se </w:t>
      </w:r>
      <w:r w:rsidR="002B5314" w:rsidRPr="00BF6E28">
        <w:rPr>
          <w:rFonts w:ascii="Arial" w:hAnsi="Arial" w:cs="Arial"/>
        </w:rPr>
        <w:t xml:space="preserve">dodání </w:t>
      </w:r>
      <w:r w:rsidR="00486FE9" w:rsidRPr="00BF6E28">
        <w:rPr>
          <w:rFonts w:ascii="Arial" w:hAnsi="Arial" w:cs="Arial"/>
        </w:rPr>
        <w:t xml:space="preserve">takové </w:t>
      </w:r>
      <w:r w:rsidR="002B5314" w:rsidRPr="00BF6E28">
        <w:rPr>
          <w:rFonts w:ascii="Arial" w:hAnsi="Arial" w:cs="Arial"/>
        </w:rPr>
        <w:t>stavby, pozemku</w:t>
      </w:r>
      <w:r w:rsidR="00D53772" w:rsidRPr="00BF6E28">
        <w:rPr>
          <w:rFonts w:ascii="Arial" w:hAnsi="Arial" w:cs="Arial"/>
        </w:rPr>
        <w:t>,</w:t>
      </w:r>
      <w:r w:rsidR="002B5314" w:rsidRPr="00BF6E28">
        <w:rPr>
          <w:rFonts w:ascii="Arial" w:hAnsi="Arial" w:cs="Arial"/>
        </w:rPr>
        <w:t xml:space="preserve"> jehož součástí je stavba, </w:t>
      </w:r>
      <w:r w:rsidR="00486FE9" w:rsidRPr="00BF6E28">
        <w:rPr>
          <w:rFonts w:ascii="Arial" w:hAnsi="Arial" w:cs="Arial"/>
        </w:rPr>
        <w:t xml:space="preserve">práva stavby a jednotky </w:t>
      </w:r>
      <w:r w:rsidRPr="00BF6E28">
        <w:rPr>
          <w:rFonts w:ascii="Arial" w:hAnsi="Arial" w:cs="Arial"/>
        </w:rPr>
        <w:t xml:space="preserve">pro sociální bydlení, se navrhuje namísto první snížené sazby podle § 47 odst. 1 písm. </w:t>
      </w:r>
      <w:r w:rsidR="00DC1306">
        <w:rPr>
          <w:rFonts w:ascii="Arial" w:hAnsi="Arial" w:cs="Arial"/>
        </w:rPr>
        <w:t>b</w:t>
      </w:r>
      <w:bookmarkStart w:id="0" w:name="_GoBack"/>
      <w:bookmarkEnd w:id="0"/>
      <w:r w:rsidRPr="00BF6E28">
        <w:rPr>
          <w:rFonts w:ascii="Arial" w:hAnsi="Arial" w:cs="Arial"/>
        </w:rPr>
        <w:t>) ve výši 15 % použít druhou sníženou sazbu podle § 47 odst. 1 písm. c) ve výši 10 %.</w:t>
      </w:r>
    </w:p>
    <w:p w14:paraId="7B84842D" w14:textId="77777777" w:rsidR="003A08DD" w:rsidRDefault="003A08DD" w:rsidP="00BF6E28">
      <w:pPr>
        <w:jc w:val="both"/>
        <w:rPr>
          <w:rFonts w:ascii="Arial" w:hAnsi="Arial" w:cs="Arial"/>
        </w:rPr>
      </w:pPr>
    </w:p>
    <w:p w14:paraId="25FFC11F" w14:textId="77777777" w:rsidR="00351F7D" w:rsidRPr="00BF6E28" w:rsidRDefault="00646288" w:rsidP="00BF6E28">
      <w:pPr>
        <w:jc w:val="both"/>
        <w:rPr>
          <w:rFonts w:ascii="Arial" w:hAnsi="Arial" w:cs="Arial"/>
        </w:rPr>
      </w:pPr>
      <w:r w:rsidRPr="00BF6E28">
        <w:rPr>
          <w:rFonts w:ascii="Arial" w:hAnsi="Arial" w:cs="Arial"/>
        </w:rPr>
        <w:t xml:space="preserve">V čl. II se </w:t>
      </w:r>
      <w:r w:rsidR="001300F2" w:rsidRPr="00BF6E28">
        <w:rPr>
          <w:rFonts w:ascii="Arial" w:hAnsi="Arial" w:cs="Arial"/>
        </w:rPr>
        <w:t xml:space="preserve">navrhuje </w:t>
      </w:r>
      <w:r w:rsidRPr="00BF6E28">
        <w:rPr>
          <w:rFonts w:ascii="Arial" w:hAnsi="Arial" w:cs="Arial"/>
        </w:rPr>
        <w:t xml:space="preserve">vložit </w:t>
      </w:r>
      <w:r w:rsidR="008A73B1" w:rsidRPr="00BF6E28">
        <w:rPr>
          <w:rFonts w:ascii="Arial" w:hAnsi="Arial" w:cs="Arial"/>
        </w:rPr>
        <w:t>nové odstavce</w:t>
      </w:r>
      <w:r w:rsidR="00351F7D" w:rsidRPr="00BF6E28">
        <w:rPr>
          <w:rFonts w:ascii="Arial" w:hAnsi="Arial" w:cs="Arial"/>
        </w:rPr>
        <w:t>.</w:t>
      </w:r>
    </w:p>
    <w:p w14:paraId="5FA081A6" w14:textId="07B31049" w:rsidR="0048438C" w:rsidRPr="00BF6E28" w:rsidRDefault="00351F7D" w:rsidP="00BF6E28">
      <w:pPr>
        <w:jc w:val="both"/>
        <w:rPr>
          <w:rFonts w:ascii="Arial" w:hAnsi="Arial" w:cs="Arial"/>
        </w:rPr>
      </w:pPr>
      <w:r w:rsidRPr="00BF6E28">
        <w:rPr>
          <w:rFonts w:ascii="Arial" w:hAnsi="Arial" w:cs="Arial"/>
        </w:rPr>
        <w:t xml:space="preserve">V novém odstavci 3 </w:t>
      </w:r>
      <w:r w:rsidR="000A72FB" w:rsidRPr="00BF6E28">
        <w:rPr>
          <w:rFonts w:ascii="Arial" w:hAnsi="Arial" w:cs="Arial"/>
        </w:rPr>
        <w:t xml:space="preserve">se navrhuje osvobodit </w:t>
      </w:r>
      <w:r w:rsidR="008A73B1" w:rsidRPr="00BF6E28">
        <w:rPr>
          <w:rFonts w:ascii="Arial" w:hAnsi="Arial" w:cs="Arial"/>
        </w:rPr>
        <w:t>i jiné než první úpla</w:t>
      </w:r>
      <w:r w:rsidR="003A08DD">
        <w:rPr>
          <w:rFonts w:ascii="Arial" w:hAnsi="Arial" w:cs="Arial"/>
        </w:rPr>
        <w:t>tné nabytí vlastnického práva k </w:t>
      </w:r>
      <w:r w:rsidR="008A73B1" w:rsidRPr="00BF6E28">
        <w:rPr>
          <w:rFonts w:ascii="Arial" w:hAnsi="Arial" w:cs="Arial"/>
        </w:rPr>
        <w:t>nemovité věci popsané v odst. 1, pokud</w:t>
      </w:r>
      <w:r w:rsidR="00FA7594" w:rsidRPr="00BF6E28">
        <w:rPr>
          <w:rFonts w:ascii="Arial" w:hAnsi="Arial" w:cs="Arial"/>
        </w:rPr>
        <w:t xml:space="preserve"> současně splní dvě podmínky</w:t>
      </w:r>
      <w:r w:rsidR="0048438C" w:rsidRPr="00BF6E28">
        <w:rPr>
          <w:rFonts w:ascii="Arial" w:hAnsi="Arial" w:cs="Arial"/>
        </w:rPr>
        <w:t>:</w:t>
      </w:r>
    </w:p>
    <w:p w14:paraId="2B9AB0C5" w14:textId="77777777" w:rsidR="0048438C" w:rsidRPr="00BF6E28" w:rsidRDefault="0048438C" w:rsidP="00BF6E28">
      <w:pPr>
        <w:jc w:val="both"/>
        <w:rPr>
          <w:rFonts w:ascii="Arial" w:hAnsi="Arial" w:cs="Arial"/>
        </w:rPr>
      </w:pPr>
      <w:r w:rsidRPr="00BF6E28">
        <w:rPr>
          <w:rFonts w:ascii="Arial" w:hAnsi="Arial" w:cs="Arial"/>
        </w:rPr>
        <w:t>-</w:t>
      </w:r>
      <w:r w:rsidR="008A73B1" w:rsidRPr="00BF6E28">
        <w:rPr>
          <w:rFonts w:ascii="Arial" w:hAnsi="Arial" w:cs="Arial"/>
        </w:rPr>
        <w:t xml:space="preserve"> jejím nabyvatelem </w:t>
      </w:r>
      <w:r w:rsidRPr="00BF6E28">
        <w:rPr>
          <w:rFonts w:ascii="Arial" w:hAnsi="Arial" w:cs="Arial"/>
        </w:rPr>
        <w:t xml:space="preserve">je </w:t>
      </w:r>
      <w:r w:rsidR="008A73B1" w:rsidRPr="00BF6E28">
        <w:rPr>
          <w:rFonts w:ascii="Arial" w:hAnsi="Arial" w:cs="Arial"/>
        </w:rPr>
        <w:t xml:space="preserve">fyzická osoba, </w:t>
      </w:r>
      <w:r w:rsidR="00FA7594" w:rsidRPr="00BF6E28">
        <w:rPr>
          <w:rFonts w:ascii="Arial" w:hAnsi="Arial" w:cs="Arial"/>
        </w:rPr>
        <w:t>a</w:t>
      </w:r>
      <w:r w:rsidR="00357915" w:rsidRPr="00BF6E28">
        <w:rPr>
          <w:rFonts w:ascii="Arial" w:hAnsi="Arial" w:cs="Arial"/>
        </w:rPr>
        <w:t xml:space="preserve"> současně</w:t>
      </w:r>
    </w:p>
    <w:p w14:paraId="687C4BE2" w14:textId="77777777" w:rsidR="0048438C" w:rsidRPr="00BF6E28" w:rsidRDefault="0048438C" w:rsidP="00BF6E28">
      <w:pPr>
        <w:jc w:val="both"/>
        <w:rPr>
          <w:rFonts w:ascii="Arial" w:hAnsi="Arial" w:cs="Arial"/>
        </w:rPr>
      </w:pPr>
      <w:r w:rsidRPr="00BF6E28">
        <w:rPr>
          <w:rFonts w:ascii="Arial" w:hAnsi="Arial" w:cs="Arial"/>
        </w:rPr>
        <w:t>- v</w:t>
      </w:r>
      <w:r w:rsidR="008A73B1" w:rsidRPr="00BF6E28">
        <w:rPr>
          <w:rFonts w:ascii="Arial" w:hAnsi="Arial" w:cs="Arial"/>
        </w:rPr>
        <w:t xml:space="preserve"> den skončení lhůty pro podání daňového přiznání nebude vlastnit </w:t>
      </w:r>
      <w:r w:rsidR="00D330D9" w:rsidRPr="00BF6E28">
        <w:rPr>
          <w:rFonts w:ascii="Arial" w:hAnsi="Arial" w:cs="Arial"/>
        </w:rPr>
        <w:t>(</w:t>
      </w:r>
      <w:r w:rsidR="008A73B1" w:rsidRPr="00BF6E28">
        <w:rPr>
          <w:rFonts w:ascii="Arial" w:hAnsi="Arial" w:cs="Arial"/>
        </w:rPr>
        <w:t>ani spoluvlastnit</w:t>
      </w:r>
      <w:r w:rsidR="00D330D9" w:rsidRPr="00BF6E28">
        <w:rPr>
          <w:rFonts w:ascii="Arial" w:hAnsi="Arial" w:cs="Arial"/>
        </w:rPr>
        <w:t>)</w:t>
      </w:r>
      <w:r w:rsidR="008A73B1" w:rsidRPr="00BF6E28">
        <w:rPr>
          <w:rFonts w:ascii="Arial" w:hAnsi="Arial" w:cs="Arial"/>
        </w:rPr>
        <w:t xml:space="preserve"> jinou takovou nemovitou věc</w:t>
      </w:r>
      <w:r w:rsidR="001069F6" w:rsidRPr="00BF6E28">
        <w:rPr>
          <w:rFonts w:ascii="Arial" w:hAnsi="Arial" w:cs="Arial"/>
        </w:rPr>
        <w:t xml:space="preserve"> (</w:t>
      </w:r>
      <w:r w:rsidR="00B92884" w:rsidRPr="00BF6E28">
        <w:rPr>
          <w:rFonts w:ascii="Arial" w:hAnsi="Arial" w:cs="Arial"/>
        </w:rPr>
        <w:t xml:space="preserve">smyslu úpravy </w:t>
      </w:r>
      <w:r w:rsidR="00D51B9B" w:rsidRPr="00BF6E28">
        <w:rPr>
          <w:rFonts w:ascii="Arial" w:hAnsi="Arial" w:cs="Arial"/>
        </w:rPr>
        <w:t xml:space="preserve">jako sociální </w:t>
      </w:r>
      <w:r w:rsidR="00B92884" w:rsidRPr="00BF6E28">
        <w:rPr>
          <w:rFonts w:ascii="Arial" w:hAnsi="Arial" w:cs="Arial"/>
        </w:rPr>
        <w:t>odpovídá</w:t>
      </w:r>
      <w:r w:rsidR="00985C9B" w:rsidRPr="00BF6E28">
        <w:rPr>
          <w:rFonts w:ascii="Arial" w:hAnsi="Arial" w:cs="Arial"/>
        </w:rPr>
        <w:t>,</w:t>
      </w:r>
      <w:r w:rsidR="00B92884" w:rsidRPr="00BF6E28">
        <w:rPr>
          <w:rFonts w:ascii="Arial" w:hAnsi="Arial" w:cs="Arial"/>
        </w:rPr>
        <w:t xml:space="preserve"> aby </w:t>
      </w:r>
      <w:r w:rsidR="001069F6" w:rsidRPr="00BF6E28">
        <w:rPr>
          <w:rFonts w:ascii="Arial" w:hAnsi="Arial" w:cs="Arial"/>
        </w:rPr>
        <w:t>případné vlastnictví bytů užívaných jako rekreační objekt</w:t>
      </w:r>
      <w:r w:rsidR="00B92884" w:rsidRPr="00BF6E28">
        <w:rPr>
          <w:rFonts w:ascii="Arial" w:hAnsi="Arial" w:cs="Arial"/>
        </w:rPr>
        <w:t>y</w:t>
      </w:r>
      <w:r w:rsidR="001069F6" w:rsidRPr="00BF6E28">
        <w:rPr>
          <w:rFonts w:ascii="Arial" w:hAnsi="Arial" w:cs="Arial"/>
        </w:rPr>
        <w:t xml:space="preserve"> osvob</w:t>
      </w:r>
      <w:r w:rsidR="00D51B9B" w:rsidRPr="00BF6E28">
        <w:rPr>
          <w:rFonts w:ascii="Arial" w:hAnsi="Arial" w:cs="Arial"/>
        </w:rPr>
        <w:t xml:space="preserve">ození bránilo) </w:t>
      </w:r>
    </w:p>
    <w:p w14:paraId="03780089" w14:textId="77777777" w:rsidR="008D0F85" w:rsidRPr="00BF6E28" w:rsidRDefault="004C5C13" w:rsidP="00BF6E28">
      <w:pPr>
        <w:jc w:val="both"/>
        <w:rPr>
          <w:rFonts w:ascii="Arial" w:hAnsi="Arial" w:cs="Arial"/>
        </w:rPr>
      </w:pPr>
      <w:r w:rsidRPr="00BF6E28">
        <w:rPr>
          <w:rFonts w:ascii="Arial" w:hAnsi="Arial" w:cs="Arial"/>
        </w:rPr>
        <w:t xml:space="preserve">Osvobození bude bránit i vlastnictví družstevního podílu, pokud </w:t>
      </w:r>
      <w:r w:rsidR="00236A75" w:rsidRPr="00BF6E28">
        <w:rPr>
          <w:rFonts w:ascii="Arial" w:hAnsi="Arial" w:cs="Arial"/>
        </w:rPr>
        <w:t xml:space="preserve">s ním byl spojen </w:t>
      </w:r>
      <w:r w:rsidR="008D0F85" w:rsidRPr="00BF6E28">
        <w:rPr>
          <w:rFonts w:ascii="Arial" w:hAnsi="Arial" w:cs="Arial"/>
        </w:rPr>
        <w:t>náj</w:t>
      </w:r>
      <w:r w:rsidR="00236A75" w:rsidRPr="00BF6E28">
        <w:rPr>
          <w:rFonts w:ascii="Arial" w:hAnsi="Arial" w:cs="Arial"/>
        </w:rPr>
        <w:t>em</w:t>
      </w:r>
      <w:r w:rsidR="008D0F85" w:rsidRPr="00BF6E28">
        <w:rPr>
          <w:rFonts w:ascii="Arial" w:hAnsi="Arial" w:cs="Arial"/>
        </w:rPr>
        <w:t xml:space="preserve"> družstevní</w:t>
      </w:r>
      <w:r w:rsidR="00236A75" w:rsidRPr="00BF6E28">
        <w:rPr>
          <w:rFonts w:ascii="Arial" w:hAnsi="Arial" w:cs="Arial"/>
        </w:rPr>
        <w:t xml:space="preserve">ho </w:t>
      </w:r>
      <w:r w:rsidR="008D0F85" w:rsidRPr="00BF6E28">
        <w:rPr>
          <w:rFonts w:ascii="Arial" w:hAnsi="Arial" w:cs="Arial"/>
        </w:rPr>
        <w:t>byt</w:t>
      </w:r>
      <w:r w:rsidR="00236A75" w:rsidRPr="00BF6E28">
        <w:rPr>
          <w:rFonts w:ascii="Arial" w:hAnsi="Arial" w:cs="Arial"/>
        </w:rPr>
        <w:t>u</w:t>
      </w:r>
      <w:r w:rsidR="008D0F85" w:rsidRPr="00BF6E28">
        <w:rPr>
          <w:rFonts w:ascii="Arial" w:hAnsi="Arial" w:cs="Arial"/>
        </w:rPr>
        <w:t> </w:t>
      </w:r>
      <w:r w:rsidR="00236A75" w:rsidRPr="00BF6E28">
        <w:rPr>
          <w:rFonts w:ascii="Arial" w:hAnsi="Arial" w:cs="Arial"/>
        </w:rPr>
        <w:t xml:space="preserve">v </w:t>
      </w:r>
      <w:r w:rsidR="008D0F85" w:rsidRPr="00BF6E28">
        <w:rPr>
          <w:rFonts w:ascii="Arial" w:hAnsi="Arial" w:cs="Arial"/>
        </w:rPr>
        <w:t>takové nemovité věci.</w:t>
      </w:r>
    </w:p>
    <w:p w14:paraId="2DB93CAC" w14:textId="77777777" w:rsidR="00A67254" w:rsidRPr="00BF6E28" w:rsidRDefault="003E6F9D" w:rsidP="00BF6E28">
      <w:pPr>
        <w:jc w:val="both"/>
        <w:rPr>
          <w:rFonts w:ascii="Arial" w:hAnsi="Arial" w:cs="Arial"/>
        </w:rPr>
      </w:pPr>
      <w:r w:rsidRPr="00BF6E28">
        <w:rPr>
          <w:rFonts w:ascii="Arial" w:hAnsi="Arial" w:cs="Arial"/>
        </w:rPr>
        <w:t xml:space="preserve">V novém odstavci 4 se navrhuje stejným způsobem </w:t>
      </w:r>
      <w:r w:rsidR="00113816" w:rsidRPr="00BF6E28">
        <w:rPr>
          <w:rFonts w:ascii="Arial" w:hAnsi="Arial" w:cs="Arial"/>
        </w:rPr>
        <w:t xml:space="preserve">i </w:t>
      </w:r>
      <w:r w:rsidRPr="00BF6E28">
        <w:rPr>
          <w:rFonts w:ascii="Arial" w:hAnsi="Arial" w:cs="Arial"/>
        </w:rPr>
        <w:t>osvobození bytového družstva, pokud</w:t>
      </w:r>
      <w:r w:rsidR="00A67254" w:rsidRPr="00BF6E28">
        <w:rPr>
          <w:rFonts w:ascii="Arial" w:hAnsi="Arial" w:cs="Arial"/>
        </w:rPr>
        <w:t xml:space="preserve"> jsou současně</w:t>
      </w:r>
      <w:r w:rsidR="00ED7FDF" w:rsidRPr="00BF6E28">
        <w:rPr>
          <w:rFonts w:ascii="Arial" w:hAnsi="Arial" w:cs="Arial"/>
        </w:rPr>
        <w:t xml:space="preserve"> splněny následující podmínky:</w:t>
      </w:r>
      <w:r w:rsidR="00A67254" w:rsidRPr="00BF6E28">
        <w:rPr>
          <w:rFonts w:ascii="Arial" w:hAnsi="Arial" w:cs="Arial"/>
        </w:rPr>
        <w:t xml:space="preserve"> </w:t>
      </w:r>
    </w:p>
    <w:p w14:paraId="36594F1A" w14:textId="77777777" w:rsidR="00A67254" w:rsidRPr="00BF6E28" w:rsidRDefault="00A67254" w:rsidP="00BF6E28">
      <w:pPr>
        <w:jc w:val="both"/>
        <w:rPr>
          <w:rFonts w:ascii="Arial" w:hAnsi="Arial" w:cs="Arial"/>
        </w:rPr>
      </w:pPr>
      <w:r w:rsidRPr="00BF6E28">
        <w:rPr>
          <w:rFonts w:ascii="Arial" w:hAnsi="Arial" w:cs="Arial"/>
        </w:rPr>
        <w:t>-</w:t>
      </w:r>
      <w:r w:rsidR="003E6F9D" w:rsidRPr="00BF6E28">
        <w:rPr>
          <w:rFonts w:ascii="Arial" w:hAnsi="Arial" w:cs="Arial"/>
        </w:rPr>
        <w:t xml:space="preserve"> nabývaná nemovitá věc může být družstevním</w:t>
      </w:r>
      <w:r w:rsidRPr="00BF6E28">
        <w:rPr>
          <w:rFonts w:ascii="Arial" w:hAnsi="Arial" w:cs="Arial"/>
        </w:rPr>
        <w:t xml:space="preserve"> bytem </w:t>
      </w:r>
      <w:r w:rsidR="00103D31" w:rsidRPr="00BF6E28">
        <w:rPr>
          <w:rFonts w:ascii="Arial" w:hAnsi="Arial" w:cs="Arial"/>
        </w:rPr>
        <w:t xml:space="preserve">podle </w:t>
      </w:r>
      <w:r w:rsidRPr="00BF6E28">
        <w:rPr>
          <w:rFonts w:ascii="Arial" w:hAnsi="Arial" w:cs="Arial"/>
        </w:rPr>
        <w:t>§ 729 zákona o </w:t>
      </w:r>
      <w:r w:rsidR="003E6F9D" w:rsidRPr="00BF6E28">
        <w:rPr>
          <w:rFonts w:ascii="Arial" w:hAnsi="Arial" w:cs="Arial"/>
        </w:rPr>
        <w:t>obchodních korporacích</w:t>
      </w:r>
      <w:r w:rsidRPr="00BF6E28">
        <w:rPr>
          <w:rFonts w:ascii="Arial" w:hAnsi="Arial" w:cs="Arial"/>
        </w:rPr>
        <w:t>,</w:t>
      </w:r>
      <w:r w:rsidR="003E6F9D" w:rsidRPr="00BF6E28">
        <w:rPr>
          <w:rFonts w:ascii="Arial" w:hAnsi="Arial" w:cs="Arial"/>
        </w:rPr>
        <w:t xml:space="preserve"> </w:t>
      </w:r>
    </w:p>
    <w:p w14:paraId="1B3C7044" w14:textId="77777777" w:rsidR="00B6638A" w:rsidRPr="00BF6E28" w:rsidRDefault="00A67254" w:rsidP="00BF6E28">
      <w:pPr>
        <w:jc w:val="both"/>
        <w:rPr>
          <w:rFonts w:ascii="Arial" w:hAnsi="Arial" w:cs="Arial"/>
        </w:rPr>
      </w:pPr>
      <w:r w:rsidRPr="00BF6E28">
        <w:rPr>
          <w:rFonts w:ascii="Arial" w:hAnsi="Arial" w:cs="Arial"/>
        </w:rPr>
        <w:t xml:space="preserve">- </w:t>
      </w:r>
      <w:r w:rsidR="004109FF" w:rsidRPr="00BF6E28">
        <w:rPr>
          <w:rFonts w:ascii="Arial" w:hAnsi="Arial" w:cs="Arial"/>
        </w:rPr>
        <w:t>člen družstva</w:t>
      </w:r>
      <w:r w:rsidR="00103D31" w:rsidRPr="00BF6E28">
        <w:rPr>
          <w:rFonts w:ascii="Arial" w:hAnsi="Arial" w:cs="Arial"/>
        </w:rPr>
        <w:t xml:space="preserve">, </w:t>
      </w:r>
      <w:r w:rsidR="003E6F9D" w:rsidRPr="00BF6E28">
        <w:rPr>
          <w:rFonts w:ascii="Arial" w:hAnsi="Arial" w:cs="Arial"/>
        </w:rPr>
        <w:t xml:space="preserve">nájemce splňuje předpoklady </w:t>
      </w:r>
      <w:r w:rsidR="00103D31" w:rsidRPr="00BF6E28">
        <w:rPr>
          <w:rFonts w:ascii="Arial" w:hAnsi="Arial" w:cs="Arial"/>
        </w:rPr>
        <w:t xml:space="preserve">pro </w:t>
      </w:r>
      <w:r w:rsidR="003E6F9D" w:rsidRPr="00BF6E28">
        <w:rPr>
          <w:rFonts w:ascii="Arial" w:hAnsi="Arial" w:cs="Arial"/>
        </w:rPr>
        <w:t>osvobozen</w:t>
      </w:r>
      <w:r w:rsidR="00103D31" w:rsidRPr="00BF6E28">
        <w:rPr>
          <w:rFonts w:ascii="Arial" w:hAnsi="Arial" w:cs="Arial"/>
        </w:rPr>
        <w:t>í</w:t>
      </w:r>
      <w:r w:rsidR="003E6F9D" w:rsidRPr="00BF6E28">
        <w:rPr>
          <w:rFonts w:ascii="Arial" w:hAnsi="Arial" w:cs="Arial"/>
        </w:rPr>
        <w:t xml:space="preserve"> podle odstavce 3</w:t>
      </w:r>
      <w:r w:rsidR="00C72EEC" w:rsidRPr="00BF6E28">
        <w:rPr>
          <w:rFonts w:ascii="Arial" w:hAnsi="Arial" w:cs="Arial"/>
        </w:rPr>
        <w:t>,</w:t>
      </w:r>
    </w:p>
    <w:p w14:paraId="68B40224" w14:textId="06A7FE74" w:rsidR="00995CBB" w:rsidRPr="00BF6E28" w:rsidRDefault="00B6638A" w:rsidP="00BF6E28">
      <w:pPr>
        <w:jc w:val="both"/>
        <w:rPr>
          <w:rFonts w:ascii="Arial" w:hAnsi="Arial" w:cs="Arial"/>
        </w:rPr>
      </w:pPr>
      <w:r w:rsidRPr="00BF6E28">
        <w:rPr>
          <w:rFonts w:ascii="Arial" w:hAnsi="Arial" w:cs="Arial"/>
        </w:rPr>
        <w:t xml:space="preserve">- </w:t>
      </w:r>
      <w:r w:rsidR="008A73B1" w:rsidRPr="00BF6E28">
        <w:rPr>
          <w:rFonts w:ascii="Arial" w:hAnsi="Arial" w:cs="Arial"/>
        </w:rPr>
        <w:t>na uzavření nájemní smlouvy k družstevní</w:t>
      </w:r>
      <w:r w:rsidR="00103D31" w:rsidRPr="00BF6E28">
        <w:rPr>
          <w:rFonts w:ascii="Arial" w:hAnsi="Arial" w:cs="Arial"/>
        </w:rPr>
        <w:t>mu</w:t>
      </w:r>
      <w:r w:rsidR="008A73B1" w:rsidRPr="00BF6E28">
        <w:rPr>
          <w:rFonts w:ascii="Arial" w:hAnsi="Arial" w:cs="Arial"/>
        </w:rPr>
        <w:t xml:space="preserve"> byt</w:t>
      </w:r>
      <w:r w:rsidR="00103D31" w:rsidRPr="00BF6E28">
        <w:rPr>
          <w:rFonts w:ascii="Arial" w:hAnsi="Arial" w:cs="Arial"/>
        </w:rPr>
        <w:t>u</w:t>
      </w:r>
      <w:r w:rsidR="008A73B1" w:rsidRPr="00BF6E28">
        <w:rPr>
          <w:rFonts w:ascii="Arial" w:hAnsi="Arial" w:cs="Arial"/>
        </w:rPr>
        <w:t xml:space="preserve"> v nemovité věci vznikl </w:t>
      </w:r>
      <w:r w:rsidR="00D84D69" w:rsidRPr="00BF6E28">
        <w:rPr>
          <w:rFonts w:ascii="Arial" w:hAnsi="Arial" w:cs="Arial"/>
        </w:rPr>
        <w:t xml:space="preserve">fyzické osobě nárok již </w:t>
      </w:r>
      <w:r w:rsidR="00C052F1" w:rsidRPr="00BF6E28">
        <w:rPr>
          <w:rFonts w:ascii="Arial" w:hAnsi="Arial" w:cs="Arial"/>
        </w:rPr>
        <w:t>ke dni nabytí nemovité věci</w:t>
      </w:r>
    </w:p>
    <w:p w14:paraId="25CFB360" w14:textId="77777777" w:rsidR="003A08DD" w:rsidRDefault="003A08DD" w:rsidP="00BF6E28">
      <w:pPr>
        <w:jc w:val="both"/>
        <w:rPr>
          <w:rFonts w:ascii="Arial" w:hAnsi="Arial" w:cs="Arial"/>
        </w:rPr>
      </w:pPr>
    </w:p>
    <w:p w14:paraId="5CC309B3" w14:textId="058D393C" w:rsidR="00835305" w:rsidRPr="00BF6E28" w:rsidRDefault="00835305" w:rsidP="00BF6E28">
      <w:pPr>
        <w:jc w:val="both"/>
        <w:rPr>
          <w:rFonts w:ascii="Arial" w:hAnsi="Arial" w:cs="Arial"/>
        </w:rPr>
      </w:pPr>
      <w:r w:rsidRPr="00BF6E28">
        <w:rPr>
          <w:rFonts w:ascii="Arial" w:hAnsi="Arial" w:cs="Arial"/>
        </w:rPr>
        <w:t>V čl. II</w:t>
      </w:r>
      <w:r w:rsidR="005D7F64" w:rsidRPr="00BF6E28">
        <w:rPr>
          <w:rFonts w:ascii="Arial" w:hAnsi="Arial" w:cs="Arial"/>
        </w:rPr>
        <w:t>I</w:t>
      </w:r>
      <w:r w:rsidRPr="00BF6E28">
        <w:rPr>
          <w:rFonts w:ascii="Arial" w:hAnsi="Arial" w:cs="Arial"/>
        </w:rPr>
        <w:t xml:space="preserve"> bod</w:t>
      </w:r>
      <w:r w:rsidR="003A08DD">
        <w:rPr>
          <w:rFonts w:ascii="Arial" w:hAnsi="Arial" w:cs="Arial"/>
        </w:rPr>
        <w:t>u</w:t>
      </w:r>
      <w:r w:rsidRPr="00BF6E28">
        <w:rPr>
          <w:rFonts w:ascii="Arial" w:hAnsi="Arial" w:cs="Arial"/>
        </w:rPr>
        <w:t xml:space="preserve"> </w:t>
      </w:r>
      <w:r w:rsidR="005D7F64" w:rsidRPr="00BF6E28">
        <w:rPr>
          <w:rFonts w:ascii="Arial" w:hAnsi="Arial" w:cs="Arial"/>
        </w:rPr>
        <w:t>1</w:t>
      </w:r>
      <w:r w:rsidRPr="00BF6E28">
        <w:rPr>
          <w:rFonts w:ascii="Arial" w:hAnsi="Arial" w:cs="Arial"/>
        </w:rPr>
        <w:t xml:space="preserve"> se navrhuje </w:t>
      </w:r>
      <w:r w:rsidR="00FF3C9E" w:rsidRPr="00BF6E28">
        <w:rPr>
          <w:rFonts w:ascii="Arial" w:hAnsi="Arial" w:cs="Arial"/>
        </w:rPr>
        <w:t xml:space="preserve">zařadit i jiné platby, definované jako platby nikoli vlastníka bytu, ale platby:  </w:t>
      </w:r>
    </w:p>
    <w:p w14:paraId="41580413" w14:textId="77777777" w:rsidR="005351BB" w:rsidRPr="00BF6E28" w:rsidRDefault="00835305" w:rsidP="00BF6E28">
      <w:pPr>
        <w:jc w:val="both"/>
        <w:rPr>
          <w:rFonts w:ascii="Arial" w:hAnsi="Arial" w:cs="Arial"/>
        </w:rPr>
      </w:pPr>
      <w:r w:rsidRPr="00BF6E28">
        <w:rPr>
          <w:rFonts w:ascii="Arial" w:hAnsi="Arial" w:cs="Arial"/>
        </w:rPr>
        <w:t xml:space="preserve">- </w:t>
      </w:r>
      <w:r w:rsidR="00FF3C9E" w:rsidRPr="00BF6E28">
        <w:rPr>
          <w:rFonts w:ascii="Arial" w:hAnsi="Arial" w:cs="Arial"/>
        </w:rPr>
        <w:t>člena bytového družstva</w:t>
      </w:r>
      <w:r w:rsidRPr="00BF6E28">
        <w:rPr>
          <w:rFonts w:ascii="Arial" w:hAnsi="Arial" w:cs="Arial"/>
        </w:rPr>
        <w:t xml:space="preserve">, </w:t>
      </w:r>
      <w:r w:rsidR="00696C14" w:rsidRPr="00BF6E28">
        <w:rPr>
          <w:rFonts w:ascii="Arial" w:hAnsi="Arial" w:cs="Arial"/>
        </w:rPr>
        <w:t>který je současně nájemce družstevního bytu,</w:t>
      </w:r>
      <w:r w:rsidR="00CF2DCA" w:rsidRPr="00BF6E28">
        <w:rPr>
          <w:rFonts w:ascii="Arial" w:hAnsi="Arial" w:cs="Arial"/>
        </w:rPr>
        <w:t xml:space="preserve">  </w:t>
      </w:r>
    </w:p>
    <w:p w14:paraId="68A123E4" w14:textId="77777777" w:rsidR="00696C14" w:rsidRPr="00BF6E28" w:rsidRDefault="00CF2DCA" w:rsidP="00BF6E28">
      <w:pPr>
        <w:jc w:val="both"/>
        <w:rPr>
          <w:rFonts w:ascii="Arial" w:hAnsi="Arial" w:cs="Arial"/>
        </w:rPr>
      </w:pPr>
      <w:r w:rsidRPr="00BF6E28">
        <w:rPr>
          <w:rFonts w:ascii="Arial" w:hAnsi="Arial" w:cs="Arial"/>
        </w:rPr>
        <w:t xml:space="preserve">- </w:t>
      </w:r>
      <w:r w:rsidR="005351BB" w:rsidRPr="00BF6E28">
        <w:rPr>
          <w:rFonts w:ascii="Arial" w:hAnsi="Arial" w:cs="Arial"/>
        </w:rPr>
        <w:t>jimiž se podílel na splácení úroků z úvěru, poskytnutého bytovému družstvu na pořízení bytu.</w:t>
      </w:r>
    </w:p>
    <w:p w14:paraId="08EADD9D" w14:textId="52322636" w:rsidR="00751BC2" w:rsidRPr="00BF6E28" w:rsidRDefault="005351BB" w:rsidP="00BF6E28">
      <w:pPr>
        <w:jc w:val="both"/>
        <w:rPr>
          <w:rFonts w:ascii="Arial" w:hAnsi="Arial" w:cs="Arial"/>
        </w:rPr>
      </w:pPr>
      <w:r w:rsidRPr="00BF6E28">
        <w:rPr>
          <w:rFonts w:ascii="Arial" w:hAnsi="Arial" w:cs="Arial"/>
        </w:rPr>
        <w:lastRenderedPageBreak/>
        <w:t>V čl. III bod</w:t>
      </w:r>
      <w:r w:rsidR="003A08DD">
        <w:rPr>
          <w:rFonts w:ascii="Arial" w:hAnsi="Arial" w:cs="Arial"/>
        </w:rPr>
        <w:t>u</w:t>
      </w:r>
      <w:r w:rsidRPr="00BF6E28">
        <w:rPr>
          <w:rFonts w:ascii="Arial" w:hAnsi="Arial" w:cs="Arial"/>
        </w:rPr>
        <w:t xml:space="preserve"> 2 se navrhuje</w:t>
      </w:r>
      <w:r w:rsidR="00806E71" w:rsidRPr="00BF6E28">
        <w:rPr>
          <w:rFonts w:ascii="Arial" w:hAnsi="Arial" w:cs="Arial"/>
        </w:rPr>
        <w:t>,</w:t>
      </w:r>
      <w:r w:rsidR="003A5C3E" w:rsidRPr="00BF6E28">
        <w:rPr>
          <w:rFonts w:ascii="Arial" w:hAnsi="Arial" w:cs="Arial"/>
        </w:rPr>
        <w:t xml:space="preserve"> aby poplatník namísto toho vlastnil přímo předmět bytové potřeby, zmínit vlastnictví družstevního podílu, </w:t>
      </w:r>
      <w:r w:rsidR="00810B76" w:rsidRPr="00BF6E28">
        <w:rPr>
          <w:rFonts w:ascii="Arial" w:hAnsi="Arial" w:cs="Arial"/>
        </w:rPr>
        <w:t>jehož součástí nájem družstevního bytu</w:t>
      </w:r>
      <w:r w:rsidR="00E85BA3" w:rsidRPr="00BF6E28">
        <w:rPr>
          <w:rFonts w:ascii="Arial" w:hAnsi="Arial" w:cs="Arial"/>
        </w:rPr>
        <w:t xml:space="preserve"> je</w:t>
      </w:r>
      <w:r w:rsidR="00810B76" w:rsidRPr="00BF6E28">
        <w:rPr>
          <w:rFonts w:ascii="Arial" w:hAnsi="Arial" w:cs="Arial"/>
        </w:rPr>
        <w:t>.</w:t>
      </w:r>
      <w:r w:rsidR="003A5C3E" w:rsidRPr="00BF6E28">
        <w:rPr>
          <w:rFonts w:ascii="Arial" w:hAnsi="Arial" w:cs="Arial"/>
        </w:rPr>
        <w:t xml:space="preserve">  </w:t>
      </w:r>
      <w:r w:rsidRPr="00BF6E28">
        <w:rPr>
          <w:rFonts w:ascii="Arial" w:hAnsi="Arial" w:cs="Arial"/>
        </w:rPr>
        <w:t xml:space="preserve"> </w:t>
      </w:r>
    </w:p>
    <w:p w14:paraId="35448636" w14:textId="77777777" w:rsidR="0011031E" w:rsidRPr="00BF6E28" w:rsidRDefault="0011031E" w:rsidP="00BF6E28">
      <w:pPr>
        <w:pStyle w:val="l3"/>
        <w:shd w:val="clear" w:color="auto" w:fill="FFFFFF"/>
        <w:spacing w:before="0" w:beforeAutospacing="0" w:after="0" w:afterAutospacing="0" w:line="276" w:lineRule="auto"/>
        <w:jc w:val="both"/>
        <w:rPr>
          <w:rFonts w:ascii="Arial" w:hAnsi="Arial" w:cs="Arial"/>
          <w:color w:val="000000"/>
          <w:sz w:val="22"/>
          <w:szCs w:val="22"/>
        </w:rPr>
      </w:pPr>
    </w:p>
    <w:p w14:paraId="20DD859C" w14:textId="74DDC07E" w:rsidR="001C2EE5" w:rsidRPr="00BF6E28" w:rsidRDefault="001C2EE5" w:rsidP="00BF6E28">
      <w:pPr>
        <w:spacing w:after="0"/>
        <w:rPr>
          <w:rFonts w:ascii="Arial" w:hAnsi="Arial" w:cs="Arial"/>
        </w:rPr>
      </w:pPr>
      <w:r w:rsidRPr="00BF6E28">
        <w:rPr>
          <w:rFonts w:ascii="Arial" w:hAnsi="Arial" w:cs="Arial"/>
        </w:rPr>
        <w:t xml:space="preserve">V čl. IV </w:t>
      </w:r>
      <w:r w:rsidR="0001111A" w:rsidRPr="00BF6E28">
        <w:rPr>
          <w:rFonts w:ascii="Arial" w:hAnsi="Arial" w:cs="Arial"/>
        </w:rPr>
        <w:t>bod</w:t>
      </w:r>
      <w:r w:rsidR="003A08DD">
        <w:rPr>
          <w:rFonts w:ascii="Arial" w:hAnsi="Arial" w:cs="Arial"/>
        </w:rPr>
        <w:t>u</w:t>
      </w:r>
      <w:r w:rsidR="0001111A" w:rsidRPr="00BF6E28">
        <w:rPr>
          <w:rFonts w:ascii="Arial" w:hAnsi="Arial" w:cs="Arial"/>
        </w:rPr>
        <w:t xml:space="preserve"> </w:t>
      </w:r>
      <w:r w:rsidRPr="00BF6E28">
        <w:rPr>
          <w:rFonts w:ascii="Arial" w:hAnsi="Arial" w:cs="Arial"/>
        </w:rPr>
        <w:t>1 se navrhuje</w:t>
      </w:r>
      <w:r w:rsidR="00E8719D" w:rsidRPr="00BF6E28">
        <w:rPr>
          <w:rFonts w:ascii="Arial" w:hAnsi="Arial" w:cs="Arial"/>
        </w:rPr>
        <w:t xml:space="preserve"> </w:t>
      </w:r>
      <w:r w:rsidR="0001111A" w:rsidRPr="00BF6E28">
        <w:rPr>
          <w:rFonts w:ascii="Arial" w:hAnsi="Arial" w:cs="Arial"/>
        </w:rPr>
        <w:t xml:space="preserve">zvýšit </w:t>
      </w:r>
      <w:r w:rsidR="00FB4AD9" w:rsidRPr="00BF6E28">
        <w:rPr>
          <w:rFonts w:ascii="Arial" w:hAnsi="Arial" w:cs="Arial"/>
        </w:rPr>
        <w:t xml:space="preserve">rozsah </w:t>
      </w:r>
      <w:r w:rsidR="00FA34EC" w:rsidRPr="00BF6E28">
        <w:rPr>
          <w:rFonts w:ascii="Arial" w:hAnsi="Arial" w:cs="Arial"/>
        </w:rPr>
        <w:t>DPH</w:t>
      </w:r>
      <w:r w:rsidR="0001111A" w:rsidRPr="00BF6E28">
        <w:rPr>
          <w:rFonts w:ascii="Arial" w:hAnsi="Arial" w:cs="Arial"/>
        </w:rPr>
        <w:t xml:space="preserve"> pro kraje z </w:t>
      </w:r>
      <w:r w:rsidRPr="00BF6E28">
        <w:rPr>
          <w:rFonts w:ascii="Arial" w:hAnsi="Arial" w:cs="Arial"/>
        </w:rPr>
        <w:t>8,92</w:t>
      </w:r>
      <w:r w:rsidR="0001111A" w:rsidRPr="00BF6E28">
        <w:rPr>
          <w:rFonts w:ascii="Arial" w:hAnsi="Arial" w:cs="Arial"/>
        </w:rPr>
        <w:t xml:space="preserve"> %</w:t>
      </w:r>
      <w:r w:rsidRPr="00BF6E28">
        <w:rPr>
          <w:rFonts w:ascii="Arial" w:hAnsi="Arial" w:cs="Arial"/>
        </w:rPr>
        <w:t xml:space="preserve"> na</w:t>
      </w:r>
      <w:r w:rsidR="0001111A" w:rsidRPr="00BF6E28">
        <w:rPr>
          <w:rFonts w:ascii="Arial" w:hAnsi="Arial" w:cs="Arial"/>
        </w:rPr>
        <w:t xml:space="preserve"> </w:t>
      </w:r>
      <w:r w:rsidRPr="00BF6E28">
        <w:rPr>
          <w:rFonts w:ascii="Arial" w:hAnsi="Arial" w:cs="Arial"/>
        </w:rPr>
        <w:t>9,61</w:t>
      </w:r>
      <w:r w:rsidR="0001111A" w:rsidRPr="00BF6E28">
        <w:rPr>
          <w:rFonts w:ascii="Arial" w:hAnsi="Arial" w:cs="Arial"/>
        </w:rPr>
        <w:t xml:space="preserve"> %</w:t>
      </w:r>
      <w:r w:rsidR="003A08DD">
        <w:rPr>
          <w:rFonts w:ascii="Arial" w:hAnsi="Arial" w:cs="Arial"/>
        </w:rPr>
        <w:t>.</w:t>
      </w:r>
    </w:p>
    <w:p w14:paraId="6D5B69CA" w14:textId="77777777" w:rsidR="001C2EE5" w:rsidRPr="00BF6E28" w:rsidRDefault="001C2EE5" w:rsidP="00BF6E28">
      <w:pPr>
        <w:pStyle w:val="Odstavecseseznamem"/>
        <w:spacing w:after="0"/>
        <w:ind w:left="1068"/>
        <w:jc w:val="both"/>
        <w:rPr>
          <w:rFonts w:ascii="Arial" w:hAnsi="Arial" w:cs="Arial"/>
          <w:u w:val="single"/>
        </w:rPr>
      </w:pPr>
    </w:p>
    <w:p w14:paraId="16ABAAEF" w14:textId="1628B6FF" w:rsidR="00E82B3E" w:rsidRDefault="0001111A" w:rsidP="00FF7A03">
      <w:pPr>
        <w:spacing w:after="0"/>
        <w:rPr>
          <w:rFonts w:ascii="Arial" w:hAnsi="Arial" w:cs="Arial"/>
        </w:rPr>
      </w:pPr>
      <w:r w:rsidRPr="00BF6E28">
        <w:rPr>
          <w:rFonts w:ascii="Arial" w:hAnsi="Arial" w:cs="Arial"/>
        </w:rPr>
        <w:t>V čl. IV bod</w:t>
      </w:r>
      <w:r w:rsidR="003A08DD">
        <w:rPr>
          <w:rFonts w:ascii="Arial" w:hAnsi="Arial" w:cs="Arial"/>
        </w:rPr>
        <w:t>u</w:t>
      </w:r>
      <w:r w:rsidRPr="00BF6E28">
        <w:rPr>
          <w:rFonts w:ascii="Arial" w:hAnsi="Arial" w:cs="Arial"/>
        </w:rPr>
        <w:t xml:space="preserve"> 2 se navrhuje zvýšit </w:t>
      </w:r>
      <w:r w:rsidR="00FB4AD9" w:rsidRPr="00BF6E28">
        <w:rPr>
          <w:rFonts w:ascii="Arial" w:hAnsi="Arial" w:cs="Arial"/>
        </w:rPr>
        <w:t xml:space="preserve">rozsah </w:t>
      </w:r>
      <w:r w:rsidR="00FA34EC" w:rsidRPr="00BF6E28">
        <w:rPr>
          <w:rFonts w:ascii="Arial" w:hAnsi="Arial" w:cs="Arial"/>
        </w:rPr>
        <w:t xml:space="preserve">DPH </w:t>
      </w:r>
      <w:r w:rsidRPr="00BF6E28">
        <w:rPr>
          <w:rFonts w:ascii="Arial" w:hAnsi="Arial" w:cs="Arial"/>
        </w:rPr>
        <w:t>pro obce z 23,58 na 25,39 %</w:t>
      </w:r>
      <w:r w:rsidR="003A08DD">
        <w:rPr>
          <w:rFonts w:ascii="Arial" w:hAnsi="Arial" w:cs="Arial"/>
        </w:rPr>
        <w:t>.</w:t>
      </w:r>
    </w:p>
    <w:p w14:paraId="5C4285CB" w14:textId="77777777" w:rsidR="00840ED1" w:rsidRDefault="00840ED1" w:rsidP="00FF7A03">
      <w:pPr>
        <w:spacing w:after="0"/>
        <w:rPr>
          <w:rFonts w:ascii="Arial" w:hAnsi="Arial" w:cs="Arial"/>
        </w:rPr>
      </w:pPr>
    </w:p>
    <w:p w14:paraId="7F1396F5" w14:textId="77777777" w:rsidR="00840ED1" w:rsidRDefault="00840ED1" w:rsidP="00FF7A03">
      <w:pPr>
        <w:spacing w:after="0"/>
        <w:rPr>
          <w:rFonts w:ascii="Arial" w:hAnsi="Arial" w:cs="Arial"/>
        </w:rPr>
      </w:pPr>
    </w:p>
    <w:p w14:paraId="2D932985" w14:textId="77777777" w:rsidR="00840ED1" w:rsidRDefault="00840ED1" w:rsidP="00FF7A03">
      <w:pPr>
        <w:spacing w:after="0"/>
        <w:rPr>
          <w:rFonts w:ascii="Arial" w:hAnsi="Arial" w:cs="Arial"/>
        </w:rPr>
      </w:pPr>
    </w:p>
    <w:p w14:paraId="2064379A" w14:textId="77777777" w:rsidR="00840ED1" w:rsidRDefault="00840ED1" w:rsidP="00840ED1">
      <w:pPr>
        <w:autoSpaceDE w:val="0"/>
        <w:autoSpaceDN w:val="0"/>
        <w:adjustRightInd w:val="0"/>
        <w:spacing w:after="0" w:line="240" w:lineRule="auto"/>
        <w:jc w:val="both"/>
        <w:rPr>
          <w:rFonts w:ascii="Arial" w:hAnsi="Arial" w:cs="Arial"/>
        </w:rPr>
      </w:pPr>
    </w:p>
    <w:p w14:paraId="3DEBC168" w14:textId="7A0C6222" w:rsidR="00840ED1" w:rsidRPr="00840ED1" w:rsidRDefault="00840ED1" w:rsidP="00840ED1">
      <w:pPr>
        <w:autoSpaceDE w:val="0"/>
        <w:autoSpaceDN w:val="0"/>
        <w:adjustRightInd w:val="0"/>
        <w:spacing w:after="0" w:line="240" w:lineRule="auto"/>
        <w:jc w:val="both"/>
        <w:rPr>
          <w:rFonts w:ascii="Arial" w:hAnsi="Arial" w:cs="Arial"/>
        </w:rPr>
      </w:pPr>
      <w:r w:rsidRPr="00840ED1">
        <w:rPr>
          <w:rFonts w:ascii="Arial" w:hAnsi="Arial" w:cs="Arial"/>
        </w:rPr>
        <w:t xml:space="preserve">V Praze dne </w:t>
      </w:r>
      <w:r w:rsidR="00E6773F">
        <w:rPr>
          <w:rFonts w:ascii="Arial" w:hAnsi="Arial" w:cs="Arial"/>
        </w:rPr>
        <w:t>13. prosince</w:t>
      </w:r>
      <w:r w:rsidRPr="00840ED1">
        <w:rPr>
          <w:rFonts w:ascii="Arial" w:hAnsi="Arial" w:cs="Arial"/>
        </w:rPr>
        <w:t xml:space="preserve"> 2019</w:t>
      </w:r>
    </w:p>
    <w:p w14:paraId="18678701" w14:textId="77777777" w:rsidR="00840ED1" w:rsidRPr="00840ED1" w:rsidRDefault="00840ED1" w:rsidP="00840ED1">
      <w:pPr>
        <w:autoSpaceDE w:val="0"/>
        <w:autoSpaceDN w:val="0"/>
        <w:adjustRightInd w:val="0"/>
        <w:spacing w:after="0" w:line="240" w:lineRule="auto"/>
        <w:jc w:val="both"/>
        <w:rPr>
          <w:rFonts w:ascii="Arial" w:hAnsi="Arial" w:cs="Arial"/>
        </w:rPr>
      </w:pPr>
    </w:p>
    <w:p w14:paraId="56B30223" w14:textId="77777777" w:rsidR="00840ED1" w:rsidRPr="00840ED1" w:rsidRDefault="00840ED1" w:rsidP="00840ED1">
      <w:pPr>
        <w:autoSpaceDE w:val="0"/>
        <w:autoSpaceDN w:val="0"/>
        <w:adjustRightInd w:val="0"/>
        <w:spacing w:after="0" w:line="240" w:lineRule="auto"/>
        <w:jc w:val="both"/>
        <w:rPr>
          <w:rFonts w:ascii="Arial" w:hAnsi="Arial" w:cs="Arial"/>
        </w:rPr>
      </w:pPr>
    </w:p>
    <w:p w14:paraId="2C65CB36" w14:textId="77777777" w:rsidR="00840ED1" w:rsidRPr="00840ED1" w:rsidRDefault="00840ED1" w:rsidP="00840ED1">
      <w:pPr>
        <w:autoSpaceDE w:val="0"/>
        <w:autoSpaceDN w:val="0"/>
        <w:adjustRightInd w:val="0"/>
        <w:spacing w:after="0" w:line="240" w:lineRule="auto"/>
        <w:jc w:val="both"/>
        <w:rPr>
          <w:rFonts w:ascii="Arial" w:hAnsi="Arial" w:cs="Arial"/>
        </w:rPr>
      </w:pPr>
    </w:p>
    <w:p w14:paraId="5831AFEE" w14:textId="77777777" w:rsidR="00840ED1" w:rsidRPr="00840ED1" w:rsidRDefault="00840ED1" w:rsidP="00840ED1">
      <w:pPr>
        <w:autoSpaceDE w:val="0"/>
        <w:autoSpaceDN w:val="0"/>
        <w:adjustRightInd w:val="0"/>
        <w:spacing w:after="0" w:line="240" w:lineRule="auto"/>
        <w:jc w:val="center"/>
        <w:rPr>
          <w:rFonts w:ascii="Arial" w:hAnsi="Arial" w:cs="Arial"/>
        </w:rPr>
      </w:pPr>
      <w:r w:rsidRPr="00840ED1">
        <w:rPr>
          <w:rFonts w:ascii="Arial" w:hAnsi="Arial" w:cs="Arial"/>
        </w:rPr>
        <w:t>JUDr. Hana Kordová Marvanová</w:t>
      </w:r>
    </w:p>
    <w:p w14:paraId="05372B16" w14:textId="77777777" w:rsidR="00840ED1" w:rsidRPr="00840ED1" w:rsidRDefault="00840ED1" w:rsidP="00840ED1">
      <w:pPr>
        <w:autoSpaceDE w:val="0"/>
        <w:autoSpaceDN w:val="0"/>
        <w:adjustRightInd w:val="0"/>
        <w:spacing w:after="0" w:line="240" w:lineRule="auto"/>
        <w:jc w:val="center"/>
        <w:rPr>
          <w:rFonts w:ascii="Arial" w:hAnsi="Arial" w:cs="Arial"/>
        </w:rPr>
      </w:pPr>
      <w:r w:rsidRPr="00840ED1">
        <w:rPr>
          <w:rFonts w:ascii="Arial" w:hAnsi="Arial" w:cs="Arial"/>
        </w:rPr>
        <w:t xml:space="preserve">členka Rady hl. m. Prahy pro oblast legislativy, </w:t>
      </w:r>
    </w:p>
    <w:p w14:paraId="307C9481" w14:textId="77777777" w:rsidR="00840ED1" w:rsidRPr="00840ED1" w:rsidRDefault="00840ED1" w:rsidP="00840ED1">
      <w:pPr>
        <w:autoSpaceDE w:val="0"/>
        <w:autoSpaceDN w:val="0"/>
        <w:adjustRightInd w:val="0"/>
        <w:spacing w:after="0" w:line="240" w:lineRule="auto"/>
        <w:jc w:val="center"/>
        <w:rPr>
          <w:rFonts w:ascii="Arial" w:hAnsi="Arial" w:cs="Arial"/>
        </w:rPr>
      </w:pPr>
      <w:r w:rsidRPr="00840ED1">
        <w:rPr>
          <w:rFonts w:ascii="Arial" w:hAnsi="Arial" w:cs="Arial"/>
        </w:rPr>
        <w:t>veřejné správy a podpory bydlení</w:t>
      </w:r>
    </w:p>
    <w:p w14:paraId="01AC982E" w14:textId="77777777" w:rsidR="00840ED1" w:rsidRPr="00840ED1" w:rsidRDefault="00840ED1" w:rsidP="00FF7A03">
      <w:pPr>
        <w:spacing w:after="0"/>
        <w:rPr>
          <w:rFonts w:ascii="Arial" w:hAnsi="Arial" w:cs="Arial"/>
        </w:rPr>
      </w:pPr>
    </w:p>
    <w:sectPr w:rsidR="00840ED1" w:rsidRPr="00840ED1" w:rsidSect="00A241AA">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84A0C" w14:textId="77777777" w:rsidR="000D4936" w:rsidRDefault="000D4936" w:rsidP="00A241AA">
      <w:pPr>
        <w:spacing w:after="0" w:line="240" w:lineRule="auto"/>
      </w:pPr>
      <w:r>
        <w:separator/>
      </w:r>
    </w:p>
  </w:endnote>
  <w:endnote w:type="continuationSeparator" w:id="0">
    <w:p w14:paraId="4A40F0D2" w14:textId="77777777" w:rsidR="000D4936" w:rsidRDefault="000D4936" w:rsidP="00A24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753123"/>
      <w:docPartObj>
        <w:docPartGallery w:val="Page Numbers (Bottom of Page)"/>
        <w:docPartUnique/>
      </w:docPartObj>
    </w:sdtPr>
    <w:sdtEndPr/>
    <w:sdtContent>
      <w:p w14:paraId="7FE011E4" w14:textId="7D88C299" w:rsidR="00A241AA" w:rsidRDefault="00A241AA">
        <w:pPr>
          <w:pStyle w:val="Zpat"/>
          <w:spacing w:before="144"/>
          <w:jc w:val="center"/>
        </w:pPr>
        <w:r>
          <w:fldChar w:fldCharType="begin"/>
        </w:r>
        <w:r>
          <w:instrText>PAGE   \* MERGEFORMAT</w:instrText>
        </w:r>
        <w:r>
          <w:fldChar w:fldCharType="separate"/>
        </w:r>
        <w:r w:rsidR="00DC1306">
          <w:rPr>
            <w:noProof/>
          </w:rPr>
          <w:t>14</w:t>
        </w:r>
        <w:r>
          <w:fldChar w:fldCharType="end"/>
        </w:r>
      </w:p>
    </w:sdtContent>
  </w:sdt>
  <w:p w14:paraId="5C5299B5" w14:textId="77777777" w:rsidR="00A241AA" w:rsidRDefault="00A241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905B7" w14:textId="77777777" w:rsidR="000D4936" w:rsidRDefault="000D4936" w:rsidP="00A241AA">
      <w:pPr>
        <w:spacing w:after="0" w:line="240" w:lineRule="auto"/>
      </w:pPr>
      <w:r>
        <w:separator/>
      </w:r>
    </w:p>
  </w:footnote>
  <w:footnote w:type="continuationSeparator" w:id="0">
    <w:p w14:paraId="5080F2F4" w14:textId="77777777" w:rsidR="000D4936" w:rsidRDefault="000D4936" w:rsidP="00A241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12pt;height:12pt" o:bullet="t">
        <v:imagedata r:id="rId1" o:title="tag-icon"/>
      </v:shape>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15:restartNumberingAfterBreak="0">
    <w:nsid w:val="011E7FF4"/>
    <w:multiLevelType w:val="multilevel"/>
    <w:tmpl w:val="2970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A11D3B"/>
    <w:multiLevelType w:val="hybridMultilevel"/>
    <w:tmpl w:val="498E2258"/>
    <w:lvl w:ilvl="0" w:tplc="8B7E0CFA">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8E5A67"/>
    <w:multiLevelType w:val="hybridMultilevel"/>
    <w:tmpl w:val="025AA754"/>
    <w:lvl w:ilvl="0" w:tplc="EEDC17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A766C1"/>
    <w:multiLevelType w:val="multilevel"/>
    <w:tmpl w:val="9024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D4AB6"/>
    <w:multiLevelType w:val="hybridMultilevel"/>
    <w:tmpl w:val="498E2258"/>
    <w:lvl w:ilvl="0" w:tplc="8B7E0CFA">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EBD658B"/>
    <w:multiLevelType w:val="hybridMultilevel"/>
    <w:tmpl w:val="20085C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287EFE"/>
    <w:multiLevelType w:val="hybridMultilevel"/>
    <w:tmpl w:val="FA180598"/>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15:restartNumberingAfterBreak="0">
    <w:nsid w:val="26781188"/>
    <w:multiLevelType w:val="multilevel"/>
    <w:tmpl w:val="9670BA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036420A"/>
    <w:multiLevelType w:val="hybridMultilevel"/>
    <w:tmpl w:val="FA180598"/>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32A17E7C"/>
    <w:multiLevelType w:val="hybridMultilevel"/>
    <w:tmpl w:val="A55E9D18"/>
    <w:lvl w:ilvl="0" w:tplc="29CCFC46">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9F0980"/>
    <w:multiLevelType w:val="hybridMultilevel"/>
    <w:tmpl w:val="CB16C770"/>
    <w:lvl w:ilvl="0" w:tplc="96E8A85E">
      <w:start w:val="1"/>
      <w:numFmt w:val="decimal"/>
      <w:lvlText w:val="%1."/>
      <w:lvlJc w:val="left"/>
      <w:pPr>
        <w:ind w:left="720" w:hanging="360"/>
      </w:pPr>
      <w:rPr>
        <w:rFonts w:ascii="Arial"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3B431F"/>
    <w:multiLevelType w:val="hybridMultilevel"/>
    <w:tmpl w:val="025AA754"/>
    <w:lvl w:ilvl="0" w:tplc="EEDC17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8137F0"/>
    <w:multiLevelType w:val="hybridMultilevel"/>
    <w:tmpl w:val="A21E053E"/>
    <w:lvl w:ilvl="0" w:tplc="16CCCF2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E06524"/>
    <w:multiLevelType w:val="hybridMultilevel"/>
    <w:tmpl w:val="FA180598"/>
    <w:lvl w:ilvl="0" w:tplc="0405000F">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4" w15:restartNumberingAfterBreak="0">
    <w:nsid w:val="4EFF4E24"/>
    <w:multiLevelType w:val="multilevel"/>
    <w:tmpl w:val="0514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8C1416"/>
    <w:multiLevelType w:val="hybridMultilevel"/>
    <w:tmpl w:val="4B927DEC"/>
    <w:lvl w:ilvl="0" w:tplc="FA4032C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D112EEA"/>
    <w:multiLevelType w:val="multilevel"/>
    <w:tmpl w:val="E6E0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AB7AB7"/>
    <w:multiLevelType w:val="hybridMultilevel"/>
    <w:tmpl w:val="A21E053E"/>
    <w:lvl w:ilvl="0" w:tplc="16CCCF2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8407E1"/>
    <w:multiLevelType w:val="hybridMultilevel"/>
    <w:tmpl w:val="025AA754"/>
    <w:lvl w:ilvl="0" w:tplc="EEDC17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4A4089"/>
    <w:multiLevelType w:val="multilevel"/>
    <w:tmpl w:val="EDE0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408B"/>
    <w:multiLevelType w:val="hybridMultilevel"/>
    <w:tmpl w:val="CB16C770"/>
    <w:lvl w:ilvl="0" w:tplc="96E8A85E">
      <w:start w:val="1"/>
      <w:numFmt w:val="decimal"/>
      <w:lvlText w:val="%1."/>
      <w:lvlJc w:val="left"/>
      <w:pPr>
        <w:ind w:left="720" w:hanging="360"/>
      </w:pPr>
      <w:rPr>
        <w:rFonts w:ascii="Arial"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C57819"/>
    <w:multiLevelType w:val="hybridMultilevel"/>
    <w:tmpl w:val="4B927DEC"/>
    <w:lvl w:ilvl="0" w:tplc="FA4032C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1FF267B"/>
    <w:multiLevelType w:val="hybridMultilevel"/>
    <w:tmpl w:val="025AA754"/>
    <w:lvl w:ilvl="0" w:tplc="EEDC17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0D106D"/>
    <w:multiLevelType w:val="multilevel"/>
    <w:tmpl w:val="1ADC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F77C9D"/>
    <w:multiLevelType w:val="hybridMultilevel"/>
    <w:tmpl w:val="0A22390E"/>
    <w:lvl w:ilvl="0" w:tplc="4F16954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
  </w:num>
  <w:num w:numId="3">
    <w:abstractNumId w:val="19"/>
  </w:num>
  <w:num w:numId="4">
    <w:abstractNumId w:val="0"/>
  </w:num>
  <w:num w:numId="5">
    <w:abstractNumId w:val="16"/>
  </w:num>
  <w:num w:numId="6">
    <w:abstractNumId w:val="14"/>
  </w:num>
  <w:num w:numId="7">
    <w:abstractNumId w:val="5"/>
  </w:num>
  <w:num w:numId="8">
    <w:abstractNumId w:val="20"/>
  </w:num>
  <w:num w:numId="9">
    <w:abstractNumId w:val="12"/>
  </w:num>
  <w:num w:numId="10">
    <w:abstractNumId w:val="9"/>
  </w:num>
  <w:num w:numId="11">
    <w:abstractNumId w:val="1"/>
  </w:num>
  <w:num w:numId="12">
    <w:abstractNumId w:val="15"/>
  </w:num>
  <w:num w:numId="13">
    <w:abstractNumId w:val="24"/>
  </w:num>
  <w:num w:numId="14">
    <w:abstractNumId w:val="21"/>
  </w:num>
  <w:num w:numId="15">
    <w:abstractNumId w:val="10"/>
  </w:num>
  <w:num w:numId="16">
    <w:abstractNumId w:val="4"/>
  </w:num>
  <w:num w:numId="17">
    <w:abstractNumId w:val="18"/>
  </w:num>
  <w:num w:numId="18">
    <w:abstractNumId w:val="2"/>
  </w:num>
  <w:num w:numId="19">
    <w:abstractNumId w:val="7"/>
  </w:num>
  <w:num w:numId="20">
    <w:abstractNumId w:val="22"/>
  </w:num>
  <w:num w:numId="21">
    <w:abstractNumId w:val="17"/>
  </w:num>
  <w:num w:numId="22">
    <w:abstractNumId w:val="11"/>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AE2"/>
    <w:rsid w:val="000003DE"/>
    <w:rsid w:val="00002168"/>
    <w:rsid w:val="00003432"/>
    <w:rsid w:val="00005C83"/>
    <w:rsid w:val="00005D2A"/>
    <w:rsid w:val="00006F63"/>
    <w:rsid w:val="000108E1"/>
    <w:rsid w:val="00010F9A"/>
    <w:rsid w:val="0001111A"/>
    <w:rsid w:val="00011727"/>
    <w:rsid w:val="00012641"/>
    <w:rsid w:val="00013155"/>
    <w:rsid w:val="00013A26"/>
    <w:rsid w:val="0001459F"/>
    <w:rsid w:val="000221D3"/>
    <w:rsid w:val="000223F8"/>
    <w:rsid w:val="00022659"/>
    <w:rsid w:val="000247E9"/>
    <w:rsid w:val="00027C2D"/>
    <w:rsid w:val="0003734D"/>
    <w:rsid w:val="00043B8C"/>
    <w:rsid w:val="00045694"/>
    <w:rsid w:val="0005124A"/>
    <w:rsid w:val="0005141C"/>
    <w:rsid w:val="000514B6"/>
    <w:rsid w:val="000522A6"/>
    <w:rsid w:val="00053DD2"/>
    <w:rsid w:val="00060374"/>
    <w:rsid w:val="0006087F"/>
    <w:rsid w:val="00062149"/>
    <w:rsid w:val="00063369"/>
    <w:rsid w:val="00063373"/>
    <w:rsid w:val="000662A4"/>
    <w:rsid w:val="00070148"/>
    <w:rsid w:val="000725E7"/>
    <w:rsid w:val="00075EF4"/>
    <w:rsid w:val="000836FD"/>
    <w:rsid w:val="0008753A"/>
    <w:rsid w:val="00087A8C"/>
    <w:rsid w:val="000901BA"/>
    <w:rsid w:val="000915E1"/>
    <w:rsid w:val="00092A34"/>
    <w:rsid w:val="00094381"/>
    <w:rsid w:val="00094707"/>
    <w:rsid w:val="00095474"/>
    <w:rsid w:val="000963E7"/>
    <w:rsid w:val="000A0750"/>
    <w:rsid w:val="000A1D49"/>
    <w:rsid w:val="000A3582"/>
    <w:rsid w:val="000A72FB"/>
    <w:rsid w:val="000B361D"/>
    <w:rsid w:val="000B612F"/>
    <w:rsid w:val="000C424D"/>
    <w:rsid w:val="000C6EBA"/>
    <w:rsid w:val="000C7B95"/>
    <w:rsid w:val="000D4936"/>
    <w:rsid w:val="000D49A3"/>
    <w:rsid w:val="000D4A63"/>
    <w:rsid w:val="000D4D2E"/>
    <w:rsid w:val="000D5270"/>
    <w:rsid w:val="000D59D1"/>
    <w:rsid w:val="000D5B51"/>
    <w:rsid w:val="000E0398"/>
    <w:rsid w:val="000E24F6"/>
    <w:rsid w:val="000E4F6D"/>
    <w:rsid w:val="000E7DF2"/>
    <w:rsid w:val="000F0A70"/>
    <w:rsid w:val="000F1002"/>
    <w:rsid w:val="000F22A5"/>
    <w:rsid w:val="000F2E3F"/>
    <w:rsid w:val="000F2F47"/>
    <w:rsid w:val="000F3E3B"/>
    <w:rsid w:val="000F7223"/>
    <w:rsid w:val="000F747C"/>
    <w:rsid w:val="000F7685"/>
    <w:rsid w:val="000F7AD2"/>
    <w:rsid w:val="0010016C"/>
    <w:rsid w:val="00103D31"/>
    <w:rsid w:val="00104ABB"/>
    <w:rsid w:val="00105716"/>
    <w:rsid w:val="001069F6"/>
    <w:rsid w:val="0011031E"/>
    <w:rsid w:val="0011056D"/>
    <w:rsid w:val="00110AC9"/>
    <w:rsid w:val="001128BB"/>
    <w:rsid w:val="00113637"/>
    <w:rsid w:val="00113816"/>
    <w:rsid w:val="00113A30"/>
    <w:rsid w:val="0011601B"/>
    <w:rsid w:val="0012002E"/>
    <w:rsid w:val="001206D9"/>
    <w:rsid w:val="0012168D"/>
    <w:rsid w:val="00122C73"/>
    <w:rsid w:val="00123F13"/>
    <w:rsid w:val="0012504A"/>
    <w:rsid w:val="0012652E"/>
    <w:rsid w:val="00126A8D"/>
    <w:rsid w:val="001300F2"/>
    <w:rsid w:val="00130294"/>
    <w:rsid w:val="001304A7"/>
    <w:rsid w:val="00130E9B"/>
    <w:rsid w:val="00133F10"/>
    <w:rsid w:val="00134AE5"/>
    <w:rsid w:val="00135D77"/>
    <w:rsid w:val="00135FDA"/>
    <w:rsid w:val="0013654A"/>
    <w:rsid w:val="00137563"/>
    <w:rsid w:val="00137F30"/>
    <w:rsid w:val="00143969"/>
    <w:rsid w:val="00145DE5"/>
    <w:rsid w:val="00146046"/>
    <w:rsid w:val="0015347D"/>
    <w:rsid w:val="00153A23"/>
    <w:rsid w:val="00160709"/>
    <w:rsid w:val="00161D48"/>
    <w:rsid w:val="001625AE"/>
    <w:rsid w:val="001636F2"/>
    <w:rsid w:val="0016611C"/>
    <w:rsid w:val="00166D65"/>
    <w:rsid w:val="00167441"/>
    <w:rsid w:val="001706E7"/>
    <w:rsid w:val="00171006"/>
    <w:rsid w:val="001714CC"/>
    <w:rsid w:val="00171AC2"/>
    <w:rsid w:val="00175062"/>
    <w:rsid w:val="001768A2"/>
    <w:rsid w:val="0018251F"/>
    <w:rsid w:val="001859F3"/>
    <w:rsid w:val="00186AB1"/>
    <w:rsid w:val="00187CB1"/>
    <w:rsid w:val="001903E1"/>
    <w:rsid w:val="00192FF8"/>
    <w:rsid w:val="001A12B1"/>
    <w:rsid w:val="001A4B4E"/>
    <w:rsid w:val="001A5C3F"/>
    <w:rsid w:val="001B1E89"/>
    <w:rsid w:val="001B571D"/>
    <w:rsid w:val="001B6E4F"/>
    <w:rsid w:val="001C0798"/>
    <w:rsid w:val="001C0BA1"/>
    <w:rsid w:val="001C1C3D"/>
    <w:rsid w:val="001C2EE5"/>
    <w:rsid w:val="001C345D"/>
    <w:rsid w:val="001C6080"/>
    <w:rsid w:val="001C768D"/>
    <w:rsid w:val="001D032C"/>
    <w:rsid w:val="001D0F42"/>
    <w:rsid w:val="001D1155"/>
    <w:rsid w:val="001D2DC9"/>
    <w:rsid w:val="001D5E25"/>
    <w:rsid w:val="001D7B9B"/>
    <w:rsid w:val="001D7FA4"/>
    <w:rsid w:val="001E0D42"/>
    <w:rsid w:val="001E37D9"/>
    <w:rsid w:val="001E466B"/>
    <w:rsid w:val="001E4F87"/>
    <w:rsid w:val="001E6A77"/>
    <w:rsid w:val="001F07DB"/>
    <w:rsid w:val="001F16D8"/>
    <w:rsid w:val="001F268C"/>
    <w:rsid w:val="001F390B"/>
    <w:rsid w:val="001F5255"/>
    <w:rsid w:val="001F5A60"/>
    <w:rsid w:val="001F5DD2"/>
    <w:rsid w:val="001F6620"/>
    <w:rsid w:val="0020042E"/>
    <w:rsid w:val="002010EF"/>
    <w:rsid w:val="002026C1"/>
    <w:rsid w:val="00202C3A"/>
    <w:rsid w:val="00204417"/>
    <w:rsid w:val="00204B66"/>
    <w:rsid w:val="00205D04"/>
    <w:rsid w:val="002167E2"/>
    <w:rsid w:val="0021726E"/>
    <w:rsid w:val="00217B74"/>
    <w:rsid w:val="002241FA"/>
    <w:rsid w:val="00224AC9"/>
    <w:rsid w:val="00225D77"/>
    <w:rsid w:val="002260B9"/>
    <w:rsid w:val="0023437F"/>
    <w:rsid w:val="00236A75"/>
    <w:rsid w:val="00237B20"/>
    <w:rsid w:val="00240ECD"/>
    <w:rsid w:val="00243B6C"/>
    <w:rsid w:val="00244F9C"/>
    <w:rsid w:val="002473DA"/>
    <w:rsid w:val="00247C11"/>
    <w:rsid w:val="00250EA7"/>
    <w:rsid w:val="0025384C"/>
    <w:rsid w:val="002564C2"/>
    <w:rsid w:val="002576A8"/>
    <w:rsid w:val="002601DA"/>
    <w:rsid w:val="002601ED"/>
    <w:rsid w:val="00260F20"/>
    <w:rsid w:val="00266702"/>
    <w:rsid w:val="00270F81"/>
    <w:rsid w:val="002726E9"/>
    <w:rsid w:val="00276B4E"/>
    <w:rsid w:val="0028052B"/>
    <w:rsid w:val="00281EAC"/>
    <w:rsid w:val="0029189E"/>
    <w:rsid w:val="00294F2B"/>
    <w:rsid w:val="002961EB"/>
    <w:rsid w:val="002A3E80"/>
    <w:rsid w:val="002A4AB5"/>
    <w:rsid w:val="002B083E"/>
    <w:rsid w:val="002B5314"/>
    <w:rsid w:val="002C02F1"/>
    <w:rsid w:val="002C48E7"/>
    <w:rsid w:val="002C6BA1"/>
    <w:rsid w:val="002D0339"/>
    <w:rsid w:val="002D1B09"/>
    <w:rsid w:val="002D5984"/>
    <w:rsid w:val="002D75E6"/>
    <w:rsid w:val="002E0138"/>
    <w:rsid w:val="002E0B2F"/>
    <w:rsid w:val="002E1E5C"/>
    <w:rsid w:val="002E2032"/>
    <w:rsid w:val="002E6CF3"/>
    <w:rsid w:val="002E70E2"/>
    <w:rsid w:val="002F0A96"/>
    <w:rsid w:val="002F1048"/>
    <w:rsid w:val="002F4075"/>
    <w:rsid w:val="002F46A9"/>
    <w:rsid w:val="002F5A50"/>
    <w:rsid w:val="002F61A8"/>
    <w:rsid w:val="0030024D"/>
    <w:rsid w:val="00300C88"/>
    <w:rsid w:val="003015C7"/>
    <w:rsid w:val="003106C6"/>
    <w:rsid w:val="00314610"/>
    <w:rsid w:val="00320B0E"/>
    <w:rsid w:val="00320CB6"/>
    <w:rsid w:val="00322FD7"/>
    <w:rsid w:val="00327F91"/>
    <w:rsid w:val="0033007F"/>
    <w:rsid w:val="00330370"/>
    <w:rsid w:val="00333E50"/>
    <w:rsid w:val="003359DD"/>
    <w:rsid w:val="00341E79"/>
    <w:rsid w:val="00342028"/>
    <w:rsid w:val="00344D98"/>
    <w:rsid w:val="00350506"/>
    <w:rsid w:val="00351F7D"/>
    <w:rsid w:val="0035247F"/>
    <w:rsid w:val="00357915"/>
    <w:rsid w:val="00362297"/>
    <w:rsid w:val="0036277C"/>
    <w:rsid w:val="00362BBC"/>
    <w:rsid w:val="0036391F"/>
    <w:rsid w:val="003640C8"/>
    <w:rsid w:val="00366B5F"/>
    <w:rsid w:val="00367308"/>
    <w:rsid w:val="00367A9A"/>
    <w:rsid w:val="00367BB7"/>
    <w:rsid w:val="00367F18"/>
    <w:rsid w:val="0037155C"/>
    <w:rsid w:val="0037240C"/>
    <w:rsid w:val="00375025"/>
    <w:rsid w:val="003758AA"/>
    <w:rsid w:val="00377F8D"/>
    <w:rsid w:val="003830A3"/>
    <w:rsid w:val="0038499F"/>
    <w:rsid w:val="003854F0"/>
    <w:rsid w:val="00390947"/>
    <w:rsid w:val="003972CF"/>
    <w:rsid w:val="003A08DD"/>
    <w:rsid w:val="003A2919"/>
    <w:rsid w:val="003A36CF"/>
    <w:rsid w:val="003A5C3E"/>
    <w:rsid w:val="003A6DED"/>
    <w:rsid w:val="003B1B21"/>
    <w:rsid w:val="003B1E72"/>
    <w:rsid w:val="003B1FF2"/>
    <w:rsid w:val="003B2519"/>
    <w:rsid w:val="003B2F73"/>
    <w:rsid w:val="003B32F6"/>
    <w:rsid w:val="003B4BC5"/>
    <w:rsid w:val="003B712E"/>
    <w:rsid w:val="003C2552"/>
    <w:rsid w:val="003C466E"/>
    <w:rsid w:val="003C5C4E"/>
    <w:rsid w:val="003C6598"/>
    <w:rsid w:val="003C7C9F"/>
    <w:rsid w:val="003D143A"/>
    <w:rsid w:val="003D28DA"/>
    <w:rsid w:val="003D5FF8"/>
    <w:rsid w:val="003D7F25"/>
    <w:rsid w:val="003E0ABA"/>
    <w:rsid w:val="003E13B6"/>
    <w:rsid w:val="003E3BFC"/>
    <w:rsid w:val="003E4779"/>
    <w:rsid w:val="003E6F9D"/>
    <w:rsid w:val="003E7FCA"/>
    <w:rsid w:val="003F1BE9"/>
    <w:rsid w:val="003F20BF"/>
    <w:rsid w:val="003F283A"/>
    <w:rsid w:val="003F3EDB"/>
    <w:rsid w:val="003F4071"/>
    <w:rsid w:val="003F55D3"/>
    <w:rsid w:val="003F70AE"/>
    <w:rsid w:val="003F7343"/>
    <w:rsid w:val="0040007E"/>
    <w:rsid w:val="00404798"/>
    <w:rsid w:val="00404E63"/>
    <w:rsid w:val="004109FF"/>
    <w:rsid w:val="00414777"/>
    <w:rsid w:val="00415AB8"/>
    <w:rsid w:val="00416033"/>
    <w:rsid w:val="004239FE"/>
    <w:rsid w:val="00431C35"/>
    <w:rsid w:val="0043277F"/>
    <w:rsid w:val="00433C1F"/>
    <w:rsid w:val="004358C5"/>
    <w:rsid w:val="00436644"/>
    <w:rsid w:val="00436DEF"/>
    <w:rsid w:val="00437162"/>
    <w:rsid w:val="00440246"/>
    <w:rsid w:val="00442AF4"/>
    <w:rsid w:val="00445431"/>
    <w:rsid w:val="0044567A"/>
    <w:rsid w:val="00445F04"/>
    <w:rsid w:val="004464FF"/>
    <w:rsid w:val="00447127"/>
    <w:rsid w:val="00452D06"/>
    <w:rsid w:val="00456E40"/>
    <w:rsid w:val="00456F01"/>
    <w:rsid w:val="00457C41"/>
    <w:rsid w:val="00466220"/>
    <w:rsid w:val="00467474"/>
    <w:rsid w:val="00467F63"/>
    <w:rsid w:val="00470C9D"/>
    <w:rsid w:val="00473955"/>
    <w:rsid w:val="00475190"/>
    <w:rsid w:val="004766A2"/>
    <w:rsid w:val="00476EB8"/>
    <w:rsid w:val="00477049"/>
    <w:rsid w:val="0048077B"/>
    <w:rsid w:val="00483B59"/>
    <w:rsid w:val="0048438C"/>
    <w:rsid w:val="00486008"/>
    <w:rsid w:val="00486FE9"/>
    <w:rsid w:val="0048736C"/>
    <w:rsid w:val="00490F56"/>
    <w:rsid w:val="00491308"/>
    <w:rsid w:val="0049229C"/>
    <w:rsid w:val="0049487E"/>
    <w:rsid w:val="00494E11"/>
    <w:rsid w:val="0049525D"/>
    <w:rsid w:val="00497769"/>
    <w:rsid w:val="004A2115"/>
    <w:rsid w:val="004A23E9"/>
    <w:rsid w:val="004A4701"/>
    <w:rsid w:val="004A52E3"/>
    <w:rsid w:val="004A665A"/>
    <w:rsid w:val="004A731D"/>
    <w:rsid w:val="004B1CC0"/>
    <w:rsid w:val="004B5E6E"/>
    <w:rsid w:val="004B7B7E"/>
    <w:rsid w:val="004C0FA6"/>
    <w:rsid w:val="004C2571"/>
    <w:rsid w:val="004C264F"/>
    <w:rsid w:val="004C361A"/>
    <w:rsid w:val="004C3676"/>
    <w:rsid w:val="004C39A8"/>
    <w:rsid w:val="004C520B"/>
    <w:rsid w:val="004C5C13"/>
    <w:rsid w:val="004C6382"/>
    <w:rsid w:val="004C6994"/>
    <w:rsid w:val="004D10ED"/>
    <w:rsid w:val="004D4EE2"/>
    <w:rsid w:val="004D7844"/>
    <w:rsid w:val="004D7889"/>
    <w:rsid w:val="004E24D8"/>
    <w:rsid w:val="004E3071"/>
    <w:rsid w:val="004E6612"/>
    <w:rsid w:val="004F01DD"/>
    <w:rsid w:val="004F2FF4"/>
    <w:rsid w:val="004F326E"/>
    <w:rsid w:val="004F469F"/>
    <w:rsid w:val="004F56D9"/>
    <w:rsid w:val="004F61F3"/>
    <w:rsid w:val="004F73B2"/>
    <w:rsid w:val="0050213C"/>
    <w:rsid w:val="00503732"/>
    <w:rsid w:val="00503A9E"/>
    <w:rsid w:val="005044FF"/>
    <w:rsid w:val="0050535B"/>
    <w:rsid w:val="005068F6"/>
    <w:rsid w:val="00507D98"/>
    <w:rsid w:val="00510C73"/>
    <w:rsid w:val="00516F5D"/>
    <w:rsid w:val="00520304"/>
    <w:rsid w:val="00521867"/>
    <w:rsid w:val="00522E1D"/>
    <w:rsid w:val="005236FB"/>
    <w:rsid w:val="00525287"/>
    <w:rsid w:val="00526F82"/>
    <w:rsid w:val="00530F20"/>
    <w:rsid w:val="005351BB"/>
    <w:rsid w:val="0053557B"/>
    <w:rsid w:val="00537600"/>
    <w:rsid w:val="00537998"/>
    <w:rsid w:val="005403C6"/>
    <w:rsid w:val="0054190F"/>
    <w:rsid w:val="00541F62"/>
    <w:rsid w:val="0054224F"/>
    <w:rsid w:val="00545868"/>
    <w:rsid w:val="00545CFD"/>
    <w:rsid w:val="00551D51"/>
    <w:rsid w:val="00553A4C"/>
    <w:rsid w:val="00555C36"/>
    <w:rsid w:val="00556507"/>
    <w:rsid w:val="00557805"/>
    <w:rsid w:val="00560762"/>
    <w:rsid w:val="00560864"/>
    <w:rsid w:val="00560CD6"/>
    <w:rsid w:val="00562953"/>
    <w:rsid w:val="00566738"/>
    <w:rsid w:val="005675CC"/>
    <w:rsid w:val="00567623"/>
    <w:rsid w:val="0057074F"/>
    <w:rsid w:val="00570820"/>
    <w:rsid w:val="005713B7"/>
    <w:rsid w:val="00575303"/>
    <w:rsid w:val="0058038F"/>
    <w:rsid w:val="00580392"/>
    <w:rsid w:val="0058042F"/>
    <w:rsid w:val="0058073A"/>
    <w:rsid w:val="00581430"/>
    <w:rsid w:val="00582E7B"/>
    <w:rsid w:val="00583506"/>
    <w:rsid w:val="00597289"/>
    <w:rsid w:val="005A07D7"/>
    <w:rsid w:val="005A31BD"/>
    <w:rsid w:val="005A4784"/>
    <w:rsid w:val="005B0881"/>
    <w:rsid w:val="005B3A7A"/>
    <w:rsid w:val="005B425E"/>
    <w:rsid w:val="005B46FC"/>
    <w:rsid w:val="005B4FF1"/>
    <w:rsid w:val="005B73B8"/>
    <w:rsid w:val="005B78C1"/>
    <w:rsid w:val="005C3AFF"/>
    <w:rsid w:val="005D181A"/>
    <w:rsid w:val="005D2AF5"/>
    <w:rsid w:val="005D6943"/>
    <w:rsid w:val="005D6DFE"/>
    <w:rsid w:val="005D7297"/>
    <w:rsid w:val="005D78E8"/>
    <w:rsid w:val="005D7F64"/>
    <w:rsid w:val="005E0978"/>
    <w:rsid w:val="005E1458"/>
    <w:rsid w:val="005E3650"/>
    <w:rsid w:val="005E3946"/>
    <w:rsid w:val="005E39D6"/>
    <w:rsid w:val="005F068E"/>
    <w:rsid w:val="005F3691"/>
    <w:rsid w:val="005F5DB1"/>
    <w:rsid w:val="00604997"/>
    <w:rsid w:val="006068DB"/>
    <w:rsid w:val="00607046"/>
    <w:rsid w:val="00611E76"/>
    <w:rsid w:val="00613333"/>
    <w:rsid w:val="0061586B"/>
    <w:rsid w:val="00620BF5"/>
    <w:rsid w:val="00621854"/>
    <w:rsid w:val="00624C6B"/>
    <w:rsid w:val="00625DD0"/>
    <w:rsid w:val="00627A1B"/>
    <w:rsid w:val="00627A7B"/>
    <w:rsid w:val="00627EAD"/>
    <w:rsid w:val="006305CA"/>
    <w:rsid w:val="006308F4"/>
    <w:rsid w:val="00630C5E"/>
    <w:rsid w:val="00632342"/>
    <w:rsid w:val="00632A94"/>
    <w:rsid w:val="006356B0"/>
    <w:rsid w:val="00635C71"/>
    <w:rsid w:val="00646288"/>
    <w:rsid w:val="00647C1F"/>
    <w:rsid w:val="00650E09"/>
    <w:rsid w:val="006531B9"/>
    <w:rsid w:val="00655253"/>
    <w:rsid w:val="00662762"/>
    <w:rsid w:val="00663685"/>
    <w:rsid w:val="006657B7"/>
    <w:rsid w:val="00666CB6"/>
    <w:rsid w:val="00667940"/>
    <w:rsid w:val="00670DA3"/>
    <w:rsid w:val="006724F3"/>
    <w:rsid w:val="0067529B"/>
    <w:rsid w:val="00675595"/>
    <w:rsid w:val="00675F25"/>
    <w:rsid w:val="00676AE5"/>
    <w:rsid w:val="00676F2E"/>
    <w:rsid w:val="00677786"/>
    <w:rsid w:val="00680B2A"/>
    <w:rsid w:val="00681491"/>
    <w:rsid w:val="00686013"/>
    <w:rsid w:val="00690F5B"/>
    <w:rsid w:val="00691F3D"/>
    <w:rsid w:val="00692FF6"/>
    <w:rsid w:val="00696C14"/>
    <w:rsid w:val="00697AAD"/>
    <w:rsid w:val="00697D24"/>
    <w:rsid w:val="00697D9C"/>
    <w:rsid w:val="006A1C25"/>
    <w:rsid w:val="006A3E5D"/>
    <w:rsid w:val="006A3E63"/>
    <w:rsid w:val="006A48A7"/>
    <w:rsid w:val="006A733C"/>
    <w:rsid w:val="006B17E1"/>
    <w:rsid w:val="006B39F6"/>
    <w:rsid w:val="006B46D8"/>
    <w:rsid w:val="006B7A8B"/>
    <w:rsid w:val="006C1C38"/>
    <w:rsid w:val="006C30B8"/>
    <w:rsid w:val="006C4D3B"/>
    <w:rsid w:val="006C5113"/>
    <w:rsid w:val="006C5952"/>
    <w:rsid w:val="006D1300"/>
    <w:rsid w:val="006D341A"/>
    <w:rsid w:val="006D36EA"/>
    <w:rsid w:val="006D3859"/>
    <w:rsid w:val="006D3E91"/>
    <w:rsid w:val="006D4EE7"/>
    <w:rsid w:val="006D5DF6"/>
    <w:rsid w:val="006D63C2"/>
    <w:rsid w:val="006D6AE2"/>
    <w:rsid w:val="006E03C2"/>
    <w:rsid w:val="006E03E3"/>
    <w:rsid w:val="006E33BC"/>
    <w:rsid w:val="006E3E1A"/>
    <w:rsid w:val="006E5BDC"/>
    <w:rsid w:val="006F19EC"/>
    <w:rsid w:val="006F550D"/>
    <w:rsid w:val="006F6255"/>
    <w:rsid w:val="00700C2A"/>
    <w:rsid w:val="007019EF"/>
    <w:rsid w:val="00702001"/>
    <w:rsid w:val="00706809"/>
    <w:rsid w:val="00706C1B"/>
    <w:rsid w:val="00707AD9"/>
    <w:rsid w:val="007139B0"/>
    <w:rsid w:val="00716909"/>
    <w:rsid w:val="00721ED5"/>
    <w:rsid w:val="00722811"/>
    <w:rsid w:val="007228A5"/>
    <w:rsid w:val="007234CC"/>
    <w:rsid w:val="0072359C"/>
    <w:rsid w:val="00723B70"/>
    <w:rsid w:val="00723EC3"/>
    <w:rsid w:val="00724318"/>
    <w:rsid w:val="0072762A"/>
    <w:rsid w:val="007303DA"/>
    <w:rsid w:val="00734092"/>
    <w:rsid w:val="00736F83"/>
    <w:rsid w:val="00742DCB"/>
    <w:rsid w:val="00745365"/>
    <w:rsid w:val="007513DD"/>
    <w:rsid w:val="00751BC2"/>
    <w:rsid w:val="00754E35"/>
    <w:rsid w:val="007558A2"/>
    <w:rsid w:val="00760CF6"/>
    <w:rsid w:val="007619F2"/>
    <w:rsid w:val="00763ED0"/>
    <w:rsid w:val="007640AB"/>
    <w:rsid w:val="00764349"/>
    <w:rsid w:val="007667A4"/>
    <w:rsid w:val="007719FA"/>
    <w:rsid w:val="00772DA8"/>
    <w:rsid w:val="00774673"/>
    <w:rsid w:val="00775A14"/>
    <w:rsid w:val="00776B35"/>
    <w:rsid w:val="00776CCF"/>
    <w:rsid w:val="00780D24"/>
    <w:rsid w:val="00780F15"/>
    <w:rsid w:val="00781BAF"/>
    <w:rsid w:val="00781FD1"/>
    <w:rsid w:val="00784A5C"/>
    <w:rsid w:val="00784B8C"/>
    <w:rsid w:val="00785707"/>
    <w:rsid w:val="0079203E"/>
    <w:rsid w:val="007926FC"/>
    <w:rsid w:val="00793738"/>
    <w:rsid w:val="00794759"/>
    <w:rsid w:val="0079494D"/>
    <w:rsid w:val="00794994"/>
    <w:rsid w:val="00794E23"/>
    <w:rsid w:val="007A4273"/>
    <w:rsid w:val="007A4520"/>
    <w:rsid w:val="007A465F"/>
    <w:rsid w:val="007A6D0B"/>
    <w:rsid w:val="007A71FC"/>
    <w:rsid w:val="007B17D0"/>
    <w:rsid w:val="007B1F04"/>
    <w:rsid w:val="007B27EF"/>
    <w:rsid w:val="007B4526"/>
    <w:rsid w:val="007B465A"/>
    <w:rsid w:val="007B49AC"/>
    <w:rsid w:val="007B4C0F"/>
    <w:rsid w:val="007B59DB"/>
    <w:rsid w:val="007B69EE"/>
    <w:rsid w:val="007B6CCA"/>
    <w:rsid w:val="007C004A"/>
    <w:rsid w:val="007C3EDD"/>
    <w:rsid w:val="007C4C7A"/>
    <w:rsid w:val="007C4FF0"/>
    <w:rsid w:val="007C70B2"/>
    <w:rsid w:val="007D0184"/>
    <w:rsid w:val="007D1660"/>
    <w:rsid w:val="007D59FA"/>
    <w:rsid w:val="007D67A1"/>
    <w:rsid w:val="007D7F0C"/>
    <w:rsid w:val="007E03FC"/>
    <w:rsid w:val="007E0A5A"/>
    <w:rsid w:val="007E2154"/>
    <w:rsid w:val="007E28BF"/>
    <w:rsid w:val="007E2B15"/>
    <w:rsid w:val="007F095F"/>
    <w:rsid w:val="007F20D3"/>
    <w:rsid w:val="007F267C"/>
    <w:rsid w:val="007F2AF4"/>
    <w:rsid w:val="007F2B74"/>
    <w:rsid w:val="007F3E3B"/>
    <w:rsid w:val="007F4260"/>
    <w:rsid w:val="007F7A13"/>
    <w:rsid w:val="007F7DAF"/>
    <w:rsid w:val="008006D7"/>
    <w:rsid w:val="0080358B"/>
    <w:rsid w:val="008035B9"/>
    <w:rsid w:val="008035CA"/>
    <w:rsid w:val="00803A1C"/>
    <w:rsid w:val="00806E71"/>
    <w:rsid w:val="00807C9D"/>
    <w:rsid w:val="00810B76"/>
    <w:rsid w:val="00813534"/>
    <w:rsid w:val="00814B0A"/>
    <w:rsid w:val="00816A38"/>
    <w:rsid w:val="00816F99"/>
    <w:rsid w:val="00817F92"/>
    <w:rsid w:val="00820449"/>
    <w:rsid w:val="00821E3F"/>
    <w:rsid w:val="00825410"/>
    <w:rsid w:val="008268C4"/>
    <w:rsid w:val="00835305"/>
    <w:rsid w:val="00835D28"/>
    <w:rsid w:val="00836F40"/>
    <w:rsid w:val="00840597"/>
    <w:rsid w:val="00840B65"/>
    <w:rsid w:val="00840ED1"/>
    <w:rsid w:val="008431C3"/>
    <w:rsid w:val="008434C2"/>
    <w:rsid w:val="00844528"/>
    <w:rsid w:val="008459DA"/>
    <w:rsid w:val="00845CD9"/>
    <w:rsid w:val="008461D7"/>
    <w:rsid w:val="00850EA2"/>
    <w:rsid w:val="00855607"/>
    <w:rsid w:val="008559E1"/>
    <w:rsid w:val="00855CEB"/>
    <w:rsid w:val="00860344"/>
    <w:rsid w:val="00861312"/>
    <w:rsid w:val="00862739"/>
    <w:rsid w:val="00865A66"/>
    <w:rsid w:val="00867256"/>
    <w:rsid w:val="0087272A"/>
    <w:rsid w:val="008736AB"/>
    <w:rsid w:val="008772A2"/>
    <w:rsid w:val="00877339"/>
    <w:rsid w:val="00880F65"/>
    <w:rsid w:val="008829BF"/>
    <w:rsid w:val="00884368"/>
    <w:rsid w:val="0088615D"/>
    <w:rsid w:val="008862AA"/>
    <w:rsid w:val="008919C4"/>
    <w:rsid w:val="00894AFB"/>
    <w:rsid w:val="00895D39"/>
    <w:rsid w:val="008A25D1"/>
    <w:rsid w:val="008A294E"/>
    <w:rsid w:val="008A5BB6"/>
    <w:rsid w:val="008A6DDB"/>
    <w:rsid w:val="008A73B1"/>
    <w:rsid w:val="008B1430"/>
    <w:rsid w:val="008B1ECF"/>
    <w:rsid w:val="008B5A19"/>
    <w:rsid w:val="008B7457"/>
    <w:rsid w:val="008C1897"/>
    <w:rsid w:val="008C2D0F"/>
    <w:rsid w:val="008C644A"/>
    <w:rsid w:val="008C6817"/>
    <w:rsid w:val="008D0F0C"/>
    <w:rsid w:val="008D0F85"/>
    <w:rsid w:val="008D4217"/>
    <w:rsid w:val="008D4827"/>
    <w:rsid w:val="008D4ECC"/>
    <w:rsid w:val="008D6781"/>
    <w:rsid w:val="008D7080"/>
    <w:rsid w:val="008D74F0"/>
    <w:rsid w:val="008E0B2B"/>
    <w:rsid w:val="008E1A95"/>
    <w:rsid w:val="008E1F11"/>
    <w:rsid w:val="008E2B70"/>
    <w:rsid w:val="008E5273"/>
    <w:rsid w:val="008E53A2"/>
    <w:rsid w:val="008E7121"/>
    <w:rsid w:val="008E729D"/>
    <w:rsid w:val="008E7D13"/>
    <w:rsid w:val="008F0276"/>
    <w:rsid w:val="008F2C95"/>
    <w:rsid w:val="008F3AB4"/>
    <w:rsid w:val="008F5566"/>
    <w:rsid w:val="008F6189"/>
    <w:rsid w:val="008F7F2C"/>
    <w:rsid w:val="00901EEB"/>
    <w:rsid w:val="00902604"/>
    <w:rsid w:val="00902990"/>
    <w:rsid w:val="00904E86"/>
    <w:rsid w:val="00905905"/>
    <w:rsid w:val="0090686C"/>
    <w:rsid w:val="00907C0D"/>
    <w:rsid w:val="009131D4"/>
    <w:rsid w:val="00913290"/>
    <w:rsid w:val="00922AD9"/>
    <w:rsid w:val="00923816"/>
    <w:rsid w:val="009247E4"/>
    <w:rsid w:val="00924C56"/>
    <w:rsid w:val="0092568A"/>
    <w:rsid w:val="00927D66"/>
    <w:rsid w:val="009313A7"/>
    <w:rsid w:val="00931766"/>
    <w:rsid w:val="0093215A"/>
    <w:rsid w:val="00933688"/>
    <w:rsid w:val="00933BF9"/>
    <w:rsid w:val="00934903"/>
    <w:rsid w:val="00935A37"/>
    <w:rsid w:val="00940282"/>
    <w:rsid w:val="0094098E"/>
    <w:rsid w:val="009439B3"/>
    <w:rsid w:val="00945144"/>
    <w:rsid w:val="00945E70"/>
    <w:rsid w:val="00946B34"/>
    <w:rsid w:val="00947421"/>
    <w:rsid w:val="00952E96"/>
    <w:rsid w:val="00954602"/>
    <w:rsid w:val="00955508"/>
    <w:rsid w:val="0095636D"/>
    <w:rsid w:val="00961A0D"/>
    <w:rsid w:val="00965503"/>
    <w:rsid w:val="00966CCF"/>
    <w:rsid w:val="009673AB"/>
    <w:rsid w:val="0097338D"/>
    <w:rsid w:val="00980E6D"/>
    <w:rsid w:val="00981397"/>
    <w:rsid w:val="009835EF"/>
    <w:rsid w:val="0098445B"/>
    <w:rsid w:val="00985C7E"/>
    <w:rsid w:val="00985C9B"/>
    <w:rsid w:val="009919DE"/>
    <w:rsid w:val="00992E11"/>
    <w:rsid w:val="009940D7"/>
    <w:rsid w:val="00994B76"/>
    <w:rsid w:val="00995CBB"/>
    <w:rsid w:val="009A055C"/>
    <w:rsid w:val="009A1E6C"/>
    <w:rsid w:val="009A2DC5"/>
    <w:rsid w:val="009A39C2"/>
    <w:rsid w:val="009A4016"/>
    <w:rsid w:val="009A4754"/>
    <w:rsid w:val="009A5104"/>
    <w:rsid w:val="009A542B"/>
    <w:rsid w:val="009A6CF4"/>
    <w:rsid w:val="009B0665"/>
    <w:rsid w:val="009B0682"/>
    <w:rsid w:val="009B6149"/>
    <w:rsid w:val="009C0C3E"/>
    <w:rsid w:val="009C0D9D"/>
    <w:rsid w:val="009C2868"/>
    <w:rsid w:val="009D1AEE"/>
    <w:rsid w:val="009D3B67"/>
    <w:rsid w:val="009D414D"/>
    <w:rsid w:val="009D78F4"/>
    <w:rsid w:val="009E5126"/>
    <w:rsid w:val="009E5627"/>
    <w:rsid w:val="009E5ADA"/>
    <w:rsid w:val="009F14B6"/>
    <w:rsid w:val="009F2CB4"/>
    <w:rsid w:val="009F3A4E"/>
    <w:rsid w:val="009F59F1"/>
    <w:rsid w:val="009F604E"/>
    <w:rsid w:val="00A062E5"/>
    <w:rsid w:val="00A06A11"/>
    <w:rsid w:val="00A07200"/>
    <w:rsid w:val="00A07A7A"/>
    <w:rsid w:val="00A111A0"/>
    <w:rsid w:val="00A142C9"/>
    <w:rsid w:val="00A236FE"/>
    <w:rsid w:val="00A241AA"/>
    <w:rsid w:val="00A24A35"/>
    <w:rsid w:val="00A25700"/>
    <w:rsid w:val="00A26B15"/>
    <w:rsid w:val="00A27E2B"/>
    <w:rsid w:val="00A3417C"/>
    <w:rsid w:val="00A34E53"/>
    <w:rsid w:val="00A36C61"/>
    <w:rsid w:val="00A37AB2"/>
    <w:rsid w:val="00A40F68"/>
    <w:rsid w:val="00A4126F"/>
    <w:rsid w:val="00A415D5"/>
    <w:rsid w:val="00A43415"/>
    <w:rsid w:val="00A44AFD"/>
    <w:rsid w:val="00A45D9C"/>
    <w:rsid w:val="00A46B5E"/>
    <w:rsid w:val="00A50806"/>
    <w:rsid w:val="00A508ED"/>
    <w:rsid w:val="00A5258F"/>
    <w:rsid w:val="00A54B98"/>
    <w:rsid w:val="00A57B65"/>
    <w:rsid w:val="00A64A04"/>
    <w:rsid w:val="00A65526"/>
    <w:rsid w:val="00A66AF6"/>
    <w:rsid w:val="00A67254"/>
    <w:rsid w:val="00A733E1"/>
    <w:rsid w:val="00A8000F"/>
    <w:rsid w:val="00A8043B"/>
    <w:rsid w:val="00A82DB1"/>
    <w:rsid w:val="00A8660C"/>
    <w:rsid w:val="00A90554"/>
    <w:rsid w:val="00A90A60"/>
    <w:rsid w:val="00A91415"/>
    <w:rsid w:val="00A92D57"/>
    <w:rsid w:val="00A92FF8"/>
    <w:rsid w:val="00A94497"/>
    <w:rsid w:val="00A94CCB"/>
    <w:rsid w:val="00A95BF8"/>
    <w:rsid w:val="00A95CA8"/>
    <w:rsid w:val="00A97139"/>
    <w:rsid w:val="00AA16D2"/>
    <w:rsid w:val="00AA2735"/>
    <w:rsid w:val="00AA5FAB"/>
    <w:rsid w:val="00AA6DD5"/>
    <w:rsid w:val="00AB2870"/>
    <w:rsid w:val="00AB38C2"/>
    <w:rsid w:val="00AB4719"/>
    <w:rsid w:val="00AB7C7C"/>
    <w:rsid w:val="00AC2C8E"/>
    <w:rsid w:val="00AC487D"/>
    <w:rsid w:val="00AC4C34"/>
    <w:rsid w:val="00AC53D2"/>
    <w:rsid w:val="00AC54BB"/>
    <w:rsid w:val="00AD114E"/>
    <w:rsid w:val="00AD2AE7"/>
    <w:rsid w:val="00AE0A76"/>
    <w:rsid w:val="00AE7DC5"/>
    <w:rsid w:val="00AF014B"/>
    <w:rsid w:val="00AF1050"/>
    <w:rsid w:val="00AF1E2F"/>
    <w:rsid w:val="00AF3885"/>
    <w:rsid w:val="00AF3CE0"/>
    <w:rsid w:val="00AF6724"/>
    <w:rsid w:val="00AF79B8"/>
    <w:rsid w:val="00B0016F"/>
    <w:rsid w:val="00B01028"/>
    <w:rsid w:val="00B03309"/>
    <w:rsid w:val="00B04F3F"/>
    <w:rsid w:val="00B05493"/>
    <w:rsid w:val="00B064EA"/>
    <w:rsid w:val="00B10D48"/>
    <w:rsid w:val="00B126AD"/>
    <w:rsid w:val="00B136DD"/>
    <w:rsid w:val="00B1565A"/>
    <w:rsid w:val="00B22781"/>
    <w:rsid w:val="00B228D5"/>
    <w:rsid w:val="00B24275"/>
    <w:rsid w:val="00B27598"/>
    <w:rsid w:val="00B3306F"/>
    <w:rsid w:val="00B36808"/>
    <w:rsid w:val="00B418B1"/>
    <w:rsid w:val="00B44CAC"/>
    <w:rsid w:val="00B45335"/>
    <w:rsid w:val="00B46F26"/>
    <w:rsid w:val="00B50929"/>
    <w:rsid w:val="00B517F8"/>
    <w:rsid w:val="00B52407"/>
    <w:rsid w:val="00B5242B"/>
    <w:rsid w:val="00B5523E"/>
    <w:rsid w:val="00B62E68"/>
    <w:rsid w:val="00B63DDF"/>
    <w:rsid w:val="00B64050"/>
    <w:rsid w:val="00B647F8"/>
    <w:rsid w:val="00B64864"/>
    <w:rsid w:val="00B650E7"/>
    <w:rsid w:val="00B65682"/>
    <w:rsid w:val="00B6638A"/>
    <w:rsid w:val="00B668E7"/>
    <w:rsid w:val="00B66C82"/>
    <w:rsid w:val="00B70CC6"/>
    <w:rsid w:val="00B71863"/>
    <w:rsid w:val="00B71FFD"/>
    <w:rsid w:val="00B806D1"/>
    <w:rsid w:val="00B80AC9"/>
    <w:rsid w:val="00B8195A"/>
    <w:rsid w:val="00B8210B"/>
    <w:rsid w:val="00B82D4C"/>
    <w:rsid w:val="00B82EB7"/>
    <w:rsid w:val="00B838C3"/>
    <w:rsid w:val="00B86367"/>
    <w:rsid w:val="00B86DD0"/>
    <w:rsid w:val="00B908F4"/>
    <w:rsid w:val="00B91109"/>
    <w:rsid w:val="00B914F0"/>
    <w:rsid w:val="00B92884"/>
    <w:rsid w:val="00B95AC8"/>
    <w:rsid w:val="00B96B4F"/>
    <w:rsid w:val="00BA0483"/>
    <w:rsid w:val="00BA1001"/>
    <w:rsid w:val="00BA38FA"/>
    <w:rsid w:val="00BA6D14"/>
    <w:rsid w:val="00BA758B"/>
    <w:rsid w:val="00BB73FB"/>
    <w:rsid w:val="00BB76D6"/>
    <w:rsid w:val="00BC0575"/>
    <w:rsid w:val="00BC3901"/>
    <w:rsid w:val="00BC6E4B"/>
    <w:rsid w:val="00BC7796"/>
    <w:rsid w:val="00BD0199"/>
    <w:rsid w:val="00BD45B1"/>
    <w:rsid w:val="00BD4A05"/>
    <w:rsid w:val="00BD51DE"/>
    <w:rsid w:val="00BD531E"/>
    <w:rsid w:val="00BD5B54"/>
    <w:rsid w:val="00BD688B"/>
    <w:rsid w:val="00BE028B"/>
    <w:rsid w:val="00BE27EE"/>
    <w:rsid w:val="00BE2976"/>
    <w:rsid w:val="00BE7B2C"/>
    <w:rsid w:val="00BF6E28"/>
    <w:rsid w:val="00C01DA1"/>
    <w:rsid w:val="00C02C92"/>
    <w:rsid w:val="00C03917"/>
    <w:rsid w:val="00C04249"/>
    <w:rsid w:val="00C052F1"/>
    <w:rsid w:val="00C06407"/>
    <w:rsid w:val="00C067A6"/>
    <w:rsid w:val="00C06DEC"/>
    <w:rsid w:val="00C1396F"/>
    <w:rsid w:val="00C13E28"/>
    <w:rsid w:val="00C16DCC"/>
    <w:rsid w:val="00C17C3B"/>
    <w:rsid w:val="00C23160"/>
    <w:rsid w:val="00C269A7"/>
    <w:rsid w:val="00C27BF4"/>
    <w:rsid w:val="00C3239E"/>
    <w:rsid w:val="00C3341D"/>
    <w:rsid w:val="00C33AB3"/>
    <w:rsid w:val="00C348F5"/>
    <w:rsid w:val="00C357E0"/>
    <w:rsid w:val="00C37758"/>
    <w:rsid w:val="00C40805"/>
    <w:rsid w:val="00C410FF"/>
    <w:rsid w:val="00C43FC6"/>
    <w:rsid w:val="00C45830"/>
    <w:rsid w:val="00C544F3"/>
    <w:rsid w:val="00C55138"/>
    <w:rsid w:val="00C55316"/>
    <w:rsid w:val="00C6223C"/>
    <w:rsid w:val="00C62245"/>
    <w:rsid w:val="00C64470"/>
    <w:rsid w:val="00C668BF"/>
    <w:rsid w:val="00C66F26"/>
    <w:rsid w:val="00C70DF0"/>
    <w:rsid w:val="00C71153"/>
    <w:rsid w:val="00C71A16"/>
    <w:rsid w:val="00C71D0F"/>
    <w:rsid w:val="00C71E12"/>
    <w:rsid w:val="00C72EEC"/>
    <w:rsid w:val="00C80B47"/>
    <w:rsid w:val="00C8313E"/>
    <w:rsid w:val="00C8321D"/>
    <w:rsid w:val="00C85599"/>
    <w:rsid w:val="00C855F6"/>
    <w:rsid w:val="00C97CE1"/>
    <w:rsid w:val="00CA18A7"/>
    <w:rsid w:val="00CA1AF1"/>
    <w:rsid w:val="00CA3B7E"/>
    <w:rsid w:val="00CA3C14"/>
    <w:rsid w:val="00CA3EBF"/>
    <w:rsid w:val="00CA469F"/>
    <w:rsid w:val="00CA5D7B"/>
    <w:rsid w:val="00CA73BA"/>
    <w:rsid w:val="00CA7AB4"/>
    <w:rsid w:val="00CA7DCD"/>
    <w:rsid w:val="00CB2665"/>
    <w:rsid w:val="00CB3750"/>
    <w:rsid w:val="00CB403A"/>
    <w:rsid w:val="00CB41C4"/>
    <w:rsid w:val="00CB4D63"/>
    <w:rsid w:val="00CB747F"/>
    <w:rsid w:val="00CC5852"/>
    <w:rsid w:val="00CD006F"/>
    <w:rsid w:val="00CD34BD"/>
    <w:rsid w:val="00CD3D05"/>
    <w:rsid w:val="00CD49DF"/>
    <w:rsid w:val="00CD7DAA"/>
    <w:rsid w:val="00CE47DE"/>
    <w:rsid w:val="00CE48C1"/>
    <w:rsid w:val="00CE7669"/>
    <w:rsid w:val="00CE7751"/>
    <w:rsid w:val="00CF2D86"/>
    <w:rsid w:val="00CF2DCA"/>
    <w:rsid w:val="00D00670"/>
    <w:rsid w:val="00D01446"/>
    <w:rsid w:val="00D04A3F"/>
    <w:rsid w:val="00D05A63"/>
    <w:rsid w:val="00D065A2"/>
    <w:rsid w:val="00D10291"/>
    <w:rsid w:val="00D1153E"/>
    <w:rsid w:val="00D136BA"/>
    <w:rsid w:val="00D14532"/>
    <w:rsid w:val="00D201A8"/>
    <w:rsid w:val="00D213A7"/>
    <w:rsid w:val="00D22961"/>
    <w:rsid w:val="00D26F4E"/>
    <w:rsid w:val="00D30909"/>
    <w:rsid w:val="00D3246C"/>
    <w:rsid w:val="00D330D9"/>
    <w:rsid w:val="00D3322A"/>
    <w:rsid w:val="00D37E72"/>
    <w:rsid w:val="00D41788"/>
    <w:rsid w:val="00D42A12"/>
    <w:rsid w:val="00D44BDB"/>
    <w:rsid w:val="00D51B9B"/>
    <w:rsid w:val="00D5329A"/>
    <w:rsid w:val="00D53772"/>
    <w:rsid w:val="00D54124"/>
    <w:rsid w:val="00D55549"/>
    <w:rsid w:val="00D55E35"/>
    <w:rsid w:val="00D60EC1"/>
    <w:rsid w:val="00D6129A"/>
    <w:rsid w:val="00D66E5A"/>
    <w:rsid w:val="00D6752B"/>
    <w:rsid w:val="00D70BAB"/>
    <w:rsid w:val="00D71559"/>
    <w:rsid w:val="00D762E4"/>
    <w:rsid w:val="00D76A8F"/>
    <w:rsid w:val="00D81E00"/>
    <w:rsid w:val="00D82D29"/>
    <w:rsid w:val="00D84823"/>
    <w:rsid w:val="00D84D69"/>
    <w:rsid w:val="00D87B2A"/>
    <w:rsid w:val="00D87EF2"/>
    <w:rsid w:val="00D903E4"/>
    <w:rsid w:val="00D9218E"/>
    <w:rsid w:val="00D92530"/>
    <w:rsid w:val="00D932AE"/>
    <w:rsid w:val="00D949C8"/>
    <w:rsid w:val="00D94B20"/>
    <w:rsid w:val="00D96066"/>
    <w:rsid w:val="00D97A4E"/>
    <w:rsid w:val="00DA182D"/>
    <w:rsid w:val="00DA32FD"/>
    <w:rsid w:val="00DA50A1"/>
    <w:rsid w:val="00DA62B4"/>
    <w:rsid w:val="00DB0323"/>
    <w:rsid w:val="00DB0861"/>
    <w:rsid w:val="00DB1806"/>
    <w:rsid w:val="00DB4E90"/>
    <w:rsid w:val="00DC014D"/>
    <w:rsid w:val="00DC024E"/>
    <w:rsid w:val="00DC0258"/>
    <w:rsid w:val="00DC1306"/>
    <w:rsid w:val="00DC1768"/>
    <w:rsid w:val="00DC1BE2"/>
    <w:rsid w:val="00DD05F6"/>
    <w:rsid w:val="00DD1047"/>
    <w:rsid w:val="00DD1C84"/>
    <w:rsid w:val="00DD560F"/>
    <w:rsid w:val="00DE15D1"/>
    <w:rsid w:val="00DF1DCE"/>
    <w:rsid w:val="00DF2CDA"/>
    <w:rsid w:val="00DF2F27"/>
    <w:rsid w:val="00DF47DF"/>
    <w:rsid w:val="00DF4E93"/>
    <w:rsid w:val="00DF5250"/>
    <w:rsid w:val="00DF6724"/>
    <w:rsid w:val="00E02BAE"/>
    <w:rsid w:val="00E033C6"/>
    <w:rsid w:val="00E03C45"/>
    <w:rsid w:val="00E040A1"/>
    <w:rsid w:val="00E107B5"/>
    <w:rsid w:val="00E11FA1"/>
    <w:rsid w:val="00E16AAB"/>
    <w:rsid w:val="00E17809"/>
    <w:rsid w:val="00E23E99"/>
    <w:rsid w:val="00E2776F"/>
    <w:rsid w:val="00E30140"/>
    <w:rsid w:val="00E30440"/>
    <w:rsid w:val="00E31494"/>
    <w:rsid w:val="00E32AA1"/>
    <w:rsid w:val="00E32E08"/>
    <w:rsid w:val="00E33135"/>
    <w:rsid w:val="00E33C42"/>
    <w:rsid w:val="00E44F88"/>
    <w:rsid w:val="00E47E66"/>
    <w:rsid w:val="00E50BAC"/>
    <w:rsid w:val="00E51A72"/>
    <w:rsid w:val="00E53A92"/>
    <w:rsid w:val="00E5471C"/>
    <w:rsid w:val="00E572C9"/>
    <w:rsid w:val="00E61EB1"/>
    <w:rsid w:val="00E63892"/>
    <w:rsid w:val="00E640ED"/>
    <w:rsid w:val="00E66B58"/>
    <w:rsid w:val="00E6773F"/>
    <w:rsid w:val="00E67E18"/>
    <w:rsid w:val="00E7125C"/>
    <w:rsid w:val="00E71C46"/>
    <w:rsid w:val="00E74E3B"/>
    <w:rsid w:val="00E74E69"/>
    <w:rsid w:val="00E807C7"/>
    <w:rsid w:val="00E82B3E"/>
    <w:rsid w:val="00E840CD"/>
    <w:rsid w:val="00E85BA3"/>
    <w:rsid w:val="00E86581"/>
    <w:rsid w:val="00E86D97"/>
    <w:rsid w:val="00E8719D"/>
    <w:rsid w:val="00E91AA5"/>
    <w:rsid w:val="00E922EA"/>
    <w:rsid w:val="00E93E82"/>
    <w:rsid w:val="00E95C27"/>
    <w:rsid w:val="00EA18E1"/>
    <w:rsid w:val="00EA4867"/>
    <w:rsid w:val="00EA63E9"/>
    <w:rsid w:val="00EA6A03"/>
    <w:rsid w:val="00EA78BF"/>
    <w:rsid w:val="00EB6609"/>
    <w:rsid w:val="00EB6C1C"/>
    <w:rsid w:val="00EB7053"/>
    <w:rsid w:val="00EB749E"/>
    <w:rsid w:val="00EB7C29"/>
    <w:rsid w:val="00EC0580"/>
    <w:rsid w:val="00EC231F"/>
    <w:rsid w:val="00EC3EC0"/>
    <w:rsid w:val="00EC6070"/>
    <w:rsid w:val="00ED0BF6"/>
    <w:rsid w:val="00ED675D"/>
    <w:rsid w:val="00ED7FDF"/>
    <w:rsid w:val="00EE346C"/>
    <w:rsid w:val="00EE4B6A"/>
    <w:rsid w:val="00EE792F"/>
    <w:rsid w:val="00EF3F50"/>
    <w:rsid w:val="00EF68FA"/>
    <w:rsid w:val="00EF6E81"/>
    <w:rsid w:val="00F01959"/>
    <w:rsid w:val="00F066D7"/>
    <w:rsid w:val="00F06819"/>
    <w:rsid w:val="00F120B6"/>
    <w:rsid w:val="00F15D7C"/>
    <w:rsid w:val="00F17AB3"/>
    <w:rsid w:val="00F23C3E"/>
    <w:rsid w:val="00F26D88"/>
    <w:rsid w:val="00F273E0"/>
    <w:rsid w:val="00F30D0F"/>
    <w:rsid w:val="00F345F7"/>
    <w:rsid w:val="00F36ADB"/>
    <w:rsid w:val="00F37238"/>
    <w:rsid w:val="00F40ADA"/>
    <w:rsid w:val="00F41464"/>
    <w:rsid w:val="00F41562"/>
    <w:rsid w:val="00F46149"/>
    <w:rsid w:val="00F4731A"/>
    <w:rsid w:val="00F4741D"/>
    <w:rsid w:val="00F477F3"/>
    <w:rsid w:val="00F5071B"/>
    <w:rsid w:val="00F5399C"/>
    <w:rsid w:val="00F5509F"/>
    <w:rsid w:val="00F550FB"/>
    <w:rsid w:val="00F5751A"/>
    <w:rsid w:val="00F60416"/>
    <w:rsid w:val="00F60976"/>
    <w:rsid w:val="00F61897"/>
    <w:rsid w:val="00F64398"/>
    <w:rsid w:val="00F650C1"/>
    <w:rsid w:val="00F752FF"/>
    <w:rsid w:val="00F75A5B"/>
    <w:rsid w:val="00F75C7F"/>
    <w:rsid w:val="00F75E65"/>
    <w:rsid w:val="00F765AA"/>
    <w:rsid w:val="00F769D8"/>
    <w:rsid w:val="00F7703F"/>
    <w:rsid w:val="00F82F9E"/>
    <w:rsid w:val="00F8459F"/>
    <w:rsid w:val="00F86B97"/>
    <w:rsid w:val="00F86C91"/>
    <w:rsid w:val="00F906B1"/>
    <w:rsid w:val="00F907D7"/>
    <w:rsid w:val="00F925B3"/>
    <w:rsid w:val="00F94669"/>
    <w:rsid w:val="00F94E8A"/>
    <w:rsid w:val="00F94F75"/>
    <w:rsid w:val="00F95BA2"/>
    <w:rsid w:val="00F95FD2"/>
    <w:rsid w:val="00F970A4"/>
    <w:rsid w:val="00F97807"/>
    <w:rsid w:val="00FA1A86"/>
    <w:rsid w:val="00FA21E5"/>
    <w:rsid w:val="00FA34EC"/>
    <w:rsid w:val="00FA6756"/>
    <w:rsid w:val="00FA6758"/>
    <w:rsid w:val="00FA6944"/>
    <w:rsid w:val="00FA7051"/>
    <w:rsid w:val="00FA7594"/>
    <w:rsid w:val="00FB2354"/>
    <w:rsid w:val="00FB4AD9"/>
    <w:rsid w:val="00FB71DB"/>
    <w:rsid w:val="00FB7620"/>
    <w:rsid w:val="00FC71ED"/>
    <w:rsid w:val="00FD588E"/>
    <w:rsid w:val="00FD6677"/>
    <w:rsid w:val="00FE0183"/>
    <w:rsid w:val="00FE1F32"/>
    <w:rsid w:val="00FF1155"/>
    <w:rsid w:val="00FF1BF0"/>
    <w:rsid w:val="00FF3C9E"/>
    <w:rsid w:val="00FF4BA1"/>
    <w:rsid w:val="00FF5560"/>
    <w:rsid w:val="00FF7A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A7AB6"/>
  <w15:docId w15:val="{83086B72-AFEC-43A6-B7AD-81064682F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264F"/>
  </w:style>
  <w:style w:type="paragraph" w:styleId="Nadpis1">
    <w:name w:val="heading 1"/>
    <w:basedOn w:val="Normln"/>
    <w:next w:val="Normln"/>
    <w:link w:val="Nadpis1Char"/>
    <w:uiPriority w:val="9"/>
    <w:qFormat/>
    <w:rsid w:val="002E1E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4E24D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2E1E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E24D8"/>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semiHidden/>
    <w:unhideWhenUsed/>
    <w:rsid w:val="004E24D8"/>
    <w:rPr>
      <w:color w:val="01496F"/>
      <w:u w:val="single"/>
      <w:shd w:val="clear" w:color="auto" w:fill="auto"/>
    </w:rPr>
  </w:style>
  <w:style w:type="character" w:styleId="PromnnHTML">
    <w:name w:val="HTML Variable"/>
    <w:basedOn w:val="Standardnpsmoodstavce"/>
    <w:uiPriority w:val="99"/>
    <w:semiHidden/>
    <w:unhideWhenUsed/>
    <w:rsid w:val="004E24D8"/>
    <w:rPr>
      <w:i/>
      <w:iCs/>
    </w:rPr>
  </w:style>
  <w:style w:type="paragraph" w:customStyle="1" w:styleId="l5">
    <w:name w:val="l5"/>
    <w:basedOn w:val="Normln"/>
    <w:rsid w:val="004E24D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4E24D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4E24D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8">
    <w:name w:val="l8"/>
    <w:basedOn w:val="Normln"/>
    <w:rsid w:val="004E24D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2E1E5C"/>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semiHidden/>
    <w:rsid w:val="002E1E5C"/>
    <w:rPr>
      <w:rFonts w:asciiTheme="majorHAnsi" w:eastAsiaTheme="majorEastAsia" w:hAnsiTheme="majorHAnsi" w:cstheme="majorBidi"/>
      <w:b/>
      <w:bCs/>
      <w:color w:val="4F81BD" w:themeColor="accent1"/>
    </w:rPr>
  </w:style>
  <w:style w:type="paragraph" w:styleId="Normlnweb">
    <w:name w:val="Normal (Web)"/>
    <w:basedOn w:val="Normln"/>
    <w:uiPriority w:val="99"/>
    <w:semiHidden/>
    <w:unhideWhenUsed/>
    <w:rsid w:val="002E1E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2E1E5C"/>
    <w:rPr>
      <w:b/>
      <w:bCs/>
    </w:rPr>
  </w:style>
  <w:style w:type="paragraph" w:styleId="Odstavecseseznamem">
    <w:name w:val="List Paragraph"/>
    <w:basedOn w:val="Normln"/>
    <w:uiPriority w:val="34"/>
    <w:qFormat/>
    <w:rsid w:val="00005C83"/>
    <w:pPr>
      <w:ind w:left="720"/>
      <w:contextualSpacing/>
    </w:pPr>
  </w:style>
  <w:style w:type="character" w:styleId="Zdraznn">
    <w:name w:val="Emphasis"/>
    <w:basedOn w:val="Standardnpsmoodstavce"/>
    <w:uiPriority w:val="20"/>
    <w:qFormat/>
    <w:rsid w:val="00005C83"/>
    <w:rPr>
      <w:i/>
      <w:iCs/>
    </w:rPr>
  </w:style>
  <w:style w:type="paragraph" w:customStyle="1" w:styleId="annotation">
    <w:name w:val="annotation"/>
    <w:basedOn w:val="Normln"/>
    <w:rsid w:val="00005C83"/>
    <w:pPr>
      <w:spacing w:after="68" w:line="240" w:lineRule="auto"/>
      <w:jc w:val="both"/>
    </w:pPr>
    <w:rPr>
      <w:rFonts w:ascii="Times New Roman" w:eastAsia="Times New Roman" w:hAnsi="Times New Roman" w:cs="Times New Roman"/>
      <w:b/>
      <w:bCs/>
      <w:sz w:val="24"/>
      <w:szCs w:val="24"/>
      <w:lang w:eastAsia="cs-CZ"/>
    </w:rPr>
  </w:style>
  <w:style w:type="character" w:customStyle="1" w:styleId="graytext1">
    <w:name w:val="graytext1"/>
    <w:basedOn w:val="Standardnpsmoodstavce"/>
    <w:rsid w:val="00005C83"/>
    <w:rPr>
      <w:color w:val="999999"/>
    </w:rPr>
  </w:style>
  <w:style w:type="character" w:customStyle="1" w:styleId="vjs-control-text">
    <w:name w:val="vjs-control-text"/>
    <w:basedOn w:val="Standardnpsmoodstavce"/>
    <w:rsid w:val="00005C83"/>
  </w:style>
  <w:style w:type="character" w:customStyle="1" w:styleId="vjs-text-opacity">
    <w:name w:val="vjs-text-opacity"/>
    <w:basedOn w:val="Standardnpsmoodstavce"/>
    <w:rsid w:val="00005C83"/>
  </w:style>
  <w:style w:type="character" w:customStyle="1" w:styleId="vjs-bg-opacity">
    <w:name w:val="vjs-bg-opacity"/>
    <w:basedOn w:val="Standardnpsmoodstavce"/>
    <w:rsid w:val="00005C83"/>
  </w:style>
  <w:style w:type="character" w:customStyle="1" w:styleId="vjs-window-opacity">
    <w:name w:val="vjs-window-opacity"/>
    <w:basedOn w:val="Standardnpsmoodstavce"/>
    <w:rsid w:val="00005C83"/>
  </w:style>
  <w:style w:type="paragraph" w:styleId="Textbubliny">
    <w:name w:val="Balloon Text"/>
    <w:basedOn w:val="Normln"/>
    <w:link w:val="TextbublinyChar"/>
    <w:uiPriority w:val="99"/>
    <w:semiHidden/>
    <w:unhideWhenUsed/>
    <w:rsid w:val="00005C8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05C83"/>
    <w:rPr>
      <w:rFonts w:ascii="Tahoma" w:hAnsi="Tahoma" w:cs="Tahoma"/>
      <w:sz w:val="16"/>
      <w:szCs w:val="16"/>
    </w:rPr>
  </w:style>
  <w:style w:type="paragraph" w:customStyle="1" w:styleId="l2">
    <w:name w:val="l2"/>
    <w:basedOn w:val="Normln"/>
    <w:rsid w:val="00507D9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507D9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507D9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arag">
    <w:name w:val="parag"/>
    <w:basedOn w:val="Normln"/>
    <w:rsid w:val="00B668E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st">
    <w:name w:val="odst"/>
    <w:basedOn w:val="Normln"/>
    <w:rsid w:val="00B668E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1">
    <w:name w:val="l1"/>
    <w:basedOn w:val="Normln"/>
    <w:rsid w:val="007F3E3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UstanovenPZChar">
    <w:name w:val="Ustanovení_PZ Char"/>
    <w:link w:val="UstanovenPZ"/>
    <w:locked/>
    <w:rsid w:val="00F40ADA"/>
    <w:rPr>
      <w:rFonts w:ascii="Times New Roman" w:eastAsia="Times New Roman" w:hAnsi="Times New Roman"/>
      <w:sz w:val="24"/>
      <w:szCs w:val="24"/>
    </w:rPr>
  </w:style>
  <w:style w:type="paragraph" w:customStyle="1" w:styleId="UstanovenPZ">
    <w:name w:val="Ustanovení_PZ"/>
    <w:basedOn w:val="Normln"/>
    <w:link w:val="UstanovenPZChar"/>
    <w:qFormat/>
    <w:rsid w:val="00F40ADA"/>
    <w:pPr>
      <w:spacing w:beforeLines="60" w:after="120" w:line="240" w:lineRule="auto"/>
      <w:ind w:firstLine="708"/>
      <w:jc w:val="both"/>
    </w:pPr>
    <w:rPr>
      <w:rFonts w:ascii="Times New Roman" w:eastAsia="Times New Roman" w:hAnsi="Times New Roman"/>
      <w:sz w:val="24"/>
      <w:szCs w:val="24"/>
    </w:rPr>
  </w:style>
  <w:style w:type="paragraph" w:customStyle="1" w:styleId="l41">
    <w:name w:val="l41"/>
    <w:basedOn w:val="Normln"/>
    <w:rsid w:val="001E4F87"/>
    <w:pPr>
      <w:spacing w:before="144" w:after="144" w:line="240" w:lineRule="auto"/>
      <w:jc w:val="both"/>
    </w:pPr>
    <w:rPr>
      <w:rFonts w:ascii="Times New Roman" w:eastAsia="Times New Roman" w:hAnsi="Times New Roman" w:cs="Times New Roman"/>
      <w:sz w:val="24"/>
      <w:szCs w:val="24"/>
      <w:lang w:eastAsia="cs-CZ"/>
    </w:rPr>
  </w:style>
  <w:style w:type="paragraph" w:customStyle="1" w:styleId="l51">
    <w:name w:val="l51"/>
    <w:basedOn w:val="Normln"/>
    <w:rsid w:val="001E4F87"/>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1">
    <w:name w:val="l61"/>
    <w:basedOn w:val="Normln"/>
    <w:rsid w:val="001E4F87"/>
    <w:pPr>
      <w:spacing w:before="144" w:after="144" w:line="240" w:lineRule="auto"/>
      <w:jc w:val="both"/>
    </w:pPr>
    <w:rPr>
      <w:rFonts w:ascii="Times New Roman" w:eastAsia="Times New Roman" w:hAnsi="Times New Roman" w:cs="Times New Roman"/>
      <w:sz w:val="24"/>
      <w:szCs w:val="24"/>
      <w:lang w:eastAsia="cs-CZ"/>
    </w:rPr>
  </w:style>
  <w:style w:type="paragraph" w:customStyle="1" w:styleId="l31">
    <w:name w:val="l31"/>
    <w:basedOn w:val="Normln"/>
    <w:rsid w:val="00ED675D"/>
    <w:pPr>
      <w:spacing w:before="144" w:after="144" w:line="240" w:lineRule="auto"/>
      <w:jc w:val="both"/>
    </w:pPr>
    <w:rPr>
      <w:rFonts w:ascii="Times New Roman" w:eastAsia="Times New Roman" w:hAnsi="Times New Roman" w:cs="Times New Roman"/>
      <w:sz w:val="24"/>
      <w:szCs w:val="24"/>
      <w:lang w:eastAsia="cs-CZ"/>
    </w:rPr>
  </w:style>
  <w:style w:type="paragraph" w:customStyle="1" w:styleId="l21">
    <w:name w:val="l21"/>
    <w:basedOn w:val="Normln"/>
    <w:rsid w:val="00C04249"/>
    <w:pPr>
      <w:spacing w:before="144" w:after="144" w:line="240" w:lineRule="auto"/>
      <w:jc w:val="both"/>
    </w:pPr>
    <w:rPr>
      <w:rFonts w:ascii="Times New Roman" w:eastAsia="Times New Roman" w:hAnsi="Times New Roman" w:cs="Times New Roman"/>
      <w:sz w:val="24"/>
      <w:szCs w:val="24"/>
      <w:lang w:eastAsia="cs-CZ"/>
    </w:rPr>
  </w:style>
  <w:style w:type="paragraph" w:styleId="Revize">
    <w:name w:val="Revision"/>
    <w:hidden/>
    <w:uiPriority w:val="99"/>
    <w:semiHidden/>
    <w:rsid w:val="00D60EC1"/>
    <w:pPr>
      <w:spacing w:after="0" w:line="240" w:lineRule="auto"/>
    </w:pPr>
  </w:style>
  <w:style w:type="character" w:styleId="Odkaznakoment">
    <w:name w:val="annotation reference"/>
    <w:basedOn w:val="Standardnpsmoodstavce"/>
    <w:uiPriority w:val="99"/>
    <w:semiHidden/>
    <w:unhideWhenUsed/>
    <w:rsid w:val="00697D24"/>
    <w:rPr>
      <w:sz w:val="16"/>
      <w:szCs w:val="16"/>
    </w:rPr>
  </w:style>
  <w:style w:type="paragraph" w:styleId="Textkomente">
    <w:name w:val="annotation text"/>
    <w:basedOn w:val="Normln"/>
    <w:link w:val="TextkomenteChar"/>
    <w:uiPriority w:val="99"/>
    <w:semiHidden/>
    <w:unhideWhenUsed/>
    <w:rsid w:val="00697D24"/>
    <w:pPr>
      <w:spacing w:line="240" w:lineRule="auto"/>
    </w:pPr>
    <w:rPr>
      <w:sz w:val="20"/>
      <w:szCs w:val="20"/>
    </w:rPr>
  </w:style>
  <w:style w:type="character" w:customStyle="1" w:styleId="TextkomenteChar">
    <w:name w:val="Text komentáře Char"/>
    <w:basedOn w:val="Standardnpsmoodstavce"/>
    <w:link w:val="Textkomente"/>
    <w:uiPriority w:val="99"/>
    <w:semiHidden/>
    <w:rsid w:val="00697D24"/>
    <w:rPr>
      <w:sz w:val="20"/>
      <w:szCs w:val="20"/>
    </w:rPr>
  </w:style>
  <w:style w:type="paragraph" w:styleId="Pedmtkomente">
    <w:name w:val="annotation subject"/>
    <w:basedOn w:val="Textkomente"/>
    <w:next w:val="Textkomente"/>
    <w:link w:val="PedmtkomenteChar"/>
    <w:uiPriority w:val="99"/>
    <w:semiHidden/>
    <w:unhideWhenUsed/>
    <w:rsid w:val="00697D24"/>
    <w:rPr>
      <w:b/>
      <w:bCs/>
    </w:rPr>
  </w:style>
  <w:style w:type="character" w:customStyle="1" w:styleId="PedmtkomenteChar">
    <w:name w:val="Předmět komentáře Char"/>
    <w:basedOn w:val="TextkomenteChar"/>
    <w:link w:val="Pedmtkomente"/>
    <w:uiPriority w:val="99"/>
    <w:semiHidden/>
    <w:rsid w:val="00697D24"/>
    <w:rPr>
      <w:b/>
      <w:bCs/>
      <w:sz w:val="20"/>
      <w:szCs w:val="20"/>
    </w:rPr>
  </w:style>
  <w:style w:type="paragraph" w:styleId="Zhlav">
    <w:name w:val="header"/>
    <w:basedOn w:val="Normln"/>
    <w:link w:val="ZhlavChar"/>
    <w:uiPriority w:val="99"/>
    <w:unhideWhenUsed/>
    <w:rsid w:val="00A241A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41AA"/>
  </w:style>
  <w:style w:type="paragraph" w:styleId="Zpat">
    <w:name w:val="footer"/>
    <w:basedOn w:val="Normln"/>
    <w:link w:val="ZpatChar"/>
    <w:uiPriority w:val="99"/>
    <w:unhideWhenUsed/>
    <w:rsid w:val="00A241AA"/>
    <w:pPr>
      <w:tabs>
        <w:tab w:val="center" w:pos="4536"/>
        <w:tab w:val="right" w:pos="9072"/>
      </w:tabs>
      <w:spacing w:after="0" w:line="240" w:lineRule="auto"/>
    </w:pPr>
  </w:style>
  <w:style w:type="character" w:customStyle="1" w:styleId="ZpatChar">
    <w:name w:val="Zápatí Char"/>
    <w:basedOn w:val="Standardnpsmoodstavce"/>
    <w:link w:val="Zpat"/>
    <w:uiPriority w:val="99"/>
    <w:rsid w:val="00A24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5889">
      <w:bodyDiv w:val="1"/>
      <w:marLeft w:val="0"/>
      <w:marRight w:val="0"/>
      <w:marTop w:val="0"/>
      <w:marBottom w:val="0"/>
      <w:divBdr>
        <w:top w:val="none" w:sz="0" w:space="0" w:color="auto"/>
        <w:left w:val="none" w:sz="0" w:space="0" w:color="auto"/>
        <w:bottom w:val="none" w:sz="0" w:space="0" w:color="auto"/>
        <w:right w:val="none" w:sz="0" w:space="0" w:color="auto"/>
      </w:divBdr>
      <w:divsChild>
        <w:div w:id="439107872">
          <w:marLeft w:val="0"/>
          <w:marRight w:val="0"/>
          <w:marTop w:val="0"/>
          <w:marBottom w:val="0"/>
          <w:divBdr>
            <w:top w:val="none" w:sz="0" w:space="0" w:color="auto"/>
            <w:left w:val="none" w:sz="0" w:space="0" w:color="auto"/>
            <w:bottom w:val="none" w:sz="0" w:space="0" w:color="auto"/>
            <w:right w:val="none" w:sz="0" w:space="0" w:color="auto"/>
          </w:divBdr>
          <w:divsChild>
            <w:div w:id="2002737442">
              <w:marLeft w:val="0"/>
              <w:marRight w:val="0"/>
              <w:marTop w:val="0"/>
              <w:marBottom w:val="0"/>
              <w:divBdr>
                <w:top w:val="none" w:sz="0" w:space="0" w:color="auto"/>
                <w:left w:val="none" w:sz="0" w:space="0" w:color="auto"/>
                <w:bottom w:val="none" w:sz="0" w:space="0" w:color="auto"/>
                <w:right w:val="none" w:sz="0" w:space="0" w:color="auto"/>
              </w:divBdr>
              <w:divsChild>
                <w:div w:id="1521818956">
                  <w:marLeft w:val="0"/>
                  <w:marRight w:val="0"/>
                  <w:marTop w:val="100"/>
                  <w:marBottom w:val="100"/>
                  <w:divBdr>
                    <w:top w:val="none" w:sz="0" w:space="0" w:color="auto"/>
                    <w:left w:val="none" w:sz="0" w:space="0" w:color="auto"/>
                    <w:bottom w:val="none" w:sz="0" w:space="0" w:color="auto"/>
                    <w:right w:val="none" w:sz="0" w:space="0" w:color="auto"/>
                  </w:divBdr>
                  <w:divsChild>
                    <w:div w:id="453864591">
                      <w:marLeft w:val="0"/>
                      <w:marRight w:val="0"/>
                      <w:marTop w:val="0"/>
                      <w:marBottom w:val="0"/>
                      <w:divBdr>
                        <w:top w:val="none" w:sz="0" w:space="0" w:color="auto"/>
                        <w:left w:val="none" w:sz="0" w:space="0" w:color="auto"/>
                        <w:bottom w:val="none" w:sz="0" w:space="0" w:color="auto"/>
                        <w:right w:val="none" w:sz="0" w:space="0" w:color="auto"/>
                      </w:divBdr>
                      <w:divsChild>
                        <w:div w:id="1218393629">
                          <w:marLeft w:val="0"/>
                          <w:marRight w:val="0"/>
                          <w:marTop w:val="0"/>
                          <w:marBottom w:val="0"/>
                          <w:divBdr>
                            <w:top w:val="none" w:sz="0" w:space="0" w:color="auto"/>
                            <w:left w:val="none" w:sz="0" w:space="0" w:color="auto"/>
                            <w:bottom w:val="none" w:sz="0" w:space="0" w:color="auto"/>
                            <w:right w:val="none" w:sz="0" w:space="0" w:color="auto"/>
                          </w:divBdr>
                          <w:divsChild>
                            <w:div w:id="968824135">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685725">
      <w:bodyDiv w:val="1"/>
      <w:marLeft w:val="0"/>
      <w:marRight w:val="0"/>
      <w:marTop w:val="0"/>
      <w:marBottom w:val="0"/>
      <w:divBdr>
        <w:top w:val="none" w:sz="0" w:space="0" w:color="auto"/>
        <w:left w:val="none" w:sz="0" w:space="0" w:color="auto"/>
        <w:bottom w:val="none" w:sz="0" w:space="0" w:color="auto"/>
        <w:right w:val="none" w:sz="0" w:space="0" w:color="auto"/>
      </w:divBdr>
    </w:div>
    <w:div w:id="428938511">
      <w:bodyDiv w:val="1"/>
      <w:marLeft w:val="0"/>
      <w:marRight w:val="0"/>
      <w:marTop w:val="0"/>
      <w:marBottom w:val="0"/>
      <w:divBdr>
        <w:top w:val="none" w:sz="0" w:space="0" w:color="auto"/>
        <w:left w:val="none" w:sz="0" w:space="0" w:color="auto"/>
        <w:bottom w:val="none" w:sz="0" w:space="0" w:color="auto"/>
        <w:right w:val="none" w:sz="0" w:space="0" w:color="auto"/>
      </w:divBdr>
    </w:div>
    <w:div w:id="434907075">
      <w:bodyDiv w:val="1"/>
      <w:marLeft w:val="0"/>
      <w:marRight w:val="0"/>
      <w:marTop w:val="0"/>
      <w:marBottom w:val="0"/>
      <w:divBdr>
        <w:top w:val="none" w:sz="0" w:space="0" w:color="auto"/>
        <w:left w:val="none" w:sz="0" w:space="0" w:color="auto"/>
        <w:bottom w:val="none" w:sz="0" w:space="0" w:color="auto"/>
        <w:right w:val="none" w:sz="0" w:space="0" w:color="auto"/>
      </w:divBdr>
    </w:div>
    <w:div w:id="440148563">
      <w:bodyDiv w:val="1"/>
      <w:marLeft w:val="0"/>
      <w:marRight w:val="0"/>
      <w:marTop w:val="0"/>
      <w:marBottom w:val="0"/>
      <w:divBdr>
        <w:top w:val="none" w:sz="0" w:space="0" w:color="auto"/>
        <w:left w:val="none" w:sz="0" w:space="0" w:color="auto"/>
        <w:bottom w:val="none" w:sz="0" w:space="0" w:color="auto"/>
        <w:right w:val="none" w:sz="0" w:space="0" w:color="auto"/>
      </w:divBdr>
    </w:div>
    <w:div w:id="544491742">
      <w:bodyDiv w:val="1"/>
      <w:marLeft w:val="0"/>
      <w:marRight w:val="0"/>
      <w:marTop w:val="0"/>
      <w:marBottom w:val="0"/>
      <w:divBdr>
        <w:top w:val="none" w:sz="0" w:space="0" w:color="auto"/>
        <w:left w:val="none" w:sz="0" w:space="0" w:color="auto"/>
        <w:bottom w:val="none" w:sz="0" w:space="0" w:color="auto"/>
        <w:right w:val="none" w:sz="0" w:space="0" w:color="auto"/>
      </w:divBdr>
    </w:div>
    <w:div w:id="551961594">
      <w:bodyDiv w:val="1"/>
      <w:marLeft w:val="0"/>
      <w:marRight w:val="0"/>
      <w:marTop w:val="0"/>
      <w:marBottom w:val="0"/>
      <w:divBdr>
        <w:top w:val="none" w:sz="0" w:space="0" w:color="auto"/>
        <w:left w:val="none" w:sz="0" w:space="0" w:color="auto"/>
        <w:bottom w:val="none" w:sz="0" w:space="0" w:color="auto"/>
        <w:right w:val="none" w:sz="0" w:space="0" w:color="auto"/>
      </w:divBdr>
    </w:div>
    <w:div w:id="556547137">
      <w:bodyDiv w:val="1"/>
      <w:marLeft w:val="0"/>
      <w:marRight w:val="0"/>
      <w:marTop w:val="0"/>
      <w:marBottom w:val="0"/>
      <w:divBdr>
        <w:top w:val="none" w:sz="0" w:space="0" w:color="auto"/>
        <w:left w:val="none" w:sz="0" w:space="0" w:color="auto"/>
        <w:bottom w:val="none" w:sz="0" w:space="0" w:color="auto"/>
        <w:right w:val="none" w:sz="0" w:space="0" w:color="auto"/>
      </w:divBdr>
    </w:div>
    <w:div w:id="819466763">
      <w:bodyDiv w:val="1"/>
      <w:marLeft w:val="0"/>
      <w:marRight w:val="0"/>
      <w:marTop w:val="0"/>
      <w:marBottom w:val="0"/>
      <w:divBdr>
        <w:top w:val="none" w:sz="0" w:space="0" w:color="auto"/>
        <w:left w:val="none" w:sz="0" w:space="0" w:color="auto"/>
        <w:bottom w:val="none" w:sz="0" w:space="0" w:color="auto"/>
        <w:right w:val="none" w:sz="0" w:space="0" w:color="auto"/>
      </w:divBdr>
    </w:div>
    <w:div w:id="866796513">
      <w:bodyDiv w:val="1"/>
      <w:marLeft w:val="0"/>
      <w:marRight w:val="0"/>
      <w:marTop w:val="0"/>
      <w:marBottom w:val="0"/>
      <w:divBdr>
        <w:top w:val="none" w:sz="0" w:space="0" w:color="auto"/>
        <w:left w:val="none" w:sz="0" w:space="0" w:color="auto"/>
        <w:bottom w:val="none" w:sz="0" w:space="0" w:color="auto"/>
        <w:right w:val="none" w:sz="0" w:space="0" w:color="auto"/>
      </w:divBdr>
    </w:div>
    <w:div w:id="915439560">
      <w:bodyDiv w:val="1"/>
      <w:marLeft w:val="0"/>
      <w:marRight w:val="0"/>
      <w:marTop w:val="0"/>
      <w:marBottom w:val="0"/>
      <w:divBdr>
        <w:top w:val="none" w:sz="0" w:space="0" w:color="auto"/>
        <w:left w:val="none" w:sz="0" w:space="0" w:color="auto"/>
        <w:bottom w:val="none" w:sz="0" w:space="0" w:color="auto"/>
        <w:right w:val="none" w:sz="0" w:space="0" w:color="auto"/>
      </w:divBdr>
    </w:div>
    <w:div w:id="993030197">
      <w:bodyDiv w:val="1"/>
      <w:marLeft w:val="0"/>
      <w:marRight w:val="0"/>
      <w:marTop w:val="0"/>
      <w:marBottom w:val="0"/>
      <w:divBdr>
        <w:top w:val="none" w:sz="0" w:space="0" w:color="auto"/>
        <w:left w:val="none" w:sz="0" w:space="0" w:color="auto"/>
        <w:bottom w:val="none" w:sz="0" w:space="0" w:color="auto"/>
        <w:right w:val="none" w:sz="0" w:space="0" w:color="auto"/>
      </w:divBdr>
      <w:divsChild>
        <w:div w:id="844394692">
          <w:marLeft w:val="0"/>
          <w:marRight w:val="0"/>
          <w:marTop w:val="0"/>
          <w:marBottom w:val="0"/>
          <w:divBdr>
            <w:top w:val="none" w:sz="0" w:space="0" w:color="auto"/>
            <w:left w:val="none" w:sz="0" w:space="0" w:color="auto"/>
            <w:bottom w:val="none" w:sz="0" w:space="0" w:color="auto"/>
            <w:right w:val="none" w:sz="0" w:space="0" w:color="auto"/>
          </w:divBdr>
          <w:divsChild>
            <w:div w:id="344358312">
              <w:marLeft w:val="0"/>
              <w:marRight w:val="0"/>
              <w:marTop w:val="0"/>
              <w:marBottom w:val="0"/>
              <w:divBdr>
                <w:top w:val="none" w:sz="0" w:space="0" w:color="auto"/>
                <w:left w:val="none" w:sz="0" w:space="0" w:color="auto"/>
                <w:bottom w:val="none" w:sz="0" w:space="0" w:color="auto"/>
                <w:right w:val="none" w:sz="0" w:space="0" w:color="auto"/>
              </w:divBdr>
              <w:divsChild>
                <w:div w:id="883904138">
                  <w:marLeft w:val="0"/>
                  <w:marRight w:val="0"/>
                  <w:marTop w:val="100"/>
                  <w:marBottom w:val="100"/>
                  <w:divBdr>
                    <w:top w:val="none" w:sz="0" w:space="0" w:color="auto"/>
                    <w:left w:val="none" w:sz="0" w:space="0" w:color="auto"/>
                    <w:bottom w:val="none" w:sz="0" w:space="0" w:color="auto"/>
                    <w:right w:val="none" w:sz="0" w:space="0" w:color="auto"/>
                  </w:divBdr>
                  <w:divsChild>
                    <w:div w:id="1049039211">
                      <w:marLeft w:val="0"/>
                      <w:marRight w:val="0"/>
                      <w:marTop w:val="0"/>
                      <w:marBottom w:val="0"/>
                      <w:divBdr>
                        <w:top w:val="none" w:sz="0" w:space="0" w:color="auto"/>
                        <w:left w:val="none" w:sz="0" w:space="0" w:color="auto"/>
                        <w:bottom w:val="none" w:sz="0" w:space="0" w:color="auto"/>
                        <w:right w:val="none" w:sz="0" w:space="0" w:color="auto"/>
                      </w:divBdr>
                      <w:divsChild>
                        <w:div w:id="1490513285">
                          <w:marLeft w:val="0"/>
                          <w:marRight w:val="0"/>
                          <w:marTop w:val="0"/>
                          <w:marBottom w:val="0"/>
                          <w:divBdr>
                            <w:top w:val="none" w:sz="0" w:space="0" w:color="auto"/>
                            <w:left w:val="none" w:sz="0" w:space="0" w:color="auto"/>
                            <w:bottom w:val="none" w:sz="0" w:space="0" w:color="auto"/>
                            <w:right w:val="none" w:sz="0" w:space="0" w:color="auto"/>
                          </w:divBdr>
                          <w:divsChild>
                            <w:div w:id="1077626911">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6122420">
      <w:bodyDiv w:val="1"/>
      <w:marLeft w:val="0"/>
      <w:marRight w:val="0"/>
      <w:marTop w:val="0"/>
      <w:marBottom w:val="0"/>
      <w:divBdr>
        <w:top w:val="none" w:sz="0" w:space="0" w:color="auto"/>
        <w:left w:val="none" w:sz="0" w:space="0" w:color="auto"/>
        <w:bottom w:val="none" w:sz="0" w:space="0" w:color="auto"/>
        <w:right w:val="none" w:sz="0" w:space="0" w:color="auto"/>
      </w:divBdr>
      <w:divsChild>
        <w:div w:id="1311405633">
          <w:marLeft w:val="0"/>
          <w:marRight w:val="0"/>
          <w:marTop w:val="0"/>
          <w:marBottom w:val="0"/>
          <w:divBdr>
            <w:top w:val="none" w:sz="0" w:space="0" w:color="auto"/>
            <w:left w:val="none" w:sz="0" w:space="0" w:color="auto"/>
            <w:bottom w:val="none" w:sz="0" w:space="0" w:color="auto"/>
            <w:right w:val="none" w:sz="0" w:space="0" w:color="auto"/>
          </w:divBdr>
          <w:divsChild>
            <w:div w:id="357123449">
              <w:marLeft w:val="0"/>
              <w:marRight w:val="0"/>
              <w:marTop w:val="0"/>
              <w:marBottom w:val="0"/>
              <w:divBdr>
                <w:top w:val="none" w:sz="0" w:space="0" w:color="auto"/>
                <w:left w:val="none" w:sz="0" w:space="0" w:color="auto"/>
                <w:bottom w:val="none" w:sz="0" w:space="0" w:color="auto"/>
                <w:right w:val="none" w:sz="0" w:space="0" w:color="auto"/>
              </w:divBdr>
              <w:divsChild>
                <w:div w:id="1449081560">
                  <w:marLeft w:val="0"/>
                  <w:marRight w:val="0"/>
                  <w:marTop w:val="0"/>
                  <w:marBottom w:val="0"/>
                  <w:divBdr>
                    <w:top w:val="none" w:sz="0" w:space="0" w:color="auto"/>
                    <w:left w:val="none" w:sz="0" w:space="0" w:color="auto"/>
                    <w:bottom w:val="none" w:sz="0" w:space="0" w:color="auto"/>
                    <w:right w:val="none" w:sz="0" w:space="0" w:color="auto"/>
                  </w:divBdr>
                  <w:divsChild>
                    <w:div w:id="1912226429">
                      <w:marLeft w:val="0"/>
                      <w:marRight w:val="0"/>
                      <w:marTop w:val="0"/>
                      <w:marBottom w:val="0"/>
                      <w:divBdr>
                        <w:top w:val="none" w:sz="0" w:space="0" w:color="auto"/>
                        <w:left w:val="none" w:sz="0" w:space="0" w:color="auto"/>
                        <w:bottom w:val="none" w:sz="0" w:space="0" w:color="auto"/>
                        <w:right w:val="none" w:sz="0" w:space="0" w:color="auto"/>
                      </w:divBdr>
                      <w:divsChild>
                        <w:div w:id="1335916212">
                          <w:marLeft w:val="0"/>
                          <w:marRight w:val="0"/>
                          <w:marTop w:val="0"/>
                          <w:marBottom w:val="0"/>
                          <w:divBdr>
                            <w:top w:val="none" w:sz="0" w:space="0" w:color="auto"/>
                            <w:left w:val="none" w:sz="0" w:space="0" w:color="auto"/>
                            <w:bottom w:val="none" w:sz="0" w:space="0" w:color="auto"/>
                            <w:right w:val="none" w:sz="0" w:space="0" w:color="auto"/>
                          </w:divBdr>
                          <w:divsChild>
                            <w:div w:id="895551731">
                              <w:marLeft w:val="360"/>
                              <w:marRight w:val="0"/>
                              <w:marTop w:val="0"/>
                              <w:marBottom w:val="600"/>
                              <w:divBdr>
                                <w:top w:val="none" w:sz="0" w:space="0" w:color="auto"/>
                                <w:left w:val="none" w:sz="0" w:space="0" w:color="auto"/>
                                <w:bottom w:val="none" w:sz="0" w:space="0" w:color="auto"/>
                                <w:right w:val="none" w:sz="0" w:space="0" w:color="auto"/>
                              </w:divBdr>
                              <w:divsChild>
                                <w:div w:id="89861398">
                                  <w:marLeft w:val="0"/>
                                  <w:marRight w:val="0"/>
                                  <w:marTop w:val="0"/>
                                  <w:marBottom w:val="0"/>
                                  <w:divBdr>
                                    <w:top w:val="none" w:sz="0" w:space="0" w:color="auto"/>
                                    <w:left w:val="none" w:sz="0" w:space="0" w:color="auto"/>
                                    <w:bottom w:val="none" w:sz="0" w:space="0" w:color="auto"/>
                                    <w:right w:val="none" w:sz="0" w:space="0" w:color="auto"/>
                                  </w:divBdr>
                                  <w:divsChild>
                                    <w:div w:id="102636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3745351">
      <w:bodyDiv w:val="1"/>
      <w:marLeft w:val="0"/>
      <w:marRight w:val="0"/>
      <w:marTop w:val="0"/>
      <w:marBottom w:val="0"/>
      <w:divBdr>
        <w:top w:val="none" w:sz="0" w:space="0" w:color="auto"/>
        <w:left w:val="none" w:sz="0" w:space="0" w:color="auto"/>
        <w:bottom w:val="none" w:sz="0" w:space="0" w:color="auto"/>
        <w:right w:val="none" w:sz="0" w:space="0" w:color="auto"/>
      </w:divBdr>
      <w:divsChild>
        <w:div w:id="1667591998">
          <w:marLeft w:val="0"/>
          <w:marRight w:val="0"/>
          <w:marTop w:val="0"/>
          <w:marBottom w:val="0"/>
          <w:divBdr>
            <w:top w:val="none" w:sz="0" w:space="0" w:color="auto"/>
            <w:left w:val="none" w:sz="0" w:space="0" w:color="auto"/>
            <w:bottom w:val="none" w:sz="0" w:space="0" w:color="auto"/>
            <w:right w:val="none" w:sz="0" w:space="0" w:color="auto"/>
          </w:divBdr>
          <w:divsChild>
            <w:div w:id="1771585473">
              <w:marLeft w:val="0"/>
              <w:marRight w:val="0"/>
              <w:marTop w:val="0"/>
              <w:marBottom w:val="0"/>
              <w:divBdr>
                <w:top w:val="none" w:sz="0" w:space="0" w:color="auto"/>
                <w:left w:val="none" w:sz="0" w:space="0" w:color="auto"/>
                <w:bottom w:val="none" w:sz="0" w:space="0" w:color="auto"/>
                <w:right w:val="none" w:sz="0" w:space="0" w:color="auto"/>
              </w:divBdr>
              <w:divsChild>
                <w:div w:id="608777839">
                  <w:marLeft w:val="0"/>
                  <w:marRight w:val="0"/>
                  <w:marTop w:val="0"/>
                  <w:marBottom w:val="0"/>
                  <w:divBdr>
                    <w:top w:val="none" w:sz="0" w:space="0" w:color="auto"/>
                    <w:left w:val="none" w:sz="0" w:space="0" w:color="auto"/>
                    <w:bottom w:val="none" w:sz="0" w:space="0" w:color="auto"/>
                    <w:right w:val="none" w:sz="0" w:space="0" w:color="auto"/>
                  </w:divBdr>
                  <w:divsChild>
                    <w:div w:id="1940484885">
                      <w:marLeft w:val="0"/>
                      <w:marRight w:val="0"/>
                      <w:marTop w:val="0"/>
                      <w:marBottom w:val="0"/>
                      <w:divBdr>
                        <w:top w:val="none" w:sz="0" w:space="0" w:color="auto"/>
                        <w:left w:val="none" w:sz="0" w:space="0" w:color="auto"/>
                        <w:bottom w:val="none" w:sz="0" w:space="0" w:color="auto"/>
                        <w:right w:val="none" w:sz="0" w:space="0" w:color="auto"/>
                      </w:divBdr>
                      <w:divsChild>
                        <w:div w:id="1161312960">
                          <w:marLeft w:val="0"/>
                          <w:marRight w:val="0"/>
                          <w:marTop w:val="0"/>
                          <w:marBottom w:val="0"/>
                          <w:divBdr>
                            <w:top w:val="none" w:sz="0" w:space="0" w:color="auto"/>
                            <w:left w:val="none" w:sz="0" w:space="0" w:color="auto"/>
                            <w:bottom w:val="none" w:sz="0" w:space="0" w:color="auto"/>
                            <w:right w:val="none" w:sz="0" w:space="0" w:color="auto"/>
                          </w:divBdr>
                          <w:divsChild>
                            <w:div w:id="645941301">
                              <w:marLeft w:val="0"/>
                              <w:marRight w:val="0"/>
                              <w:marTop w:val="0"/>
                              <w:marBottom w:val="0"/>
                              <w:divBdr>
                                <w:top w:val="none" w:sz="0" w:space="0" w:color="auto"/>
                                <w:left w:val="none" w:sz="0" w:space="0" w:color="auto"/>
                                <w:bottom w:val="none" w:sz="0" w:space="0" w:color="auto"/>
                                <w:right w:val="none" w:sz="0" w:space="0" w:color="auto"/>
                              </w:divBdr>
                              <w:divsChild>
                                <w:div w:id="2004316359">
                                  <w:marLeft w:val="0"/>
                                  <w:marRight w:val="0"/>
                                  <w:marTop w:val="0"/>
                                  <w:marBottom w:val="0"/>
                                  <w:divBdr>
                                    <w:top w:val="none" w:sz="0" w:space="0" w:color="auto"/>
                                    <w:left w:val="none" w:sz="0" w:space="0" w:color="auto"/>
                                    <w:bottom w:val="none" w:sz="0" w:space="0" w:color="auto"/>
                                    <w:right w:val="none" w:sz="0" w:space="0" w:color="auto"/>
                                  </w:divBdr>
                                  <w:divsChild>
                                    <w:div w:id="1676180495">
                                      <w:marLeft w:val="0"/>
                                      <w:marRight w:val="0"/>
                                      <w:marTop w:val="0"/>
                                      <w:marBottom w:val="0"/>
                                      <w:divBdr>
                                        <w:top w:val="none" w:sz="0" w:space="0" w:color="auto"/>
                                        <w:left w:val="none" w:sz="0" w:space="0" w:color="auto"/>
                                        <w:bottom w:val="none" w:sz="0" w:space="0" w:color="auto"/>
                                        <w:right w:val="none" w:sz="0" w:space="0" w:color="auto"/>
                                      </w:divBdr>
                                      <w:divsChild>
                                        <w:div w:id="2032486981">
                                          <w:marLeft w:val="0"/>
                                          <w:marRight w:val="0"/>
                                          <w:marTop w:val="0"/>
                                          <w:marBottom w:val="0"/>
                                          <w:divBdr>
                                            <w:top w:val="none" w:sz="0" w:space="0" w:color="auto"/>
                                            <w:left w:val="none" w:sz="0" w:space="0" w:color="auto"/>
                                            <w:bottom w:val="none" w:sz="0" w:space="0" w:color="auto"/>
                                            <w:right w:val="none" w:sz="0" w:space="0" w:color="auto"/>
                                          </w:divBdr>
                                          <w:divsChild>
                                            <w:div w:id="486940013">
                                              <w:marLeft w:val="0"/>
                                              <w:marRight w:val="0"/>
                                              <w:marTop w:val="0"/>
                                              <w:marBottom w:val="0"/>
                                              <w:divBdr>
                                                <w:top w:val="none" w:sz="0" w:space="0" w:color="auto"/>
                                                <w:left w:val="none" w:sz="0" w:space="0" w:color="auto"/>
                                                <w:bottom w:val="none" w:sz="0" w:space="0" w:color="auto"/>
                                                <w:right w:val="none" w:sz="0" w:space="0" w:color="auto"/>
                                              </w:divBdr>
                                              <w:divsChild>
                                                <w:div w:id="256450189">
                                                  <w:marLeft w:val="0"/>
                                                  <w:marRight w:val="0"/>
                                                  <w:marTop w:val="0"/>
                                                  <w:marBottom w:val="0"/>
                                                  <w:divBdr>
                                                    <w:top w:val="none" w:sz="0" w:space="0" w:color="auto"/>
                                                    <w:left w:val="none" w:sz="0" w:space="0" w:color="auto"/>
                                                    <w:bottom w:val="none" w:sz="0" w:space="0" w:color="auto"/>
                                                    <w:right w:val="none" w:sz="0" w:space="0" w:color="auto"/>
                                                  </w:divBdr>
                                                  <w:divsChild>
                                                    <w:div w:id="1502356446">
                                                      <w:marLeft w:val="68"/>
                                                      <w:marRight w:val="68"/>
                                                      <w:marTop w:val="68"/>
                                                      <w:marBottom w:val="6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5905103">
      <w:bodyDiv w:val="1"/>
      <w:marLeft w:val="0"/>
      <w:marRight w:val="0"/>
      <w:marTop w:val="0"/>
      <w:marBottom w:val="0"/>
      <w:divBdr>
        <w:top w:val="none" w:sz="0" w:space="0" w:color="auto"/>
        <w:left w:val="none" w:sz="0" w:space="0" w:color="auto"/>
        <w:bottom w:val="none" w:sz="0" w:space="0" w:color="auto"/>
        <w:right w:val="none" w:sz="0" w:space="0" w:color="auto"/>
      </w:divBdr>
      <w:divsChild>
        <w:div w:id="1959943820">
          <w:marLeft w:val="0"/>
          <w:marRight w:val="0"/>
          <w:marTop w:val="0"/>
          <w:marBottom w:val="0"/>
          <w:divBdr>
            <w:top w:val="none" w:sz="0" w:space="0" w:color="auto"/>
            <w:left w:val="none" w:sz="0" w:space="0" w:color="auto"/>
            <w:bottom w:val="none" w:sz="0" w:space="0" w:color="auto"/>
            <w:right w:val="none" w:sz="0" w:space="0" w:color="auto"/>
          </w:divBdr>
          <w:divsChild>
            <w:div w:id="1960337231">
              <w:marLeft w:val="0"/>
              <w:marRight w:val="0"/>
              <w:marTop w:val="0"/>
              <w:marBottom w:val="0"/>
              <w:divBdr>
                <w:top w:val="none" w:sz="0" w:space="0" w:color="auto"/>
                <w:left w:val="none" w:sz="0" w:space="0" w:color="auto"/>
                <w:bottom w:val="none" w:sz="0" w:space="0" w:color="auto"/>
                <w:right w:val="none" w:sz="0" w:space="0" w:color="auto"/>
              </w:divBdr>
              <w:divsChild>
                <w:div w:id="2005737784">
                  <w:marLeft w:val="0"/>
                  <w:marRight w:val="0"/>
                  <w:marTop w:val="100"/>
                  <w:marBottom w:val="100"/>
                  <w:divBdr>
                    <w:top w:val="none" w:sz="0" w:space="0" w:color="auto"/>
                    <w:left w:val="none" w:sz="0" w:space="0" w:color="auto"/>
                    <w:bottom w:val="none" w:sz="0" w:space="0" w:color="auto"/>
                    <w:right w:val="none" w:sz="0" w:space="0" w:color="auto"/>
                  </w:divBdr>
                  <w:divsChild>
                    <w:div w:id="1449621515">
                      <w:marLeft w:val="0"/>
                      <w:marRight w:val="0"/>
                      <w:marTop w:val="0"/>
                      <w:marBottom w:val="0"/>
                      <w:divBdr>
                        <w:top w:val="none" w:sz="0" w:space="0" w:color="auto"/>
                        <w:left w:val="none" w:sz="0" w:space="0" w:color="auto"/>
                        <w:bottom w:val="none" w:sz="0" w:space="0" w:color="auto"/>
                        <w:right w:val="none" w:sz="0" w:space="0" w:color="auto"/>
                      </w:divBdr>
                      <w:divsChild>
                        <w:div w:id="554632808">
                          <w:marLeft w:val="0"/>
                          <w:marRight w:val="0"/>
                          <w:marTop w:val="0"/>
                          <w:marBottom w:val="0"/>
                          <w:divBdr>
                            <w:top w:val="none" w:sz="0" w:space="0" w:color="auto"/>
                            <w:left w:val="none" w:sz="0" w:space="0" w:color="auto"/>
                            <w:bottom w:val="none" w:sz="0" w:space="0" w:color="auto"/>
                            <w:right w:val="none" w:sz="0" w:space="0" w:color="auto"/>
                          </w:divBdr>
                          <w:divsChild>
                            <w:div w:id="418674120">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862680">
      <w:bodyDiv w:val="1"/>
      <w:marLeft w:val="0"/>
      <w:marRight w:val="0"/>
      <w:marTop w:val="0"/>
      <w:marBottom w:val="0"/>
      <w:divBdr>
        <w:top w:val="none" w:sz="0" w:space="0" w:color="auto"/>
        <w:left w:val="none" w:sz="0" w:space="0" w:color="auto"/>
        <w:bottom w:val="none" w:sz="0" w:space="0" w:color="auto"/>
        <w:right w:val="none" w:sz="0" w:space="0" w:color="auto"/>
      </w:divBdr>
    </w:div>
    <w:div w:id="1258903960">
      <w:bodyDiv w:val="1"/>
      <w:marLeft w:val="0"/>
      <w:marRight w:val="0"/>
      <w:marTop w:val="0"/>
      <w:marBottom w:val="0"/>
      <w:divBdr>
        <w:top w:val="none" w:sz="0" w:space="0" w:color="auto"/>
        <w:left w:val="none" w:sz="0" w:space="0" w:color="auto"/>
        <w:bottom w:val="none" w:sz="0" w:space="0" w:color="auto"/>
        <w:right w:val="none" w:sz="0" w:space="0" w:color="auto"/>
      </w:divBdr>
    </w:div>
    <w:div w:id="1315140132">
      <w:bodyDiv w:val="1"/>
      <w:marLeft w:val="0"/>
      <w:marRight w:val="0"/>
      <w:marTop w:val="0"/>
      <w:marBottom w:val="0"/>
      <w:divBdr>
        <w:top w:val="none" w:sz="0" w:space="0" w:color="auto"/>
        <w:left w:val="none" w:sz="0" w:space="0" w:color="auto"/>
        <w:bottom w:val="none" w:sz="0" w:space="0" w:color="auto"/>
        <w:right w:val="none" w:sz="0" w:space="0" w:color="auto"/>
      </w:divBdr>
    </w:div>
    <w:div w:id="1544949075">
      <w:bodyDiv w:val="1"/>
      <w:marLeft w:val="0"/>
      <w:marRight w:val="0"/>
      <w:marTop w:val="0"/>
      <w:marBottom w:val="0"/>
      <w:divBdr>
        <w:top w:val="none" w:sz="0" w:space="0" w:color="auto"/>
        <w:left w:val="none" w:sz="0" w:space="0" w:color="auto"/>
        <w:bottom w:val="none" w:sz="0" w:space="0" w:color="auto"/>
        <w:right w:val="none" w:sz="0" w:space="0" w:color="auto"/>
      </w:divBdr>
    </w:div>
    <w:div w:id="1774089231">
      <w:bodyDiv w:val="1"/>
      <w:marLeft w:val="0"/>
      <w:marRight w:val="0"/>
      <w:marTop w:val="0"/>
      <w:marBottom w:val="0"/>
      <w:divBdr>
        <w:top w:val="none" w:sz="0" w:space="0" w:color="auto"/>
        <w:left w:val="none" w:sz="0" w:space="0" w:color="auto"/>
        <w:bottom w:val="none" w:sz="0" w:space="0" w:color="auto"/>
        <w:right w:val="none" w:sz="0" w:space="0" w:color="auto"/>
      </w:divBdr>
      <w:divsChild>
        <w:div w:id="447969468">
          <w:marLeft w:val="0"/>
          <w:marRight w:val="0"/>
          <w:marTop w:val="0"/>
          <w:marBottom w:val="0"/>
          <w:divBdr>
            <w:top w:val="none" w:sz="0" w:space="0" w:color="auto"/>
            <w:left w:val="none" w:sz="0" w:space="0" w:color="auto"/>
            <w:bottom w:val="none" w:sz="0" w:space="0" w:color="auto"/>
            <w:right w:val="none" w:sz="0" w:space="0" w:color="auto"/>
          </w:divBdr>
          <w:divsChild>
            <w:div w:id="936986213">
              <w:marLeft w:val="0"/>
              <w:marRight w:val="0"/>
              <w:marTop w:val="0"/>
              <w:marBottom w:val="0"/>
              <w:divBdr>
                <w:top w:val="none" w:sz="0" w:space="0" w:color="auto"/>
                <w:left w:val="none" w:sz="0" w:space="0" w:color="auto"/>
                <w:bottom w:val="none" w:sz="0" w:space="0" w:color="auto"/>
                <w:right w:val="none" w:sz="0" w:space="0" w:color="auto"/>
              </w:divBdr>
              <w:divsChild>
                <w:div w:id="1930309423">
                  <w:marLeft w:val="0"/>
                  <w:marRight w:val="0"/>
                  <w:marTop w:val="0"/>
                  <w:marBottom w:val="0"/>
                  <w:divBdr>
                    <w:top w:val="none" w:sz="0" w:space="0" w:color="auto"/>
                    <w:left w:val="none" w:sz="0" w:space="0" w:color="auto"/>
                    <w:bottom w:val="none" w:sz="0" w:space="0" w:color="auto"/>
                    <w:right w:val="none" w:sz="0" w:space="0" w:color="auto"/>
                  </w:divBdr>
                  <w:divsChild>
                    <w:div w:id="908274400">
                      <w:marLeft w:val="0"/>
                      <w:marRight w:val="0"/>
                      <w:marTop w:val="0"/>
                      <w:marBottom w:val="0"/>
                      <w:divBdr>
                        <w:top w:val="none" w:sz="0" w:space="0" w:color="auto"/>
                        <w:left w:val="none" w:sz="0" w:space="0" w:color="auto"/>
                        <w:bottom w:val="none" w:sz="0" w:space="0" w:color="auto"/>
                        <w:right w:val="none" w:sz="0" w:space="0" w:color="auto"/>
                      </w:divBdr>
                      <w:divsChild>
                        <w:div w:id="1249266441">
                          <w:marLeft w:val="0"/>
                          <w:marRight w:val="0"/>
                          <w:marTop w:val="0"/>
                          <w:marBottom w:val="0"/>
                          <w:divBdr>
                            <w:top w:val="none" w:sz="0" w:space="0" w:color="auto"/>
                            <w:left w:val="none" w:sz="0" w:space="0" w:color="auto"/>
                            <w:bottom w:val="none" w:sz="0" w:space="0" w:color="auto"/>
                            <w:right w:val="none" w:sz="0" w:space="0" w:color="auto"/>
                          </w:divBdr>
                          <w:divsChild>
                            <w:div w:id="196411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236464">
      <w:bodyDiv w:val="1"/>
      <w:marLeft w:val="0"/>
      <w:marRight w:val="0"/>
      <w:marTop w:val="0"/>
      <w:marBottom w:val="0"/>
      <w:divBdr>
        <w:top w:val="none" w:sz="0" w:space="0" w:color="auto"/>
        <w:left w:val="none" w:sz="0" w:space="0" w:color="auto"/>
        <w:bottom w:val="none" w:sz="0" w:space="0" w:color="auto"/>
        <w:right w:val="none" w:sz="0" w:space="0" w:color="auto"/>
      </w:divBdr>
    </w:div>
    <w:div w:id="2020496678">
      <w:bodyDiv w:val="1"/>
      <w:marLeft w:val="0"/>
      <w:marRight w:val="0"/>
      <w:marTop w:val="0"/>
      <w:marBottom w:val="0"/>
      <w:divBdr>
        <w:top w:val="none" w:sz="0" w:space="0" w:color="auto"/>
        <w:left w:val="none" w:sz="0" w:space="0" w:color="auto"/>
        <w:bottom w:val="none" w:sz="0" w:space="0" w:color="auto"/>
        <w:right w:val="none" w:sz="0" w:space="0" w:color="auto"/>
      </w:divBdr>
    </w:div>
    <w:div w:id="2026663361">
      <w:bodyDiv w:val="1"/>
      <w:marLeft w:val="0"/>
      <w:marRight w:val="0"/>
      <w:marTop w:val="0"/>
      <w:marBottom w:val="0"/>
      <w:divBdr>
        <w:top w:val="none" w:sz="0" w:space="0" w:color="auto"/>
        <w:left w:val="none" w:sz="0" w:space="0" w:color="auto"/>
        <w:bottom w:val="none" w:sz="0" w:space="0" w:color="auto"/>
        <w:right w:val="none" w:sz="0" w:space="0" w:color="auto"/>
      </w:divBdr>
      <w:divsChild>
        <w:div w:id="761268021">
          <w:marLeft w:val="0"/>
          <w:marRight w:val="0"/>
          <w:marTop w:val="0"/>
          <w:marBottom w:val="0"/>
          <w:divBdr>
            <w:top w:val="none" w:sz="0" w:space="0" w:color="auto"/>
            <w:left w:val="none" w:sz="0" w:space="0" w:color="auto"/>
            <w:bottom w:val="none" w:sz="0" w:space="0" w:color="auto"/>
            <w:right w:val="none" w:sz="0" w:space="0" w:color="auto"/>
          </w:divBdr>
          <w:divsChild>
            <w:div w:id="1207181656">
              <w:marLeft w:val="0"/>
              <w:marRight w:val="0"/>
              <w:marTop w:val="0"/>
              <w:marBottom w:val="0"/>
              <w:divBdr>
                <w:top w:val="none" w:sz="0" w:space="0" w:color="auto"/>
                <w:left w:val="none" w:sz="0" w:space="0" w:color="auto"/>
                <w:bottom w:val="none" w:sz="0" w:space="0" w:color="auto"/>
                <w:right w:val="none" w:sz="0" w:space="0" w:color="auto"/>
              </w:divBdr>
              <w:divsChild>
                <w:div w:id="423887320">
                  <w:marLeft w:val="0"/>
                  <w:marRight w:val="0"/>
                  <w:marTop w:val="0"/>
                  <w:marBottom w:val="0"/>
                  <w:divBdr>
                    <w:top w:val="none" w:sz="0" w:space="0" w:color="auto"/>
                    <w:left w:val="none" w:sz="0" w:space="0" w:color="auto"/>
                    <w:bottom w:val="none" w:sz="0" w:space="0" w:color="auto"/>
                    <w:right w:val="none" w:sz="0" w:space="0" w:color="auto"/>
                  </w:divBdr>
                  <w:divsChild>
                    <w:div w:id="1608587350">
                      <w:marLeft w:val="0"/>
                      <w:marRight w:val="0"/>
                      <w:marTop w:val="0"/>
                      <w:marBottom w:val="0"/>
                      <w:divBdr>
                        <w:top w:val="none" w:sz="0" w:space="0" w:color="auto"/>
                        <w:left w:val="none" w:sz="0" w:space="0" w:color="auto"/>
                        <w:bottom w:val="none" w:sz="0" w:space="0" w:color="auto"/>
                        <w:right w:val="none" w:sz="0" w:space="0" w:color="auto"/>
                      </w:divBdr>
                      <w:divsChild>
                        <w:div w:id="1644694494">
                          <w:marLeft w:val="0"/>
                          <w:marRight w:val="0"/>
                          <w:marTop w:val="0"/>
                          <w:marBottom w:val="0"/>
                          <w:divBdr>
                            <w:top w:val="none" w:sz="0" w:space="0" w:color="auto"/>
                            <w:left w:val="none" w:sz="0" w:space="0" w:color="auto"/>
                            <w:bottom w:val="none" w:sz="0" w:space="0" w:color="auto"/>
                            <w:right w:val="none" w:sz="0" w:space="0" w:color="auto"/>
                          </w:divBdr>
                          <w:divsChild>
                            <w:div w:id="1657148820">
                              <w:marLeft w:val="0"/>
                              <w:marRight w:val="0"/>
                              <w:marTop w:val="0"/>
                              <w:marBottom w:val="0"/>
                              <w:divBdr>
                                <w:top w:val="none" w:sz="0" w:space="0" w:color="auto"/>
                                <w:left w:val="none" w:sz="0" w:space="0" w:color="auto"/>
                                <w:bottom w:val="none" w:sz="0" w:space="0" w:color="auto"/>
                                <w:right w:val="none" w:sz="0" w:space="0" w:color="auto"/>
                              </w:divBdr>
                              <w:divsChild>
                                <w:div w:id="356351572">
                                  <w:marLeft w:val="136"/>
                                  <w:marRight w:val="34"/>
                                  <w:marTop w:val="0"/>
                                  <w:marBottom w:val="34"/>
                                  <w:divBdr>
                                    <w:top w:val="single" w:sz="2" w:space="0" w:color="999999"/>
                                    <w:left w:val="single" w:sz="2" w:space="2" w:color="999999"/>
                                    <w:bottom w:val="single" w:sz="2" w:space="0" w:color="999999"/>
                                    <w:right w:val="single" w:sz="2" w:space="2" w:color="999999"/>
                                  </w:divBdr>
                                </w:div>
                                <w:div w:id="2126078431">
                                  <w:marLeft w:val="0"/>
                                  <w:marRight w:val="0"/>
                                  <w:marTop w:val="0"/>
                                  <w:marBottom w:val="0"/>
                                  <w:divBdr>
                                    <w:top w:val="none" w:sz="0" w:space="0" w:color="auto"/>
                                    <w:left w:val="none" w:sz="0" w:space="0" w:color="auto"/>
                                    <w:bottom w:val="none" w:sz="0" w:space="0" w:color="auto"/>
                                    <w:right w:val="none" w:sz="0" w:space="0" w:color="auto"/>
                                  </w:divBdr>
                                </w:div>
                                <w:div w:id="1689327316">
                                  <w:marLeft w:val="0"/>
                                  <w:marRight w:val="0"/>
                                  <w:marTop w:val="0"/>
                                  <w:marBottom w:val="0"/>
                                  <w:divBdr>
                                    <w:top w:val="none" w:sz="0" w:space="0" w:color="auto"/>
                                    <w:left w:val="none" w:sz="0" w:space="0" w:color="auto"/>
                                    <w:bottom w:val="none" w:sz="0" w:space="0" w:color="auto"/>
                                    <w:right w:val="none" w:sz="0" w:space="0" w:color="auto"/>
                                  </w:divBdr>
                                  <w:divsChild>
                                    <w:div w:id="1521777400">
                                      <w:marLeft w:val="0"/>
                                      <w:marRight w:val="0"/>
                                      <w:marTop w:val="0"/>
                                      <w:marBottom w:val="0"/>
                                      <w:divBdr>
                                        <w:top w:val="none" w:sz="0" w:space="0" w:color="auto"/>
                                        <w:left w:val="none" w:sz="0" w:space="0" w:color="auto"/>
                                        <w:bottom w:val="none" w:sz="0" w:space="0" w:color="auto"/>
                                        <w:right w:val="none" w:sz="0" w:space="0" w:color="auto"/>
                                      </w:divBdr>
                                      <w:divsChild>
                                        <w:div w:id="613364805">
                                          <w:marLeft w:val="0"/>
                                          <w:marRight w:val="0"/>
                                          <w:marTop w:val="0"/>
                                          <w:marBottom w:val="0"/>
                                          <w:divBdr>
                                            <w:top w:val="none" w:sz="0" w:space="0" w:color="auto"/>
                                            <w:left w:val="none" w:sz="0" w:space="0" w:color="auto"/>
                                            <w:bottom w:val="none" w:sz="0" w:space="0" w:color="auto"/>
                                            <w:right w:val="none" w:sz="0" w:space="0" w:color="auto"/>
                                          </w:divBdr>
                                          <w:divsChild>
                                            <w:div w:id="1857383109">
                                              <w:marLeft w:val="0"/>
                                              <w:marRight w:val="0"/>
                                              <w:marTop w:val="0"/>
                                              <w:marBottom w:val="0"/>
                                              <w:divBdr>
                                                <w:top w:val="none" w:sz="0" w:space="0" w:color="auto"/>
                                                <w:left w:val="none" w:sz="0" w:space="0" w:color="auto"/>
                                                <w:bottom w:val="none" w:sz="0" w:space="0" w:color="auto"/>
                                                <w:right w:val="none" w:sz="0" w:space="0" w:color="auto"/>
                                              </w:divBdr>
                                              <w:divsChild>
                                                <w:div w:id="1256130728">
                                                  <w:marLeft w:val="0"/>
                                                  <w:marRight w:val="0"/>
                                                  <w:marTop w:val="0"/>
                                                  <w:marBottom w:val="0"/>
                                                  <w:divBdr>
                                                    <w:top w:val="none" w:sz="0" w:space="0" w:color="auto"/>
                                                    <w:left w:val="none" w:sz="0" w:space="0" w:color="auto"/>
                                                    <w:bottom w:val="none" w:sz="0" w:space="0" w:color="auto"/>
                                                    <w:right w:val="none" w:sz="0" w:space="0" w:color="auto"/>
                                                  </w:divBdr>
                                                  <w:divsChild>
                                                    <w:div w:id="878130565">
                                                      <w:marLeft w:val="0"/>
                                                      <w:marRight w:val="0"/>
                                                      <w:marTop w:val="0"/>
                                                      <w:marBottom w:val="0"/>
                                                      <w:divBdr>
                                                        <w:top w:val="none" w:sz="0" w:space="0" w:color="auto"/>
                                                        <w:left w:val="none" w:sz="0" w:space="0" w:color="auto"/>
                                                        <w:bottom w:val="none" w:sz="0" w:space="0" w:color="auto"/>
                                                        <w:right w:val="none" w:sz="0" w:space="0" w:color="auto"/>
                                                      </w:divBdr>
                                                    </w:div>
                                                    <w:div w:id="242109713">
                                                      <w:marLeft w:val="0"/>
                                                      <w:marRight w:val="0"/>
                                                      <w:marTop w:val="0"/>
                                                      <w:marBottom w:val="0"/>
                                                      <w:divBdr>
                                                        <w:top w:val="none" w:sz="0" w:space="0" w:color="auto"/>
                                                        <w:left w:val="none" w:sz="0" w:space="0" w:color="auto"/>
                                                        <w:bottom w:val="none" w:sz="0" w:space="0" w:color="auto"/>
                                                        <w:right w:val="none" w:sz="0" w:space="0" w:color="auto"/>
                                                      </w:divBdr>
                                                      <w:divsChild>
                                                        <w:div w:id="1356809868">
                                                          <w:marLeft w:val="0"/>
                                                          <w:marRight w:val="0"/>
                                                          <w:marTop w:val="0"/>
                                                          <w:marBottom w:val="0"/>
                                                          <w:divBdr>
                                                            <w:top w:val="none" w:sz="0" w:space="0" w:color="auto"/>
                                                            <w:left w:val="none" w:sz="0" w:space="0" w:color="auto"/>
                                                            <w:bottom w:val="none" w:sz="0" w:space="0" w:color="auto"/>
                                                            <w:right w:val="none" w:sz="0" w:space="0" w:color="auto"/>
                                                          </w:divBdr>
                                                        </w:div>
                                                      </w:divsChild>
                                                    </w:div>
                                                    <w:div w:id="1632206261">
                                                      <w:marLeft w:val="0"/>
                                                      <w:marRight w:val="0"/>
                                                      <w:marTop w:val="0"/>
                                                      <w:marBottom w:val="0"/>
                                                      <w:divBdr>
                                                        <w:top w:val="none" w:sz="0" w:space="0" w:color="auto"/>
                                                        <w:left w:val="none" w:sz="0" w:space="0" w:color="auto"/>
                                                        <w:bottom w:val="none" w:sz="0" w:space="0" w:color="auto"/>
                                                        <w:right w:val="none" w:sz="0" w:space="0" w:color="auto"/>
                                                      </w:divBdr>
                                                      <w:divsChild>
                                                        <w:div w:id="824008867">
                                                          <w:marLeft w:val="0"/>
                                                          <w:marRight w:val="0"/>
                                                          <w:marTop w:val="0"/>
                                                          <w:marBottom w:val="0"/>
                                                          <w:divBdr>
                                                            <w:top w:val="none" w:sz="0" w:space="0" w:color="auto"/>
                                                            <w:left w:val="none" w:sz="0" w:space="0" w:color="auto"/>
                                                            <w:bottom w:val="none" w:sz="0" w:space="0" w:color="auto"/>
                                                            <w:right w:val="none" w:sz="0" w:space="0" w:color="auto"/>
                                                          </w:divBdr>
                                                        </w:div>
                                                      </w:divsChild>
                                                    </w:div>
                                                    <w:div w:id="1919439474">
                                                      <w:marLeft w:val="0"/>
                                                      <w:marRight w:val="0"/>
                                                      <w:marTop w:val="0"/>
                                                      <w:marBottom w:val="0"/>
                                                      <w:divBdr>
                                                        <w:top w:val="none" w:sz="0" w:space="0" w:color="auto"/>
                                                        <w:left w:val="none" w:sz="0" w:space="0" w:color="auto"/>
                                                        <w:bottom w:val="none" w:sz="0" w:space="0" w:color="auto"/>
                                                        <w:right w:val="none" w:sz="0" w:space="0" w:color="auto"/>
                                                      </w:divBdr>
                                                      <w:divsChild>
                                                        <w:div w:id="890773442">
                                                          <w:marLeft w:val="0"/>
                                                          <w:marRight w:val="0"/>
                                                          <w:marTop w:val="0"/>
                                                          <w:marBottom w:val="0"/>
                                                          <w:divBdr>
                                                            <w:top w:val="none" w:sz="0" w:space="0" w:color="auto"/>
                                                            <w:left w:val="none" w:sz="0" w:space="0" w:color="auto"/>
                                                            <w:bottom w:val="none" w:sz="0" w:space="0" w:color="auto"/>
                                                            <w:right w:val="none" w:sz="0" w:space="0" w:color="auto"/>
                                                          </w:divBdr>
                                                        </w:div>
                                                      </w:divsChild>
                                                    </w:div>
                                                    <w:div w:id="1764764797">
                                                      <w:marLeft w:val="0"/>
                                                      <w:marRight w:val="0"/>
                                                      <w:marTop w:val="0"/>
                                                      <w:marBottom w:val="0"/>
                                                      <w:divBdr>
                                                        <w:top w:val="none" w:sz="0" w:space="0" w:color="auto"/>
                                                        <w:left w:val="none" w:sz="0" w:space="0" w:color="auto"/>
                                                        <w:bottom w:val="none" w:sz="0" w:space="0" w:color="auto"/>
                                                        <w:right w:val="none" w:sz="0" w:space="0" w:color="auto"/>
                                                      </w:divBdr>
                                                      <w:divsChild>
                                                        <w:div w:id="1224559404">
                                                          <w:marLeft w:val="0"/>
                                                          <w:marRight w:val="0"/>
                                                          <w:marTop w:val="0"/>
                                                          <w:marBottom w:val="0"/>
                                                          <w:divBdr>
                                                            <w:top w:val="none" w:sz="0" w:space="0" w:color="auto"/>
                                                            <w:left w:val="none" w:sz="0" w:space="0" w:color="auto"/>
                                                            <w:bottom w:val="none" w:sz="0" w:space="0" w:color="auto"/>
                                                            <w:right w:val="none" w:sz="0" w:space="0" w:color="auto"/>
                                                          </w:divBdr>
                                                          <w:divsChild>
                                                            <w:div w:id="2075160454">
                                                              <w:marLeft w:val="0"/>
                                                              <w:marRight w:val="0"/>
                                                              <w:marTop w:val="0"/>
                                                              <w:marBottom w:val="0"/>
                                                              <w:divBdr>
                                                                <w:top w:val="none" w:sz="0" w:space="0" w:color="auto"/>
                                                                <w:left w:val="none" w:sz="0" w:space="0" w:color="auto"/>
                                                                <w:bottom w:val="none" w:sz="0" w:space="0" w:color="auto"/>
                                                                <w:right w:val="none" w:sz="0" w:space="0" w:color="auto"/>
                                                              </w:divBdr>
                                                            </w:div>
                                                            <w:div w:id="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03399">
                                                      <w:marLeft w:val="0"/>
                                                      <w:marRight w:val="0"/>
                                                      <w:marTop w:val="0"/>
                                                      <w:marBottom w:val="0"/>
                                                      <w:divBdr>
                                                        <w:top w:val="none" w:sz="0" w:space="0" w:color="auto"/>
                                                        <w:left w:val="none" w:sz="0" w:space="0" w:color="auto"/>
                                                        <w:bottom w:val="none" w:sz="0" w:space="0" w:color="auto"/>
                                                        <w:right w:val="none" w:sz="0" w:space="0" w:color="auto"/>
                                                      </w:divBdr>
                                                      <w:divsChild>
                                                        <w:div w:id="1279029666">
                                                          <w:marLeft w:val="0"/>
                                                          <w:marRight w:val="0"/>
                                                          <w:marTop w:val="0"/>
                                                          <w:marBottom w:val="0"/>
                                                          <w:divBdr>
                                                            <w:top w:val="none" w:sz="0" w:space="0" w:color="auto"/>
                                                            <w:left w:val="none" w:sz="0" w:space="0" w:color="auto"/>
                                                            <w:bottom w:val="none" w:sz="0" w:space="0" w:color="auto"/>
                                                            <w:right w:val="none" w:sz="0" w:space="0" w:color="auto"/>
                                                          </w:divBdr>
                                                        </w:div>
                                                      </w:divsChild>
                                                    </w:div>
                                                    <w:div w:id="488061398">
                                                      <w:marLeft w:val="0"/>
                                                      <w:marRight w:val="0"/>
                                                      <w:marTop w:val="0"/>
                                                      <w:marBottom w:val="0"/>
                                                      <w:divBdr>
                                                        <w:top w:val="none" w:sz="0" w:space="0" w:color="auto"/>
                                                        <w:left w:val="none" w:sz="0" w:space="0" w:color="auto"/>
                                                        <w:bottom w:val="none" w:sz="0" w:space="0" w:color="auto"/>
                                                        <w:right w:val="none" w:sz="0" w:space="0" w:color="auto"/>
                                                      </w:divBdr>
                                                      <w:divsChild>
                                                        <w:div w:id="59789562">
                                                          <w:marLeft w:val="0"/>
                                                          <w:marRight w:val="0"/>
                                                          <w:marTop w:val="0"/>
                                                          <w:marBottom w:val="0"/>
                                                          <w:divBdr>
                                                            <w:top w:val="none" w:sz="0" w:space="0" w:color="auto"/>
                                                            <w:left w:val="none" w:sz="0" w:space="0" w:color="auto"/>
                                                            <w:bottom w:val="none" w:sz="0" w:space="0" w:color="auto"/>
                                                            <w:right w:val="none" w:sz="0" w:space="0" w:color="auto"/>
                                                          </w:divBdr>
                                                        </w:div>
                                                      </w:divsChild>
                                                    </w:div>
                                                    <w:div w:id="1889760110">
                                                      <w:marLeft w:val="0"/>
                                                      <w:marRight w:val="0"/>
                                                      <w:marTop w:val="0"/>
                                                      <w:marBottom w:val="0"/>
                                                      <w:divBdr>
                                                        <w:top w:val="none" w:sz="0" w:space="0" w:color="auto"/>
                                                        <w:left w:val="none" w:sz="0" w:space="0" w:color="auto"/>
                                                        <w:bottom w:val="none" w:sz="0" w:space="0" w:color="auto"/>
                                                        <w:right w:val="none" w:sz="0" w:space="0" w:color="auto"/>
                                                      </w:divBdr>
                                                    </w:div>
                                                    <w:div w:id="1695963176">
                                                      <w:marLeft w:val="0"/>
                                                      <w:marRight w:val="0"/>
                                                      <w:marTop w:val="0"/>
                                                      <w:marBottom w:val="0"/>
                                                      <w:divBdr>
                                                        <w:top w:val="none" w:sz="0" w:space="0" w:color="auto"/>
                                                        <w:left w:val="none" w:sz="0" w:space="0" w:color="auto"/>
                                                        <w:bottom w:val="none" w:sz="0" w:space="0" w:color="auto"/>
                                                        <w:right w:val="none" w:sz="0" w:space="0" w:color="auto"/>
                                                      </w:divBdr>
                                                      <w:divsChild>
                                                        <w:div w:id="63065199">
                                                          <w:marLeft w:val="0"/>
                                                          <w:marRight w:val="0"/>
                                                          <w:marTop w:val="0"/>
                                                          <w:marBottom w:val="0"/>
                                                          <w:divBdr>
                                                            <w:top w:val="none" w:sz="0" w:space="0" w:color="auto"/>
                                                            <w:left w:val="none" w:sz="0" w:space="0" w:color="auto"/>
                                                            <w:bottom w:val="none" w:sz="0" w:space="0" w:color="auto"/>
                                                            <w:right w:val="none" w:sz="0" w:space="0" w:color="auto"/>
                                                          </w:divBdr>
                                                        </w:div>
                                                      </w:divsChild>
                                                    </w:div>
                                                    <w:div w:id="1469201892">
                                                      <w:marLeft w:val="0"/>
                                                      <w:marRight w:val="0"/>
                                                      <w:marTop w:val="0"/>
                                                      <w:marBottom w:val="0"/>
                                                      <w:divBdr>
                                                        <w:top w:val="none" w:sz="0" w:space="0" w:color="auto"/>
                                                        <w:left w:val="none" w:sz="0" w:space="0" w:color="auto"/>
                                                        <w:bottom w:val="none" w:sz="0" w:space="0" w:color="auto"/>
                                                        <w:right w:val="none" w:sz="0" w:space="0" w:color="auto"/>
                                                      </w:divBdr>
                                                      <w:divsChild>
                                                        <w:div w:id="162405453">
                                                          <w:marLeft w:val="0"/>
                                                          <w:marRight w:val="0"/>
                                                          <w:marTop w:val="0"/>
                                                          <w:marBottom w:val="0"/>
                                                          <w:divBdr>
                                                            <w:top w:val="none" w:sz="0" w:space="0" w:color="auto"/>
                                                            <w:left w:val="none" w:sz="0" w:space="0" w:color="auto"/>
                                                            <w:bottom w:val="none" w:sz="0" w:space="0" w:color="auto"/>
                                                            <w:right w:val="none" w:sz="0" w:space="0" w:color="auto"/>
                                                          </w:divBdr>
                                                        </w:div>
                                                      </w:divsChild>
                                                    </w:div>
                                                    <w:div w:id="537401976">
                                                      <w:marLeft w:val="0"/>
                                                      <w:marRight w:val="0"/>
                                                      <w:marTop w:val="0"/>
                                                      <w:marBottom w:val="0"/>
                                                      <w:divBdr>
                                                        <w:top w:val="none" w:sz="0" w:space="0" w:color="auto"/>
                                                        <w:left w:val="none" w:sz="0" w:space="0" w:color="auto"/>
                                                        <w:bottom w:val="none" w:sz="0" w:space="0" w:color="auto"/>
                                                        <w:right w:val="none" w:sz="0" w:space="0" w:color="auto"/>
                                                      </w:divBdr>
                                                      <w:divsChild>
                                                        <w:div w:id="2015066612">
                                                          <w:marLeft w:val="0"/>
                                                          <w:marRight w:val="0"/>
                                                          <w:marTop w:val="0"/>
                                                          <w:marBottom w:val="0"/>
                                                          <w:divBdr>
                                                            <w:top w:val="none" w:sz="0" w:space="0" w:color="auto"/>
                                                            <w:left w:val="none" w:sz="0" w:space="0" w:color="auto"/>
                                                            <w:bottom w:val="none" w:sz="0" w:space="0" w:color="auto"/>
                                                            <w:right w:val="none" w:sz="0" w:space="0" w:color="auto"/>
                                                          </w:divBdr>
                                                        </w:div>
                                                      </w:divsChild>
                                                    </w:div>
                                                    <w:div w:id="1046757997">
                                                      <w:marLeft w:val="0"/>
                                                      <w:marRight w:val="0"/>
                                                      <w:marTop w:val="0"/>
                                                      <w:marBottom w:val="0"/>
                                                      <w:divBdr>
                                                        <w:top w:val="none" w:sz="0" w:space="0" w:color="auto"/>
                                                        <w:left w:val="none" w:sz="0" w:space="0" w:color="auto"/>
                                                        <w:bottom w:val="none" w:sz="0" w:space="0" w:color="auto"/>
                                                        <w:right w:val="none" w:sz="0" w:space="0" w:color="auto"/>
                                                      </w:divBdr>
                                                      <w:divsChild>
                                                        <w:div w:id="79565220">
                                                          <w:marLeft w:val="0"/>
                                                          <w:marRight w:val="0"/>
                                                          <w:marTop w:val="0"/>
                                                          <w:marBottom w:val="0"/>
                                                          <w:divBdr>
                                                            <w:top w:val="none" w:sz="0" w:space="0" w:color="auto"/>
                                                            <w:left w:val="none" w:sz="0" w:space="0" w:color="auto"/>
                                                            <w:bottom w:val="none" w:sz="0" w:space="0" w:color="auto"/>
                                                            <w:right w:val="none" w:sz="0" w:space="0" w:color="auto"/>
                                                          </w:divBdr>
                                                        </w:div>
                                                      </w:divsChild>
                                                    </w:div>
                                                    <w:div w:id="739710659">
                                                      <w:marLeft w:val="0"/>
                                                      <w:marRight w:val="0"/>
                                                      <w:marTop w:val="0"/>
                                                      <w:marBottom w:val="0"/>
                                                      <w:divBdr>
                                                        <w:top w:val="none" w:sz="0" w:space="0" w:color="auto"/>
                                                        <w:left w:val="none" w:sz="0" w:space="0" w:color="auto"/>
                                                        <w:bottom w:val="none" w:sz="0" w:space="0" w:color="auto"/>
                                                        <w:right w:val="none" w:sz="0" w:space="0" w:color="auto"/>
                                                      </w:divBdr>
                                                      <w:divsChild>
                                                        <w:div w:id="26613693">
                                                          <w:marLeft w:val="0"/>
                                                          <w:marRight w:val="0"/>
                                                          <w:marTop w:val="0"/>
                                                          <w:marBottom w:val="0"/>
                                                          <w:divBdr>
                                                            <w:top w:val="none" w:sz="0" w:space="0" w:color="auto"/>
                                                            <w:left w:val="none" w:sz="0" w:space="0" w:color="auto"/>
                                                            <w:bottom w:val="none" w:sz="0" w:space="0" w:color="auto"/>
                                                            <w:right w:val="none" w:sz="0" w:space="0" w:color="auto"/>
                                                          </w:divBdr>
                                                        </w:div>
                                                      </w:divsChild>
                                                    </w:div>
                                                    <w:div w:id="538862090">
                                                      <w:marLeft w:val="0"/>
                                                      <w:marRight w:val="0"/>
                                                      <w:marTop w:val="0"/>
                                                      <w:marBottom w:val="0"/>
                                                      <w:divBdr>
                                                        <w:top w:val="none" w:sz="0" w:space="0" w:color="auto"/>
                                                        <w:left w:val="none" w:sz="0" w:space="0" w:color="auto"/>
                                                        <w:bottom w:val="none" w:sz="0" w:space="0" w:color="auto"/>
                                                        <w:right w:val="none" w:sz="0" w:space="0" w:color="auto"/>
                                                      </w:divBdr>
                                                      <w:divsChild>
                                                        <w:div w:id="200057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278670">
                                                  <w:marLeft w:val="0"/>
                                                  <w:marRight w:val="0"/>
                                                  <w:marTop w:val="0"/>
                                                  <w:marBottom w:val="0"/>
                                                  <w:divBdr>
                                                    <w:top w:val="none" w:sz="0" w:space="0" w:color="auto"/>
                                                    <w:left w:val="none" w:sz="0" w:space="0" w:color="auto"/>
                                                    <w:bottom w:val="none" w:sz="0" w:space="0" w:color="auto"/>
                                                    <w:right w:val="none" w:sz="0" w:space="0" w:color="auto"/>
                                                  </w:divBdr>
                                                </w:div>
                                                <w:div w:id="51585636">
                                                  <w:marLeft w:val="0"/>
                                                  <w:marRight w:val="0"/>
                                                  <w:marTop w:val="0"/>
                                                  <w:marBottom w:val="0"/>
                                                  <w:divBdr>
                                                    <w:top w:val="none" w:sz="0" w:space="0" w:color="auto"/>
                                                    <w:left w:val="none" w:sz="0" w:space="0" w:color="auto"/>
                                                    <w:bottom w:val="none" w:sz="0" w:space="0" w:color="auto"/>
                                                    <w:right w:val="none" w:sz="0" w:space="0" w:color="auto"/>
                                                  </w:divBdr>
                                                  <w:divsChild>
                                                    <w:div w:id="1502356596">
                                                      <w:marLeft w:val="0"/>
                                                      <w:marRight w:val="0"/>
                                                      <w:marTop w:val="0"/>
                                                      <w:marBottom w:val="0"/>
                                                      <w:divBdr>
                                                        <w:top w:val="none" w:sz="0" w:space="0" w:color="auto"/>
                                                        <w:left w:val="none" w:sz="0" w:space="0" w:color="auto"/>
                                                        <w:bottom w:val="none" w:sz="0" w:space="0" w:color="auto"/>
                                                        <w:right w:val="none" w:sz="0" w:space="0" w:color="auto"/>
                                                      </w:divBdr>
                                                      <w:divsChild>
                                                        <w:div w:id="1348369168">
                                                          <w:marLeft w:val="0"/>
                                                          <w:marRight w:val="0"/>
                                                          <w:marTop w:val="0"/>
                                                          <w:marBottom w:val="0"/>
                                                          <w:divBdr>
                                                            <w:top w:val="none" w:sz="0" w:space="0" w:color="auto"/>
                                                            <w:left w:val="none" w:sz="0" w:space="0" w:color="auto"/>
                                                            <w:bottom w:val="none" w:sz="0" w:space="0" w:color="auto"/>
                                                            <w:right w:val="none" w:sz="0" w:space="0" w:color="auto"/>
                                                          </w:divBdr>
                                                        </w:div>
                                                        <w:div w:id="1370108830">
                                                          <w:marLeft w:val="0"/>
                                                          <w:marRight w:val="0"/>
                                                          <w:marTop w:val="0"/>
                                                          <w:marBottom w:val="0"/>
                                                          <w:divBdr>
                                                            <w:top w:val="none" w:sz="0" w:space="0" w:color="auto"/>
                                                            <w:left w:val="none" w:sz="0" w:space="0" w:color="auto"/>
                                                            <w:bottom w:val="none" w:sz="0" w:space="0" w:color="auto"/>
                                                            <w:right w:val="none" w:sz="0" w:space="0" w:color="auto"/>
                                                          </w:divBdr>
                                                        </w:div>
                                                        <w:div w:id="486364181">
                                                          <w:marLeft w:val="0"/>
                                                          <w:marRight w:val="0"/>
                                                          <w:marTop w:val="0"/>
                                                          <w:marBottom w:val="0"/>
                                                          <w:divBdr>
                                                            <w:top w:val="none" w:sz="0" w:space="0" w:color="auto"/>
                                                            <w:left w:val="none" w:sz="0" w:space="0" w:color="auto"/>
                                                            <w:bottom w:val="none" w:sz="0" w:space="0" w:color="auto"/>
                                                            <w:right w:val="none" w:sz="0" w:space="0" w:color="auto"/>
                                                          </w:divBdr>
                                                          <w:divsChild>
                                                            <w:div w:id="1226600011">
                                                              <w:marLeft w:val="0"/>
                                                              <w:marRight w:val="0"/>
                                                              <w:marTop w:val="0"/>
                                                              <w:marBottom w:val="0"/>
                                                              <w:divBdr>
                                                                <w:top w:val="none" w:sz="0" w:space="0" w:color="auto"/>
                                                                <w:left w:val="none" w:sz="0" w:space="0" w:color="auto"/>
                                                                <w:bottom w:val="none" w:sz="0" w:space="0" w:color="auto"/>
                                                                <w:right w:val="none" w:sz="0" w:space="0" w:color="auto"/>
                                                              </w:divBdr>
                                                            </w:div>
                                                            <w:div w:id="413285049">
                                                              <w:marLeft w:val="0"/>
                                                              <w:marRight w:val="0"/>
                                                              <w:marTop w:val="0"/>
                                                              <w:marBottom w:val="0"/>
                                                              <w:divBdr>
                                                                <w:top w:val="none" w:sz="0" w:space="0" w:color="auto"/>
                                                                <w:left w:val="none" w:sz="0" w:space="0" w:color="auto"/>
                                                                <w:bottom w:val="none" w:sz="0" w:space="0" w:color="auto"/>
                                                                <w:right w:val="none" w:sz="0" w:space="0" w:color="auto"/>
                                                              </w:divBdr>
                                                              <w:divsChild>
                                                                <w:div w:id="1484347298">
                                                                  <w:marLeft w:val="0"/>
                                                                  <w:marRight w:val="0"/>
                                                                  <w:marTop w:val="0"/>
                                                                  <w:marBottom w:val="0"/>
                                                                  <w:divBdr>
                                                                    <w:top w:val="none" w:sz="0" w:space="0" w:color="auto"/>
                                                                    <w:left w:val="none" w:sz="0" w:space="0" w:color="auto"/>
                                                                    <w:bottom w:val="none" w:sz="0" w:space="0" w:color="auto"/>
                                                                    <w:right w:val="none" w:sz="0" w:space="0" w:color="auto"/>
                                                                  </w:divBdr>
                                                                </w:div>
                                                                <w:div w:id="84616743">
                                                                  <w:marLeft w:val="0"/>
                                                                  <w:marRight w:val="0"/>
                                                                  <w:marTop w:val="0"/>
                                                                  <w:marBottom w:val="0"/>
                                                                  <w:divBdr>
                                                                    <w:top w:val="none" w:sz="0" w:space="0" w:color="auto"/>
                                                                    <w:left w:val="none" w:sz="0" w:space="0" w:color="auto"/>
                                                                    <w:bottom w:val="none" w:sz="0" w:space="0" w:color="auto"/>
                                                                    <w:right w:val="none" w:sz="0" w:space="0" w:color="auto"/>
                                                                  </w:divBdr>
                                                                </w:div>
                                                                <w:div w:id="1003439430">
                                                                  <w:marLeft w:val="0"/>
                                                                  <w:marRight w:val="0"/>
                                                                  <w:marTop w:val="0"/>
                                                                  <w:marBottom w:val="0"/>
                                                                  <w:divBdr>
                                                                    <w:top w:val="none" w:sz="0" w:space="0" w:color="auto"/>
                                                                    <w:left w:val="none" w:sz="0" w:space="0" w:color="auto"/>
                                                                    <w:bottom w:val="none" w:sz="0" w:space="0" w:color="auto"/>
                                                                    <w:right w:val="none" w:sz="0" w:space="0" w:color="auto"/>
                                                                  </w:divBdr>
                                                                </w:div>
                                                              </w:divsChild>
                                                            </w:div>
                                                            <w:div w:id="170205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709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6FB1D-BCE9-4CEC-9517-26939369C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5040</Words>
  <Characters>29737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Vejvodová Magdaléna (MHMP, LEG)</cp:lastModifiedBy>
  <cp:revision>9</cp:revision>
  <cp:lastPrinted>2019-11-25T11:25:00Z</cp:lastPrinted>
  <dcterms:created xsi:type="dcterms:W3CDTF">2019-12-04T09:22:00Z</dcterms:created>
  <dcterms:modified xsi:type="dcterms:W3CDTF">2019-12-12T11:40:00Z</dcterms:modified>
</cp:coreProperties>
</file>