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36D" w:rsidRPr="00BF6E28" w:rsidRDefault="002F736D" w:rsidP="002F736D">
      <w:pPr>
        <w:pStyle w:val="l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F6E28">
        <w:rPr>
          <w:rFonts w:ascii="Arial" w:hAnsi="Arial" w:cs="Arial"/>
          <w:b/>
          <w:sz w:val="22"/>
          <w:szCs w:val="22"/>
          <w:u w:val="single"/>
        </w:rPr>
        <w:t>Část zákonů v platném znění s vyznačením navrhovaných změn</w:t>
      </w:r>
    </w:p>
    <w:p w:rsidR="002F736D" w:rsidRPr="00BF6E28" w:rsidRDefault="002F736D" w:rsidP="002F736D">
      <w:pPr>
        <w:pStyle w:val="l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:rsidR="002F736D" w:rsidRPr="00BF6E28" w:rsidRDefault="002F736D" w:rsidP="002F736D">
      <w:pPr>
        <w:pStyle w:val="l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F6E28">
        <w:rPr>
          <w:rFonts w:ascii="Arial" w:hAnsi="Arial" w:cs="Arial"/>
          <w:b/>
          <w:sz w:val="22"/>
          <w:szCs w:val="22"/>
        </w:rPr>
        <w:t>1. Zákon č. 235/2004 Sb.</w:t>
      </w:r>
      <w:r w:rsidR="00711273">
        <w:rPr>
          <w:rFonts w:ascii="Arial" w:hAnsi="Arial" w:cs="Arial"/>
          <w:b/>
          <w:sz w:val="22"/>
          <w:szCs w:val="22"/>
        </w:rPr>
        <w:t>,</w:t>
      </w:r>
      <w:r w:rsidR="00E926E7">
        <w:rPr>
          <w:rFonts w:ascii="Arial" w:hAnsi="Arial" w:cs="Arial"/>
          <w:b/>
          <w:sz w:val="22"/>
          <w:szCs w:val="22"/>
        </w:rPr>
        <w:t xml:space="preserve"> </w:t>
      </w:r>
      <w:r w:rsidRPr="00BF6E28">
        <w:rPr>
          <w:rFonts w:ascii="Arial" w:hAnsi="Arial" w:cs="Arial"/>
          <w:b/>
          <w:sz w:val="22"/>
          <w:szCs w:val="22"/>
        </w:rPr>
        <w:t>o dani z přidané hodnoty</w:t>
      </w:r>
    </w:p>
    <w:p w:rsidR="002F736D" w:rsidRPr="00BF6E28" w:rsidRDefault="002F736D" w:rsidP="002F736D">
      <w:pPr>
        <w:pStyle w:val="l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2F736D" w:rsidRPr="00BF6E28" w:rsidRDefault="002F736D" w:rsidP="002F736D">
      <w:pPr>
        <w:spacing w:before="144" w:after="144"/>
        <w:jc w:val="both"/>
        <w:rPr>
          <w:rFonts w:ascii="Arial" w:eastAsia="Times New Roman" w:hAnsi="Arial" w:cs="Arial"/>
          <w:color w:val="000000"/>
          <w:lang w:eastAsia="cs-CZ"/>
        </w:rPr>
      </w:pPr>
      <w:r w:rsidRPr="00BF6E28">
        <w:rPr>
          <w:rFonts w:ascii="Arial" w:eastAsia="Times New Roman" w:hAnsi="Arial" w:cs="Arial"/>
          <w:color w:val="000000"/>
          <w:lang w:eastAsia="cs-CZ"/>
        </w:rPr>
        <w:tab/>
      </w:r>
      <w:r w:rsidRPr="00BF6E28">
        <w:rPr>
          <w:rFonts w:ascii="Arial" w:eastAsia="Times New Roman" w:hAnsi="Arial" w:cs="Arial"/>
          <w:color w:val="000000"/>
          <w:lang w:eastAsia="cs-CZ"/>
        </w:rPr>
        <w:tab/>
      </w:r>
      <w:r w:rsidRPr="00BF6E28">
        <w:rPr>
          <w:rFonts w:ascii="Arial" w:eastAsia="Times New Roman" w:hAnsi="Arial" w:cs="Arial"/>
          <w:color w:val="000000"/>
          <w:lang w:eastAsia="cs-CZ"/>
        </w:rPr>
        <w:tab/>
      </w:r>
      <w:r w:rsidRPr="00BF6E28">
        <w:rPr>
          <w:rFonts w:ascii="Arial" w:eastAsia="Times New Roman" w:hAnsi="Arial" w:cs="Arial"/>
          <w:color w:val="000000"/>
          <w:lang w:eastAsia="cs-CZ"/>
        </w:rPr>
        <w:tab/>
      </w:r>
      <w:r w:rsidRPr="00BF6E28">
        <w:rPr>
          <w:rFonts w:ascii="Arial" w:eastAsia="Times New Roman" w:hAnsi="Arial" w:cs="Arial"/>
          <w:color w:val="000000"/>
          <w:lang w:eastAsia="cs-CZ"/>
        </w:rPr>
        <w:tab/>
      </w:r>
      <w:r w:rsidRPr="00BF6E28">
        <w:rPr>
          <w:rFonts w:ascii="Arial" w:eastAsia="Times New Roman" w:hAnsi="Arial" w:cs="Arial"/>
          <w:color w:val="000000"/>
          <w:lang w:eastAsia="cs-CZ"/>
        </w:rPr>
        <w:tab/>
        <w:t>§ 49</w:t>
      </w:r>
    </w:p>
    <w:p w:rsidR="002F736D" w:rsidRPr="00BF6E28" w:rsidRDefault="002F736D" w:rsidP="002F736D">
      <w:pPr>
        <w:spacing w:before="60" w:after="60"/>
        <w:outlineLvl w:val="3"/>
        <w:rPr>
          <w:rFonts w:ascii="Arial" w:eastAsia="Times New Roman" w:hAnsi="Arial" w:cs="Arial"/>
          <w:b/>
          <w:bCs/>
          <w:color w:val="070707"/>
          <w:lang w:eastAsia="cs-CZ"/>
        </w:rPr>
      </w:pPr>
      <w:r w:rsidRPr="00BF6E28">
        <w:rPr>
          <w:rFonts w:ascii="Arial" w:eastAsia="Times New Roman" w:hAnsi="Arial" w:cs="Arial"/>
          <w:b/>
          <w:bCs/>
          <w:color w:val="070707"/>
          <w:lang w:eastAsia="cs-CZ"/>
        </w:rPr>
        <w:t>Sazba daně u výstavby nebo dodání stavby pro sociální bydlení</w:t>
      </w:r>
    </w:p>
    <w:p w:rsidR="002F736D" w:rsidRPr="00BF6E28" w:rsidRDefault="002F736D" w:rsidP="002F736D">
      <w:pPr>
        <w:spacing w:before="144" w:after="144"/>
        <w:jc w:val="both"/>
        <w:rPr>
          <w:rFonts w:ascii="Arial" w:eastAsia="Times New Roman" w:hAnsi="Arial" w:cs="Arial"/>
          <w:color w:val="000000"/>
          <w:lang w:eastAsia="cs-CZ"/>
        </w:rPr>
      </w:pPr>
      <w:r w:rsidRPr="00BF6E28">
        <w:rPr>
          <w:rFonts w:ascii="Arial" w:eastAsia="Times New Roman" w:hAnsi="Arial" w:cs="Arial"/>
          <w:bCs/>
          <w:color w:val="000000"/>
          <w:lang w:eastAsia="cs-CZ"/>
        </w:rPr>
        <w:t>(1)</w:t>
      </w:r>
      <w:r w:rsidRPr="00BF6E28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BF6E28">
        <w:rPr>
          <w:rFonts w:ascii="Arial" w:eastAsia="Times New Roman" w:hAnsi="Arial" w:cs="Arial"/>
          <w:strike/>
          <w:color w:val="000000"/>
          <w:lang w:eastAsia="cs-CZ"/>
        </w:rPr>
        <w:t>První</w:t>
      </w:r>
      <w:r w:rsidRPr="00BF6E28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BF6E28">
        <w:rPr>
          <w:rFonts w:ascii="Arial" w:eastAsia="Times New Roman" w:hAnsi="Arial" w:cs="Arial"/>
          <w:b/>
          <w:color w:val="000000"/>
          <w:lang w:eastAsia="cs-CZ"/>
        </w:rPr>
        <w:t>Druhá</w:t>
      </w:r>
      <w:r w:rsidRPr="00BF6E28">
        <w:rPr>
          <w:rFonts w:ascii="Arial" w:eastAsia="Times New Roman" w:hAnsi="Arial" w:cs="Arial"/>
          <w:color w:val="000000"/>
          <w:lang w:eastAsia="cs-CZ"/>
        </w:rPr>
        <w:t xml:space="preserve"> snížená sazba daně se uplatní při poskytnutí stavebních a montážních prací spojených s výstavbou stavby, která je stavbou pro sociální bydlení.</w:t>
      </w:r>
    </w:p>
    <w:p w:rsidR="002F736D" w:rsidRPr="00BF6E28" w:rsidRDefault="002F736D" w:rsidP="002F736D">
      <w:pPr>
        <w:spacing w:before="144" w:after="144"/>
        <w:jc w:val="both"/>
        <w:rPr>
          <w:rFonts w:ascii="Arial" w:eastAsia="Times New Roman" w:hAnsi="Arial" w:cs="Arial"/>
          <w:color w:val="000000"/>
          <w:lang w:eastAsia="cs-CZ"/>
        </w:rPr>
      </w:pPr>
      <w:r w:rsidRPr="00BF6E28">
        <w:rPr>
          <w:rFonts w:ascii="Arial" w:eastAsia="Times New Roman" w:hAnsi="Arial" w:cs="Arial"/>
          <w:bCs/>
          <w:color w:val="000000"/>
          <w:lang w:eastAsia="cs-CZ"/>
        </w:rPr>
        <w:t>(2)</w:t>
      </w:r>
      <w:r w:rsidRPr="00BF6E28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BF6E28">
        <w:rPr>
          <w:rFonts w:ascii="Arial" w:eastAsia="Times New Roman" w:hAnsi="Arial" w:cs="Arial"/>
          <w:strike/>
          <w:color w:val="000000"/>
          <w:lang w:eastAsia="cs-CZ"/>
        </w:rPr>
        <w:t>První</w:t>
      </w:r>
      <w:r w:rsidRPr="00BF6E28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BF6E28">
        <w:rPr>
          <w:rFonts w:ascii="Arial" w:eastAsia="Times New Roman" w:hAnsi="Arial" w:cs="Arial"/>
          <w:b/>
          <w:color w:val="000000"/>
          <w:lang w:eastAsia="cs-CZ"/>
        </w:rPr>
        <w:t>Druhá</w:t>
      </w:r>
      <w:r w:rsidRPr="00BF6E28">
        <w:rPr>
          <w:rFonts w:ascii="Arial" w:eastAsia="Times New Roman" w:hAnsi="Arial" w:cs="Arial"/>
          <w:color w:val="000000"/>
          <w:lang w:eastAsia="cs-CZ"/>
        </w:rPr>
        <w:t xml:space="preserve"> snížená sazba daně se uplatní také při poskytnutí stavebních a montážních prací, kterými se stavba nebo prostor mění na stavbu pro sociální bydlení.</w:t>
      </w:r>
    </w:p>
    <w:p w:rsidR="002F736D" w:rsidRPr="00BF6E28" w:rsidRDefault="002F736D" w:rsidP="002F736D">
      <w:pPr>
        <w:spacing w:before="144" w:after="144"/>
        <w:jc w:val="both"/>
        <w:rPr>
          <w:rFonts w:ascii="Arial" w:eastAsia="Times New Roman" w:hAnsi="Arial" w:cs="Arial"/>
          <w:color w:val="000000"/>
          <w:lang w:eastAsia="cs-CZ"/>
        </w:rPr>
      </w:pPr>
      <w:r w:rsidRPr="00BF6E28">
        <w:rPr>
          <w:rFonts w:ascii="Arial" w:eastAsia="Times New Roman" w:hAnsi="Arial" w:cs="Arial"/>
          <w:bCs/>
          <w:color w:val="000000"/>
          <w:lang w:eastAsia="cs-CZ"/>
        </w:rPr>
        <w:t>(3)</w:t>
      </w:r>
      <w:r w:rsidRPr="00BF6E28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BF6E28">
        <w:rPr>
          <w:rFonts w:ascii="Arial" w:eastAsia="Times New Roman" w:hAnsi="Arial" w:cs="Arial"/>
          <w:strike/>
          <w:color w:val="000000"/>
          <w:lang w:eastAsia="cs-CZ"/>
        </w:rPr>
        <w:t>První</w:t>
      </w:r>
      <w:r w:rsidRPr="00BF6E28">
        <w:rPr>
          <w:rFonts w:ascii="Arial" w:eastAsia="Times New Roman" w:hAnsi="Arial" w:cs="Arial"/>
          <w:b/>
          <w:color w:val="000000"/>
          <w:lang w:eastAsia="cs-CZ"/>
        </w:rPr>
        <w:t xml:space="preserve"> Druhá</w:t>
      </w:r>
      <w:r w:rsidRPr="00BF6E28">
        <w:rPr>
          <w:rFonts w:ascii="Arial" w:eastAsia="Times New Roman" w:hAnsi="Arial" w:cs="Arial"/>
          <w:color w:val="000000"/>
          <w:lang w:eastAsia="cs-CZ"/>
        </w:rPr>
        <w:t xml:space="preserve"> snížená sazba daně se uplatní u dodání</w:t>
      </w:r>
    </w:p>
    <w:p w:rsidR="002F736D" w:rsidRPr="00BF6E28" w:rsidRDefault="002F736D" w:rsidP="002F736D">
      <w:pPr>
        <w:spacing w:before="144" w:after="144"/>
        <w:jc w:val="both"/>
        <w:rPr>
          <w:rFonts w:ascii="Arial" w:eastAsia="Times New Roman" w:hAnsi="Arial" w:cs="Arial"/>
          <w:color w:val="000000"/>
          <w:lang w:eastAsia="cs-CZ"/>
        </w:rPr>
      </w:pPr>
      <w:r w:rsidRPr="00BF6E28">
        <w:rPr>
          <w:rFonts w:ascii="Arial" w:eastAsia="Times New Roman" w:hAnsi="Arial" w:cs="Arial"/>
          <w:bCs/>
          <w:color w:val="000000"/>
          <w:lang w:eastAsia="cs-CZ"/>
        </w:rPr>
        <w:t>a)</w:t>
      </w:r>
      <w:r w:rsidRPr="00BF6E28">
        <w:rPr>
          <w:rFonts w:ascii="Arial" w:eastAsia="Times New Roman" w:hAnsi="Arial" w:cs="Arial"/>
          <w:color w:val="000000"/>
          <w:lang w:eastAsia="cs-CZ"/>
        </w:rPr>
        <w:t xml:space="preserve"> stavby pro sociální bydlení,</w:t>
      </w:r>
    </w:p>
    <w:p w:rsidR="002F736D" w:rsidRPr="00BF6E28" w:rsidRDefault="002F736D" w:rsidP="002F736D">
      <w:pPr>
        <w:spacing w:before="144" w:after="144"/>
        <w:jc w:val="both"/>
        <w:rPr>
          <w:rFonts w:ascii="Arial" w:eastAsia="Times New Roman" w:hAnsi="Arial" w:cs="Arial"/>
          <w:color w:val="000000"/>
          <w:lang w:eastAsia="cs-CZ"/>
        </w:rPr>
      </w:pPr>
      <w:r w:rsidRPr="00BF6E28">
        <w:rPr>
          <w:rFonts w:ascii="Arial" w:eastAsia="Times New Roman" w:hAnsi="Arial" w:cs="Arial"/>
          <w:bCs/>
          <w:color w:val="000000"/>
          <w:lang w:eastAsia="cs-CZ"/>
        </w:rPr>
        <w:t>b)</w:t>
      </w:r>
      <w:r w:rsidRPr="00BF6E28">
        <w:rPr>
          <w:rFonts w:ascii="Arial" w:eastAsia="Times New Roman" w:hAnsi="Arial" w:cs="Arial"/>
          <w:color w:val="000000"/>
          <w:lang w:eastAsia="cs-CZ"/>
        </w:rPr>
        <w:t xml:space="preserve"> pozemku, jehož součástí není jiná stavba než stavba pro sociální bydlení,</w:t>
      </w:r>
    </w:p>
    <w:p w:rsidR="002F736D" w:rsidRPr="00BF6E28" w:rsidRDefault="002F736D" w:rsidP="002F736D">
      <w:pPr>
        <w:spacing w:before="144" w:after="144"/>
        <w:jc w:val="both"/>
        <w:rPr>
          <w:rFonts w:ascii="Arial" w:eastAsia="Times New Roman" w:hAnsi="Arial" w:cs="Arial"/>
          <w:color w:val="000000"/>
          <w:lang w:eastAsia="cs-CZ"/>
        </w:rPr>
      </w:pPr>
      <w:r w:rsidRPr="00BF6E28">
        <w:rPr>
          <w:rFonts w:ascii="Arial" w:eastAsia="Times New Roman" w:hAnsi="Arial" w:cs="Arial"/>
          <w:bCs/>
          <w:color w:val="000000"/>
          <w:lang w:eastAsia="cs-CZ"/>
        </w:rPr>
        <w:t>c)</w:t>
      </w:r>
      <w:r w:rsidRPr="00BF6E28">
        <w:rPr>
          <w:rFonts w:ascii="Arial" w:eastAsia="Times New Roman" w:hAnsi="Arial" w:cs="Arial"/>
          <w:color w:val="000000"/>
          <w:lang w:eastAsia="cs-CZ"/>
        </w:rPr>
        <w:t xml:space="preserve"> práva stavby, jehož součástí není jiná stavba než stavba pro sociální bydlení, nebo</w:t>
      </w:r>
    </w:p>
    <w:p w:rsidR="002F736D" w:rsidRPr="00BF6E28" w:rsidRDefault="002F736D" w:rsidP="002F736D">
      <w:pPr>
        <w:spacing w:before="144" w:after="144"/>
        <w:jc w:val="both"/>
        <w:rPr>
          <w:rFonts w:ascii="Arial" w:eastAsia="Times New Roman" w:hAnsi="Arial" w:cs="Arial"/>
          <w:color w:val="000000"/>
          <w:lang w:eastAsia="cs-CZ"/>
        </w:rPr>
      </w:pPr>
      <w:r w:rsidRPr="00BF6E28">
        <w:rPr>
          <w:rFonts w:ascii="Arial" w:eastAsia="Times New Roman" w:hAnsi="Arial" w:cs="Arial"/>
          <w:bCs/>
          <w:color w:val="000000"/>
          <w:lang w:eastAsia="cs-CZ"/>
        </w:rPr>
        <w:t>d)</w:t>
      </w:r>
      <w:r w:rsidRPr="00BF6E28">
        <w:rPr>
          <w:rFonts w:ascii="Arial" w:eastAsia="Times New Roman" w:hAnsi="Arial" w:cs="Arial"/>
          <w:color w:val="000000"/>
          <w:lang w:eastAsia="cs-CZ"/>
        </w:rPr>
        <w:t xml:space="preserve"> jednotky, která nezahrnuje jiný prostor než obytný prostor pro sociální bydlení.</w:t>
      </w:r>
    </w:p>
    <w:p w:rsidR="002F736D" w:rsidRPr="00BF6E28" w:rsidRDefault="002F736D" w:rsidP="002F736D">
      <w:pPr>
        <w:pStyle w:val="l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:rsidR="002F736D" w:rsidRPr="00BF6E28" w:rsidRDefault="002F736D" w:rsidP="002F736D">
      <w:pPr>
        <w:pStyle w:val="l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:rsidR="002F736D" w:rsidRPr="00BF6E28" w:rsidRDefault="002F736D" w:rsidP="002F736D">
      <w:pPr>
        <w:pStyle w:val="l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F6E28">
        <w:rPr>
          <w:rFonts w:ascii="Arial" w:hAnsi="Arial" w:cs="Arial"/>
          <w:b/>
          <w:sz w:val="22"/>
          <w:szCs w:val="22"/>
        </w:rPr>
        <w:t>2. Zákonné opatření Senátu č. 340/2013 Sb.</w:t>
      </w:r>
      <w:r w:rsidR="00711273">
        <w:rPr>
          <w:rFonts w:ascii="Arial" w:hAnsi="Arial" w:cs="Arial"/>
          <w:b/>
          <w:sz w:val="22"/>
          <w:szCs w:val="22"/>
        </w:rPr>
        <w:t xml:space="preserve">, </w:t>
      </w:r>
      <w:r w:rsidR="00711273" w:rsidRPr="00BF6E28">
        <w:rPr>
          <w:rFonts w:ascii="Arial" w:hAnsi="Arial" w:cs="Arial"/>
          <w:b/>
          <w:sz w:val="22"/>
          <w:szCs w:val="22"/>
        </w:rPr>
        <w:t>o dani z nabytí nemovitých věcí</w:t>
      </w:r>
    </w:p>
    <w:p w:rsidR="002F736D" w:rsidRPr="00BF6E28" w:rsidRDefault="002F736D" w:rsidP="002F736D">
      <w:pPr>
        <w:spacing w:before="144" w:after="144"/>
        <w:jc w:val="both"/>
        <w:rPr>
          <w:rFonts w:ascii="Arial" w:eastAsia="Times New Roman" w:hAnsi="Arial" w:cs="Arial"/>
          <w:color w:val="000000"/>
          <w:lang w:eastAsia="cs-CZ"/>
        </w:rPr>
      </w:pPr>
      <w:r w:rsidRPr="00BF6E28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2F736D" w:rsidRPr="00BF6E28" w:rsidRDefault="002F736D" w:rsidP="002F736D">
      <w:pPr>
        <w:spacing w:before="144" w:after="144"/>
        <w:jc w:val="center"/>
        <w:rPr>
          <w:rFonts w:ascii="Arial" w:eastAsia="Times New Roman" w:hAnsi="Arial" w:cs="Arial"/>
          <w:color w:val="000000"/>
          <w:lang w:eastAsia="cs-CZ"/>
        </w:rPr>
      </w:pPr>
      <w:r w:rsidRPr="00BF6E28">
        <w:rPr>
          <w:rFonts w:ascii="Arial" w:eastAsia="Times New Roman" w:hAnsi="Arial" w:cs="Arial"/>
          <w:color w:val="000000"/>
          <w:lang w:eastAsia="cs-CZ"/>
        </w:rPr>
        <w:t>§ 7</w:t>
      </w:r>
    </w:p>
    <w:p w:rsidR="002F736D" w:rsidRPr="00BF6E28" w:rsidRDefault="002F736D" w:rsidP="002F736D">
      <w:pPr>
        <w:spacing w:before="60" w:after="60"/>
        <w:jc w:val="center"/>
        <w:outlineLvl w:val="3"/>
        <w:rPr>
          <w:rFonts w:ascii="Arial" w:eastAsia="Times New Roman" w:hAnsi="Arial" w:cs="Arial"/>
          <w:b/>
          <w:bCs/>
          <w:color w:val="070707"/>
          <w:lang w:eastAsia="cs-CZ"/>
        </w:rPr>
      </w:pPr>
      <w:r w:rsidRPr="00BF6E28">
        <w:rPr>
          <w:rFonts w:ascii="Arial" w:eastAsia="Times New Roman" w:hAnsi="Arial" w:cs="Arial"/>
          <w:b/>
          <w:bCs/>
          <w:color w:val="070707"/>
          <w:lang w:eastAsia="cs-CZ"/>
        </w:rPr>
        <w:t>Věcná osvobození u nových staveb</w:t>
      </w:r>
    </w:p>
    <w:p w:rsidR="002F736D" w:rsidRPr="00BF6E28" w:rsidRDefault="002F736D" w:rsidP="002F736D">
      <w:pPr>
        <w:spacing w:before="144" w:after="144"/>
        <w:jc w:val="both"/>
        <w:rPr>
          <w:rFonts w:ascii="Arial" w:eastAsia="Times New Roman" w:hAnsi="Arial" w:cs="Arial"/>
          <w:color w:val="000000"/>
          <w:lang w:eastAsia="cs-CZ"/>
        </w:rPr>
      </w:pPr>
      <w:r w:rsidRPr="00BF6E28">
        <w:rPr>
          <w:rFonts w:ascii="Arial" w:eastAsia="Times New Roman" w:hAnsi="Arial" w:cs="Arial"/>
          <w:bCs/>
          <w:color w:val="000000"/>
          <w:lang w:eastAsia="cs-CZ"/>
        </w:rPr>
        <w:t>(1)</w:t>
      </w:r>
      <w:r w:rsidRPr="00BF6E28">
        <w:rPr>
          <w:rFonts w:ascii="Arial" w:eastAsia="Times New Roman" w:hAnsi="Arial" w:cs="Arial"/>
          <w:color w:val="000000"/>
          <w:lang w:eastAsia="cs-CZ"/>
        </w:rPr>
        <w:t xml:space="preserve"> Od daně z nabytí nemovitých věcí je osvobozeno první úplatné nabytí vlastnického práva k</w:t>
      </w:r>
    </w:p>
    <w:p w:rsidR="002F736D" w:rsidRPr="00BF6E28" w:rsidRDefault="002F736D" w:rsidP="002F736D">
      <w:pPr>
        <w:spacing w:before="144" w:after="144"/>
        <w:jc w:val="both"/>
        <w:rPr>
          <w:rFonts w:ascii="Arial" w:eastAsia="Times New Roman" w:hAnsi="Arial" w:cs="Arial"/>
          <w:color w:val="000000"/>
          <w:lang w:eastAsia="cs-CZ"/>
        </w:rPr>
      </w:pPr>
      <w:r w:rsidRPr="00BF6E28">
        <w:rPr>
          <w:rFonts w:ascii="Arial" w:eastAsia="Times New Roman" w:hAnsi="Arial" w:cs="Arial"/>
          <w:bCs/>
          <w:color w:val="000000"/>
          <w:lang w:eastAsia="cs-CZ"/>
        </w:rPr>
        <w:t>a)</w:t>
      </w:r>
      <w:r w:rsidRPr="00BF6E28">
        <w:rPr>
          <w:rFonts w:ascii="Arial" w:eastAsia="Times New Roman" w:hAnsi="Arial" w:cs="Arial"/>
          <w:color w:val="000000"/>
          <w:lang w:eastAsia="cs-CZ"/>
        </w:rPr>
        <w:t xml:space="preserve"> pozemku nebo právu stavby, jejichž součástí je dokončená nebo užívaná stavba rodinného domu,</w:t>
      </w:r>
    </w:p>
    <w:p w:rsidR="002F736D" w:rsidRPr="00BF6E28" w:rsidRDefault="002F736D" w:rsidP="002F736D">
      <w:pPr>
        <w:spacing w:before="144" w:after="144"/>
        <w:jc w:val="both"/>
        <w:rPr>
          <w:rFonts w:ascii="Arial" w:eastAsia="Times New Roman" w:hAnsi="Arial" w:cs="Arial"/>
          <w:color w:val="000000"/>
          <w:lang w:eastAsia="cs-CZ"/>
        </w:rPr>
      </w:pPr>
      <w:r w:rsidRPr="00BF6E28">
        <w:rPr>
          <w:rFonts w:ascii="Arial" w:eastAsia="Times New Roman" w:hAnsi="Arial" w:cs="Arial"/>
          <w:bCs/>
          <w:color w:val="000000"/>
          <w:lang w:eastAsia="cs-CZ"/>
        </w:rPr>
        <w:t>b)</w:t>
      </w:r>
      <w:r w:rsidRPr="00BF6E28">
        <w:rPr>
          <w:rFonts w:ascii="Arial" w:eastAsia="Times New Roman" w:hAnsi="Arial" w:cs="Arial"/>
          <w:color w:val="000000"/>
          <w:lang w:eastAsia="cs-CZ"/>
        </w:rPr>
        <w:t xml:space="preserve"> dokončené nebo užívané stavbě rodinného domu,</w:t>
      </w:r>
    </w:p>
    <w:p w:rsidR="002F736D" w:rsidRPr="00BF6E28" w:rsidRDefault="002F736D" w:rsidP="002F736D">
      <w:pPr>
        <w:spacing w:before="144" w:after="144"/>
        <w:jc w:val="both"/>
        <w:rPr>
          <w:rFonts w:ascii="Arial" w:eastAsia="Times New Roman" w:hAnsi="Arial" w:cs="Arial"/>
          <w:color w:val="000000"/>
          <w:lang w:eastAsia="cs-CZ"/>
        </w:rPr>
      </w:pPr>
      <w:proofErr w:type="gramStart"/>
      <w:r w:rsidRPr="00BF6E28">
        <w:rPr>
          <w:rFonts w:ascii="Arial" w:eastAsia="Times New Roman" w:hAnsi="Arial" w:cs="Arial"/>
          <w:bCs/>
          <w:color w:val="000000"/>
          <w:lang w:eastAsia="cs-CZ"/>
        </w:rPr>
        <w:t>c)</w:t>
      </w:r>
      <w:r w:rsidRPr="00BF6E28">
        <w:rPr>
          <w:rFonts w:ascii="Arial" w:eastAsia="Times New Roman" w:hAnsi="Arial" w:cs="Arial"/>
          <w:color w:val="000000"/>
          <w:lang w:eastAsia="cs-CZ"/>
        </w:rPr>
        <w:t xml:space="preserve"> dokončené</w:t>
      </w:r>
      <w:proofErr w:type="gramEnd"/>
      <w:r w:rsidRPr="00BF6E28">
        <w:rPr>
          <w:rFonts w:ascii="Arial" w:eastAsia="Times New Roman" w:hAnsi="Arial" w:cs="Arial"/>
          <w:color w:val="000000"/>
          <w:lang w:eastAsia="cs-CZ"/>
        </w:rPr>
        <w:t xml:space="preserve"> nebo užívané jednotce v bytovém domě nebo rodinném domě, </w:t>
      </w:r>
      <w:proofErr w:type="gramStart"/>
      <w:r w:rsidRPr="00BF6E28">
        <w:rPr>
          <w:rFonts w:ascii="Arial" w:eastAsia="Times New Roman" w:hAnsi="Arial" w:cs="Arial"/>
          <w:color w:val="000000"/>
          <w:lang w:eastAsia="cs-CZ"/>
        </w:rPr>
        <w:t>která</w:t>
      </w:r>
      <w:proofErr w:type="gramEnd"/>
    </w:p>
    <w:p w:rsidR="002F736D" w:rsidRPr="00BF6E28" w:rsidRDefault="002F736D" w:rsidP="002F736D">
      <w:pPr>
        <w:spacing w:before="144" w:after="144"/>
        <w:jc w:val="both"/>
        <w:rPr>
          <w:rFonts w:ascii="Arial" w:eastAsia="Times New Roman" w:hAnsi="Arial" w:cs="Arial"/>
          <w:color w:val="000000"/>
          <w:lang w:eastAsia="cs-CZ"/>
        </w:rPr>
      </w:pPr>
      <w:r w:rsidRPr="00BF6E28">
        <w:rPr>
          <w:rFonts w:ascii="Arial" w:eastAsia="Times New Roman" w:hAnsi="Arial" w:cs="Arial"/>
          <w:bCs/>
          <w:color w:val="000000"/>
          <w:lang w:eastAsia="cs-CZ"/>
        </w:rPr>
        <w:t>1.</w:t>
      </w:r>
      <w:r w:rsidRPr="00BF6E28">
        <w:rPr>
          <w:rFonts w:ascii="Arial" w:eastAsia="Times New Roman" w:hAnsi="Arial" w:cs="Arial"/>
          <w:color w:val="000000"/>
          <w:lang w:eastAsia="cs-CZ"/>
        </w:rPr>
        <w:t xml:space="preserve"> nezahrnuje nebytový prostor jiný než garáž, sklep nebo komoru užívané společně s bytem, vzniklé výstavbou, nástavbou, přístavbou nebo stavební úpra</w:t>
      </w:r>
      <w:r w:rsidR="00711273">
        <w:rPr>
          <w:rFonts w:ascii="Arial" w:eastAsia="Times New Roman" w:hAnsi="Arial" w:cs="Arial"/>
          <w:color w:val="000000"/>
          <w:lang w:eastAsia="cs-CZ"/>
        </w:rPr>
        <w:t>vou tohoto domu, nejde-li pouze </w:t>
      </w:r>
      <w:r w:rsidRPr="00BF6E28">
        <w:rPr>
          <w:rFonts w:ascii="Arial" w:eastAsia="Times New Roman" w:hAnsi="Arial" w:cs="Arial"/>
          <w:color w:val="000000"/>
          <w:lang w:eastAsia="cs-CZ"/>
        </w:rPr>
        <w:t>o rozdělení nebo sloučení stávajících jednotek,</w:t>
      </w:r>
    </w:p>
    <w:p w:rsidR="002F736D" w:rsidRPr="00BF6E28" w:rsidRDefault="002F736D" w:rsidP="002F736D">
      <w:pPr>
        <w:spacing w:before="144" w:after="144"/>
        <w:jc w:val="both"/>
        <w:rPr>
          <w:rFonts w:ascii="Arial" w:eastAsia="Times New Roman" w:hAnsi="Arial" w:cs="Arial"/>
          <w:color w:val="000000"/>
          <w:lang w:eastAsia="cs-CZ"/>
        </w:rPr>
      </w:pPr>
      <w:r w:rsidRPr="00BF6E28">
        <w:rPr>
          <w:rFonts w:ascii="Arial" w:eastAsia="Times New Roman" w:hAnsi="Arial" w:cs="Arial"/>
          <w:bCs/>
          <w:color w:val="000000"/>
          <w:lang w:eastAsia="cs-CZ"/>
        </w:rPr>
        <w:t>2.</w:t>
      </w:r>
      <w:r w:rsidRPr="00BF6E28">
        <w:rPr>
          <w:rFonts w:ascii="Arial" w:eastAsia="Times New Roman" w:hAnsi="Arial" w:cs="Arial"/>
          <w:color w:val="000000"/>
          <w:lang w:eastAsia="cs-CZ"/>
        </w:rPr>
        <w:t xml:space="preserve"> na základě stavební úpravy nebytového prostoru nově nezah</w:t>
      </w:r>
      <w:r w:rsidR="00711273">
        <w:rPr>
          <w:rFonts w:ascii="Arial" w:eastAsia="Times New Roman" w:hAnsi="Arial" w:cs="Arial"/>
          <w:color w:val="000000"/>
          <w:lang w:eastAsia="cs-CZ"/>
        </w:rPr>
        <w:t>rnuje nebytový prostor jiný než </w:t>
      </w:r>
      <w:r w:rsidRPr="00BF6E28">
        <w:rPr>
          <w:rFonts w:ascii="Arial" w:eastAsia="Times New Roman" w:hAnsi="Arial" w:cs="Arial"/>
          <w:color w:val="000000"/>
          <w:lang w:eastAsia="cs-CZ"/>
        </w:rPr>
        <w:t>garáž, sklep nebo komoru užívané společně s bytem.</w:t>
      </w:r>
    </w:p>
    <w:p w:rsidR="002F736D" w:rsidRPr="00BF6E28" w:rsidRDefault="002F736D" w:rsidP="002F736D">
      <w:pPr>
        <w:spacing w:before="144" w:after="144"/>
        <w:jc w:val="both"/>
        <w:rPr>
          <w:rFonts w:ascii="Arial" w:eastAsia="Times New Roman" w:hAnsi="Arial" w:cs="Arial"/>
          <w:color w:val="000000"/>
          <w:lang w:eastAsia="cs-CZ"/>
        </w:rPr>
      </w:pPr>
      <w:r w:rsidRPr="00BF6E28">
        <w:rPr>
          <w:rFonts w:ascii="Arial" w:eastAsia="Times New Roman" w:hAnsi="Arial" w:cs="Arial"/>
          <w:bCs/>
          <w:color w:val="000000"/>
          <w:lang w:eastAsia="cs-CZ"/>
        </w:rPr>
        <w:t>(2)</w:t>
      </w:r>
      <w:r w:rsidRPr="00BF6E28">
        <w:rPr>
          <w:rFonts w:ascii="Arial" w:eastAsia="Times New Roman" w:hAnsi="Arial" w:cs="Arial"/>
          <w:color w:val="000000"/>
          <w:lang w:eastAsia="cs-CZ"/>
        </w:rPr>
        <w:t xml:space="preserve"> Nabytí vlastnického práva k nemovité věci podle odstavce 1 je od daně osvobozeno</w:t>
      </w:r>
      <w:r w:rsidR="00711273">
        <w:rPr>
          <w:rFonts w:ascii="Arial" w:eastAsia="Times New Roman" w:hAnsi="Arial" w:cs="Arial"/>
          <w:color w:val="000000"/>
          <w:lang w:eastAsia="cs-CZ"/>
        </w:rPr>
        <w:t xml:space="preserve"> pouze </w:t>
      </w:r>
      <w:r w:rsidRPr="00BF6E28">
        <w:rPr>
          <w:rFonts w:ascii="Arial" w:eastAsia="Times New Roman" w:hAnsi="Arial" w:cs="Arial"/>
          <w:color w:val="000000"/>
          <w:lang w:eastAsia="cs-CZ"/>
        </w:rPr>
        <w:t>tehdy, dojde-li k němu v době 5 let ode dne dokončení nebo započetí užívání rodinného domu, jednotky v bytovém domě nebo rodinném domě ne</w:t>
      </w:r>
      <w:r w:rsidR="00711273">
        <w:rPr>
          <w:rFonts w:ascii="Arial" w:eastAsia="Times New Roman" w:hAnsi="Arial" w:cs="Arial"/>
          <w:color w:val="000000"/>
          <w:lang w:eastAsia="cs-CZ"/>
        </w:rPr>
        <w:t>bo jednotky v bytovém domě nebo </w:t>
      </w:r>
      <w:r w:rsidRPr="00BF6E28">
        <w:rPr>
          <w:rFonts w:ascii="Arial" w:eastAsia="Times New Roman" w:hAnsi="Arial" w:cs="Arial"/>
          <w:color w:val="000000"/>
          <w:lang w:eastAsia="cs-CZ"/>
        </w:rPr>
        <w:t>rodinném domě změněné stavební úpravou, a to od toho dne, který nastane dříve.</w:t>
      </w:r>
    </w:p>
    <w:p w:rsidR="00A8012B" w:rsidRPr="00A8012B" w:rsidRDefault="00A8012B" w:rsidP="00A8012B">
      <w:pPr>
        <w:pStyle w:val="l4"/>
        <w:spacing w:line="276" w:lineRule="auto"/>
        <w:jc w:val="both"/>
        <w:rPr>
          <w:b/>
        </w:rPr>
      </w:pPr>
      <w:r w:rsidRPr="00A8012B">
        <w:rPr>
          <w:rStyle w:val="PromnnHTML"/>
          <w:rFonts w:ascii="Arial" w:hAnsi="Arial" w:cs="Arial"/>
          <w:b/>
          <w:i w:val="0"/>
          <w:sz w:val="22"/>
          <w:szCs w:val="22"/>
        </w:rPr>
        <w:lastRenderedPageBreak/>
        <w:t>(3)</w:t>
      </w:r>
      <w:r w:rsidRPr="00A8012B">
        <w:rPr>
          <w:rFonts w:ascii="Arial" w:hAnsi="Arial" w:cs="Arial"/>
          <w:b/>
          <w:sz w:val="22"/>
          <w:szCs w:val="22"/>
        </w:rPr>
        <w:t xml:space="preserve"> Od daně z nabytí nemovitých věcí je osvobozeno i jiné než první úplatné nabytí vlastnického práva k nemovité věci popsané v odstavci 1, pokud je jeho nabyvatelem fyzická osoba, která v den skončení lhůty pro podání daňového přiznání k dani z nabytí nemovitých věcí nebude vlastnit ani spoluvlastnit jinou takovou nemovitou věc</w:t>
      </w:r>
      <w:r>
        <w:rPr>
          <w:rFonts w:ascii="Arial" w:hAnsi="Arial" w:cs="Arial"/>
          <w:b/>
          <w:sz w:val="22"/>
          <w:szCs w:val="22"/>
        </w:rPr>
        <w:t xml:space="preserve"> ani </w:t>
      </w:r>
      <w:r w:rsidRPr="00A8012B">
        <w:rPr>
          <w:rFonts w:ascii="Arial" w:hAnsi="Arial" w:cs="Arial"/>
          <w:b/>
          <w:sz w:val="22"/>
          <w:szCs w:val="22"/>
        </w:rPr>
        <w:t xml:space="preserve">družstevní podíl, s nímž je spojen nájem družstevního bytu v takové nemovité věci. </w:t>
      </w:r>
    </w:p>
    <w:p w:rsidR="00A8012B" w:rsidRPr="00A8012B" w:rsidRDefault="00A8012B" w:rsidP="00A8012B">
      <w:pPr>
        <w:pStyle w:val="l4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8012B">
        <w:rPr>
          <w:rFonts w:ascii="Arial" w:hAnsi="Arial" w:cs="Arial"/>
          <w:b/>
          <w:sz w:val="22"/>
          <w:szCs w:val="22"/>
        </w:rPr>
        <w:t xml:space="preserve"> (4) Od daně z nabytí nemovitých věcí je osvobozeno i jiné než první úplatné nabytí vlastnického práva k nemovité věci popsané v odstavci 1, pokud je jeho nabyvatelem bytové družstvo, vzniklé podle zákona o obchodních korporacích, jestliže na uzavření nájemní smlouvy k družstevnímu bytu v nemovité věci vznikl ke dni nabytí vlastnického práva k nemovité věci nárok fyzické osobě, která v den skončení lhůty pro podání daňového přiznání k dani z nabytí nemovitých věcí nebude vlastnit ani spoluvlastnit jinou takovou nemovitou věc ani družstevní podíl, s nímž je spojen nájem družstevního bytu v takové nemovité věci.   </w:t>
      </w:r>
    </w:p>
    <w:p w:rsidR="002F736D" w:rsidRPr="00BF6E28" w:rsidRDefault="002F736D" w:rsidP="002F736D">
      <w:pPr>
        <w:pStyle w:val="l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612F6F" w:rsidRDefault="002F736D" w:rsidP="00612F6F">
      <w:pPr>
        <w:pStyle w:val="l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Fonts w:ascii="Arial" w:hAnsi="Arial" w:cs="Arial"/>
          <w:b/>
          <w:sz w:val="22"/>
          <w:szCs w:val="22"/>
        </w:rPr>
        <w:t xml:space="preserve">3. </w:t>
      </w:r>
      <w:r w:rsidR="00612F6F">
        <w:rPr>
          <w:rFonts w:ascii="Arial" w:hAnsi="Arial" w:cs="Arial"/>
          <w:b/>
          <w:snapToGrid w:val="0"/>
          <w:sz w:val="22"/>
          <w:szCs w:val="22"/>
        </w:rPr>
        <w:t>Zákon</w:t>
      </w:r>
      <w:r w:rsidR="00612F6F" w:rsidRPr="00904E86">
        <w:rPr>
          <w:rFonts w:ascii="Arial" w:hAnsi="Arial" w:cs="Arial"/>
          <w:b/>
          <w:sz w:val="22"/>
          <w:szCs w:val="22"/>
        </w:rPr>
        <w:t xml:space="preserve"> č. </w:t>
      </w:r>
      <w:r w:rsidR="00612F6F" w:rsidRPr="005D181A">
        <w:rPr>
          <w:rFonts w:ascii="Arial" w:hAnsi="Arial" w:cs="Arial"/>
          <w:b/>
          <w:sz w:val="22"/>
          <w:szCs w:val="22"/>
        </w:rPr>
        <w:t>586/1992 Sb.</w:t>
      </w:r>
      <w:r w:rsidR="00612F6F">
        <w:rPr>
          <w:rFonts w:ascii="Arial" w:hAnsi="Arial" w:cs="Arial"/>
          <w:b/>
          <w:sz w:val="22"/>
          <w:szCs w:val="22"/>
        </w:rPr>
        <w:t>,</w:t>
      </w:r>
      <w:r w:rsidR="00612F6F" w:rsidRPr="00904E86">
        <w:rPr>
          <w:rFonts w:ascii="Arial" w:hAnsi="Arial" w:cs="Arial"/>
          <w:b/>
          <w:sz w:val="22"/>
          <w:szCs w:val="22"/>
        </w:rPr>
        <w:t xml:space="preserve"> o dan</w:t>
      </w:r>
      <w:r w:rsidR="00612F6F">
        <w:rPr>
          <w:rFonts w:ascii="Arial" w:hAnsi="Arial" w:cs="Arial"/>
          <w:b/>
          <w:sz w:val="22"/>
          <w:szCs w:val="22"/>
        </w:rPr>
        <w:t>ích</w:t>
      </w:r>
      <w:r w:rsidR="00612F6F" w:rsidRPr="00904E86">
        <w:rPr>
          <w:rFonts w:ascii="Arial" w:hAnsi="Arial" w:cs="Arial"/>
          <w:b/>
          <w:sz w:val="22"/>
          <w:szCs w:val="22"/>
        </w:rPr>
        <w:t xml:space="preserve"> z </w:t>
      </w:r>
      <w:r w:rsidR="00612F6F">
        <w:rPr>
          <w:rFonts w:ascii="Arial" w:hAnsi="Arial" w:cs="Arial"/>
          <w:b/>
          <w:sz w:val="22"/>
          <w:szCs w:val="22"/>
        </w:rPr>
        <w:t>příjmů</w:t>
      </w:r>
    </w:p>
    <w:p w:rsidR="002F736D" w:rsidRPr="00BF6E28" w:rsidRDefault="002F736D" w:rsidP="002F736D">
      <w:pPr>
        <w:pStyle w:val="l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2F736D" w:rsidRPr="00BF6E28" w:rsidRDefault="002F736D" w:rsidP="002F736D">
      <w:pPr>
        <w:pStyle w:val="l2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BF6E28">
        <w:rPr>
          <w:rFonts w:ascii="Arial" w:hAnsi="Arial" w:cs="Arial"/>
          <w:sz w:val="22"/>
          <w:szCs w:val="22"/>
        </w:rPr>
        <w:t>§ 15</w:t>
      </w:r>
    </w:p>
    <w:p w:rsidR="002F736D" w:rsidRPr="00BF6E28" w:rsidRDefault="002F736D" w:rsidP="002F736D">
      <w:pPr>
        <w:spacing w:before="60" w:after="60"/>
        <w:jc w:val="center"/>
        <w:outlineLvl w:val="3"/>
        <w:rPr>
          <w:rFonts w:ascii="Arial" w:hAnsi="Arial" w:cs="Arial"/>
          <w:b/>
          <w:bCs/>
        </w:rPr>
      </w:pPr>
      <w:r w:rsidRPr="00BF6E28">
        <w:rPr>
          <w:rFonts w:ascii="Arial" w:hAnsi="Arial" w:cs="Arial"/>
          <w:b/>
          <w:bCs/>
        </w:rPr>
        <w:t>Nezdanitelná část základu daně</w:t>
      </w:r>
    </w:p>
    <w:p w:rsidR="002F736D" w:rsidRPr="00BF6E28" w:rsidRDefault="002F736D" w:rsidP="002F736D">
      <w:pPr>
        <w:pStyle w:val="l31"/>
        <w:spacing w:line="276" w:lineRule="auto"/>
        <w:rPr>
          <w:rFonts w:ascii="Arial" w:hAnsi="Arial" w:cs="Arial"/>
          <w:sz w:val="22"/>
          <w:szCs w:val="22"/>
        </w:rPr>
      </w:pPr>
      <w:r w:rsidRPr="00BF6E28">
        <w:rPr>
          <w:rFonts w:ascii="Arial" w:hAnsi="Arial" w:cs="Arial"/>
          <w:bCs/>
          <w:sz w:val="22"/>
          <w:szCs w:val="22"/>
        </w:rPr>
        <w:t>(1)</w:t>
      </w:r>
      <w:r w:rsidRPr="00BF6E28">
        <w:rPr>
          <w:rFonts w:ascii="Arial" w:hAnsi="Arial" w:cs="Arial"/>
          <w:sz w:val="22"/>
          <w:szCs w:val="22"/>
        </w:rPr>
        <w:t xml:space="preserve"> Od základu daně lze odečíst hodnotu bezúplatného plnění poskytnutého obcím, krajům, organizačním složkám státu, právnickým osobám se sídlem na území České republiky, jakož i právnickým osobám, které jsou pořadateli veřejných sbírek podle zvláštního zákona,</w:t>
      </w:r>
      <w:hyperlink r:id="rId6" w:anchor="f1462654" w:history="1">
        <w:r w:rsidRPr="00BF6E28">
          <w:rPr>
            <w:rStyle w:val="Hypertextovodkaz"/>
            <w:rFonts w:ascii="Arial" w:hAnsi="Arial" w:cs="Arial"/>
            <w:bCs/>
            <w:color w:val="auto"/>
            <w:sz w:val="22"/>
            <w:szCs w:val="22"/>
            <w:vertAlign w:val="superscript"/>
          </w:rPr>
          <w:t>14e</w:t>
        </w:r>
        <w:r w:rsidRPr="00BF6E28">
          <w:rPr>
            <w:rStyle w:val="Hypertextovodkaz"/>
            <w:rFonts w:ascii="Arial" w:hAnsi="Arial" w:cs="Arial"/>
            <w:bCs/>
            <w:color w:val="auto"/>
            <w:sz w:val="22"/>
            <w:szCs w:val="22"/>
          </w:rPr>
          <w:t>)</w:t>
        </w:r>
      </w:hyperlink>
      <w:r w:rsidRPr="00BF6E28">
        <w:rPr>
          <w:rFonts w:ascii="Arial" w:hAnsi="Arial" w:cs="Arial"/>
          <w:sz w:val="22"/>
          <w:szCs w:val="22"/>
        </w:rPr>
        <w:t xml:space="preserve"> a to na vědu a vzdělávání, výzkumné a vývojové účely, kulturu, školství, na policii, na požární ochranu, na podporu a ochranu mládeže, na ochranu zvířat a jejich zdraví, na účely sociální, zdravotnické a ekologické, humanitární, charitativní, nábož</w:t>
      </w:r>
      <w:r w:rsidR="00612F6F">
        <w:rPr>
          <w:rFonts w:ascii="Arial" w:hAnsi="Arial" w:cs="Arial"/>
          <w:sz w:val="22"/>
          <w:szCs w:val="22"/>
        </w:rPr>
        <w:t>enské pro registrované církve a </w:t>
      </w:r>
      <w:r w:rsidRPr="00BF6E28">
        <w:rPr>
          <w:rFonts w:ascii="Arial" w:hAnsi="Arial" w:cs="Arial"/>
          <w:sz w:val="22"/>
          <w:szCs w:val="22"/>
        </w:rPr>
        <w:t>náboženské společnosti, tělovýchovné a sportovní, a politickým stranám, politickým hnutím, evropským politickým stranám nebo evropským politickým nadacím na jejich činnost, dále fyzickým osobám s bydlištěm na území České republiky, které jsou poskytovateli zdravotních služeb nebo provozují školy a školská zařízení a zařízení pro péči o toulavá nebo opuštěná zvířata nebo pro péči o jedince ohrožených druhů živočichů, na financování těchto zařízení, dále fyzickým osobám s bydlištěm na území České republiky, které jsou poživateli invalidního důchodu nebo byly poživateli invalidního důchodu ke dni p</w:t>
      </w:r>
      <w:r w:rsidR="00612F6F">
        <w:rPr>
          <w:rFonts w:ascii="Arial" w:hAnsi="Arial" w:cs="Arial"/>
          <w:sz w:val="22"/>
          <w:szCs w:val="22"/>
        </w:rPr>
        <w:t>řiznání starobního důchodu nebo </w:t>
      </w:r>
      <w:r w:rsidRPr="00BF6E28">
        <w:rPr>
          <w:rFonts w:ascii="Arial" w:hAnsi="Arial" w:cs="Arial"/>
          <w:sz w:val="22"/>
          <w:szCs w:val="22"/>
        </w:rPr>
        <w:t>jsou nezletilými dětmi závislými na péči jiné osoby podle zvláštního právního předpisu</w:t>
      </w:r>
      <w:hyperlink r:id="rId7" w:anchor="f1462601" w:history="1">
        <w:r w:rsidRPr="00BF6E28">
          <w:rPr>
            <w:rStyle w:val="Hypertextovodkaz"/>
            <w:rFonts w:ascii="Arial" w:hAnsi="Arial" w:cs="Arial"/>
            <w:bCs/>
            <w:color w:val="auto"/>
            <w:sz w:val="22"/>
            <w:szCs w:val="22"/>
            <w:vertAlign w:val="superscript"/>
          </w:rPr>
          <w:t>4j)</w:t>
        </w:r>
      </w:hyperlink>
      <w:r w:rsidRPr="00BF6E28">
        <w:rPr>
          <w:rFonts w:ascii="Arial" w:hAnsi="Arial" w:cs="Arial"/>
          <w:sz w:val="22"/>
          <w:szCs w:val="22"/>
        </w:rPr>
        <w:t>, na zdravotnické prostředky</w:t>
      </w:r>
      <w:hyperlink r:id="rId8" w:anchor="f1462941" w:history="1">
        <w:r w:rsidRPr="00BF6E28">
          <w:rPr>
            <w:rStyle w:val="Hypertextovodkaz"/>
            <w:rFonts w:ascii="Arial" w:hAnsi="Arial" w:cs="Arial"/>
            <w:bCs/>
            <w:color w:val="auto"/>
            <w:sz w:val="22"/>
            <w:szCs w:val="22"/>
            <w:vertAlign w:val="superscript"/>
          </w:rPr>
          <w:t>114)</w:t>
        </w:r>
      </w:hyperlink>
      <w:r w:rsidRPr="00BF6E28">
        <w:rPr>
          <w:rFonts w:ascii="Arial" w:hAnsi="Arial" w:cs="Arial"/>
          <w:sz w:val="22"/>
          <w:szCs w:val="22"/>
        </w:rPr>
        <w:t xml:space="preserve"> nejvýše do částky nehrazené z</w:t>
      </w:r>
      <w:r w:rsidR="00612F6F">
        <w:rPr>
          <w:rFonts w:ascii="Arial" w:hAnsi="Arial" w:cs="Arial"/>
          <w:sz w:val="22"/>
          <w:szCs w:val="22"/>
        </w:rPr>
        <w:t>dravotními pojišťovnami nebo na </w:t>
      </w:r>
      <w:r w:rsidRPr="00BF6E28">
        <w:rPr>
          <w:rFonts w:ascii="Arial" w:hAnsi="Arial" w:cs="Arial"/>
          <w:sz w:val="22"/>
          <w:szCs w:val="22"/>
        </w:rPr>
        <w:t>zvláštní pomůcky podle zákona upravujíc</w:t>
      </w:r>
      <w:r w:rsidR="00612F6F">
        <w:rPr>
          <w:rFonts w:ascii="Arial" w:hAnsi="Arial" w:cs="Arial"/>
          <w:sz w:val="22"/>
          <w:szCs w:val="22"/>
        </w:rPr>
        <w:t>ího poskytování dávek osobám se </w:t>
      </w:r>
      <w:r w:rsidRPr="00BF6E28">
        <w:rPr>
          <w:rFonts w:ascii="Arial" w:hAnsi="Arial" w:cs="Arial"/>
          <w:sz w:val="22"/>
          <w:szCs w:val="22"/>
        </w:rPr>
        <w:t>zdravotním postižením nejvýše do částky nehrazené přísp</w:t>
      </w:r>
      <w:r w:rsidR="00612F6F">
        <w:rPr>
          <w:rFonts w:ascii="Arial" w:hAnsi="Arial" w:cs="Arial"/>
          <w:sz w:val="22"/>
          <w:szCs w:val="22"/>
        </w:rPr>
        <w:t>ěvkem ze státního rozpočtu a na </w:t>
      </w:r>
      <w:r w:rsidRPr="00BF6E28">
        <w:rPr>
          <w:rFonts w:ascii="Arial" w:hAnsi="Arial" w:cs="Arial"/>
          <w:sz w:val="22"/>
          <w:szCs w:val="22"/>
        </w:rPr>
        <w:t>majetek usnadňující těmto osobám vzdělání a zařazení do zaměstnání, pokud úhrnná hodnota bezúplatných plnění ve zdaňovacím období pře</w:t>
      </w:r>
      <w:r w:rsidR="00612F6F">
        <w:rPr>
          <w:rFonts w:ascii="Arial" w:hAnsi="Arial" w:cs="Arial"/>
          <w:sz w:val="22"/>
          <w:szCs w:val="22"/>
        </w:rPr>
        <w:t>sáhne 2 % ze základu daně anebo </w:t>
      </w:r>
      <w:r w:rsidRPr="00BF6E28">
        <w:rPr>
          <w:rFonts w:ascii="Arial" w:hAnsi="Arial" w:cs="Arial"/>
          <w:sz w:val="22"/>
          <w:szCs w:val="22"/>
        </w:rPr>
        <w:t xml:space="preserve">činí alespoň 1000 Kč. Obdobně se postupuje u bezúplatných plnění na financování odstraňování následků živelní pohromy, ke které došlo na území členského státu Evropské unie nebo státu tvořícího Evropský hospodářský prostor. V úhrnu lze odečíst nejvýše 15 % ze základu daně. Jako bezúplatné plnění na zdravotnické účely se hodnota jednoho odběru krve nebo jejích složek dárce, kterému nebyla poskytnuta finanční úhrada výdajů spojených s odběrem krve </w:t>
      </w:r>
      <w:r w:rsidRPr="00BF6E28">
        <w:rPr>
          <w:rFonts w:ascii="Arial" w:hAnsi="Arial" w:cs="Arial"/>
          <w:sz w:val="22"/>
          <w:szCs w:val="22"/>
        </w:rPr>
        <w:lastRenderedPageBreak/>
        <w:t>nebo jejích složek podle zákona upravujícího specifické zdravotní služby, s výjimkou úhrady prokázaných cestovních nákladů spojených s odběrem, oceňuje částkou 3</w:t>
      </w:r>
      <w:r w:rsidR="00612F6F">
        <w:rPr>
          <w:rFonts w:ascii="Arial" w:hAnsi="Arial" w:cs="Arial"/>
          <w:sz w:val="22"/>
          <w:szCs w:val="22"/>
        </w:rPr>
        <w:t xml:space="preserve"> </w:t>
      </w:r>
      <w:r w:rsidRPr="00BF6E28">
        <w:rPr>
          <w:rFonts w:ascii="Arial" w:hAnsi="Arial" w:cs="Arial"/>
          <w:sz w:val="22"/>
          <w:szCs w:val="22"/>
        </w:rPr>
        <w:t>000 Kč, hodnota odběru orgánu od žijícího dárce se oceňuje částkou 20000 Kč a hodnota jednoho odběru krvetvorných buněk, s výjimkou úhrady prokázaných</w:t>
      </w:r>
      <w:r w:rsidR="00612F6F">
        <w:rPr>
          <w:rFonts w:ascii="Arial" w:hAnsi="Arial" w:cs="Arial"/>
          <w:sz w:val="22"/>
          <w:szCs w:val="22"/>
        </w:rPr>
        <w:t xml:space="preserve"> cestovních nákladů spojených s </w:t>
      </w:r>
      <w:r w:rsidRPr="00BF6E28">
        <w:rPr>
          <w:rFonts w:ascii="Arial" w:hAnsi="Arial" w:cs="Arial"/>
          <w:sz w:val="22"/>
          <w:szCs w:val="22"/>
        </w:rPr>
        <w:t>odběrem, se oceňuje částkou 20</w:t>
      </w:r>
      <w:r w:rsidR="00612F6F">
        <w:rPr>
          <w:rFonts w:ascii="Arial" w:hAnsi="Arial" w:cs="Arial"/>
          <w:sz w:val="22"/>
          <w:szCs w:val="22"/>
        </w:rPr>
        <w:t xml:space="preserve"> </w:t>
      </w:r>
      <w:r w:rsidRPr="00BF6E28">
        <w:rPr>
          <w:rFonts w:ascii="Arial" w:hAnsi="Arial" w:cs="Arial"/>
          <w:sz w:val="22"/>
          <w:szCs w:val="22"/>
        </w:rPr>
        <w:t>000 Kč. Ustanovení t</w:t>
      </w:r>
      <w:r w:rsidR="00612F6F">
        <w:rPr>
          <w:rFonts w:ascii="Arial" w:hAnsi="Arial" w:cs="Arial"/>
          <w:sz w:val="22"/>
          <w:szCs w:val="22"/>
        </w:rPr>
        <w:t>ohoto odstavce se použije i pro </w:t>
      </w:r>
      <w:r w:rsidRPr="00BF6E28">
        <w:rPr>
          <w:rFonts w:ascii="Arial" w:hAnsi="Arial" w:cs="Arial"/>
          <w:sz w:val="22"/>
          <w:szCs w:val="22"/>
        </w:rPr>
        <w:t>bezúplatné plnění poskytnuté právnickým nebo</w:t>
      </w:r>
      <w:r w:rsidR="00612F6F">
        <w:rPr>
          <w:rFonts w:ascii="Arial" w:hAnsi="Arial" w:cs="Arial"/>
          <w:sz w:val="22"/>
          <w:szCs w:val="22"/>
        </w:rPr>
        <w:t xml:space="preserve"> fyzickým osobám se sídlem nebo </w:t>
      </w:r>
      <w:r w:rsidRPr="00BF6E28">
        <w:rPr>
          <w:rFonts w:ascii="Arial" w:hAnsi="Arial" w:cs="Arial"/>
          <w:sz w:val="22"/>
          <w:szCs w:val="22"/>
        </w:rPr>
        <w:t>bydlištěm na území jiného členského státu Evropské unie nebo státu tvořícího Evropský hospodářský prostor než České republiky, pokud příjemce bezúplatného plnění a účel bezúplatného plnění splňují podmínky stanovené tímto zákonem. Poskytnou-li bezúplatné plnění manželé ze společného jmění manželů, může odpočet uplatnit jeden z nich nebo oba poměrnou částí.</w:t>
      </w:r>
    </w:p>
    <w:p w:rsidR="002F736D" w:rsidRPr="00BF6E28" w:rsidRDefault="002F736D" w:rsidP="002F736D">
      <w:pPr>
        <w:pStyle w:val="l31"/>
        <w:spacing w:line="276" w:lineRule="auto"/>
        <w:rPr>
          <w:rFonts w:ascii="Arial" w:hAnsi="Arial" w:cs="Arial"/>
          <w:sz w:val="22"/>
          <w:szCs w:val="22"/>
        </w:rPr>
      </w:pPr>
      <w:r w:rsidRPr="00BF6E28">
        <w:rPr>
          <w:rFonts w:ascii="Arial" w:hAnsi="Arial" w:cs="Arial"/>
          <w:bCs/>
          <w:sz w:val="22"/>
          <w:szCs w:val="22"/>
        </w:rPr>
        <w:t>(2)</w:t>
      </w:r>
      <w:r w:rsidRPr="00BF6E28">
        <w:rPr>
          <w:rFonts w:ascii="Arial" w:hAnsi="Arial" w:cs="Arial"/>
          <w:sz w:val="22"/>
          <w:szCs w:val="22"/>
        </w:rPr>
        <w:t xml:space="preserve"> Bezúplatné plnění poskytnuté veřejnou obchodní společností nebo komanditní společností se posuzuje jako bezúplatné plnění poskytnuté jednotlivými společníky veřejné obchodní společnosti nebo komplementáři komanditní společnosti a rozdělují se stejně jako základ daně podle § 7 odst. 4 nebo 5.</w:t>
      </w:r>
    </w:p>
    <w:p w:rsidR="002F736D" w:rsidRPr="00BF6E28" w:rsidRDefault="002F736D" w:rsidP="002F736D">
      <w:pPr>
        <w:pStyle w:val="l31"/>
        <w:spacing w:line="276" w:lineRule="auto"/>
        <w:rPr>
          <w:rFonts w:ascii="Arial" w:hAnsi="Arial" w:cs="Arial"/>
          <w:sz w:val="22"/>
          <w:szCs w:val="22"/>
        </w:rPr>
      </w:pPr>
      <w:r w:rsidRPr="00BF6E28">
        <w:rPr>
          <w:rFonts w:ascii="Arial" w:hAnsi="Arial" w:cs="Arial"/>
          <w:bCs/>
          <w:sz w:val="22"/>
          <w:szCs w:val="22"/>
        </w:rPr>
        <w:t>(3)</w:t>
      </w:r>
      <w:r w:rsidRPr="00BF6E28">
        <w:rPr>
          <w:rFonts w:ascii="Arial" w:hAnsi="Arial" w:cs="Arial"/>
          <w:sz w:val="22"/>
          <w:szCs w:val="22"/>
        </w:rPr>
        <w:t xml:space="preserve"> Od základu daně se odečte částka, která se rovná úrokům zaplaceným ve zdaňovacím období z úvěru ze stavebního spoření,</w:t>
      </w:r>
      <w:hyperlink r:id="rId9" w:anchor="f1462586" w:history="1">
        <w:r w:rsidRPr="00BF6E28">
          <w:rPr>
            <w:rStyle w:val="Hypertextovodkaz"/>
            <w:rFonts w:ascii="Arial" w:hAnsi="Arial" w:cs="Arial"/>
            <w:bCs/>
            <w:color w:val="auto"/>
            <w:sz w:val="22"/>
            <w:szCs w:val="22"/>
            <w:vertAlign w:val="superscript"/>
          </w:rPr>
          <w:t>4a</w:t>
        </w:r>
        <w:r w:rsidRPr="00BF6E28">
          <w:rPr>
            <w:rStyle w:val="Hypertextovodkaz"/>
            <w:rFonts w:ascii="Arial" w:hAnsi="Arial" w:cs="Arial"/>
            <w:bCs/>
            <w:color w:val="auto"/>
            <w:sz w:val="22"/>
            <w:szCs w:val="22"/>
          </w:rPr>
          <w:t>)</w:t>
        </w:r>
      </w:hyperlink>
      <w:r w:rsidRPr="00BF6E28">
        <w:rPr>
          <w:rFonts w:ascii="Arial" w:hAnsi="Arial" w:cs="Arial"/>
          <w:sz w:val="22"/>
          <w:szCs w:val="22"/>
        </w:rPr>
        <w:t xml:space="preserve"> úrokům z hypotečního úvěru poskytnutého bankou, sníženým o státní příspěvek poskytnutý podle zvláštních právních předpisů, jakož i úvěru poskytnutého stavební </w:t>
      </w:r>
      <w:proofErr w:type="gramStart"/>
      <w:r w:rsidRPr="00BF6E28">
        <w:rPr>
          <w:rFonts w:ascii="Arial" w:hAnsi="Arial" w:cs="Arial"/>
          <w:sz w:val="22"/>
          <w:szCs w:val="22"/>
        </w:rPr>
        <w:t>spořitelnou,</w:t>
      </w:r>
      <w:hyperlink r:id="rId10" w:anchor="f1462855" w:history="1">
        <w:r w:rsidRPr="00BF6E28">
          <w:rPr>
            <w:rStyle w:val="Hypertextovodkaz"/>
            <w:rFonts w:ascii="Arial" w:hAnsi="Arial" w:cs="Arial"/>
            <w:bCs/>
            <w:color w:val="auto"/>
            <w:sz w:val="22"/>
            <w:szCs w:val="22"/>
            <w:vertAlign w:val="superscript"/>
          </w:rPr>
          <w:t>56</w:t>
        </w:r>
        <w:proofErr w:type="gramEnd"/>
        <w:r w:rsidRPr="00BF6E28">
          <w:rPr>
            <w:rStyle w:val="Hypertextovodkaz"/>
            <w:rFonts w:ascii="Arial" w:hAnsi="Arial" w:cs="Arial"/>
            <w:bCs/>
            <w:color w:val="auto"/>
            <w:sz w:val="22"/>
            <w:szCs w:val="22"/>
          </w:rPr>
          <w:t>)</w:t>
        </w:r>
      </w:hyperlink>
      <w:r w:rsidRPr="00BF6E28">
        <w:rPr>
          <w:rFonts w:ascii="Arial" w:hAnsi="Arial" w:cs="Arial"/>
          <w:sz w:val="22"/>
          <w:szCs w:val="22"/>
        </w:rPr>
        <w:t xml:space="preserve"> bankou v souvislosti s úvěrem ze stavebního spoření nebo s hypotečním úvěrem, </w:t>
      </w:r>
      <w:r w:rsidRPr="00EF6E81">
        <w:rPr>
          <w:rFonts w:ascii="Arial" w:hAnsi="Arial" w:cs="Arial"/>
          <w:b/>
          <w:sz w:val="22"/>
          <w:szCs w:val="22"/>
        </w:rPr>
        <w:t>jakož i platbám člena bytového druž</w:t>
      </w:r>
      <w:r w:rsidRPr="00BF6E28">
        <w:rPr>
          <w:rFonts w:ascii="Arial" w:hAnsi="Arial" w:cs="Arial"/>
          <w:b/>
          <w:sz w:val="22"/>
          <w:szCs w:val="22"/>
        </w:rPr>
        <w:t xml:space="preserve">stva, </w:t>
      </w:r>
      <w:r w:rsidR="0095586E">
        <w:rPr>
          <w:rFonts w:ascii="Arial" w:hAnsi="Arial" w:cs="Arial"/>
          <w:b/>
          <w:sz w:val="22"/>
          <w:szCs w:val="22"/>
        </w:rPr>
        <w:t xml:space="preserve">který je </w:t>
      </w:r>
      <w:r w:rsidRPr="00BF6E28">
        <w:rPr>
          <w:rFonts w:ascii="Arial" w:hAnsi="Arial" w:cs="Arial"/>
          <w:b/>
          <w:sz w:val="22"/>
          <w:szCs w:val="22"/>
        </w:rPr>
        <w:t>nájemce</w:t>
      </w:r>
      <w:r w:rsidR="0095586E">
        <w:rPr>
          <w:rFonts w:ascii="Arial" w:hAnsi="Arial" w:cs="Arial"/>
          <w:b/>
          <w:sz w:val="22"/>
          <w:szCs w:val="22"/>
        </w:rPr>
        <w:t>m</w:t>
      </w:r>
      <w:r w:rsidRPr="00BF6E28">
        <w:rPr>
          <w:rFonts w:ascii="Arial" w:hAnsi="Arial" w:cs="Arial"/>
          <w:b/>
          <w:sz w:val="22"/>
          <w:szCs w:val="22"/>
        </w:rPr>
        <w:t xml:space="preserve"> družstevního bytu</w:t>
      </w:r>
      <w:r w:rsidRPr="00EF6E81">
        <w:rPr>
          <w:rFonts w:ascii="Arial" w:hAnsi="Arial" w:cs="Arial"/>
          <w:b/>
          <w:sz w:val="22"/>
          <w:szCs w:val="22"/>
        </w:rPr>
        <w:t>, jimiž se podílel na splácení úroků z úvěru poskytnutého bytovému družstvu na je</w:t>
      </w:r>
      <w:r w:rsidRPr="00BF6E28">
        <w:rPr>
          <w:rFonts w:ascii="Arial" w:hAnsi="Arial" w:cs="Arial"/>
          <w:b/>
          <w:sz w:val="22"/>
          <w:szCs w:val="22"/>
        </w:rPr>
        <w:t>ho</w:t>
      </w:r>
      <w:r w:rsidRPr="00EF6E81">
        <w:rPr>
          <w:rFonts w:ascii="Arial" w:hAnsi="Arial" w:cs="Arial"/>
          <w:b/>
          <w:sz w:val="22"/>
          <w:szCs w:val="22"/>
        </w:rPr>
        <w:t xml:space="preserve"> pořízení</w:t>
      </w:r>
      <w:r w:rsidRPr="00BF6E28">
        <w:rPr>
          <w:rFonts w:ascii="Arial" w:hAnsi="Arial" w:cs="Arial"/>
          <w:b/>
          <w:sz w:val="22"/>
          <w:szCs w:val="22"/>
        </w:rPr>
        <w:t xml:space="preserve">, </w:t>
      </w:r>
      <w:r w:rsidRPr="00BF6E28">
        <w:rPr>
          <w:rFonts w:ascii="Arial" w:hAnsi="Arial" w:cs="Arial"/>
          <w:sz w:val="22"/>
          <w:szCs w:val="22"/>
        </w:rPr>
        <w:t>a použitým na financování byto</w:t>
      </w:r>
      <w:r w:rsidR="00612F6F">
        <w:rPr>
          <w:rFonts w:ascii="Arial" w:hAnsi="Arial" w:cs="Arial"/>
          <w:sz w:val="22"/>
          <w:szCs w:val="22"/>
        </w:rPr>
        <w:t>vých potřeb, pokud se nejedná o </w:t>
      </w:r>
      <w:r w:rsidRPr="00BF6E28">
        <w:rPr>
          <w:rFonts w:ascii="Arial" w:hAnsi="Arial" w:cs="Arial"/>
          <w:sz w:val="22"/>
          <w:szCs w:val="22"/>
        </w:rPr>
        <w:t>bytovou výstavbu, údržbu ani o změnu stavby bytového domu nebo jednotky, která nezahrnuje nebytový prostor jiný než garáž, sklep nebo komoru, prováděnou v rámci činnosti, ze které plyne příjem ze samostatné činnosti, nebo pro účel</w:t>
      </w:r>
      <w:r w:rsidR="00612F6F">
        <w:rPr>
          <w:rFonts w:ascii="Arial" w:hAnsi="Arial" w:cs="Arial"/>
          <w:sz w:val="22"/>
          <w:szCs w:val="22"/>
        </w:rPr>
        <w:t>y nájmu. Bytovými potřebami pro </w:t>
      </w:r>
      <w:r w:rsidRPr="00BF6E28">
        <w:rPr>
          <w:rFonts w:ascii="Arial" w:hAnsi="Arial" w:cs="Arial"/>
          <w:sz w:val="22"/>
          <w:szCs w:val="22"/>
        </w:rPr>
        <w:t>účely tohoto zákona se rozumí</w:t>
      </w:r>
    </w:p>
    <w:p w:rsidR="002F736D" w:rsidRPr="00BF6E28" w:rsidRDefault="002F736D" w:rsidP="002F736D">
      <w:pPr>
        <w:pStyle w:val="l41"/>
        <w:spacing w:line="276" w:lineRule="auto"/>
        <w:rPr>
          <w:rFonts w:ascii="Arial" w:hAnsi="Arial" w:cs="Arial"/>
          <w:sz w:val="22"/>
          <w:szCs w:val="22"/>
        </w:rPr>
      </w:pPr>
      <w:r w:rsidRPr="00BF6E28">
        <w:rPr>
          <w:rFonts w:ascii="Arial" w:hAnsi="Arial" w:cs="Arial"/>
          <w:bCs/>
          <w:sz w:val="22"/>
          <w:szCs w:val="22"/>
        </w:rPr>
        <w:t>a)</w:t>
      </w:r>
      <w:r w:rsidRPr="00BF6E28">
        <w:rPr>
          <w:rFonts w:ascii="Arial" w:hAnsi="Arial" w:cs="Arial"/>
          <w:sz w:val="22"/>
          <w:szCs w:val="22"/>
        </w:rPr>
        <w:t xml:space="preserve"> výstavba bytového domu, rodinného domu, jednotky, která nezahrnuje nebytový prostor jiný než garáž, sklep nebo komoru, nebo změna stavby,</w:t>
      </w:r>
    </w:p>
    <w:p w:rsidR="002F736D" w:rsidRPr="00BF6E28" w:rsidRDefault="002F736D" w:rsidP="002F736D">
      <w:pPr>
        <w:pStyle w:val="l41"/>
        <w:spacing w:line="276" w:lineRule="auto"/>
        <w:rPr>
          <w:rFonts w:ascii="Arial" w:hAnsi="Arial" w:cs="Arial"/>
          <w:sz w:val="22"/>
          <w:szCs w:val="22"/>
        </w:rPr>
      </w:pPr>
      <w:r w:rsidRPr="00BF6E28">
        <w:rPr>
          <w:rFonts w:ascii="Arial" w:hAnsi="Arial" w:cs="Arial"/>
          <w:bCs/>
          <w:sz w:val="22"/>
          <w:szCs w:val="22"/>
        </w:rPr>
        <w:t>b)</w:t>
      </w:r>
      <w:r w:rsidRPr="00BF6E28">
        <w:rPr>
          <w:rFonts w:ascii="Arial" w:hAnsi="Arial" w:cs="Arial"/>
          <w:sz w:val="22"/>
          <w:szCs w:val="22"/>
        </w:rPr>
        <w:t xml:space="preserve"> koupě pozemku za předpokladu, že na pozemku bude zahájena výstavba bytové potřeby podle písmene a) do 4 let od okamžiku uzavření úvěro</w:t>
      </w:r>
      <w:r w:rsidR="00612F6F">
        <w:rPr>
          <w:rFonts w:ascii="Arial" w:hAnsi="Arial" w:cs="Arial"/>
          <w:sz w:val="22"/>
          <w:szCs w:val="22"/>
        </w:rPr>
        <w:t>vé smlouvy nebo koupě pozemku v </w:t>
      </w:r>
      <w:r w:rsidRPr="00BF6E28">
        <w:rPr>
          <w:rFonts w:ascii="Arial" w:hAnsi="Arial" w:cs="Arial"/>
          <w:sz w:val="22"/>
          <w:szCs w:val="22"/>
        </w:rPr>
        <w:t>souvislosti s pořízením bytové potřeby uvedené v písmenu c),</w:t>
      </w:r>
    </w:p>
    <w:p w:rsidR="002F736D" w:rsidRPr="00BF6E28" w:rsidRDefault="002F736D" w:rsidP="002F736D">
      <w:pPr>
        <w:pStyle w:val="l41"/>
        <w:spacing w:line="276" w:lineRule="auto"/>
        <w:rPr>
          <w:rFonts w:ascii="Arial" w:hAnsi="Arial" w:cs="Arial"/>
          <w:sz w:val="22"/>
          <w:szCs w:val="22"/>
        </w:rPr>
      </w:pPr>
      <w:r w:rsidRPr="00BF6E28">
        <w:rPr>
          <w:rFonts w:ascii="Arial" w:hAnsi="Arial" w:cs="Arial"/>
          <w:bCs/>
          <w:sz w:val="22"/>
          <w:szCs w:val="22"/>
        </w:rPr>
        <w:t>c)</w:t>
      </w:r>
      <w:r w:rsidRPr="00BF6E28">
        <w:rPr>
          <w:rFonts w:ascii="Arial" w:hAnsi="Arial" w:cs="Arial"/>
          <w:sz w:val="22"/>
          <w:szCs w:val="22"/>
        </w:rPr>
        <w:t xml:space="preserve"> koupě</w:t>
      </w:r>
    </w:p>
    <w:p w:rsidR="002F736D" w:rsidRPr="00BF6E28" w:rsidRDefault="002F736D" w:rsidP="002F736D">
      <w:pPr>
        <w:pStyle w:val="l51"/>
        <w:spacing w:line="276" w:lineRule="auto"/>
        <w:rPr>
          <w:rFonts w:ascii="Arial" w:hAnsi="Arial" w:cs="Arial"/>
          <w:sz w:val="22"/>
          <w:szCs w:val="22"/>
        </w:rPr>
      </w:pPr>
      <w:r w:rsidRPr="00BF6E28">
        <w:rPr>
          <w:rFonts w:ascii="Arial" w:hAnsi="Arial" w:cs="Arial"/>
          <w:bCs/>
          <w:sz w:val="22"/>
          <w:szCs w:val="22"/>
        </w:rPr>
        <w:t>1.</w:t>
      </w:r>
      <w:r w:rsidRPr="00BF6E28">
        <w:rPr>
          <w:rFonts w:ascii="Arial" w:hAnsi="Arial" w:cs="Arial"/>
          <w:sz w:val="22"/>
          <w:szCs w:val="22"/>
        </w:rPr>
        <w:t xml:space="preserve"> bytového domu,</w:t>
      </w:r>
    </w:p>
    <w:p w:rsidR="002F736D" w:rsidRPr="00BF6E28" w:rsidRDefault="002F736D" w:rsidP="002F736D">
      <w:pPr>
        <w:pStyle w:val="l51"/>
        <w:spacing w:line="276" w:lineRule="auto"/>
        <w:rPr>
          <w:rFonts w:ascii="Arial" w:hAnsi="Arial" w:cs="Arial"/>
          <w:sz w:val="22"/>
          <w:szCs w:val="22"/>
        </w:rPr>
      </w:pPr>
      <w:r w:rsidRPr="00BF6E28">
        <w:rPr>
          <w:rFonts w:ascii="Arial" w:hAnsi="Arial" w:cs="Arial"/>
          <w:bCs/>
          <w:sz w:val="22"/>
          <w:szCs w:val="22"/>
        </w:rPr>
        <w:t>2.</w:t>
      </w:r>
      <w:r w:rsidRPr="00BF6E28">
        <w:rPr>
          <w:rFonts w:ascii="Arial" w:hAnsi="Arial" w:cs="Arial"/>
          <w:sz w:val="22"/>
          <w:szCs w:val="22"/>
        </w:rPr>
        <w:t xml:space="preserve"> rodinného domu,</w:t>
      </w:r>
    </w:p>
    <w:p w:rsidR="002F736D" w:rsidRPr="00BF6E28" w:rsidRDefault="002F736D" w:rsidP="002F736D">
      <w:pPr>
        <w:pStyle w:val="l51"/>
        <w:spacing w:line="276" w:lineRule="auto"/>
        <w:rPr>
          <w:rFonts w:ascii="Arial" w:hAnsi="Arial" w:cs="Arial"/>
          <w:sz w:val="22"/>
          <w:szCs w:val="22"/>
        </w:rPr>
      </w:pPr>
      <w:r w:rsidRPr="00BF6E28">
        <w:rPr>
          <w:rFonts w:ascii="Arial" w:hAnsi="Arial" w:cs="Arial"/>
          <w:bCs/>
          <w:sz w:val="22"/>
          <w:szCs w:val="22"/>
        </w:rPr>
        <w:t>3.</w:t>
      </w:r>
      <w:r w:rsidRPr="00BF6E28">
        <w:rPr>
          <w:rFonts w:ascii="Arial" w:hAnsi="Arial" w:cs="Arial"/>
          <w:sz w:val="22"/>
          <w:szCs w:val="22"/>
        </w:rPr>
        <w:t xml:space="preserve"> rozestavěné stavby bytového domu nebo rodinného domu,</w:t>
      </w:r>
    </w:p>
    <w:p w:rsidR="002F736D" w:rsidRPr="00BF6E28" w:rsidRDefault="002F736D" w:rsidP="002F736D">
      <w:pPr>
        <w:pStyle w:val="l51"/>
        <w:spacing w:line="276" w:lineRule="auto"/>
        <w:rPr>
          <w:rFonts w:ascii="Arial" w:hAnsi="Arial" w:cs="Arial"/>
          <w:sz w:val="22"/>
          <w:szCs w:val="22"/>
        </w:rPr>
      </w:pPr>
      <w:r w:rsidRPr="00BF6E28">
        <w:rPr>
          <w:rFonts w:ascii="Arial" w:hAnsi="Arial" w:cs="Arial"/>
          <w:bCs/>
          <w:sz w:val="22"/>
          <w:szCs w:val="22"/>
        </w:rPr>
        <w:t>4.</w:t>
      </w:r>
      <w:r w:rsidRPr="00BF6E28">
        <w:rPr>
          <w:rFonts w:ascii="Arial" w:hAnsi="Arial" w:cs="Arial"/>
          <w:sz w:val="22"/>
          <w:szCs w:val="22"/>
        </w:rPr>
        <w:t xml:space="preserve"> jednotky, která nezahrnuje nebytový prostor jiný než garáž, sklep nebo komoru,</w:t>
      </w:r>
    </w:p>
    <w:p w:rsidR="002F736D" w:rsidRPr="00BF6E28" w:rsidRDefault="002F736D" w:rsidP="002F736D">
      <w:pPr>
        <w:pStyle w:val="l41"/>
        <w:spacing w:line="276" w:lineRule="auto"/>
        <w:rPr>
          <w:rFonts w:ascii="Arial" w:hAnsi="Arial" w:cs="Arial"/>
          <w:sz w:val="22"/>
          <w:szCs w:val="22"/>
        </w:rPr>
      </w:pPr>
      <w:r w:rsidRPr="00BF6E28">
        <w:rPr>
          <w:rFonts w:ascii="Arial" w:hAnsi="Arial" w:cs="Arial"/>
          <w:bCs/>
          <w:sz w:val="22"/>
          <w:szCs w:val="22"/>
        </w:rPr>
        <w:t>d)</w:t>
      </w:r>
      <w:r w:rsidRPr="00BF6E28">
        <w:rPr>
          <w:rFonts w:ascii="Arial" w:hAnsi="Arial" w:cs="Arial"/>
          <w:sz w:val="22"/>
          <w:szCs w:val="22"/>
        </w:rPr>
        <w:t xml:space="preserve"> splacení vkladu právnické osobě jejím členem za účelem získání práva nájmu nebo jiného užívání bytu nebo rodinného domu,</w:t>
      </w:r>
    </w:p>
    <w:p w:rsidR="002F736D" w:rsidRPr="00BF6E28" w:rsidRDefault="002F736D" w:rsidP="002F736D">
      <w:pPr>
        <w:pStyle w:val="l41"/>
        <w:spacing w:line="276" w:lineRule="auto"/>
        <w:rPr>
          <w:rFonts w:ascii="Arial" w:hAnsi="Arial" w:cs="Arial"/>
          <w:sz w:val="22"/>
          <w:szCs w:val="22"/>
        </w:rPr>
      </w:pPr>
      <w:r w:rsidRPr="00BF6E28">
        <w:rPr>
          <w:rFonts w:ascii="Arial" w:hAnsi="Arial" w:cs="Arial"/>
          <w:bCs/>
          <w:sz w:val="22"/>
          <w:szCs w:val="22"/>
        </w:rPr>
        <w:t>e)</w:t>
      </w:r>
      <w:r w:rsidRPr="00BF6E28">
        <w:rPr>
          <w:rFonts w:ascii="Arial" w:hAnsi="Arial" w:cs="Arial"/>
          <w:sz w:val="22"/>
          <w:szCs w:val="22"/>
        </w:rPr>
        <w:t xml:space="preserve"> údržba a změna stavby bytového domu, rodinného domu, bytu v nájmu nebo v užív</w:t>
      </w:r>
      <w:r w:rsidR="00612F6F">
        <w:rPr>
          <w:rFonts w:ascii="Arial" w:hAnsi="Arial" w:cs="Arial"/>
          <w:sz w:val="22"/>
          <w:szCs w:val="22"/>
        </w:rPr>
        <w:t>ání nebo </w:t>
      </w:r>
      <w:r w:rsidRPr="00BF6E28">
        <w:rPr>
          <w:rFonts w:ascii="Arial" w:hAnsi="Arial" w:cs="Arial"/>
          <w:sz w:val="22"/>
          <w:szCs w:val="22"/>
        </w:rPr>
        <w:t>jednotky, která nezahrnuje nebytový prostor jiný než garáž, sklep nebo komoru,</w:t>
      </w:r>
    </w:p>
    <w:p w:rsidR="002F736D" w:rsidRPr="00BF6E28" w:rsidRDefault="002F736D" w:rsidP="002F736D">
      <w:pPr>
        <w:pStyle w:val="l41"/>
        <w:spacing w:line="276" w:lineRule="auto"/>
        <w:rPr>
          <w:rFonts w:ascii="Arial" w:hAnsi="Arial" w:cs="Arial"/>
          <w:sz w:val="22"/>
          <w:szCs w:val="22"/>
        </w:rPr>
      </w:pPr>
      <w:r w:rsidRPr="00BF6E28">
        <w:rPr>
          <w:rFonts w:ascii="Arial" w:hAnsi="Arial" w:cs="Arial"/>
          <w:bCs/>
          <w:sz w:val="22"/>
          <w:szCs w:val="22"/>
        </w:rPr>
        <w:lastRenderedPageBreak/>
        <w:t>f)</w:t>
      </w:r>
      <w:r w:rsidRPr="00BF6E28">
        <w:rPr>
          <w:rFonts w:ascii="Arial" w:hAnsi="Arial" w:cs="Arial"/>
          <w:sz w:val="22"/>
          <w:szCs w:val="22"/>
        </w:rPr>
        <w:t xml:space="preserve"> vypořádání společného jmění manželů nebo vypořádání spoludědiců v případě, že předmětem vypořádání je úhrada podílu spojeného se získáním jednotky, která nezahrnuje nebytový prostor jiný než garáž, sklep nebo komoru, rodinného domu nebo bytového domu,</w:t>
      </w:r>
    </w:p>
    <w:p w:rsidR="002F736D" w:rsidRPr="00BF6E28" w:rsidRDefault="002F736D" w:rsidP="002F736D">
      <w:pPr>
        <w:pStyle w:val="l41"/>
        <w:spacing w:line="276" w:lineRule="auto"/>
        <w:rPr>
          <w:rFonts w:ascii="Arial" w:hAnsi="Arial" w:cs="Arial"/>
          <w:sz w:val="22"/>
          <w:szCs w:val="22"/>
        </w:rPr>
      </w:pPr>
      <w:r w:rsidRPr="00BF6E28">
        <w:rPr>
          <w:rFonts w:ascii="Arial" w:hAnsi="Arial" w:cs="Arial"/>
          <w:bCs/>
          <w:sz w:val="22"/>
          <w:szCs w:val="22"/>
        </w:rPr>
        <w:t>g)</w:t>
      </w:r>
      <w:r w:rsidRPr="00BF6E28">
        <w:rPr>
          <w:rFonts w:ascii="Arial" w:hAnsi="Arial" w:cs="Arial"/>
          <w:sz w:val="22"/>
          <w:szCs w:val="22"/>
        </w:rPr>
        <w:t xml:space="preserve"> úhrada za převod podílu v obchodní korporaci jejím čle</w:t>
      </w:r>
      <w:r w:rsidR="00612F6F">
        <w:rPr>
          <w:rFonts w:ascii="Arial" w:hAnsi="Arial" w:cs="Arial"/>
          <w:sz w:val="22"/>
          <w:szCs w:val="22"/>
        </w:rPr>
        <w:t>nem uskutečněná v souvislosti s </w:t>
      </w:r>
      <w:r w:rsidRPr="00BF6E28">
        <w:rPr>
          <w:rFonts w:ascii="Arial" w:hAnsi="Arial" w:cs="Arial"/>
          <w:sz w:val="22"/>
          <w:szCs w:val="22"/>
        </w:rPr>
        <w:t>převodem práva nájmu nebo jiného užívání bytu,</w:t>
      </w:r>
    </w:p>
    <w:p w:rsidR="002F736D" w:rsidRPr="00BF6E28" w:rsidRDefault="002F736D" w:rsidP="002F736D">
      <w:pPr>
        <w:pStyle w:val="l41"/>
        <w:spacing w:line="276" w:lineRule="auto"/>
        <w:rPr>
          <w:rFonts w:ascii="Arial" w:hAnsi="Arial" w:cs="Arial"/>
          <w:sz w:val="22"/>
          <w:szCs w:val="22"/>
        </w:rPr>
      </w:pPr>
      <w:r w:rsidRPr="00BF6E28">
        <w:rPr>
          <w:rFonts w:ascii="Arial" w:hAnsi="Arial" w:cs="Arial"/>
          <w:bCs/>
          <w:sz w:val="22"/>
          <w:szCs w:val="22"/>
        </w:rPr>
        <w:t>h)</w:t>
      </w:r>
      <w:r w:rsidRPr="00BF6E28">
        <w:rPr>
          <w:rFonts w:ascii="Arial" w:hAnsi="Arial" w:cs="Arial"/>
          <w:sz w:val="22"/>
          <w:szCs w:val="22"/>
        </w:rPr>
        <w:t xml:space="preserve"> splacení úvěru nebo zápůjčky použitých poplatníkem na financování bytových potřeb uvedených v písmenech a) až g), pokud jsou splněny podmínky pro tyto bytové potřeby.</w:t>
      </w:r>
    </w:p>
    <w:p w:rsidR="002F736D" w:rsidRPr="00BF6E28" w:rsidRDefault="002F736D" w:rsidP="002F736D">
      <w:pPr>
        <w:pStyle w:val="l41"/>
        <w:spacing w:line="276" w:lineRule="auto"/>
        <w:rPr>
          <w:rFonts w:ascii="Arial" w:hAnsi="Arial" w:cs="Arial"/>
          <w:sz w:val="22"/>
          <w:szCs w:val="22"/>
        </w:rPr>
      </w:pPr>
      <w:r w:rsidRPr="00BF6E28">
        <w:rPr>
          <w:rFonts w:ascii="Arial" w:hAnsi="Arial" w:cs="Arial"/>
          <w:sz w:val="22"/>
          <w:szCs w:val="22"/>
        </w:rPr>
        <w:t>Použije-li se nebo používá-li se bytová potřeba podle písmen a) až h) nebo její část k činnosti, ze které plyne příjem ze samostatné činnosti, anebo k nájmu, lze odečet úroků po dobu užívání bytové potřeby k uvedeným účelům uplatnit pouze v poměrné výši.</w:t>
      </w:r>
    </w:p>
    <w:p w:rsidR="002F736D" w:rsidRPr="00BF6E28" w:rsidRDefault="002F736D" w:rsidP="002F736D">
      <w:pPr>
        <w:pStyle w:val="l31"/>
        <w:spacing w:line="276" w:lineRule="auto"/>
        <w:rPr>
          <w:rFonts w:ascii="Arial" w:hAnsi="Arial" w:cs="Arial"/>
          <w:sz w:val="22"/>
          <w:szCs w:val="22"/>
        </w:rPr>
      </w:pPr>
      <w:r w:rsidRPr="00BF6E28">
        <w:rPr>
          <w:rFonts w:ascii="Arial" w:hAnsi="Arial" w:cs="Arial"/>
          <w:bCs/>
          <w:sz w:val="22"/>
          <w:szCs w:val="22"/>
        </w:rPr>
        <w:t>(4)</w:t>
      </w:r>
      <w:r w:rsidRPr="00BF6E28">
        <w:rPr>
          <w:rFonts w:ascii="Arial" w:hAnsi="Arial" w:cs="Arial"/>
          <w:sz w:val="22"/>
          <w:szCs w:val="22"/>
        </w:rPr>
        <w:t xml:space="preserve"> V případě, že účastníky smlouvy o úvěru na financování bytové potřeby je více zletilých osob, uplatní odpočet buď jedna z nich, anebo každá z ni</w:t>
      </w:r>
      <w:r w:rsidR="00612F6F">
        <w:rPr>
          <w:rFonts w:ascii="Arial" w:hAnsi="Arial" w:cs="Arial"/>
          <w:sz w:val="22"/>
          <w:szCs w:val="22"/>
        </w:rPr>
        <w:t>ch, a to rovným dílem. Jde-li o </w:t>
      </w:r>
      <w:r w:rsidRPr="00BF6E28">
        <w:rPr>
          <w:rFonts w:ascii="Arial" w:hAnsi="Arial" w:cs="Arial"/>
          <w:sz w:val="22"/>
          <w:szCs w:val="22"/>
        </w:rPr>
        <w:t xml:space="preserve">předmět bytové potřeby uvedený v odstavci 3 písm. a) až c) a e), může být základ daně snížen pouze ve zdaňovacím období, po jehož celou dobu poplatník předmět bytové potřeby uvedený v odstavci 3 písm. a) až c) </w:t>
      </w:r>
      <w:r w:rsidRPr="00EF6E81">
        <w:rPr>
          <w:rFonts w:ascii="Arial" w:hAnsi="Arial" w:cs="Arial"/>
          <w:b/>
          <w:sz w:val="22"/>
          <w:szCs w:val="22"/>
        </w:rPr>
        <w:t>nebo družstevní podíl</w:t>
      </w:r>
      <w:r w:rsidRPr="00BF6E28">
        <w:rPr>
          <w:rFonts w:ascii="Arial" w:hAnsi="Arial" w:cs="Arial"/>
          <w:sz w:val="22"/>
          <w:szCs w:val="22"/>
        </w:rPr>
        <w:t xml:space="preserve"> vlastnil a předmět bytové potřeby uvedený v odstavci 3 písm. a), c) a e) užíval k vlastnímu trvalému bydlení nebo trvalému bydlení druhého z manželů, potomků, rodičů nebo prarodičů obou manželů a v případě výstavby, změny stavby nebo koupě rozestavěné stavby </w:t>
      </w:r>
      <w:r w:rsidR="00612F6F">
        <w:rPr>
          <w:rFonts w:ascii="Arial" w:hAnsi="Arial" w:cs="Arial"/>
          <w:sz w:val="22"/>
          <w:szCs w:val="22"/>
        </w:rPr>
        <w:t>užíval předmět bytové potřeby k </w:t>
      </w:r>
      <w:r w:rsidRPr="00BF6E28">
        <w:rPr>
          <w:rFonts w:ascii="Arial" w:hAnsi="Arial" w:cs="Arial"/>
          <w:sz w:val="22"/>
          <w:szCs w:val="22"/>
        </w:rPr>
        <w:t xml:space="preserve">vlastnímu trvalému bydlení nebo k trvalému bydlení druhého z manželů, potomků, rodičů nebo prarodičů obou manželů po splnění povinností stanovených zvláštním právním předpisem pro užívání </w:t>
      </w:r>
      <w:proofErr w:type="gramStart"/>
      <w:r w:rsidRPr="00BF6E28">
        <w:rPr>
          <w:rFonts w:ascii="Arial" w:hAnsi="Arial" w:cs="Arial"/>
          <w:sz w:val="22"/>
          <w:szCs w:val="22"/>
        </w:rPr>
        <w:t>staveb.</w:t>
      </w:r>
      <w:hyperlink r:id="rId11" w:anchor="f1462866" w:history="1">
        <w:r w:rsidRPr="00BF6E28">
          <w:rPr>
            <w:rStyle w:val="Hypertextovodkaz"/>
            <w:rFonts w:ascii="Arial" w:hAnsi="Arial" w:cs="Arial"/>
            <w:bCs/>
            <w:color w:val="auto"/>
            <w:sz w:val="22"/>
            <w:szCs w:val="22"/>
            <w:vertAlign w:val="superscript"/>
          </w:rPr>
          <w:t>63</w:t>
        </w:r>
        <w:proofErr w:type="gramEnd"/>
        <w:r w:rsidRPr="00BF6E28">
          <w:rPr>
            <w:rStyle w:val="Hypertextovodkaz"/>
            <w:rFonts w:ascii="Arial" w:hAnsi="Arial" w:cs="Arial"/>
            <w:bCs/>
            <w:color w:val="auto"/>
            <w:sz w:val="22"/>
            <w:szCs w:val="22"/>
          </w:rPr>
          <w:t>)</w:t>
        </w:r>
      </w:hyperlink>
      <w:r w:rsidRPr="00BF6E28">
        <w:rPr>
          <w:rFonts w:ascii="Arial" w:hAnsi="Arial" w:cs="Arial"/>
          <w:sz w:val="22"/>
          <w:szCs w:val="22"/>
        </w:rPr>
        <w:t xml:space="preserve"> Jde-li o předmět bytové pot</w:t>
      </w:r>
      <w:r w:rsidR="00612F6F">
        <w:rPr>
          <w:rFonts w:ascii="Arial" w:hAnsi="Arial" w:cs="Arial"/>
          <w:sz w:val="22"/>
          <w:szCs w:val="22"/>
        </w:rPr>
        <w:t>řeby uvedený v odstavci 3 písm. </w:t>
      </w:r>
      <w:r w:rsidRPr="00BF6E28">
        <w:rPr>
          <w:rFonts w:ascii="Arial" w:hAnsi="Arial" w:cs="Arial"/>
          <w:sz w:val="22"/>
          <w:szCs w:val="22"/>
        </w:rPr>
        <w:t>b), u něhož nebude splněna podmínka zahájení výst</w:t>
      </w:r>
      <w:r w:rsidR="00612F6F">
        <w:rPr>
          <w:rFonts w:ascii="Arial" w:hAnsi="Arial" w:cs="Arial"/>
          <w:sz w:val="22"/>
          <w:szCs w:val="22"/>
        </w:rPr>
        <w:t>avby bytové potřeby do 4 let od </w:t>
      </w:r>
      <w:r w:rsidRPr="00BF6E28">
        <w:rPr>
          <w:rFonts w:ascii="Arial" w:hAnsi="Arial" w:cs="Arial"/>
          <w:sz w:val="22"/>
          <w:szCs w:val="22"/>
        </w:rPr>
        <w:t>okamžiku uzavření úvěrové smlouvy, nárok na uplatnění odpočtu nezdanitelné části základu daně zaniká a příjmem podle § 10 ve zdaňovacím období, ve kterém k této skutečnosti došlo, jsou částky, o které byl v příslušných letech z důvodu zaplacených úroků z úvěrů základ daně snížen. V roce nabytí vlastnictví však stačí, jestliže předmět bytové potřeby poplatník vlastnil ke konci zdaňovacího období. Jde-li o předmět bytové potřeby uvedený v odstavci 3 písm. d), f), g), může být základ daně snížen pouze ve zdaňovacím období, kdy poplatník byt v nájmu nebo v užívání, jednotku, která nezahrnuje nebytový prostor jiný než garáž, sklep nebo komoru, rodinný dům nebo bytový dům získaný podle odsta</w:t>
      </w:r>
      <w:r w:rsidR="00612F6F">
        <w:rPr>
          <w:rFonts w:ascii="Arial" w:hAnsi="Arial" w:cs="Arial"/>
          <w:sz w:val="22"/>
          <w:szCs w:val="22"/>
        </w:rPr>
        <w:t>vce 3 písm. d), f), g) užíval k </w:t>
      </w:r>
      <w:r w:rsidRPr="00BF6E28">
        <w:rPr>
          <w:rFonts w:ascii="Arial" w:hAnsi="Arial" w:cs="Arial"/>
          <w:sz w:val="22"/>
          <w:szCs w:val="22"/>
        </w:rPr>
        <w:t>vlastnímu trvalému bydlení nebo k trvalému bydlení druhého z manželů, potomků, rodičů nebo prarodičů obou manželů. Úhrnná částka úroků, o které se snižuje zá</w:t>
      </w:r>
      <w:r w:rsidR="00612F6F">
        <w:rPr>
          <w:rFonts w:ascii="Arial" w:hAnsi="Arial" w:cs="Arial"/>
          <w:sz w:val="22"/>
          <w:szCs w:val="22"/>
        </w:rPr>
        <w:t>klad daně podle </w:t>
      </w:r>
      <w:r w:rsidRPr="00BF6E28">
        <w:rPr>
          <w:rFonts w:ascii="Arial" w:hAnsi="Arial" w:cs="Arial"/>
          <w:sz w:val="22"/>
          <w:szCs w:val="22"/>
        </w:rPr>
        <w:t>odstavce 3 ze všech úvěrů poplatníků v téže společně hospodařící domácnosti, nesmí překročit 300 000 Kč. Při placení úroků jen po část roku nesmí uplatňovaná částka překročit jednu dvanáctinu této maximální částky za každý měsíc placení úroků.</w:t>
      </w:r>
    </w:p>
    <w:p w:rsidR="002F736D" w:rsidRPr="00BF6E28" w:rsidRDefault="002F736D" w:rsidP="002F736D">
      <w:pPr>
        <w:pStyle w:val="l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:rsidR="00612F6F" w:rsidRDefault="00612F6F" w:rsidP="002F736D">
      <w:pPr>
        <w:pStyle w:val="l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1E1064" w:rsidRDefault="001E1064" w:rsidP="002F736D">
      <w:pPr>
        <w:pStyle w:val="l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1E1064" w:rsidRDefault="001E1064" w:rsidP="002F736D">
      <w:pPr>
        <w:pStyle w:val="l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1E1064" w:rsidRDefault="001E1064" w:rsidP="002F736D">
      <w:pPr>
        <w:pStyle w:val="l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1E1064" w:rsidRDefault="001E1064" w:rsidP="002F736D">
      <w:pPr>
        <w:pStyle w:val="l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1E1064" w:rsidRDefault="001E1064" w:rsidP="002F736D">
      <w:pPr>
        <w:pStyle w:val="l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1E1064" w:rsidRDefault="001E1064" w:rsidP="002F736D">
      <w:pPr>
        <w:pStyle w:val="l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1E1064" w:rsidRDefault="001E1064" w:rsidP="002F736D">
      <w:pPr>
        <w:pStyle w:val="l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2F736D" w:rsidRPr="00BF6E28" w:rsidRDefault="002F736D" w:rsidP="002F736D">
      <w:pPr>
        <w:pStyle w:val="l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Fonts w:ascii="Arial" w:hAnsi="Arial" w:cs="Arial"/>
          <w:b/>
          <w:sz w:val="22"/>
          <w:szCs w:val="22"/>
        </w:rPr>
        <w:lastRenderedPageBreak/>
        <w:t>4. Zákon č. 243/2000 Sb. o rozpočtovém určení výnosů některých daní územním samosprávným celkům a některým státním fondům</w:t>
      </w:r>
    </w:p>
    <w:p w:rsidR="002F736D" w:rsidRPr="00BF6E28" w:rsidRDefault="002F736D" w:rsidP="002F736D">
      <w:pPr>
        <w:pStyle w:val="l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:rsidR="002F736D" w:rsidRPr="00BF6E28" w:rsidRDefault="002F736D" w:rsidP="002F736D">
      <w:pPr>
        <w:pStyle w:val="l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Fonts w:ascii="Arial" w:hAnsi="Arial" w:cs="Arial"/>
          <w:sz w:val="22"/>
          <w:szCs w:val="22"/>
        </w:rPr>
        <w:t>§ 3</w:t>
      </w:r>
    </w:p>
    <w:p w:rsidR="002F736D" w:rsidRPr="00BF6E28" w:rsidRDefault="002F736D" w:rsidP="002F736D">
      <w:pPr>
        <w:pStyle w:val="Nadpis3"/>
        <w:jc w:val="both"/>
        <w:rPr>
          <w:rFonts w:ascii="Arial" w:hAnsi="Arial" w:cs="Arial"/>
          <w:color w:val="auto"/>
        </w:rPr>
      </w:pPr>
      <w:r w:rsidRPr="00BF6E28">
        <w:rPr>
          <w:rFonts w:ascii="Arial" w:hAnsi="Arial" w:cs="Arial"/>
          <w:color w:val="auto"/>
        </w:rPr>
        <w:t>Daňové příjmy rozpočtů krajů</w:t>
      </w:r>
    </w:p>
    <w:p w:rsidR="002F736D" w:rsidRPr="00BF6E28" w:rsidRDefault="002F736D" w:rsidP="002F736D">
      <w:pPr>
        <w:pStyle w:val="l2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(1)</w:t>
      </w:r>
      <w:r w:rsidRPr="00BF6E28">
        <w:rPr>
          <w:rFonts w:ascii="Arial" w:hAnsi="Arial" w:cs="Arial"/>
          <w:sz w:val="22"/>
          <w:szCs w:val="22"/>
        </w:rPr>
        <w:t xml:space="preserve"> Daňové příjmy rozpočtů jednotlivých krajů tvoří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a)</w:t>
      </w:r>
      <w:r w:rsidRPr="00BF6E28">
        <w:rPr>
          <w:rFonts w:ascii="Arial" w:hAnsi="Arial" w:cs="Arial"/>
          <w:sz w:val="22"/>
          <w:szCs w:val="22"/>
        </w:rPr>
        <w:t xml:space="preserve"> daň z příjmů právnických osob v případech, kdy poplatníkem je příslušný kraj, s výjimkou daně vybírané srážkou podle zvláštní sazby,</w:t>
      </w:r>
      <w:bookmarkStart w:id="0" w:name="_GoBack"/>
      <w:bookmarkEnd w:id="0"/>
    </w:p>
    <w:p w:rsidR="002F736D" w:rsidRPr="00BF6E28" w:rsidRDefault="002F736D" w:rsidP="002F736D">
      <w:pPr>
        <w:spacing w:after="0"/>
        <w:jc w:val="both"/>
        <w:rPr>
          <w:rFonts w:ascii="Arial" w:hAnsi="Arial" w:cs="Arial"/>
        </w:rPr>
      </w:pPr>
      <w:r w:rsidRPr="00BF6E28">
        <w:rPr>
          <w:rStyle w:val="PromnnHTML"/>
          <w:rFonts w:ascii="Arial" w:hAnsi="Arial" w:cs="Arial"/>
          <w:i w:val="0"/>
        </w:rPr>
        <w:t>b)</w:t>
      </w:r>
      <w:r w:rsidRPr="00BF6E28">
        <w:rPr>
          <w:rFonts w:ascii="Arial" w:hAnsi="Arial" w:cs="Arial"/>
        </w:rPr>
        <w:t xml:space="preserve"> podíl na </w:t>
      </w:r>
      <w:r w:rsidRPr="00BF6E28">
        <w:rPr>
          <w:rFonts w:ascii="Arial" w:hAnsi="Arial" w:cs="Arial"/>
          <w:strike/>
        </w:rPr>
        <w:t>8,92</w:t>
      </w:r>
      <w:r w:rsidRPr="00BF6E28">
        <w:rPr>
          <w:rFonts w:ascii="Arial" w:hAnsi="Arial" w:cs="Arial"/>
        </w:rPr>
        <w:t xml:space="preserve"> </w:t>
      </w:r>
      <w:r w:rsidRPr="00BF6E28">
        <w:rPr>
          <w:rFonts w:ascii="Arial" w:hAnsi="Arial" w:cs="Arial"/>
          <w:b/>
        </w:rPr>
        <w:t>9,61</w:t>
      </w:r>
      <w:r w:rsidRPr="00BF6E28">
        <w:rPr>
          <w:rFonts w:ascii="Arial" w:hAnsi="Arial" w:cs="Arial"/>
        </w:rPr>
        <w:t xml:space="preserve"> % z celostátního hrubého výnosu daně z přidané hodnoty, 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c)</w:t>
      </w:r>
      <w:r w:rsidRPr="00BF6E28">
        <w:rPr>
          <w:rFonts w:ascii="Arial" w:hAnsi="Arial" w:cs="Arial"/>
          <w:sz w:val="22"/>
          <w:szCs w:val="22"/>
        </w:rPr>
        <w:t xml:space="preserve"> podíl na 8,92 % z celostátního hrubého výnosu daně (záloh na daň) z příjmů fyzických osob ze závislé činnosti, odváděné zaměstnavatelem jako plátcem daně, s výjimkou daně z příjmů fyzických osob vybírané srážkou podle zvláštní sazby,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d)</w:t>
      </w:r>
      <w:r w:rsidRPr="00BF6E28">
        <w:rPr>
          <w:rFonts w:ascii="Arial" w:hAnsi="Arial" w:cs="Arial"/>
          <w:sz w:val="22"/>
          <w:szCs w:val="22"/>
        </w:rPr>
        <w:t xml:space="preserve"> podíl na 8,92 % z celostátního hrubého výnosu daně z příjmů fyzických osob vybírané srážkou podle zvláštní sazby,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e)</w:t>
      </w:r>
      <w:r w:rsidRPr="00BF6E28">
        <w:rPr>
          <w:rFonts w:ascii="Arial" w:hAnsi="Arial" w:cs="Arial"/>
          <w:sz w:val="22"/>
          <w:szCs w:val="22"/>
        </w:rPr>
        <w:t xml:space="preserve"> podíl na 8,92 % z 60 % z celostátního hrubého výnosu daně (záloh na daň) z příjmů fyzických osob sníženého o výnosy uvedené v písmenech c) a d),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f)</w:t>
      </w:r>
      <w:r w:rsidRPr="00BF6E28">
        <w:rPr>
          <w:rFonts w:ascii="Arial" w:hAnsi="Arial" w:cs="Arial"/>
          <w:sz w:val="22"/>
          <w:szCs w:val="22"/>
        </w:rPr>
        <w:t xml:space="preserve"> podíl na 8,92 % z celostátního hrubého výnosu daně z příjmů právnických osob, s výjimkou výnosů uvedených v písmenu a) a v § 4 odst. 1 písm. g).</w:t>
      </w:r>
    </w:p>
    <w:p w:rsidR="002F736D" w:rsidRPr="00BF6E28" w:rsidRDefault="002F736D" w:rsidP="002F736D">
      <w:pPr>
        <w:pStyle w:val="l2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(2)</w:t>
      </w:r>
      <w:r w:rsidRPr="00BF6E28">
        <w:rPr>
          <w:rFonts w:ascii="Arial" w:hAnsi="Arial" w:cs="Arial"/>
          <w:sz w:val="22"/>
          <w:szCs w:val="22"/>
        </w:rPr>
        <w:t xml:space="preserve"> Každý kraj se na procentní části celostátního hrubého výnosu daně podle odstavce 1 písm. b) až f) podílí procentem stanoveným v příloze č. 1 k tomuto zákonu.</w:t>
      </w:r>
    </w:p>
    <w:p w:rsidR="002F736D" w:rsidRPr="00BF6E28" w:rsidRDefault="002F736D" w:rsidP="002F736D">
      <w:pPr>
        <w:pStyle w:val="l2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(3)</w:t>
      </w:r>
      <w:r w:rsidRPr="00BF6E28">
        <w:rPr>
          <w:rFonts w:ascii="Arial" w:hAnsi="Arial" w:cs="Arial"/>
          <w:sz w:val="22"/>
          <w:szCs w:val="22"/>
        </w:rPr>
        <w:t xml:space="preserve"> Součástí daňového příjmu podle odstavce 1 písm. a) není úhrada rozdílu mezi daní vyměřenou nebo dodatečně vyměřenou kraji správcem da</w:t>
      </w:r>
      <w:r w:rsidR="00612F6F">
        <w:rPr>
          <w:rFonts w:ascii="Arial" w:hAnsi="Arial" w:cs="Arial"/>
          <w:sz w:val="22"/>
          <w:szCs w:val="22"/>
        </w:rPr>
        <w:t>ně a daní krajem přiznanou nebo </w:t>
      </w:r>
      <w:r w:rsidRPr="00BF6E28">
        <w:rPr>
          <w:rFonts w:ascii="Arial" w:hAnsi="Arial" w:cs="Arial"/>
          <w:sz w:val="22"/>
          <w:szCs w:val="22"/>
        </w:rPr>
        <w:t>dodatečně přiznanou ani příslušenství daně.</w:t>
      </w:r>
      <w:hyperlink r:id="rId12" w:anchor="f2061949" w:history="1">
        <w:r w:rsidRPr="00BF6E28">
          <w:rPr>
            <w:rStyle w:val="Hypertextovodkaz"/>
            <w:rFonts w:ascii="Arial" w:hAnsi="Arial" w:cs="Arial"/>
            <w:color w:val="auto"/>
            <w:sz w:val="22"/>
            <w:szCs w:val="22"/>
            <w:vertAlign w:val="superscript"/>
          </w:rPr>
          <w:t>4a</w:t>
        </w:r>
        <w:r w:rsidRPr="00BF6E28">
          <w:rPr>
            <w:rStyle w:val="Hypertextovodkaz"/>
            <w:rFonts w:ascii="Arial" w:hAnsi="Arial" w:cs="Arial"/>
            <w:color w:val="auto"/>
            <w:sz w:val="22"/>
            <w:szCs w:val="22"/>
          </w:rPr>
          <w:t>)</w:t>
        </w:r>
      </w:hyperlink>
    </w:p>
    <w:p w:rsidR="002F736D" w:rsidRPr="00BF6E28" w:rsidRDefault="002F736D" w:rsidP="002F736D">
      <w:pPr>
        <w:pStyle w:val="l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Fonts w:ascii="Arial" w:hAnsi="Arial" w:cs="Arial"/>
          <w:sz w:val="22"/>
          <w:szCs w:val="22"/>
        </w:rPr>
        <w:t>§ 4</w:t>
      </w:r>
    </w:p>
    <w:p w:rsidR="002F736D" w:rsidRPr="00BF6E28" w:rsidRDefault="002F736D" w:rsidP="002F736D">
      <w:pPr>
        <w:pStyle w:val="Nadpis3"/>
        <w:jc w:val="both"/>
        <w:rPr>
          <w:rFonts w:ascii="Arial" w:hAnsi="Arial" w:cs="Arial"/>
          <w:color w:val="auto"/>
        </w:rPr>
      </w:pPr>
      <w:r w:rsidRPr="00BF6E28">
        <w:rPr>
          <w:rFonts w:ascii="Arial" w:hAnsi="Arial" w:cs="Arial"/>
          <w:color w:val="auto"/>
        </w:rPr>
        <w:t>Daňové příjmy rozpočtů obcí</w:t>
      </w:r>
    </w:p>
    <w:p w:rsidR="002F736D" w:rsidRPr="00BF6E28" w:rsidRDefault="002F736D" w:rsidP="002F736D">
      <w:pPr>
        <w:pStyle w:val="l2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(1)</w:t>
      </w:r>
      <w:r w:rsidRPr="00BF6E28">
        <w:rPr>
          <w:rFonts w:ascii="Arial" w:hAnsi="Arial" w:cs="Arial"/>
          <w:sz w:val="22"/>
          <w:szCs w:val="22"/>
        </w:rPr>
        <w:t xml:space="preserve"> Daňové příjmy rozpočtů obcí tvoří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a)</w:t>
      </w:r>
      <w:r w:rsidRPr="00BF6E28">
        <w:rPr>
          <w:rFonts w:ascii="Arial" w:hAnsi="Arial" w:cs="Arial"/>
          <w:sz w:val="22"/>
          <w:szCs w:val="22"/>
        </w:rPr>
        <w:t xml:space="preserve"> výnos daně z nemovitých věcí; příjemcem je ta obec, na jejímž území se nemovitost nachází,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b)</w:t>
      </w:r>
      <w:r w:rsidRPr="00BF6E28">
        <w:rPr>
          <w:rFonts w:ascii="Arial" w:hAnsi="Arial" w:cs="Arial"/>
          <w:sz w:val="22"/>
          <w:szCs w:val="22"/>
        </w:rPr>
        <w:t xml:space="preserve"> podíl na </w:t>
      </w:r>
      <w:r w:rsidRPr="00BF6E28">
        <w:rPr>
          <w:rFonts w:ascii="Arial" w:hAnsi="Arial" w:cs="Arial"/>
          <w:strike/>
          <w:sz w:val="22"/>
          <w:szCs w:val="22"/>
        </w:rPr>
        <w:t>23,58</w:t>
      </w:r>
      <w:r w:rsidRPr="00BF6E28">
        <w:rPr>
          <w:rFonts w:ascii="Arial" w:hAnsi="Arial" w:cs="Arial"/>
          <w:sz w:val="22"/>
          <w:szCs w:val="22"/>
        </w:rPr>
        <w:t xml:space="preserve"> </w:t>
      </w:r>
      <w:r w:rsidRPr="00BF6E28">
        <w:rPr>
          <w:rFonts w:ascii="Arial" w:hAnsi="Arial" w:cs="Arial"/>
          <w:b/>
          <w:sz w:val="22"/>
          <w:szCs w:val="22"/>
        </w:rPr>
        <w:t xml:space="preserve">25,39 </w:t>
      </w:r>
      <w:r w:rsidRPr="00BF6E28">
        <w:rPr>
          <w:rFonts w:ascii="Arial" w:hAnsi="Arial" w:cs="Arial"/>
          <w:sz w:val="22"/>
          <w:szCs w:val="22"/>
        </w:rPr>
        <w:t>% z celostátního hrubého výnosu daně z přidané hodnoty,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lastRenderedPageBreak/>
        <w:t>c)</w:t>
      </w:r>
      <w:r w:rsidRPr="00BF6E28">
        <w:rPr>
          <w:rFonts w:ascii="Arial" w:hAnsi="Arial" w:cs="Arial"/>
          <w:sz w:val="22"/>
          <w:szCs w:val="22"/>
        </w:rPr>
        <w:t xml:space="preserve"> podíl na 23,58 % z celostátního hrubého výnosu daně (záloh na daň) z příjmů fyzických osob ze závislé činnosti, odváděné zaměstnavatelem j</w:t>
      </w:r>
      <w:r w:rsidR="00612F6F">
        <w:rPr>
          <w:rFonts w:ascii="Arial" w:hAnsi="Arial" w:cs="Arial"/>
          <w:sz w:val="22"/>
          <w:szCs w:val="22"/>
        </w:rPr>
        <w:t>ako plátcem daně podle zákona o </w:t>
      </w:r>
      <w:r w:rsidRPr="00BF6E28">
        <w:rPr>
          <w:rFonts w:ascii="Arial" w:hAnsi="Arial" w:cs="Arial"/>
          <w:sz w:val="22"/>
          <w:szCs w:val="22"/>
        </w:rPr>
        <w:t>daních z příjmů,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d)</w:t>
      </w:r>
      <w:r w:rsidRPr="00BF6E28">
        <w:rPr>
          <w:rFonts w:ascii="Arial" w:hAnsi="Arial" w:cs="Arial"/>
          <w:sz w:val="22"/>
          <w:szCs w:val="22"/>
        </w:rPr>
        <w:t xml:space="preserve"> podíl na 23,58 % z celostátního hrubého výnosu daně (záloh na daň) z příjmů fyzických osob vybírané srážkou podle zvláštní sazby, s výjimkou výnosů uvedených pod písmenem c),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e)</w:t>
      </w:r>
      <w:r w:rsidRPr="00BF6E28">
        <w:rPr>
          <w:rFonts w:ascii="Arial" w:hAnsi="Arial" w:cs="Arial"/>
          <w:sz w:val="22"/>
          <w:szCs w:val="22"/>
        </w:rPr>
        <w:t xml:space="preserve"> podíl na 23,58 % z 60 % z celostátního hrubého výnosu daně (záloh na daň) z příjmů fyzických osob sníženého o výnosy uvedené v písmenech c) a d),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f)</w:t>
      </w:r>
      <w:r w:rsidRPr="00BF6E28">
        <w:rPr>
          <w:rFonts w:ascii="Arial" w:hAnsi="Arial" w:cs="Arial"/>
          <w:sz w:val="22"/>
          <w:szCs w:val="22"/>
        </w:rPr>
        <w:t xml:space="preserve"> podíl na 23,58 % z celostátního hrubého výnosu daně z příjmů právnických osob, s výjimkou výnosů uvedených v písmenu h) a v § 3 odst. 1 písm. a),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g)</w:t>
      </w:r>
      <w:r w:rsidRPr="00BF6E28">
        <w:rPr>
          <w:rFonts w:ascii="Arial" w:hAnsi="Arial" w:cs="Arial"/>
          <w:sz w:val="22"/>
          <w:szCs w:val="22"/>
        </w:rPr>
        <w:t xml:space="preserve"> daň z příjmů právnických osob v případech, kdy poplatníkem je příslušná obec, s výjimkou daně vybírané srážkou podle zvláštní sazby,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h)</w:t>
      </w:r>
      <w:r w:rsidRPr="00BF6E28">
        <w:rPr>
          <w:rFonts w:ascii="Arial" w:hAnsi="Arial" w:cs="Arial"/>
          <w:sz w:val="22"/>
          <w:szCs w:val="22"/>
        </w:rPr>
        <w:t xml:space="preserve"> podíl na 1,5 % z celostátního hrubého výnosu daně (záloh na daň) z příjmů fyzických osob ze závislé činnosti, odváděné zaměstnavatelem jako plátcem daně z příjmů, s výjimkou daně z příjmů fyzických osob vybírané srážkou podle zvláštní sazby.</w:t>
      </w:r>
    </w:p>
    <w:p w:rsidR="002F736D" w:rsidRPr="00BF6E28" w:rsidRDefault="002F736D" w:rsidP="002F736D">
      <w:pPr>
        <w:pStyle w:val="l2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(2)</w:t>
      </w:r>
      <w:r w:rsidRPr="00BF6E28">
        <w:rPr>
          <w:rFonts w:ascii="Arial" w:hAnsi="Arial" w:cs="Arial"/>
          <w:sz w:val="22"/>
          <w:szCs w:val="22"/>
        </w:rPr>
        <w:t xml:space="preserve"> Procento, kterým se obce s výjimkou hlavního města Prahy, Plzně, Ostravy a Brna (dále jen „ostatní obce“) podílejí na procentní části celostátního hrubého výnosu daní podle odstavce 1 písm. b) až f), se vypočte jako součet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a)</w:t>
      </w:r>
      <w:r w:rsidRPr="00BF6E28">
        <w:rPr>
          <w:rFonts w:ascii="Arial" w:hAnsi="Arial" w:cs="Arial"/>
          <w:sz w:val="22"/>
          <w:szCs w:val="22"/>
        </w:rPr>
        <w:t xml:space="preserve"> poměru započtené výměry katastrálních území obce (odstavec 7) k celkově započtené výměře katastrálních území všech obcí, vyjádřeného v procentech a násobeného koeficientem 0,03,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b)</w:t>
      </w:r>
      <w:r w:rsidRPr="00BF6E28">
        <w:rPr>
          <w:rFonts w:ascii="Arial" w:hAnsi="Arial" w:cs="Arial"/>
          <w:sz w:val="22"/>
          <w:szCs w:val="22"/>
        </w:rPr>
        <w:t xml:space="preserve"> poměru počtu obyvatel obce k počtu obyvatel všech </w:t>
      </w:r>
      <w:r w:rsidR="00257553">
        <w:rPr>
          <w:rFonts w:ascii="Arial" w:hAnsi="Arial" w:cs="Arial"/>
          <w:sz w:val="22"/>
          <w:szCs w:val="22"/>
        </w:rPr>
        <w:t>obcí vyjádřeného v procentech a </w:t>
      </w:r>
      <w:r w:rsidRPr="00BF6E28">
        <w:rPr>
          <w:rFonts w:ascii="Arial" w:hAnsi="Arial" w:cs="Arial"/>
          <w:sz w:val="22"/>
          <w:szCs w:val="22"/>
        </w:rPr>
        <w:t>násobeného koeficientem 0,10,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c)</w:t>
      </w:r>
      <w:r w:rsidRPr="00BF6E28">
        <w:rPr>
          <w:rFonts w:ascii="Arial" w:hAnsi="Arial" w:cs="Arial"/>
          <w:sz w:val="22"/>
          <w:szCs w:val="22"/>
        </w:rPr>
        <w:t xml:space="preserve"> poměru počtu dětí a žáků navštěvujících školu zřizovanou obcí k počtu těchto dětí a žáků za všechny obce, vyjádřeného v procentech a násobeného koeficientem 0,09,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d)</w:t>
      </w:r>
      <w:r w:rsidRPr="00BF6E28">
        <w:rPr>
          <w:rFonts w:ascii="Arial" w:hAnsi="Arial" w:cs="Arial"/>
          <w:sz w:val="22"/>
          <w:szCs w:val="22"/>
        </w:rPr>
        <w:t xml:space="preserve"> poměru násobku postupných přechodů, vypočteného pro obec pomocí koeficientů postupných přechodů, k součtu násobků postupných přechodů vypočtených za ostatní obce, vyjádřeného v procentech a násobeného koeficientem 0,78 a dále násobeného celkovým procentem, kterým se na část celostátního hrubého výnosu da</w:t>
      </w:r>
      <w:r w:rsidR="00257553">
        <w:rPr>
          <w:rFonts w:ascii="Arial" w:hAnsi="Arial" w:cs="Arial"/>
          <w:sz w:val="22"/>
          <w:szCs w:val="22"/>
        </w:rPr>
        <w:t>ní podle odstavce 1 písm. b) až </w:t>
      </w:r>
      <w:r w:rsidRPr="00BF6E28">
        <w:rPr>
          <w:rFonts w:ascii="Arial" w:hAnsi="Arial" w:cs="Arial"/>
          <w:sz w:val="22"/>
          <w:szCs w:val="22"/>
        </w:rPr>
        <w:t>f) podílejí ostatní obce, toto celkové procento se vypočte způsobem uvedeným v odstavci 4.</w:t>
      </w:r>
    </w:p>
    <w:p w:rsidR="002F736D" w:rsidRPr="00BF6E28" w:rsidRDefault="002F736D" w:rsidP="002F736D">
      <w:pPr>
        <w:pStyle w:val="l2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(3)</w:t>
      </w:r>
      <w:r w:rsidRPr="00BF6E28">
        <w:rPr>
          <w:rFonts w:ascii="Arial" w:hAnsi="Arial" w:cs="Arial"/>
          <w:sz w:val="22"/>
          <w:szCs w:val="22"/>
        </w:rPr>
        <w:t xml:space="preserve"> Koeficienty postupných přechodů a násobky postupných přechodů [odstavec 2 písm. c)] jsou uvedeny v příloze č. 2 k tomuto zákonu.</w:t>
      </w:r>
    </w:p>
    <w:p w:rsidR="002F736D" w:rsidRPr="00BF6E28" w:rsidRDefault="002F736D" w:rsidP="002F736D">
      <w:pPr>
        <w:pStyle w:val="l2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(4)</w:t>
      </w:r>
      <w:r w:rsidRPr="00BF6E28">
        <w:rPr>
          <w:rFonts w:ascii="Arial" w:hAnsi="Arial" w:cs="Arial"/>
          <w:sz w:val="22"/>
          <w:szCs w:val="22"/>
        </w:rPr>
        <w:t xml:space="preserve"> Celkové procento, kterým se ostatní obce podílejí na části celostátního hrubého výnosu daní podle odstavce 1 písm. b) až f), se stanoví pomocí zlomku, v jehož čitateli se uvede násobek přepočítacího koeficientu pro ostatní obce uvedený v</w:t>
      </w:r>
      <w:r w:rsidR="00257553">
        <w:rPr>
          <w:rFonts w:ascii="Arial" w:hAnsi="Arial" w:cs="Arial"/>
          <w:sz w:val="22"/>
          <w:szCs w:val="22"/>
        </w:rPr>
        <w:t xml:space="preserve"> příloze č. 3 k tomuto zákonu a </w:t>
      </w:r>
      <w:r w:rsidRPr="00BF6E28">
        <w:rPr>
          <w:rFonts w:ascii="Arial" w:hAnsi="Arial" w:cs="Arial"/>
          <w:sz w:val="22"/>
          <w:szCs w:val="22"/>
        </w:rPr>
        <w:t xml:space="preserve">celkového počtu obyvatel ostatních obcí, a ve jmenovateli součet násobků příslušných </w:t>
      </w:r>
      <w:r w:rsidRPr="00BF6E28">
        <w:rPr>
          <w:rFonts w:ascii="Arial" w:hAnsi="Arial" w:cs="Arial"/>
          <w:sz w:val="22"/>
          <w:szCs w:val="22"/>
        </w:rPr>
        <w:lastRenderedPageBreak/>
        <w:t>přepočítacích koeficientů uvedených v příloze č. 3 k tomuto zákonu a počtu obyvatel připadajících na hlavní město Prahu, Plzeň, Ostravu, Brno a na ostatní obce.</w:t>
      </w:r>
    </w:p>
    <w:p w:rsidR="002F736D" w:rsidRPr="00BF6E28" w:rsidRDefault="002F736D" w:rsidP="002F736D">
      <w:pPr>
        <w:pStyle w:val="l2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(5)</w:t>
      </w:r>
      <w:r w:rsidRPr="00BF6E28">
        <w:rPr>
          <w:rFonts w:ascii="Arial" w:hAnsi="Arial" w:cs="Arial"/>
          <w:sz w:val="22"/>
          <w:szCs w:val="22"/>
        </w:rPr>
        <w:t xml:space="preserve"> Procento, kterým se hlavní město Praha, Plzeň, Ostrava a Brno podílejí na procentní části celostátního hrubého výnosu daní podle odstavce 1 písm. b) až f), se vypočte jako součet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a)</w:t>
      </w:r>
      <w:r w:rsidRPr="00BF6E28">
        <w:rPr>
          <w:rFonts w:ascii="Arial" w:hAnsi="Arial" w:cs="Arial"/>
          <w:sz w:val="22"/>
          <w:szCs w:val="22"/>
        </w:rPr>
        <w:t xml:space="preserve"> poměru započtené výměry katastrálních území obce (odstavec 7) k celkově započtené výměře katastrálních území všech obcí, vyjádřeného v procentech a násobeného koeficientem 0,03,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b)</w:t>
      </w:r>
      <w:r w:rsidRPr="00BF6E28">
        <w:rPr>
          <w:rFonts w:ascii="Arial" w:hAnsi="Arial" w:cs="Arial"/>
          <w:sz w:val="22"/>
          <w:szCs w:val="22"/>
        </w:rPr>
        <w:t xml:space="preserve"> poměru počtu obyvatel obce k počtu obyvatel všech obcí, vyjádřeného v procentech a násobeného koeficientem 0,10,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c)</w:t>
      </w:r>
      <w:r w:rsidRPr="00BF6E28">
        <w:rPr>
          <w:rFonts w:ascii="Arial" w:hAnsi="Arial" w:cs="Arial"/>
          <w:sz w:val="22"/>
          <w:szCs w:val="22"/>
        </w:rPr>
        <w:t xml:space="preserve"> poměru počtu dětí a žáků navštěvujících školu zřizovanou obcí k počtu těchto dětí a žáků za všechny obce, vyjádřeného v procentech a násobeného koeficientem 0,09,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d)</w:t>
      </w:r>
      <w:r w:rsidRPr="00BF6E28">
        <w:rPr>
          <w:rFonts w:ascii="Arial" w:hAnsi="Arial" w:cs="Arial"/>
          <w:sz w:val="22"/>
          <w:szCs w:val="22"/>
        </w:rPr>
        <w:t xml:space="preserve"> poměru násobku příslušného přepočítacího koeficientu uvedeného v příloze č. 3 k tomuto zákonu a připadajícího na hlavní město Prahu, Plzeň, Ostravu nebo Brno a počtu obyvatel hlavního města Prahy, Plzně, Ostravy nebo Brna k součtu násobků příslušných přepočítacích koeficientů uvedených v příloze č. 3 k tomuto zákonu a počtu obyvatel připadajících na hlavní město Prahu, Plzeň, Ostravu, Brno a na ostatní obce, vyjádřeného v procentech a násobeného koeficientem 0,78.</w:t>
      </w:r>
    </w:p>
    <w:p w:rsidR="002F736D" w:rsidRPr="00BF6E28" w:rsidRDefault="002F736D" w:rsidP="002F736D">
      <w:pPr>
        <w:pStyle w:val="l2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(6)</w:t>
      </w:r>
      <w:r w:rsidRPr="00BF6E28">
        <w:rPr>
          <w:rFonts w:ascii="Arial" w:hAnsi="Arial" w:cs="Arial"/>
          <w:sz w:val="22"/>
          <w:szCs w:val="22"/>
        </w:rPr>
        <w:t xml:space="preserve"> Při stanovení počtu obyvatel obce pro účely propočtů podle odstavců 2 až 5 a odstavce 7 se vychází ze stavu k 1. lednu běžného roku uvedeného v bilanci obyvatel České republiky zpracované Českým statistickým úřadem k 1. lednu běžného roku.</w:t>
      </w:r>
    </w:p>
    <w:p w:rsidR="002F736D" w:rsidRPr="00BF6E28" w:rsidRDefault="002F736D" w:rsidP="002F736D">
      <w:pPr>
        <w:pStyle w:val="l2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(7)</w:t>
      </w:r>
      <w:r w:rsidRPr="00BF6E28">
        <w:rPr>
          <w:rFonts w:ascii="Arial" w:hAnsi="Arial" w:cs="Arial"/>
          <w:sz w:val="22"/>
          <w:szCs w:val="22"/>
        </w:rPr>
        <w:t xml:space="preserve"> Započtenou výměrou katastrálních území obce pro účely propočtů podle odstavců 2 až 5 se rozumí výměra, která vychází z údajů Českého úřadu zem</w:t>
      </w:r>
      <w:r w:rsidR="00257553">
        <w:rPr>
          <w:rFonts w:ascii="Arial" w:hAnsi="Arial" w:cs="Arial"/>
          <w:sz w:val="22"/>
          <w:szCs w:val="22"/>
        </w:rPr>
        <w:t>ěměřického a katastrálního k 1. </w:t>
      </w:r>
      <w:r w:rsidRPr="00BF6E28">
        <w:rPr>
          <w:rFonts w:ascii="Arial" w:hAnsi="Arial" w:cs="Arial"/>
          <w:sz w:val="22"/>
          <w:szCs w:val="22"/>
        </w:rPr>
        <w:t>lednu běžného roku, maximálně však výměra 10 ha na každého obyvatele obce.</w:t>
      </w:r>
    </w:p>
    <w:p w:rsidR="002F736D" w:rsidRPr="00BF6E28" w:rsidRDefault="002F736D" w:rsidP="002F736D">
      <w:pPr>
        <w:pStyle w:val="l2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(8)</w:t>
      </w:r>
      <w:r w:rsidRPr="00BF6E28">
        <w:rPr>
          <w:rFonts w:ascii="Arial" w:hAnsi="Arial" w:cs="Arial"/>
          <w:sz w:val="22"/>
          <w:szCs w:val="22"/>
        </w:rPr>
        <w:t xml:space="preserve"> Při stanovení počtu dětí a žáků se pro účely propočtů </w:t>
      </w:r>
      <w:r w:rsidR="00257553">
        <w:rPr>
          <w:rFonts w:ascii="Arial" w:hAnsi="Arial" w:cs="Arial"/>
          <w:sz w:val="22"/>
          <w:szCs w:val="22"/>
        </w:rPr>
        <w:t>podle odstavců 2 až 5 vychází z </w:t>
      </w:r>
      <w:r w:rsidRPr="00BF6E28">
        <w:rPr>
          <w:rFonts w:ascii="Arial" w:hAnsi="Arial" w:cs="Arial"/>
          <w:sz w:val="22"/>
          <w:szCs w:val="22"/>
        </w:rPr>
        <w:t>dokumentace škol vedené podle školského zákona, a to ze stavu k 30. září roku, který bezprostředně předchází běžnému roku.</w:t>
      </w:r>
    </w:p>
    <w:p w:rsidR="002F736D" w:rsidRPr="00BF6E28" w:rsidRDefault="002F736D" w:rsidP="002F736D">
      <w:pPr>
        <w:pStyle w:val="l2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(9)</w:t>
      </w:r>
      <w:r w:rsidRPr="00BF6E28">
        <w:rPr>
          <w:rFonts w:ascii="Arial" w:hAnsi="Arial" w:cs="Arial"/>
          <w:sz w:val="22"/>
          <w:szCs w:val="22"/>
        </w:rPr>
        <w:t xml:space="preserve"> Pro účely propočtu podle odstavců 2 až 5 se počtem dětí rozumí počet dětí účastnících se předškolního vzdělávání a počtem žáků se rozumí počet žáků plnících povinnou školní docházku.</w:t>
      </w:r>
    </w:p>
    <w:p w:rsidR="002F736D" w:rsidRPr="00BF6E28" w:rsidRDefault="002F736D" w:rsidP="002F736D">
      <w:pPr>
        <w:pStyle w:val="l2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(10)</w:t>
      </w:r>
      <w:r w:rsidRPr="00BF6E28">
        <w:rPr>
          <w:rFonts w:ascii="Arial" w:hAnsi="Arial" w:cs="Arial"/>
          <w:sz w:val="22"/>
          <w:szCs w:val="22"/>
        </w:rPr>
        <w:t xml:space="preserve"> Součástí daňového příjmu podle odstavce 1 písm. g) není úhrada rozdílu mezi daní vyměřenou nebo dodatečně vyměřenou obci správcem </w:t>
      </w:r>
      <w:r w:rsidR="00257553">
        <w:rPr>
          <w:rFonts w:ascii="Arial" w:hAnsi="Arial" w:cs="Arial"/>
          <w:sz w:val="22"/>
          <w:szCs w:val="22"/>
        </w:rPr>
        <w:t>daně a daní obcí přiznanou nebo </w:t>
      </w:r>
      <w:r w:rsidRPr="00BF6E28">
        <w:rPr>
          <w:rFonts w:ascii="Arial" w:hAnsi="Arial" w:cs="Arial"/>
          <w:sz w:val="22"/>
          <w:szCs w:val="22"/>
        </w:rPr>
        <w:t>dodatečně přiznanou ani příslušenství daně.</w:t>
      </w:r>
    </w:p>
    <w:p w:rsidR="002F736D" w:rsidRPr="00BF6E28" w:rsidRDefault="002F736D" w:rsidP="002F736D">
      <w:pPr>
        <w:pStyle w:val="l2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(11)</w:t>
      </w:r>
      <w:r w:rsidRPr="00BF6E28">
        <w:rPr>
          <w:rFonts w:ascii="Arial" w:hAnsi="Arial" w:cs="Arial"/>
          <w:sz w:val="22"/>
          <w:szCs w:val="22"/>
        </w:rPr>
        <w:t xml:space="preserve"> Ministerstvo financí stanoví vyhláškou vydanou na základě údajů zpracovaných Českým statistickým úřadem, Českým úřadem zeměměřickým a katastrálním a Ministerstvem školství, mládeže a tělovýchovy, vždy s účinností od 1. září běžného roku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lastRenderedPageBreak/>
        <w:t>a)</w:t>
      </w:r>
      <w:r w:rsidRPr="00BF6E28">
        <w:rPr>
          <w:rFonts w:ascii="Arial" w:hAnsi="Arial" w:cs="Arial"/>
          <w:sz w:val="22"/>
          <w:szCs w:val="22"/>
        </w:rPr>
        <w:t xml:space="preserve"> celkové procento, kterým se ostatní obce podílejí na části celostátního hrubého výnosu daní podle odstavce 1 písm. b) až f),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b)</w:t>
      </w:r>
      <w:r w:rsidRPr="00BF6E28">
        <w:rPr>
          <w:rFonts w:ascii="Arial" w:hAnsi="Arial" w:cs="Arial"/>
          <w:sz w:val="22"/>
          <w:szCs w:val="22"/>
        </w:rPr>
        <w:t xml:space="preserve"> procento, kterým se jednotlivé obce podílejí na procentní části celostátního hrubého výnosu daní podle odstavce 1 písm. b) až f),</w:t>
      </w:r>
    </w:p>
    <w:p w:rsidR="002F736D" w:rsidRPr="00BF6E28" w:rsidRDefault="002F736D" w:rsidP="002F736D">
      <w:pPr>
        <w:pStyle w:val="l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E28">
        <w:rPr>
          <w:rStyle w:val="PromnnHTML"/>
          <w:rFonts w:ascii="Arial" w:hAnsi="Arial" w:cs="Arial"/>
          <w:i w:val="0"/>
          <w:sz w:val="22"/>
          <w:szCs w:val="22"/>
        </w:rPr>
        <w:t>c)</w:t>
      </w:r>
      <w:r w:rsidRPr="00BF6E28">
        <w:rPr>
          <w:rFonts w:ascii="Arial" w:hAnsi="Arial" w:cs="Arial"/>
          <w:sz w:val="22"/>
          <w:szCs w:val="22"/>
        </w:rPr>
        <w:t xml:space="preserve"> procento, kterým se jednotlivé obce podílejí na výnosu daně podle odstavce 1 písm. h), stanovené v závislosti na poměru počtu zaměstnanců v obci, vykázanému v příloze k vyúčtování daně z příjmů ze závislé činnosti, k celkovému počtu zaměstnanců takto vykázaných v České republice, a to podle stavu k 1. prosinci bezprostředně předcházejícího kalendářního roku.</w:t>
      </w:r>
    </w:p>
    <w:p w:rsidR="002F736D" w:rsidRPr="00BF6E28" w:rsidRDefault="002F736D" w:rsidP="002F736D">
      <w:pPr>
        <w:pStyle w:val="l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:rsidR="00322A88" w:rsidRDefault="00563595"/>
    <w:sectPr w:rsidR="00322A88" w:rsidSect="00A241AA"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595" w:rsidRDefault="00563595">
      <w:pPr>
        <w:spacing w:after="0" w:line="240" w:lineRule="auto"/>
      </w:pPr>
      <w:r>
        <w:separator/>
      </w:r>
    </w:p>
  </w:endnote>
  <w:endnote w:type="continuationSeparator" w:id="0">
    <w:p w:rsidR="00563595" w:rsidRDefault="00563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753123"/>
      <w:docPartObj>
        <w:docPartGallery w:val="Page Numbers (Bottom of Page)"/>
        <w:docPartUnique/>
      </w:docPartObj>
    </w:sdtPr>
    <w:sdtEndPr/>
    <w:sdtContent>
      <w:p w:rsidR="00A241AA" w:rsidRDefault="002F736D">
        <w:pPr>
          <w:pStyle w:val="Zpat"/>
          <w:spacing w:before="14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064">
          <w:rPr>
            <w:noProof/>
          </w:rPr>
          <w:t>7</w:t>
        </w:r>
        <w:r>
          <w:fldChar w:fldCharType="end"/>
        </w:r>
      </w:p>
    </w:sdtContent>
  </w:sdt>
  <w:p w:rsidR="00A241AA" w:rsidRDefault="005635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595" w:rsidRDefault="00563595">
      <w:pPr>
        <w:spacing w:after="0" w:line="240" w:lineRule="auto"/>
      </w:pPr>
      <w:r>
        <w:separator/>
      </w:r>
    </w:p>
  </w:footnote>
  <w:footnote w:type="continuationSeparator" w:id="0">
    <w:p w:rsidR="00563595" w:rsidRDefault="005635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6D"/>
    <w:rsid w:val="001E1064"/>
    <w:rsid w:val="00257553"/>
    <w:rsid w:val="002F736D"/>
    <w:rsid w:val="00563595"/>
    <w:rsid w:val="00612F6F"/>
    <w:rsid w:val="00711273"/>
    <w:rsid w:val="0095586E"/>
    <w:rsid w:val="00A8012B"/>
    <w:rsid w:val="00B860C0"/>
    <w:rsid w:val="00CD12D2"/>
    <w:rsid w:val="00DB5461"/>
    <w:rsid w:val="00E926E7"/>
    <w:rsid w:val="00F2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CFFF62-6356-4CFA-B62D-7D097879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736D"/>
    <w:pPr>
      <w:spacing w:after="200" w:line="276" w:lineRule="auto"/>
    </w:p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F73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semiHidden/>
    <w:rsid w:val="002F736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Hypertextovodkaz">
    <w:name w:val="Hyperlink"/>
    <w:basedOn w:val="Standardnpsmoodstavce"/>
    <w:uiPriority w:val="99"/>
    <w:semiHidden/>
    <w:unhideWhenUsed/>
    <w:rsid w:val="002F736D"/>
    <w:rPr>
      <w:color w:val="01496F"/>
      <w:u w:val="single"/>
      <w:shd w:val="clear" w:color="auto" w:fill="auto"/>
    </w:rPr>
  </w:style>
  <w:style w:type="character" w:styleId="PromnnHTML">
    <w:name w:val="HTML Variable"/>
    <w:basedOn w:val="Standardnpsmoodstavce"/>
    <w:uiPriority w:val="99"/>
    <w:semiHidden/>
    <w:unhideWhenUsed/>
    <w:rsid w:val="002F736D"/>
    <w:rPr>
      <w:i/>
      <w:iCs/>
    </w:rPr>
  </w:style>
  <w:style w:type="paragraph" w:customStyle="1" w:styleId="l2">
    <w:name w:val="l2"/>
    <w:basedOn w:val="Normln"/>
    <w:rsid w:val="002F7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3">
    <w:name w:val="l3"/>
    <w:basedOn w:val="Normln"/>
    <w:rsid w:val="002F7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2F7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1">
    <w:name w:val="l1"/>
    <w:basedOn w:val="Normln"/>
    <w:rsid w:val="002F7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1">
    <w:name w:val="l41"/>
    <w:basedOn w:val="Normln"/>
    <w:rsid w:val="002F736D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1">
    <w:name w:val="l51"/>
    <w:basedOn w:val="Normln"/>
    <w:rsid w:val="002F736D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31">
    <w:name w:val="l31"/>
    <w:basedOn w:val="Normln"/>
    <w:rsid w:val="002F736D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21">
    <w:name w:val="l21"/>
    <w:basedOn w:val="Normln"/>
    <w:rsid w:val="002F736D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F73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7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yprolidi.cz/cs/1992-586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zakonyprolidi.cz/cs/1992-586" TargetMode="External"/><Relationship Id="rId12" Type="http://schemas.openxmlformats.org/officeDocument/2006/relationships/hyperlink" Target="https://www.zakonyprolidi.cz/cs/2000-24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akonyprolidi.cz/cs/1992-586" TargetMode="External"/><Relationship Id="rId11" Type="http://schemas.openxmlformats.org/officeDocument/2006/relationships/hyperlink" Target="https://www.zakonyprolidi.cz/cs/1992-586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zakonyprolidi.cz/cs/1992-58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zakonyprolidi.cz/cs/1992-58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2792</Words>
  <Characters>16479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Vejvodová Magdaléna (MHMP, LEG)</dc:creator>
  <cp:keywords/>
  <dc:description/>
  <cp:lastModifiedBy>Vejvodová Magdaléna (MHMP, LEG)</cp:lastModifiedBy>
  <cp:revision>8</cp:revision>
  <dcterms:created xsi:type="dcterms:W3CDTF">2019-11-26T11:11:00Z</dcterms:created>
  <dcterms:modified xsi:type="dcterms:W3CDTF">2019-12-12T06:50:00Z</dcterms:modified>
</cp:coreProperties>
</file>