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407B45" w:rsidRPr="00407B45">
        <w:rPr>
          <w:b/>
          <w:spacing w:val="-4"/>
          <w:sz w:val="24"/>
        </w:rPr>
        <w:t>návrhu poslanců Romana Kubíčka, Lukáše Černohorského, Ivany </w:t>
      </w:r>
      <w:proofErr w:type="spellStart"/>
      <w:r w:rsidR="00407B45" w:rsidRPr="00407B45">
        <w:rPr>
          <w:b/>
          <w:spacing w:val="-4"/>
          <w:sz w:val="24"/>
        </w:rPr>
        <w:t>Nevludové</w:t>
      </w:r>
      <w:proofErr w:type="spellEnd"/>
      <w:r w:rsidR="00407B45" w:rsidRPr="00407B45">
        <w:rPr>
          <w:b/>
          <w:spacing w:val="-4"/>
          <w:sz w:val="24"/>
        </w:rPr>
        <w:t>, Vojtěcha Munzara, Vladimíra Koníčka a dalších na vydání zákona, kterým se mění zákon č. 166/1993 Sb., o Nejvyšším kontrolním úřadu,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407B45">
        <w:rPr>
          <w:b/>
          <w:bCs/>
          <w:sz w:val="24"/>
        </w:rPr>
        <w:t>236)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>
      <w:pPr>
        <w:tabs>
          <w:tab w:val="left" w:pos="420"/>
        </w:tabs>
      </w:pPr>
    </w:p>
    <w:p w:rsidR="00CD2140" w:rsidRDefault="00CD2140">
      <w:pPr>
        <w:tabs>
          <w:tab w:val="left" w:pos="420"/>
        </w:tabs>
      </w:pPr>
    </w:p>
    <w:p w:rsidR="000C6893" w:rsidRDefault="000C6893" w:rsidP="00CD2140">
      <w:pPr>
        <w:pStyle w:val="Oznaenpozmn"/>
        <w:numPr>
          <w:ilvl w:val="0"/>
          <w:numId w:val="0"/>
        </w:numPr>
        <w:jc w:val="both"/>
      </w:pPr>
      <w:r>
        <w:t xml:space="preserve">Pozměňovací návrhy obsažené v usnesení garančního </w:t>
      </w:r>
      <w:r w:rsidR="00407B45">
        <w:t xml:space="preserve">kontrolního </w:t>
      </w:r>
      <w:r>
        <w:t xml:space="preserve">výboru č. </w:t>
      </w:r>
      <w:r w:rsidR="00407B45">
        <w:t>139</w:t>
      </w:r>
      <w:r>
        <w:t xml:space="preserve"> z</w:t>
      </w:r>
      <w:r w:rsidR="00B153A3">
        <w:t> </w:t>
      </w:r>
      <w:r w:rsidR="00407B45">
        <w:t>24</w:t>
      </w:r>
      <w:r>
        <w:t>.</w:t>
      </w:r>
      <w:r w:rsidR="00407B45">
        <w:t> </w:t>
      </w:r>
      <w:r w:rsidR="00CD2140">
        <w:t xml:space="preserve">schůze </w:t>
      </w:r>
      <w:r>
        <w:t xml:space="preserve">konané dne  </w:t>
      </w:r>
      <w:r w:rsidR="00407B45">
        <w:t>14. listopadu 2019</w:t>
      </w:r>
      <w:r>
        <w:t xml:space="preserve"> (tisk </w:t>
      </w:r>
      <w:r w:rsidR="00407B45">
        <w:t>236</w:t>
      </w:r>
      <w:r>
        <w:t>/</w:t>
      </w:r>
      <w:r w:rsidR="00B153A3">
        <w:t>2</w:t>
      </w:r>
      <w:r>
        <w:t>)</w:t>
      </w:r>
    </w:p>
    <w:p w:rsidR="00407B45" w:rsidRPr="00A002A0" w:rsidRDefault="00407B45" w:rsidP="004B6A2E">
      <w:pPr>
        <w:jc w:val="both"/>
      </w:pPr>
      <w:r>
        <w:t xml:space="preserve">1. </w:t>
      </w:r>
      <w:r w:rsidRPr="00A002A0">
        <w:t xml:space="preserve">V názvu zákona se za slovo „předpisů“ doplňují slova </w:t>
      </w:r>
      <w:r>
        <w:t>„a zákon č. 412/2005 Sb., o </w:t>
      </w:r>
      <w:r w:rsidRPr="00A002A0">
        <w:t>ochraně utajovaných informací a o bezpečnostní způsobilosti, ve znění pozdějších předpisů“.</w:t>
      </w:r>
    </w:p>
    <w:p w:rsidR="00407B45" w:rsidRDefault="00407B45" w:rsidP="00407B45"/>
    <w:p w:rsidR="00407B45" w:rsidRPr="00A63BF7" w:rsidRDefault="00407B45" w:rsidP="00407B45">
      <w:r>
        <w:t xml:space="preserve">2. </w:t>
      </w:r>
      <w:r w:rsidRPr="00A63BF7">
        <w:t>Za úvodní větu návrhu zákona se vkládají slova „Část první“.</w:t>
      </w:r>
    </w:p>
    <w:p w:rsidR="00407B45" w:rsidRDefault="00407B45" w:rsidP="00407B45"/>
    <w:p w:rsidR="00407B45" w:rsidRPr="00A002A0" w:rsidRDefault="00407B45" w:rsidP="004B6A2E">
      <w:pPr>
        <w:jc w:val="both"/>
      </w:pPr>
      <w:r>
        <w:t xml:space="preserve">3. </w:t>
      </w:r>
      <w:r w:rsidRPr="00A63BF7">
        <w:t xml:space="preserve">Za text „Čl. I“ se vkládají slova </w:t>
      </w:r>
      <w:r w:rsidRPr="00A002A0">
        <w:t>„Změna zákona o Nejvyšším kontrolním úřadu, ve znění pozdějších předpisů“.</w:t>
      </w:r>
    </w:p>
    <w:p w:rsidR="00407B45" w:rsidRDefault="00407B45" w:rsidP="00407B45"/>
    <w:p w:rsidR="00407B45" w:rsidRPr="00A63BF7" w:rsidRDefault="00407B45" w:rsidP="00407B45">
      <w:r>
        <w:t xml:space="preserve">4. </w:t>
      </w:r>
      <w:r w:rsidRPr="00A63BF7">
        <w:t>V Čl. II ve větě první se číslo „2020“ nahrazuje číslem „2021“.</w:t>
      </w:r>
    </w:p>
    <w:p w:rsidR="00407B45" w:rsidRDefault="00407B45" w:rsidP="00407B45"/>
    <w:p w:rsidR="00407B45" w:rsidRPr="00A63BF7" w:rsidRDefault="00407B45" w:rsidP="00407B45">
      <w:r>
        <w:t xml:space="preserve">5. </w:t>
      </w:r>
      <w:r w:rsidRPr="00A63BF7">
        <w:t>Za část první se vkládá nová část druhá, která včetně nadpisu zní:</w:t>
      </w:r>
    </w:p>
    <w:p w:rsidR="00407B45" w:rsidRPr="00A63BF7" w:rsidRDefault="00407B45" w:rsidP="00B153A3">
      <w:pPr>
        <w:spacing w:after="120"/>
        <w:jc w:val="center"/>
      </w:pPr>
      <w:r w:rsidRPr="00A63BF7">
        <w:t>„Část druhá</w:t>
      </w:r>
    </w:p>
    <w:p w:rsidR="00407B45" w:rsidRPr="00A002A0" w:rsidRDefault="00407B45" w:rsidP="00B153A3">
      <w:pPr>
        <w:pStyle w:val="NADPISSTI"/>
        <w:spacing w:after="120"/>
        <w:rPr>
          <w:szCs w:val="24"/>
        </w:rPr>
      </w:pPr>
      <w:r w:rsidRPr="00A002A0">
        <w:rPr>
          <w:szCs w:val="24"/>
        </w:rPr>
        <w:t>Změna zákona o ochraně utajovaných informací a o bezpečnostní způsobilosti, ve znění pozdějších předpisů</w:t>
      </w:r>
    </w:p>
    <w:p w:rsidR="00407B45" w:rsidRPr="00A63BF7" w:rsidRDefault="00407B45" w:rsidP="00B153A3">
      <w:pPr>
        <w:spacing w:after="120"/>
        <w:jc w:val="center"/>
        <w:rPr>
          <w:lang w:eastAsia="cs-CZ"/>
        </w:rPr>
      </w:pPr>
      <w:r w:rsidRPr="00A63BF7">
        <w:rPr>
          <w:lang w:eastAsia="cs-CZ"/>
        </w:rPr>
        <w:t>Čl. III</w:t>
      </w:r>
    </w:p>
    <w:p w:rsidR="00407B45" w:rsidRPr="00A63BF7" w:rsidRDefault="00407B45" w:rsidP="00B153A3">
      <w:pPr>
        <w:spacing w:after="120"/>
        <w:ind w:firstLine="709"/>
        <w:jc w:val="both"/>
      </w:pPr>
      <w:r w:rsidRPr="00A63BF7">
        <w:t>V § 136 zákona č. 412/2005 Sb., o ochraně utajovaných informací a o bezpečnostní způsobilosti, ve znění zákona č. 250/2014 Sb., se doplňuje odstavec 4, který zní:</w:t>
      </w:r>
    </w:p>
    <w:p w:rsidR="00407B45" w:rsidRPr="00A63BF7" w:rsidRDefault="00407B45" w:rsidP="00B153A3">
      <w:pPr>
        <w:spacing w:after="120"/>
        <w:ind w:firstLine="709"/>
        <w:jc w:val="both"/>
      </w:pPr>
      <w:r w:rsidRPr="00A63BF7">
        <w:t>„(4) Poskytování platu a odměn z dohod o pracích konaných mimo pracovní poměr zaměstnanců Úřadu se řídí zákoníkem práce a Platovým řádem Úřadu. Platový řád Úřadu vydává ředitel Úřadu po jeho schválení rozpočtovým výborem Poslanecké sněmovny.“.</w:t>
      </w:r>
    </w:p>
    <w:p w:rsidR="00407B45" w:rsidRPr="00A63BF7" w:rsidRDefault="00407B45" w:rsidP="00407B45">
      <w:pPr>
        <w:spacing w:after="120"/>
        <w:jc w:val="center"/>
        <w:rPr>
          <w:lang w:eastAsia="cs-CZ"/>
        </w:rPr>
      </w:pPr>
      <w:r w:rsidRPr="00A63BF7">
        <w:rPr>
          <w:lang w:eastAsia="cs-CZ"/>
        </w:rPr>
        <w:t>Čl. IV</w:t>
      </w:r>
    </w:p>
    <w:p w:rsidR="00407B45" w:rsidRPr="00A63BF7" w:rsidRDefault="00407B45" w:rsidP="00407B45">
      <w:pPr>
        <w:spacing w:after="120"/>
        <w:jc w:val="center"/>
        <w:rPr>
          <w:b/>
        </w:rPr>
      </w:pPr>
      <w:r w:rsidRPr="00A63BF7">
        <w:rPr>
          <w:b/>
        </w:rPr>
        <w:t>Přechodné ustanovení</w:t>
      </w:r>
    </w:p>
    <w:p w:rsidR="00407B45" w:rsidRPr="00A63BF7" w:rsidRDefault="00407B45" w:rsidP="00B153A3">
      <w:pPr>
        <w:spacing w:after="120"/>
        <w:ind w:firstLine="709"/>
        <w:jc w:val="both"/>
      </w:pPr>
      <w:r w:rsidRPr="00A63BF7">
        <w:t>Postup podle § 136 odst. 4 zákona č. 412/2005 Sb., ve znění účinném ode dne nabytí účinnosti tohoto zákona, se použije poprvé pro rozpočtový rok 2021. Do vydání Platového řádu Úřadu podle tohoto zákona se poskytování platu</w:t>
      </w:r>
      <w:r>
        <w:t xml:space="preserve"> a odměn z dohod o </w:t>
      </w:r>
      <w:r w:rsidRPr="00A63BF7">
        <w:t>pracích konaných mimo pracovní poměr zaměstnanců Úřadu řídí dosavadními právními předpisy.</w:t>
      </w:r>
      <w:r w:rsidR="00CD2140">
        <w:t>“.</w:t>
      </w:r>
    </w:p>
    <w:p w:rsidR="00407B45" w:rsidRPr="00A63BF7" w:rsidRDefault="00407B45" w:rsidP="00407B45">
      <w:pPr>
        <w:spacing w:after="120"/>
        <w:jc w:val="both"/>
      </w:pPr>
    </w:p>
    <w:p w:rsidR="00407B45" w:rsidRPr="00A63BF7" w:rsidRDefault="00407B45" w:rsidP="00407B45">
      <w:pPr>
        <w:spacing w:after="120"/>
        <w:jc w:val="both"/>
      </w:pPr>
      <w:r>
        <w:t xml:space="preserve">6. </w:t>
      </w:r>
      <w:r w:rsidRPr="00A63BF7">
        <w:t>Za část druhou se doplňuje nová část třetí, která včetně nadpisu zní:</w:t>
      </w:r>
    </w:p>
    <w:p w:rsidR="00407B45" w:rsidRPr="00A63BF7" w:rsidRDefault="00407B45" w:rsidP="00407B45">
      <w:pPr>
        <w:pStyle w:val="Odstavecseseznamem"/>
        <w:spacing w:after="120"/>
        <w:ind w:left="0"/>
        <w:jc w:val="center"/>
        <w:rPr>
          <w:rFonts w:ascii="Times New Roman" w:hAnsi="Times New Roman"/>
          <w:sz w:val="24"/>
          <w:szCs w:val="24"/>
        </w:rPr>
      </w:pPr>
      <w:r w:rsidRPr="00A63BF7">
        <w:rPr>
          <w:rFonts w:ascii="Times New Roman" w:hAnsi="Times New Roman"/>
          <w:sz w:val="24"/>
          <w:szCs w:val="24"/>
        </w:rPr>
        <w:t>„Část třetí</w:t>
      </w:r>
    </w:p>
    <w:p w:rsidR="00407B45" w:rsidRPr="00A63BF7" w:rsidRDefault="00407B45" w:rsidP="00407B45">
      <w:pPr>
        <w:spacing w:after="120"/>
        <w:jc w:val="center"/>
        <w:rPr>
          <w:b/>
        </w:rPr>
      </w:pPr>
      <w:r w:rsidRPr="00A63BF7">
        <w:rPr>
          <w:b/>
        </w:rPr>
        <w:t>Účinnost</w:t>
      </w:r>
    </w:p>
    <w:p w:rsidR="00407B45" w:rsidRPr="00A63BF7" w:rsidRDefault="00407B45" w:rsidP="00407B45">
      <w:pPr>
        <w:spacing w:after="120"/>
        <w:jc w:val="center"/>
      </w:pPr>
      <w:r w:rsidRPr="00A63BF7">
        <w:t>Čl. V.</w:t>
      </w:r>
    </w:p>
    <w:p w:rsidR="00407B45" w:rsidRPr="00A63BF7" w:rsidRDefault="00407B45" w:rsidP="00B153A3">
      <w:pPr>
        <w:ind w:firstLine="709"/>
        <w:jc w:val="both"/>
      </w:pPr>
      <w:r w:rsidRPr="00A63BF7">
        <w:t>Tento zákon nabývá účinnosti dnem 1. ledna 2020.“.</w:t>
      </w:r>
    </w:p>
    <w:p w:rsidR="000C6893" w:rsidRDefault="000C6893"/>
    <w:p w:rsidR="00CD2140" w:rsidRDefault="00CD2140">
      <w:pPr>
        <w:widowControl/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D2140" w:rsidRDefault="00CD2140" w:rsidP="00CD2140">
      <w:pPr>
        <w:jc w:val="center"/>
        <w:rPr>
          <w:b/>
          <w:sz w:val="28"/>
          <w:szCs w:val="28"/>
        </w:rPr>
      </w:pPr>
    </w:p>
    <w:p w:rsidR="00CD2140" w:rsidRDefault="00CD2140" w:rsidP="00CD2140">
      <w:pPr>
        <w:jc w:val="center"/>
        <w:rPr>
          <w:b/>
          <w:sz w:val="28"/>
          <w:szCs w:val="28"/>
        </w:rPr>
      </w:pPr>
    </w:p>
    <w:p w:rsidR="000C6893" w:rsidRPr="00CD2140" w:rsidRDefault="00CD2140" w:rsidP="00CD2140">
      <w:pPr>
        <w:jc w:val="center"/>
        <w:rPr>
          <w:b/>
          <w:sz w:val="28"/>
          <w:szCs w:val="28"/>
        </w:rPr>
      </w:pPr>
      <w:r w:rsidRPr="00CD2140">
        <w:rPr>
          <w:b/>
          <w:sz w:val="28"/>
          <w:szCs w:val="28"/>
        </w:rPr>
        <w:t xml:space="preserve">Ve druhém čtení dne 29. listopadu 2019 nebyly předneseny </w:t>
      </w:r>
      <w:r>
        <w:rPr>
          <w:b/>
          <w:sz w:val="28"/>
          <w:szCs w:val="28"/>
        </w:rPr>
        <w:br/>
      </w:r>
      <w:r w:rsidRPr="00CD2140">
        <w:rPr>
          <w:b/>
          <w:sz w:val="28"/>
          <w:szCs w:val="28"/>
        </w:rPr>
        <w:t>žádné pozměňovací návrhy.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171AE1">
        <w:t>29</w:t>
      </w:r>
      <w:r w:rsidR="00CD2140">
        <w:t>. listopadu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CD2140" w:rsidRDefault="00CD2140">
      <w:pPr>
        <w:jc w:val="center"/>
      </w:pPr>
    </w:p>
    <w:p w:rsidR="00CD2140" w:rsidRDefault="00CD2140">
      <w:pPr>
        <w:jc w:val="center"/>
      </w:pPr>
    </w:p>
    <w:p w:rsidR="000C6893" w:rsidRDefault="000C6893">
      <w:pPr>
        <w:jc w:val="center"/>
      </w:pPr>
    </w:p>
    <w:p w:rsidR="000C6893" w:rsidRDefault="00B153A3">
      <w:pPr>
        <w:jc w:val="center"/>
      </w:pPr>
      <w:r>
        <w:t>Martin Kupka</w:t>
      </w:r>
      <w:r w:rsidR="00171AE1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 garančního</w:t>
      </w:r>
      <w:r w:rsidR="00B153A3">
        <w:t xml:space="preserve"> kontrolního v</w:t>
      </w:r>
      <w:r>
        <w:t>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B45" w:rsidRDefault="00407B45" w:rsidP="00087102">
      <w:r>
        <w:separator/>
      </w:r>
    </w:p>
  </w:endnote>
  <w:endnote w:type="continuationSeparator" w:id="0">
    <w:p w:rsidR="00407B45" w:rsidRDefault="00407B45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B45" w:rsidRDefault="00407B45" w:rsidP="00087102">
      <w:r>
        <w:separator/>
      </w:r>
    </w:p>
  </w:footnote>
  <w:footnote w:type="continuationSeparator" w:id="0">
    <w:p w:rsidR="00407B45" w:rsidRDefault="00407B45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71AE1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27521D5C"/>
    <w:multiLevelType w:val="hybridMultilevel"/>
    <w:tmpl w:val="1E54F9BE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45"/>
    <w:rsid w:val="00087102"/>
    <w:rsid w:val="000C6893"/>
    <w:rsid w:val="00171AE1"/>
    <w:rsid w:val="00407B45"/>
    <w:rsid w:val="004B6A2E"/>
    <w:rsid w:val="00511F8C"/>
    <w:rsid w:val="006706ED"/>
    <w:rsid w:val="00B153A3"/>
    <w:rsid w:val="00CD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197BEC"/>
  <w15:chartTrackingRefBased/>
  <w15:docId w15:val="{5F982FD4-85BE-4DB5-B1B3-02957D39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07B45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ADPISSTI">
    <w:name w:val="NADPIS ČÁSTI"/>
    <w:basedOn w:val="Normln"/>
    <w:rsid w:val="00407B45"/>
    <w:pPr>
      <w:keepNext/>
      <w:keepLines/>
      <w:widowControl/>
      <w:jc w:val="center"/>
      <w:outlineLvl w:val="1"/>
    </w:pPr>
    <w:rPr>
      <w:rFonts w:eastAsia="Times New Roman" w:cs="Times New Roman"/>
      <w:b/>
      <w:kern w:val="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8</TotalTime>
  <Pages>2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2019-11-29T08:16:00Z</cp:lastPrinted>
  <dcterms:created xsi:type="dcterms:W3CDTF">2019-11-26T14:19:00Z</dcterms:created>
  <dcterms:modified xsi:type="dcterms:W3CDTF">2019-11-29T08:42:00Z</dcterms:modified>
</cp:coreProperties>
</file>