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00D40" w14:textId="3C21A5CE" w:rsidR="00AE55B2" w:rsidRPr="00215E9F" w:rsidRDefault="00AE55B2" w:rsidP="00215E9F">
      <w:pPr>
        <w:overflowPunct w:val="0"/>
        <w:autoSpaceDE w:val="0"/>
        <w:autoSpaceDN w:val="0"/>
        <w:adjustRightInd w:val="0"/>
        <w:spacing w:after="600" w:line="240" w:lineRule="auto"/>
        <w:jc w:val="right"/>
        <w:rPr>
          <w:rFonts w:ascii="Arial" w:eastAsia="Times New Roman" w:hAnsi="Arial" w:cs="Arial"/>
          <w:b/>
          <w:lang w:eastAsia="cs-CZ"/>
        </w:rPr>
      </w:pPr>
      <w:bookmarkStart w:id="0" w:name="_GoBack"/>
      <w:bookmarkEnd w:id="0"/>
    </w:p>
    <w:p w14:paraId="4EE90F57" w14:textId="77777777" w:rsidR="00902FD8" w:rsidRPr="00215E9F" w:rsidRDefault="00902FD8" w:rsidP="00902FD8">
      <w:pPr>
        <w:overflowPunct w:val="0"/>
        <w:autoSpaceDE w:val="0"/>
        <w:autoSpaceDN w:val="0"/>
        <w:adjustRightInd w:val="0"/>
        <w:spacing w:after="600"/>
        <w:jc w:val="center"/>
        <w:rPr>
          <w:rFonts w:ascii="Arial" w:eastAsia="Times New Roman" w:hAnsi="Arial" w:cs="Arial"/>
          <w:b/>
          <w:lang w:eastAsia="cs-CZ"/>
        </w:rPr>
      </w:pPr>
      <w:r w:rsidRPr="00215E9F">
        <w:rPr>
          <w:rFonts w:ascii="Arial" w:eastAsia="Times New Roman" w:hAnsi="Arial" w:cs="Arial"/>
          <w:b/>
          <w:lang w:eastAsia="cs-CZ"/>
        </w:rPr>
        <w:t>HODNOCENÍ VÝVOJE SYSTÉMU</w:t>
      </w:r>
      <w:r w:rsidRPr="00215E9F">
        <w:rPr>
          <w:rFonts w:ascii="Arial" w:eastAsia="Times New Roman" w:hAnsi="Arial" w:cs="Arial"/>
          <w:b/>
          <w:lang w:eastAsia="cs-CZ"/>
        </w:rPr>
        <w:br/>
        <w:t>VEŘEJNÉHO ZDRAVOTNÍHO POJIŠTĚNÍ</w:t>
      </w:r>
      <w:r w:rsidRPr="00215E9F">
        <w:rPr>
          <w:rFonts w:ascii="Arial" w:eastAsia="Times New Roman" w:hAnsi="Arial" w:cs="Arial"/>
          <w:b/>
          <w:lang w:eastAsia="cs-CZ"/>
        </w:rPr>
        <w:br/>
        <w:t>V ROCE 201</w:t>
      </w:r>
      <w:r w:rsidR="002A7F99" w:rsidRPr="00215E9F">
        <w:rPr>
          <w:rFonts w:ascii="Arial" w:eastAsia="Times New Roman" w:hAnsi="Arial" w:cs="Arial"/>
          <w:b/>
          <w:lang w:eastAsia="cs-CZ"/>
        </w:rPr>
        <w:t>8</w:t>
      </w:r>
    </w:p>
    <w:p w14:paraId="5DFE5432" w14:textId="77777777" w:rsidR="00902FD8" w:rsidRPr="00215E9F" w:rsidRDefault="00902FD8" w:rsidP="00215E9F">
      <w:pPr>
        <w:pStyle w:val="NADPIS"/>
        <w:spacing w:before="240" w:after="120"/>
        <w:rPr>
          <w:rFonts w:ascii="Arial" w:hAnsi="Arial"/>
        </w:rPr>
      </w:pPr>
      <w:r w:rsidRPr="00215E9F">
        <w:rPr>
          <w:rFonts w:ascii="Arial" w:hAnsi="Arial"/>
        </w:rPr>
        <w:t xml:space="preserve">Úvod </w:t>
      </w:r>
    </w:p>
    <w:p w14:paraId="00F0E8F8" w14:textId="1FC527E6" w:rsidR="00902FD8" w:rsidRDefault="00902FD8" w:rsidP="00902FD8">
      <w:pPr>
        <w:pStyle w:val="TEXT"/>
      </w:pPr>
      <w:r>
        <w:t>Na základě účinných právních předpisů byly návrhy výročních zpráv (VZ) a účetní závěrky sedmi zdravotních pojišťoven (ZP) za rok 201</w:t>
      </w:r>
      <w:r w:rsidR="002A7F99">
        <w:t>8</w:t>
      </w:r>
      <w:r>
        <w:t xml:space="preserve"> ověřeny auditory, kteří potvrdili správnost a vzájemnou vazbu</w:t>
      </w:r>
      <w:r w:rsidR="00776092">
        <w:t> </w:t>
      </w:r>
      <w:r>
        <w:t>těchto účetních závěrek a VZ 201</w:t>
      </w:r>
      <w:r w:rsidR="002A7F99">
        <w:t>8</w:t>
      </w:r>
      <w:r>
        <w:t>. Návrhy VZ 201</w:t>
      </w:r>
      <w:r w:rsidR="002A7F99">
        <w:t>8</w:t>
      </w:r>
      <w:r>
        <w:t xml:space="preserve"> byly následně schváleny samosprávnými orgány ZP a doručeny v termínu do 30. 4. 201</w:t>
      </w:r>
      <w:r w:rsidR="002A7F99">
        <w:t>9</w:t>
      </w:r>
      <w:r>
        <w:t xml:space="preserve"> k posouzení na Ministerstvo zdravotnictví (MZ) a Ministerstvo financí (MF). Ve všech případech byl dodržen soulad postupů zpracování VZ 201</w:t>
      </w:r>
      <w:r w:rsidR="002A7F99">
        <w:t>8</w:t>
      </w:r>
      <w:r>
        <w:t xml:space="preserve"> s metodikou MZ. </w:t>
      </w:r>
    </w:p>
    <w:p w14:paraId="35262DAA" w14:textId="77777777" w:rsidR="00902FD8" w:rsidRDefault="00902FD8" w:rsidP="00902FD8">
      <w:pPr>
        <w:pStyle w:val="TEXT"/>
      </w:pPr>
      <w:r>
        <w:t>Formálním ověřením všech dokumentů VZ 201</w:t>
      </w:r>
      <w:r w:rsidR="002A7F99">
        <w:t>8</w:t>
      </w:r>
      <w:r>
        <w:t xml:space="preserve"> nebyly zjištěny žádné zásadní nedostatky. Vládě ČR jsou předkládány všechny ověřené dokumenty VZ 201</w:t>
      </w:r>
      <w:r w:rsidR="002A7F99">
        <w:t>8</w:t>
      </w:r>
      <w:r>
        <w:t xml:space="preserve"> s návrhem na jejich předložení do</w:t>
      </w:r>
      <w:r w:rsidR="006D1FEB">
        <w:t> </w:t>
      </w:r>
      <w:r>
        <w:t>Poslanecké sněmovny Parlamentu ČR k ukončení schvalovacího procesu.</w:t>
      </w:r>
    </w:p>
    <w:p w14:paraId="14B295BF" w14:textId="78782DD4" w:rsidR="00902FD8" w:rsidRDefault="00902FD8" w:rsidP="00902FD8">
      <w:pPr>
        <w:pStyle w:val="TEXT"/>
      </w:pPr>
      <w:r>
        <w:t>Souhrnné hodnocení systému veřejného zdravotního pojištění (v. z. p.) vychází z dat získaných sumarizací údajů z tabulkových příloh jednotlivých VZ 201</w:t>
      </w:r>
      <w:r w:rsidR="002A7F99">
        <w:t>8</w:t>
      </w:r>
      <w:r>
        <w:t xml:space="preserve"> a účetních závěrek za rok 201</w:t>
      </w:r>
      <w:r w:rsidR="002A7F99">
        <w:t>8</w:t>
      </w:r>
      <w:r>
        <w:t>. Zobrazuje</w:t>
      </w:r>
      <w:r w:rsidR="00776092">
        <w:t> </w:t>
      </w:r>
      <w:r>
        <w:t>jak údaje „cash-</w:t>
      </w:r>
      <w:proofErr w:type="spellStart"/>
      <w:r>
        <w:t>flow</w:t>
      </w:r>
      <w:proofErr w:type="spellEnd"/>
      <w:r>
        <w:t>“ na principu příjmově výdajovém (hotovostní metodika), tak</w:t>
      </w:r>
      <w:r w:rsidR="006D1FEB">
        <w:t> </w:t>
      </w:r>
      <w:r>
        <w:t>poskytuje</w:t>
      </w:r>
      <w:r w:rsidR="00776092">
        <w:t> </w:t>
      </w:r>
      <w:r>
        <w:t xml:space="preserve">informace o vývoji a stavu </w:t>
      </w:r>
      <w:proofErr w:type="spellStart"/>
      <w:r>
        <w:t>pohledávkových</w:t>
      </w:r>
      <w:proofErr w:type="spellEnd"/>
      <w:r>
        <w:t xml:space="preserve"> a závazkových vztahů jednotlivých fondů spravovaných ZP, nákladů na zdravotní služby celkem a podle jednotlivých segmentů zdravotních služeb i v meziročním srovnání. </w:t>
      </w:r>
    </w:p>
    <w:p w14:paraId="22278E34" w14:textId="7F8D5A4B" w:rsidR="000968D4" w:rsidRPr="000968D4" w:rsidRDefault="00902FD8" w:rsidP="000968D4">
      <w:pPr>
        <w:pStyle w:val="TEXT"/>
        <w:rPr>
          <w:b/>
        </w:rPr>
      </w:pPr>
      <w:r w:rsidRPr="00F17159">
        <w:rPr>
          <w:b/>
        </w:rPr>
        <w:t>Celkově systém v. z. p. vykázal v roce 201</w:t>
      </w:r>
      <w:r w:rsidR="000968D4" w:rsidRPr="00F17159">
        <w:rPr>
          <w:b/>
        </w:rPr>
        <w:t>8</w:t>
      </w:r>
      <w:r w:rsidRPr="00F17159">
        <w:rPr>
          <w:b/>
        </w:rPr>
        <w:t xml:space="preserve"> příjmy </w:t>
      </w:r>
      <w:r w:rsidR="001C0B52" w:rsidRPr="00F17159">
        <w:rPr>
          <w:b/>
        </w:rPr>
        <w:t>309,8</w:t>
      </w:r>
      <w:r w:rsidRPr="00F17159">
        <w:rPr>
          <w:b/>
        </w:rPr>
        <w:t xml:space="preserve"> mld. Kč a výdaje </w:t>
      </w:r>
      <w:r w:rsidR="001C0B52" w:rsidRPr="00F17159">
        <w:rPr>
          <w:b/>
        </w:rPr>
        <w:t>295,3</w:t>
      </w:r>
      <w:r w:rsidRPr="00F17159">
        <w:rPr>
          <w:b/>
        </w:rPr>
        <w:t xml:space="preserve"> mld. Kč. Dosáhl tak v tomto roce přebytku cca +</w:t>
      </w:r>
      <w:r w:rsidR="001C0B52" w:rsidRPr="00F17159">
        <w:rPr>
          <w:b/>
        </w:rPr>
        <w:t xml:space="preserve">14,5 </w:t>
      </w:r>
      <w:r w:rsidRPr="00F17159">
        <w:rPr>
          <w:b/>
        </w:rPr>
        <w:t>mld. Kč. Podrobnější členění příjmů a výdajů je obsahem následujících subkapitol</w:t>
      </w:r>
      <w:r w:rsidR="004B71CC">
        <w:rPr>
          <w:b/>
        </w:rPr>
        <w:t>,</w:t>
      </w:r>
      <w:r w:rsidRPr="00F17159">
        <w:rPr>
          <w:b/>
        </w:rPr>
        <w:t xml:space="preserve"> tabulkových příloh</w:t>
      </w:r>
      <w:r w:rsidR="001C0B52" w:rsidRPr="00F17159">
        <w:rPr>
          <w:b/>
        </w:rPr>
        <w:t xml:space="preserve"> a samotných výročních zpráv jednotlivých</w:t>
      </w:r>
      <w:r w:rsidR="00776092">
        <w:rPr>
          <w:b/>
        </w:rPr>
        <w:t> </w:t>
      </w:r>
      <w:r w:rsidR="001C0B52" w:rsidRPr="00F17159">
        <w:rPr>
          <w:b/>
        </w:rPr>
        <w:t>zdravotních pojišťoven</w:t>
      </w:r>
      <w:r w:rsidRPr="00F17159">
        <w:rPr>
          <w:b/>
        </w:rPr>
        <w:t xml:space="preserve">. </w:t>
      </w:r>
    </w:p>
    <w:p w14:paraId="6287197F" w14:textId="77777777" w:rsidR="00902FD8" w:rsidRDefault="00902FD8" w:rsidP="00902FD8">
      <w:pPr>
        <w:rPr>
          <w:rFonts w:ascii="Times New Roman" w:hAnsi="Times New Roman" w:cs="Arial"/>
          <w:szCs w:val="24"/>
          <w:lang w:eastAsia="cs-CZ"/>
        </w:rPr>
      </w:pPr>
      <w:r>
        <w:br w:type="page"/>
      </w:r>
    </w:p>
    <w:p w14:paraId="73EA12F5" w14:textId="77777777" w:rsidR="00902FD8" w:rsidRPr="00215E9F" w:rsidRDefault="00902FD8" w:rsidP="00215E9F">
      <w:pPr>
        <w:pStyle w:val="NADPIS"/>
        <w:spacing w:before="240" w:after="120"/>
        <w:rPr>
          <w:rFonts w:ascii="Arial" w:hAnsi="Arial"/>
          <w:sz w:val="24"/>
          <w:szCs w:val="24"/>
        </w:rPr>
      </w:pPr>
      <w:r w:rsidRPr="00215E9F">
        <w:rPr>
          <w:rFonts w:ascii="Arial" w:hAnsi="Arial"/>
        </w:rPr>
        <w:lastRenderedPageBreak/>
        <w:t xml:space="preserve">Příjmy </w:t>
      </w:r>
    </w:p>
    <w:p w14:paraId="75E64639" w14:textId="78BE8C09" w:rsidR="00902FD8" w:rsidRDefault="00902FD8" w:rsidP="00902FD8">
      <w:pPr>
        <w:pStyle w:val="TEXT"/>
      </w:pPr>
      <w:r w:rsidRPr="00FA6166">
        <w:t>U</w:t>
      </w:r>
      <w:r w:rsidRPr="00DD12A8">
        <w:rPr>
          <w:b/>
        </w:rPr>
        <w:t xml:space="preserve"> příjmů </w:t>
      </w:r>
      <w:r w:rsidRPr="00DD12A8">
        <w:t>systému v. z. p. v roce 201</w:t>
      </w:r>
      <w:r w:rsidR="00272017" w:rsidRPr="00F17159">
        <w:t>8</w:t>
      </w:r>
      <w:r w:rsidRPr="00DD12A8">
        <w:t xml:space="preserve"> došlo ke změně částky vyměřovacího základu pojistného na</w:t>
      </w:r>
      <w:r w:rsidR="00776092">
        <w:t> </w:t>
      </w:r>
      <w:r w:rsidRPr="00DD12A8">
        <w:t>veřejné zdravotní pojištění u osob, za něž je plátcem pojistného stát. Byla využita možnost navýšení</w:t>
      </w:r>
      <w:r w:rsidR="00776092">
        <w:t> </w:t>
      </w:r>
      <w:r w:rsidRPr="00DD12A8">
        <w:t>prostřednictvím naříz</w:t>
      </w:r>
      <w:r w:rsidRPr="00CC4B11">
        <w:t>ení vlády podle ustanovení § 3c odst. 2 zákona č. 592/1992 Sb. Vyměřovací základ se tak od 1. 1. 201</w:t>
      </w:r>
      <w:r w:rsidR="00E357E8" w:rsidRPr="00F17159">
        <w:t>8</w:t>
      </w:r>
      <w:r w:rsidRPr="00DD12A8">
        <w:t xml:space="preserve"> zvýšil nařízením vlády č. </w:t>
      </w:r>
      <w:r w:rsidR="00E357E8" w:rsidRPr="00DD12A8">
        <w:t>140/2017</w:t>
      </w:r>
      <w:r w:rsidR="00800833">
        <w:t xml:space="preserve"> </w:t>
      </w:r>
      <w:r w:rsidRPr="00CC4B11">
        <w:t>Sb. z částky 6 </w:t>
      </w:r>
      <w:r w:rsidR="00E357E8" w:rsidRPr="00F17159">
        <w:t>814</w:t>
      </w:r>
      <w:r w:rsidR="00E357E8" w:rsidRPr="00FA6166">
        <w:t xml:space="preserve"> </w:t>
      </w:r>
      <w:r w:rsidRPr="00DD12A8">
        <w:t>Kč na</w:t>
      </w:r>
      <w:r w:rsidR="006D1FEB">
        <w:t> </w:t>
      </w:r>
      <w:r w:rsidR="00E357E8" w:rsidRPr="00F17159">
        <w:t>7</w:t>
      </w:r>
      <w:r w:rsidR="00F17159">
        <w:t> </w:t>
      </w:r>
      <w:r w:rsidR="00E357E8" w:rsidRPr="00F17159">
        <w:t>177</w:t>
      </w:r>
      <w:r w:rsidRPr="00FA6166">
        <w:t xml:space="preserve"> Kč za kalendářní měsíc, a platba státu za osobu a měsíc vzrostla z </w:t>
      </w:r>
      <w:r w:rsidR="00E357E8" w:rsidRPr="00F17159">
        <w:t>920</w:t>
      </w:r>
      <w:r w:rsidR="00E357E8" w:rsidRPr="00FA6166">
        <w:t xml:space="preserve"> </w:t>
      </w:r>
      <w:r w:rsidRPr="00DD12A8">
        <w:t xml:space="preserve">Kč na </w:t>
      </w:r>
      <w:r w:rsidR="00E357E8" w:rsidRPr="00DD12A8">
        <w:t>9</w:t>
      </w:r>
      <w:r w:rsidR="00E357E8" w:rsidRPr="00F17159">
        <w:t>69</w:t>
      </w:r>
      <w:r w:rsidR="00E357E8" w:rsidRPr="00FA6166">
        <w:t xml:space="preserve"> </w:t>
      </w:r>
      <w:r w:rsidRPr="00DD12A8">
        <w:t>Kč. Částka</w:t>
      </w:r>
      <w:r w:rsidR="00F17159">
        <w:t> </w:t>
      </w:r>
      <w:r w:rsidR="00E357E8" w:rsidRPr="00F17159">
        <w:t>969</w:t>
      </w:r>
      <w:r w:rsidR="00E357E8" w:rsidRPr="00FA6166">
        <w:t xml:space="preserve"> </w:t>
      </w:r>
      <w:r w:rsidRPr="00DD12A8">
        <w:t>Kč nebyla v průběhu roku změněna.</w:t>
      </w:r>
    </w:p>
    <w:p w14:paraId="1E20F76A" w14:textId="77777777" w:rsidR="00902FD8" w:rsidRDefault="00902FD8" w:rsidP="006C7011">
      <w:pPr>
        <w:pStyle w:val="TABOBR"/>
        <w:spacing w:before="360" w:after="200"/>
      </w:pPr>
      <w:r>
        <w:t>Tab. 1: Příjmy systému v. z. p. za rok 201</w:t>
      </w:r>
      <w:r w:rsidR="00844289">
        <w:t>8</w:t>
      </w:r>
    </w:p>
    <w:tbl>
      <w:tblPr>
        <w:tblW w:w="0" w:type="auto"/>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3181"/>
        <w:gridCol w:w="1021"/>
      </w:tblGrid>
      <w:tr w:rsidR="00902FD8" w14:paraId="6FA34622" w14:textId="77777777" w:rsidTr="00902FD8">
        <w:trPr>
          <w:trHeight w:val="561"/>
        </w:trPr>
        <w:tc>
          <w:tcPr>
            <w:tcW w:w="3181" w:type="dxa"/>
            <w:tcBorders>
              <w:top w:val="single" w:sz="12" w:space="0" w:color="4F81BD"/>
              <w:left w:val="single" w:sz="12" w:space="0" w:color="4F81BD"/>
              <w:bottom w:val="nil"/>
              <w:right w:val="nil"/>
            </w:tcBorders>
            <w:shd w:val="clear" w:color="auto" w:fill="4F81BD"/>
            <w:noWrap/>
            <w:hideMark/>
          </w:tcPr>
          <w:p w14:paraId="71C056FA" w14:textId="77777777" w:rsidR="00902FD8" w:rsidRDefault="00902FD8">
            <w:pPr>
              <w:spacing w:after="0" w:line="240" w:lineRule="auto"/>
              <w:rPr>
                <w:rFonts w:eastAsia="Times New Roman" w:cs="Arial"/>
                <w:b/>
                <w:color w:val="FFFFFF"/>
                <w:sz w:val="21"/>
                <w:szCs w:val="21"/>
                <w:lang w:eastAsia="cs-CZ"/>
              </w:rPr>
            </w:pPr>
            <w:r>
              <w:rPr>
                <w:rFonts w:eastAsia="Times New Roman" w:cs="Arial"/>
                <w:b/>
                <w:color w:val="FFFFFF"/>
                <w:sz w:val="21"/>
                <w:szCs w:val="21"/>
                <w:lang w:eastAsia="cs-CZ"/>
              </w:rPr>
              <w:t>Ukazatel</w:t>
            </w:r>
            <w:r>
              <w:rPr>
                <w:rFonts w:eastAsia="Times New Roman" w:cs="Arial"/>
                <w:b/>
                <w:color w:val="FFFFFF"/>
                <w:sz w:val="21"/>
                <w:szCs w:val="21"/>
                <w:lang w:eastAsia="cs-CZ"/>
              </w:rPr>
              <w:br/>
            </w:r>
            <w:r>
              <w:rPr>
                <w:rFonts w:eastAsia="Times New Roman" w:cs="Arial"/>
                <w:color w:val="FFFFFF"/>
                <w:sz w:val="21"/>
                <w:szCs w:val="21"/>
                <w:lang w:eastAsia="cs-CZ"/>
              </w:rPr>
              <w:t>(v mld. Kč)</w:t>
            </w:r>
          </w:p>
        </w:tc>
        <w:tc>
          <w:tcPr>
            <w:tcW w:w="1021" w:type="dxa"/>
            <w:tcBorders>
              <w:top w:val="single" w:sz="12" w:space="0" w:color="4F81BD"/>
              <w:left w:val="nil"/>
              <w:bottom w:val="nil"/>
              <w:right w:val="single" w:sz="12" w:space="0" w:color="4F81BD"/>
            </w:tcBorders>
            <w:shd w:val="clear" w:color="auto" w:fill="6691C6"/>
            <w:noWrap/>
            <w:vAlign w:val="center"/>
            <w:hideMark/>
          </w:tcPr>
          <w:p w14:paraId="7AD59ADF" w14:textId="77777777" w:rsidR="00902FD8" w:rsidRDefault="00902FD8">
            <w:pPr>
              <w:spacing w:after="0" w:line="240" w:lineRule="auto"/>
              <w:jc w:val="center"/>
              <w:rPr>
                <w:rFonts w:eastAsia="Times New Roman" w:cs="Arial"/>
                <w:b/>
                <w:color w:val="FFFFFF"/>
                <w:sz w:val="21"/>
                <w:szCs w:val="21"/>
                <w:lang w:eastAsia="cs-CZ"/>
              </w:rPr>
            </w:pPr>
            <w:r>
              <w:rPr>
                <w:rFonts w:eastAsia="Times New Roman" w:cs="Arial"/>
                <w:b/>
                <w:color w:val="FFFFFF"/>
                <w:sz w:val="21"/>
                <w:szCs w:val="21"/>
                <w:lang w:eastAsia="cs-CZ"/>
              </w:rPr>
              <w:t>201</w:t>
            </w:r>
            <w:r w:rsidR="00844289">
              <w:rPr>
                <w:rFonts w:eastAsia="Times New Roman" w:cs="Arial"/>
                <w:b/>
                <w:color w:val="FFFFFF"/>
                <w:sz w:val="21"/>
                <w:szCs w:val="21"/>
                <w:lang w:eastAsia="cs-CZ"/>
              </w:rPr>
              <w:t>8</w:t>
            </w:r>
          </w:p>
        </w:tc>
      </w:tr>
      <w:tr w:rsidR="004B71CC" w14:paraId="03FED0FD" w14:textId="77777777" w:rsidTr="00F17159">
        <w:trPr>
          <w:trHeight w:val="301"/>
        </w:trPr>
        <w:tc>
          <w:tcPr>
            <w:tcW w:w="3181" w:type="dxa"/>
            <w:tcBorders>
              <w:top w:val="nil"/>
              <w:left w:val="single" w:sz="12" w:space="0" w:color="4F81BD"/>
              <w:bottom w:val="nil"/>
              <w:right w:val="nil"/>
            </w:tcBorders>
            <w:noWrap/>
            <w:vAlign w:val="bottom"/>
            <w:hideMark/>
          </w:tcPr>
          <w:p w14:paraId="65C6808F" w14:textId="77777777" w:rsidR="004B71CC" w:rsidRDefault="004B71CC">
            <w:pPr>
              <w:spacing w:after="0" w:line="240" w:lineRule="auto"/>
              <w:rPr>
                <w:rFonts w:eastAsia="Times New Roman" w:cs="Arial"/>
                <w:b/>
                <w:bCs/>
                <w:sz w:val="21"/>
                <w:szCs w:val="21"/>
                <w:lang w:eastAsia="cs-CZ"/>
              </w:rPr>
            </w:pPr>
            <w:r>
              <w:rPr>
                <w:rFonts w:eastAsia="Times New Roman" w:cs="Arial"/>
                <w:b/>
                <w:bCs/>
                <w:sz w:val="21"/>
                <w:szCs w:val="21"/>
                <w:lang w:eastAsia="cs-CZ"/>
              </w:rPr>
              <w:t xml:space="preserve">Příjmy z vlastního výběru </w:t>
            </w:r>
          </w:p>
        </w:tc>
        <w:tc>
          <w:tcPr>
            <w:tcW w:w="1021" w:type="dxa"/>
            <w:tcBorders>
              <w:top w:val="nil"/>
              <w:left w:val="nil"/>
              <w:bottom w:val="nil"/>
              <w:right w:val="single" w:sz="12" w:space="0" w:color="4F81BD"/>
            </w:tcBorders>
            <w:shd w:val="clear" w:color="auto" w:fill="DBE5F1"/>
            <w:noWrap/>
            <w:vAlign w:val="center"/>
            <w:hideMark/>
          </w:tcPr>
          <w:p w14:paraId="0B3ED1AF" w14:textId="77777777" w:rsidR="004B71CC" w:rsidRPr="005459C8" w:rsidRDefault="004B71CC">
            <w:pPr>
              <w:spacing w:after="0" w:line="240" w:lineRule="auto"/>
              <w:jc w:val="right"/>
              <w:rPr>
                <w:rFonts w:eastAsia="Times New Roman" w:cs="Arial"/>
                <w:bCs/>
                <w:sz w:val="21"/>
                <w:szCs w:val="21"/>
                <w:lang w:eastAsia="cs-CZ"/>
              </w:rPr>
            </w:pPr>
            <w:r w:rsidRPr="00CC4B11">
              <w:rPr>
                <w:rFonts w:ascii="Calibri" w:hAnsi="Calibri" w:cs="Times New Roman"/>
                <w:sz w:val="21"/>
                <w:szCs w:val="21"/>
              </w:rPr>
              <w:t>237,83</w:t>
            </w:r>
          </w:p>
        </w:tc>
      </w:tr>
      <w:tr w:rsidR="004B71CC" w14:paraId="4A26BD52" w14:textId="77777777" w:rsidTr="00F17159">
        <w:trPr>
          <w:trHeight w:val="301"/>
        </w:trPr>
        <w:tc>
          <w:tcPr>
            <w:tcW w:w="3181" w:type="dxa"/>
            <w:tcBorders>
              <w:top w:val="nil"/>
              <w:left w:val="single" w:sz="12" w:space="0" w:color="4F81BD"/>
              <w:bottom w:val="nil"/>
              <w:right w:val="nil"/>
            </w:tcBorders>
            <w:shd w:val="clear" w:color="auto" w:fill="EEF3F8"/>
            <w:noWrap/>
            <w:vAlign w:val="bottom"/>
            <w:hideMark/>
          </w:tcPr>
          <w:p w14:paraId="61A4260B" w14:textId="77777777" w:rsidR="004B71CC" w:rsidRDefault="004B71CC">
            <w:pPr>
              <w:spacing w:after="0" w:line="240" w:lineRule="auto"/>
              <w:rPr>
                <w:rFonts w:eastAsia="Times New Roman" w:cs="Arial"/>
                <w:b/>
                <w:bCs/>
                <w:sz w:val="21"/>
                <w:szCs w:val="21"/>
                <w:lang w:eastAsia="cs-CZ"/>
              </w:rPr>
            </w:pPr>
            <w:r>
              <w:rPr>
                <w:rFonts w:eastAsia="Times New Roman" w:cs="Arial"/>
                <w:b/>
                <w:bCs/>
                <w:sz w:val="21"/>
                <w:szCs w:val="21"/>
                <w:lang w:eastAsia="cs-CZ"/>
              </w:rPr>
              <w:t xml:space="preserve">Příjmy ze státního rozpočtu </w:t>
            </w:r>
          </w:p>
        </w:tc>
        <w:tc>
          <w:tcPr>
            <w:tcW w:w="1021" w:type="dxa"/>
            <w:tcBorders>
              <w:top w:val="nil"/>
              <w:left w:val="nil"/>
              <w:bottom w:val="nil"/>
              <w:right w:val="single" w:sz="12" w:space="0" w:color="4F81BD"/>
            </w:tcBorders>
            <w:shd w:val="clear" w:color="auto" w:fill="EEF3F8"/>
            <w:noWrap/>
            <w:vAlign w:val="center"/>
            <w:hideMark/>
          </w:tcPr>
          <w:p w14:paraId="71544D4F" w14:textId="77777777" w:rsidR="004B71CC" w:rsidRPr="006D791B" w:rsidRDefault="004B71CC">
            <w:pPr>
              <w:spacing w:after="0" w:line="240" w:lineRule="auto"/>
              <w:jc w:val="right"/>
              <w:rPr>
                <w:rFonts w:eastAsia="Times New Roman" w:cs="Arial"/>
                <w:bCs/>
                <w:sz w:val="21"/>
                <w:szCs w:val="21"/>
                <w:lang w:eastAsia="cs-CZ"/>
              </w:rPr>
            </w:pPr>
            <w:r w:rsidRPr="00CC4B11">
              <w:rPr>
                <w:rFonts w:ascii="Calibri" w:hAnsi="Calibri" w:cs="Times New Roman"/>
                <w:sz w:val="21"/>
                <w:szCs w:val="21"/>
              </w:rPr>
              <w:t>68,36</w:t>
            </w:r>
          </w:p>
        </w:tc>
      </w:tr>
      <w:tr w:rsidR="004B71CC" w14:paraId="07197AB8" w14:textId="77777777" w:rsidTr="00F17159">
        <w:trPr>
          <w:trHeight w:val="301"/>
        </w:trPr>
        <w:tc>
          <w:tcPr>
            <w:tcW w:w="3181" w:type="dxa"/>
            <w:tcBorders>
              <w:top w:val="nil"/>
              <w:left w:val="single" w:sz="12" w:space="0" w:color="4F81BD"/>
              <w:bottom w:val="nil"/>
              <w:right w:val="nil"/>
            </w:tcBorders>
            <w:noWrap/>
            <w:vAlign w:val="bottom"/>
            <w:hideMark/>
          </w:tcPr>
          <w:p w14:paraId="4B39C2BD" w14:textId="77777777" w:rsidR="004B71CC" w:rsidRDefault="004B71CC">
            <w:pPr>
              <w:spacing w:after="0" w:line="240" w:lineRule="auto"/>
              <w:rPr>
                <w:rFonts w:eastAsia="Times New Roman" w:cs="Arial"/>
                <w:b/>
                <w:bCs/>
                <w:sz w:val="21"/>
                <w:szCs w:val="21"/>
                <w:lang w:eastAsia="cs-CZ"/>
              </w:rPr>
            </w:pPr>
            <w:r>
              <w:rPr>
                <w:rFonts w:eastAsia="Times New Roman" w:cs="Arial"/>
                <w:b/>
                <w:bCs/>
                <w:sz w:val="21"/>
                <w:szCs w:val="21"/>
                <w:lang w:eastAsia="cs-CZ"/>
              </w:rPr>
              <w:t xml:space="preserve">Ostatní příjmy systému v. z. p. </w:t>
            </w:r>
          </w:p>
        </w:tc>
        <w:tc>
          <w:tcPr>
            <w:tcW w:w="1021" w:type="dxa"/>
            <w:tcBorders>
              <w:top w:val="nil"/>
              <w:left w:val="nil"/>
              <w:bottom w:val="nil"/>
              <w:right w:val="single" w:sz="12" w:space="0" w:color="4F81BD"/>
            </w:tcBorders>
            <w:shd w:val="clear" w:color="auto" w:fill="DBE5F1"/>
            <w:noWrap/>
            <w:vAlign w:val="center"/>
            <w:hideMark/>
          </w:tcPr>
          <w:p w14:paraId="01F09F3C" w14:textId="77777777" w:rsidR="004B71CC" w:rsidRPr="006D791B" w:rsidRDefault="004B71CC">
            <w:pPr>
              <w:spacing w:after="0" w:line="240" w:lineRule="auto"/>
              <w:jc w:val="right"/>
              <w:rPr>
                <w:rFonts w:eastAsia="Times New Roman" w:cs="Arial"/>
                <w:bCs/>
                <w:sz w:val="21"/>
                <w:szCs w:val="21"/>
                <w:lang w:eastAsia="cs-CZ"/>
              </w:rPr>
            </w:pPr>
            <w:r w:rsidRPr="00CC4B11">
              <w:rPr>
                <w:rFonts w:ascii="Calibri" w:hAnsi="Calibri" w:cs="Times New Roman"/>
                <w:sz w:val="21"/>
                <w:szCs w:val="21"/>
              </w:rPr>
              <w:t>2,32</w:t>
            </w:r>
          </w:p>
        </w:tc>
      </w:tr>
      <w:tr w:rsidR="004B71CC" w14:paraId="194A3ED8" w14:textId="77777777" w:rsidTr="00F17159">
        <w:trPr>
          <w:trHeight w:val="301"/>
        </w:trPr>
        <w:tc>
          <w:tcPr>
            <w:tcW w:w="3181" w:type="dxa"/>
            <w:tcBorders>
              <w:top w:val="nil"/>
              <w:left w:val="single" w:sz="12" w:space="0" w:color="4F81BD"/>
              <w:bottom w:val="nil"/>
              <w:right w:val="nil"/>
            </w:tcBorders>
            <w:shd w:val="clear" w:color="auto" w:fill="EEF3F8"/>
            <w:noWrap/>
            <w:vAlign w:val="bottom"/>
            <w:hideMark/>
          </w:tcPr>
          <w:p w14:paraId="7785A7FB" w14:textId="77777777" w:rsidR="004B71CC" w:rsidRDefault="004B71CC">
            <w:pPr>
              <w:spacing w:after="0" w:line="240" w:lineRule="auto"/>
              <w:rPr>
                <w:rFonts w:eastAsia="Times New Roman" w:cs="Arial"/>
                <w:b/>
                <w:bCs/>
                <w:sz w:val="21"/>
                <w:szCs w:val="21"/>
                <w:lang w:eastAsia="cs-CZ"/>
              </w:rPr>
            </w:pPr>
            <w:r>
              <w:rPr>
                <w:rFonts w:eastAsia="Times New Roman" w:cs="Arial"/>
                <w:b/>
                <w:bCs/>
                <w:sz w:val="21"/>
                <w:szCs w:val="21"/>
                <w:lang w:eastAsia="cs-CZ"/>
              </w:rPr>
              <w:t>Příjmy od zahraničních pojišťoven</w:t>
            </w:r>
          </w:p>
        </w:tc>
        <w:tc>
          <w:tcPr>
            <w:tcW w:w="1021" w:type="dxa"/>
            <w:tcBorders>
              <w:top w:val="nil"/>
              <w:left w:val="nil"/>
              <w:bottom w:val="nil"/>
              <w:right w:val="single" w:sz="12" w:space="0" w:color="4F81BD"/>
            </w:tcBorders>
            <w:shd w:val="clear" w:color="auto" w:fill="EEF3F8"/>
            <w:noWrap/>
            <w:vAlign w:val="center"/>
            <w:hideMark/>
          </w:tcPr>
          <w:p w14:paraId="5D8A2F6D" w14:textId="77777777" w:rsidR="004B71CC" w:rsidRPr="006D791B" w:rsidRDefault="004B71CC">
            <w:pPr>
              <w:spacing w:after="0" w:line="240" w:lineRule="auto"/>
              <w:jc w:val="right"/>
              <w:rPr>
                <w:rFonts w:eastAsia="Times New Roman" w:cs="Arial"/>
                <w:bCs/>
                <w:sz w:val="21"/>
                <w:szCs w:val="21"/>
                <w:lang w:eastAsia="cs-CZ"/>
              </w:rPr>
            </w:pPr>
            <w:r w:rsidRPr="00CC4B11">
              <w:rPr>
                <w:rFonts w:ascii="Calibri" w:hAnsi="Calibri" w:cs="Times New Roman"/>
                <w:sz w:val="21"/>
                <w:szCs w:val="21"/>
              </w:rPr>
              <w:t>1,19</w:t>
            </w:r>
          </w:p>
        </w:tc>
      </w:tr>
      <w:tr w:rsidR="004B71CC" w14:paraId="3C88FE0E" w14:textId="77777777" w:rsidTr="00F17159">
        <w:trPr>
          <w:trHeight w:val="301"/>
        </w:trPr>
        <w:tc>
          <w:tcPr>
            <w:tcW w:w="3181" w:type="dxa"/>
            <w:tcBorders>
              <w:top w:val="nil"/>
              <w:left w:val="single" w:sz="12" w:space="0" w:color="4F81BD"/>
              <w:bottom w:val="nil"/>
              <w:right w:val="nil"/>
            </w:tcBorders>
            <w:noWrap/>
            <w:vAlign w:val="bottom"/>
            <w:hideMark/>
          </w:tcPr>
          <w:p w14:paraId="50599A91" w14:textId="4C2F0878" w:rsidR="004B71CC" w:rsidRDefault="004B71CC">
            <w:pPr>
              <w:spacing w:after="0" w:line="240" w:lineRule="auto"/>
              <w:rPr>
                <w:rFonts w:eastAsia="Times New Roman" w:cs="Arial"/>
                <w:b/>
                <w:bCs/>
                <w:sz w:val="21"/>
                <w:szCs w:val="21"/>
                <w:lang w:eastAsia="cs-CZ"/>
              </w:rPr>
            </w:pPr>
            <w:r>
              <w:rPr>
                <w:rFonts w:eastAsia="Times New Roman" w:cs="Arial"/>
                <w:b/>
                <w:bCs/>
                <w:sz w:val="21"/>
                <w:szCs w:val="21"/>
                <w:lang w:eastAsia="cs-CZ"/>
              </w:rPr>
              <w:t>Příjmy z</w:t>
            </w:r>
            <w:r w:rsidR="00FC335C">
              <w:rPr>
                <w:rFonts w:eastAsia="Times New Roman" w:cs="Arial"/>
                <w:b/>
                <w:bCs/>
                <w:sz w:val="21"/>
                <w:szCs w:val="21"/>
                <w:lang w:eastAsia="cs-CZ"/>
              </w:rPr>
              <w:t xml:space="preserve"> </w:t>
            </w:r>
            <w:r w:rsidR="00937EC3">
              <w:rPr>
                <w:rFonts w:eastAsia="Times New Roman" w:cs="Arial"/>
                <w:b/>
                <w:bCs/>
                <w:sz w:val="21"/>
                <w:szCs w:val="21"/>
                <w:lang w:eastAsia="cs-CZ"/>
              </w:rPr>
              <w:t>jiných</w:t>
            </w:r>
            <w:r>
              <w:rPr>
                <w:rFonts w:eastAsia="Times New Roman" w:cs="Arial"/>
                <w:b/>
                <w:bCs/>
                <w:sz w:val="21"/>
                <w:szCs w:val="21"/>
                <w:lang w:eastAsia="cs-CZ"/>
              </w:rPr>
              <w:t xml:space="preserve"> činností</w:t>
            </w:r>
          </w:p>
        </w:tc>
        <w:tc>
          <w:tcPr>
            <w:tcW w:w="1021" w:type="dxa"/>
            <w:tcBorders>
              <w:top w:val="nil"/>
              <w:left w:val="nil"/>
              <w:bottom w:val="nil"/>
              <w:right w:val="single" w:sz="12" w:space="0" w:color="4F81BD"/>
            </w:tcBorders>
            <w:shd w:val="clear" w:color="auto" w:fill="DBE5F1"/>
            <w:noWrap/>
            <w:vAlign w:val="center"/>
            <w:hideMark/>
          </w:tcPr>
          <w:p w14:paraId="188B8C10" w14:textId="77777777" w:rsidR="004B71CC" w:rsidRPr="006D791B" w:rsidRDefault="004B71CC">
            <w:pPr>
              <w:spacing w:after="0" w:line="240" w:lineRule="auto"/>
              <w:jc w:val="right"/>
              <w:rPr>
                <w:rFonts w:eastAsia="Times New Roman" w:cs="Arial"/>
                <w:bCs/>
                <w:sz w:val="21"/>
                <w:szCs w:val="21"/>
                <w:lang w:eastAsia="cs-CZ"/>
              </w:rPr>
            </w:pPr>
            <w:r w:rsidRPr="00CC4B11">
              <w:rPr>
                <w:rFonts w:ascii="Calibri" w:hAnsi="Calibri" w:cs="Times New Roman"/>
                <w:sz w:val="21"/>
                <w:szCs w:val="21"/>
              </w:rPr>
              <w:t>0,07</w:t>
            </w:r>
          </w:p>
        </w:tc>
      </w:tr>
      <w:tr w:rsidR="004B71CC" w14:paraId="2A5A7DEC" w14:textId="77777777" w:rsidTr="00F17159">
        <w:trPr>
          <w:trHeight w:val="301"/>
        </w:trPr>
        <w:tc>
          <w:tcPr>
            <w:tcW w:w="3181" w:type="dxa"/>
            <w:tcBorders>
              <w:top w:val="nil"/>
              <w:left w:val="single" w:sz="12" w:space="0" w:color="4F81BD"/>
              <w:bottom w:val="single" w:sz="12" w:space="0" w:color="4F81BD"/>
              <w:right w:val="nil"/>
            </w:tcBorders>
            <w:shd w:val="clear" w:color="auto" w:fill="EEF3F8"/>
            <w:noWrap/>
            <w:vAlign w:val="bottom"/>
            <w:hideMark/>
          </w:tcPr>
          <w:p w14:paraId="6E873A6C" w14:textId="77777777" w:rsidR="004B71CC" w:rsidRDefault="004B71CC">
            <w:pPr>
              <w:spacing w:after="0" w:line="240" w:lineRule="auto"/>
              <w:rPr>
                <w:rFonts w:eastAsia="Times New Roman" w:cs="Arial"/>
                <w:b/>
                <w:bCs/>
                <w:sz w:val="21"/>
                <w:szCs w:val="21"/>
                <w:lang w:eastAsia="cs-CZ"/>
              </w:rPr>
            </w:pPr>
            <w:r>
              <w:rPr>
                <w:rFonts w:eastAsia="Times New Roman" w:cs="Arial"/>
                <w:b/>
                <w:bCs/>
                <w:sz w:val="21"/>
                <w:szCs w:val="21"/>
                <w:lang w:eastAsia="cs-CZ"/>
              </w:rPr>
              <w:t xml:space="preserve">Celkové příjmy systému v. z. p. </w:t>
            </w:r>
          </w:p>
        </w:tc>
        <w:tc>
          <w:tcPr>
            <w:tcW w:w="1021" w:type="dxa"/>
            <w:tcBorders>
              <w:top w:val="nil"/>
              <w:left w:val="nil"/>
              <w:bottom w:val="single" w:sz="12" w:space="0" w:color="4F81BD"/>
              <w:right w:val="single" w:sz="12" w:space="0" w:color="4F81BD"/>
            </w:tcBorders>
            <w:shd w:val="clear" w:color="auto" w:fill="EEF3F8"/>
            <w:noWrap/>
            <w:vAlign w:val="center"/>
            <w:hideMark/>
          </w:tcPr>
          <w:p w14:paraId="54D92B2F" w14:textId="77777777" w:rsidR="004B71CC" w:rsidRPr="005459C8" w:rsidRDefault="004B71CC">
            <w:pPr>
              <w:spacing w:after="0" w:line="240" w:lineRule="auto"/>
              <w:jc w:val="right"/>
              <w:rPr>
                <w:rFonts w:eastAsia="Times New Roman" w:cs="Arial"/>
                <w:b/>
                <w:bCs/>
                <w:sz w:val="21"/>
                <w:szCs w:val="21"/>
                <w:lang w:eastAsia="cs-CZ"/>
              </w:rPr>
            </w:pPr>
            <w:r w:rsidRPr="00CC4B11">
              <w:rPr>
                <w:rFonts w:ascii="Calibri" w:hAnsi="Calibri" w:cs="Times New Roman"/>
                <w:b/>
                <w:bCs/>
                <w:sz w:val="21"/>
                <w:szCs w:val="21"/>
              </w:rPr>
              <w:t>309,77</w:t>
            </w:r>
          </w:p>
        </w:tc>
      </w:tr>
    </w:tbl>
    <w:p w14:paraId="6C9D8406" w14:textId="5D33776F" w:rsidR="00902FD8" w:rsidRDefault="00902FD8" w:rsidP="00902FD8">
      <w:pPr>
        <w:pStyle w:val="TEXTpodTABOBR"/>
      </w:pPr>
      <w:r>
        <w:rPr>
          <w:b/>
        </w:rPr>
        <w:t>Celkové příjmy systému v. z. p.</w:t>
      </w:r>
      <w:r>
        <w:t xml:space="preserve"> za rok 201</w:t>
      </w:r>
      <w:r w:rsidR="004B71CC">
        <w:t>8</w:t>
      </w:r>
      <w:r>
        <w:t xml:space="preserve"> činily </w:t>
      </w:r>
      <w:r w:rsidR="004B71CC">
        <w:rPr>
          <w:b/>
        </w:rPr>
        <w:t>309,8</w:t>
      </w:r>
      <w:r>
        <w:rPr>
          <w:b/>
        </w:rPr>
        <w:t> mld. Kč</w:t>
      </w:r>
      <w:r>
        <w:t xml:space="preserve"> s meziročním nárůstem o </w:t>
      </w:r>
      <w:r w:rsidR="004B71CC">
        <w:t>8,8</w:t>
      </w:r>
      <w:r>
        <w:t> %</w:t>
      </w:r>
      <w:r w:rsidR="00844289">
        <w:t xml:space="preserve"> (absolutně o </w:t>
      </w:r>
      <w:r w:rsidR="004B71CC">
        <w:t>24,9</w:t>
      </w:r>
      <w:r w:rsidR="00844289">
        <w:t xml:space="preserve"> mld. Kč)</w:t>
      </w:r>
      <w:r>
        <w:t>. Oproti</w:t>
      </w:r>
      <w:r w:rsidR="005C7DB1">
        <w:t xml:space="preserve"> očekávání ve</w:t>
      </w:r>
      <w:r>
        <w:t xml:space="preserve"> ZPP (zdravotně pojistný plán) 201</w:t>
      </w:r>
      <w:r w:rsidR="00410A42">
        <w:t>8</w:t>
      </w:r>
      <w:r>
        <w:t xml:space="preserve"> pak </w:t>
      </w:r>
      <w:r w:rsidR="005C7DB1">
        <w:t>byly vyšší</w:t>
      </w:r>
      <w:r>
        <w:t xml:space="preserve"> o</w:t>
      </w:r>
      <w:r w:rsidR="005C7DB1">
        <w:t> </w:t>
      </w:r>
      <w:r w:rsidR="00417C5F">
        <w:t>4,2</w:t>
      </w:r>
      <w:r>
        <w:t xml:space="preserve"> %</w:t>
      </w:r>
      <w:r w:rsidR="00844289">
        <w:t xml:space="preserve"> (absolutně o </w:t>
      </w:r>
      <w:r w:rsidR="00417C5F">
        <w:t>12,6</w:t>
      </w:r>
      <w:r w:rsidR="00844289">
        <w:t xml:space="preserve"> mld. Kč).</w:t>
      </w:r>
    </w:p>
    <w:p w14:paraId="71DECA58" w14:textId="77777777" w:rsidR="00902FD8" w:rsidRDefault="00902FD8" w:rsidP="00902FD8">
      <w:pPr>
        <w:pStyle w:val="TEXT"/>
      </w:pPr>
      <w:r>
        <w:rPr>
          <w:b/>
        </w:rPr>
        <w:t>Příjmy z vlastního výběru</w:t>
      </w:r>
      <w:r>
        <w:t xml:space="preserve"> pojistného, tj. vybrané pojistné od všech skupin plátců, zaměstnavatelů, o</w:t>
      </w:r>
      <w:r>
        <w:rPr>
          <w:szCs w:val="22"/>
        </w:rPr>
        <w:t>sob samostatně výdělečně činných (</w:t>
      </w:r>
      <w:r>
        <w:t>OSVČ) a o</w:t>
      </w:r>
      <w:r>
        <w:rPr>
          <w:szCs w:val="22"/>
        </w:rPr>
        <w:t>sob bez zdanitelných příjmů</w:t>
      </w:r>
      <w:r>
        <w:t xml:space="preserve"> (OBZP) dosáhly hodnoty </w:t>
      </w:r>
      <w:r w:rsidR="008F6029">
        <w:rPr>
          <w:b/>
        </w:rPr>
        <w:t>237,8</w:t>
      </w:r>
      <w:r>
        <w:rPr>
          <w:b/>
        </w:rPr>
        <w:t xml:space="preserve"> mld. Kč</w:t>
      </w:r>
      <w:r>
        <w:t xml:space="preserve"> (meziroční nárůst o  </w:t>
      </w:r>
      <w:r w:rsidR="008F6029">
        <w:t>9,9</w:t>
      </w:r>
      <w:r>
        <w:t xml:space="preserve"> % a ve srovnání se ZPP pak o </w:t>
      </w:r>
      <w:r w:rsidR="008F6029">
        <w:t>3,9</w:t>
      </w:r>
      <w:r>
        <w:t xml:space="preserve"> %). Růst</w:t>
      </w:r>
      <w:r w:rsidR="006D1FEB">
        <w:t> </w:t>
      </w:r>
      <w:r>
        <w:t xml:space="preserve">ekonomiky a opatření proti daňovým únikům tak do systému v. z. p. přinesly v meziročním porovnání cca </w:t>
      </w:r>
      <w:r w:rsidR="008F6029">
        <w:t>21,5</w:t>
      </w:r>
      <w:r>
        <w:t xml:space="preserve"> mld. Kč navíc. S výběrem souvisí i penále, pokuty a přirážky k pojistnému.</w:t>
      </w:r>
    </w:p>
    <w:p w14:paraId="0B058F07" w14:textId="77777777" w:rsidR="00902FD8" w:rsidRDefault="00902FD8" w:rsidP="00902FD8">
      <w:pPr>
        <w:pStyle w:val="TEXT"/>
        <w:rPr>
          <w:b/>
        </w:rPr>
      </w:pPr>
      <w:r w:rsidRPr="00543BF5">
        <w:rPr>
          <w:b/>
        </w:rPr>
        <w:t>Příjmy ze státního rozpočtu</w:t>
      </w:r>
      <w:r w:rsidRPr="00543BF5">
        <w:t xml:space="preserve"> za osoby, za které je plátcem pojistného stát (dále „platba státu“), které spolu s výběrem pojistného podléhají stoprocentnímu přerozdělování, tvoří 22</w:t>
      </w:r>
      <w:r w:rsidRPr="00FA6166">
        <w:t xml:space="preserve"> % z celkových příjmů systému v. z. p. v hodnotě </w:t>
      </w:r>
      <w:r w:rsidR="00704B41" w:rsidRPr="00CC4B11">
        <w:rPr>
          <w:b/>
        </w:rPr>
        <w:t>68,4</w:t>
      </w:r>
      <w:r w:rsidRPr="00CC4B11">
        <w:rPr>
          <w:b/>
        </w:rPr>
        <w:t xml:space="preserve"> mld. Kč </w:t>
      </w:r>
      <w:r w:rsidRPr="00CC4B11">
        <w:t>(meziroční nárůst o 4,8 %, tj. o cca 3</w:t>
      </w:r>
      <w:r w:rsidR="00704B41" w:rsidRPr="00CC4B11">
        <w:t>,1</w:t>
      </w:r>
      <w:r w:rsidRPr="00CC4B11">
        <w:t xml:space="preserve"> mld. Kč)</w:t>
      </w:r>
      <w:r w:rsidRPr="00CC4B11">
        <w:rPr>
          <w:b/>
        </w:rPr>
        <w:t xml:space="preserve">. </w:t>
      </w:r>
      <w:r w:rsidRPr="005459C8">
        <w:t>Celkový průměrný počet tzv. státních pojištěnců za rok 201</w:t>
      </w:r>
      <w:r w:rsidR="00844289" w:rsidRPr="005459C8">
        <w:t>8</w:t>
      </w:r>
      <w:r w:rsidRPr="00543BF5">
        <w:t xml:space="preserve"> dosáhl </w:t>
      </w:r>
      <w:r w:rsidR="00704B41" w:rsidRPr="00543BF5">
        <w:t xml:space="preserve">5,88 </w:t>
      </w:r>
      <w:r w:rsidRPr="00543BF5">
        <w:t>mil. osob. Meziroční nárůst platby byl způsoben zvýšením vyměřovacího základu u tzv. státních pojištěnců od 1. 1. 201</w:t>
      </w:r>
      <w:r w:rsidR="00410A42" w:rsidRPr="00543BF5">
        <w:t>8</w:t>
      </w:r>
      <w:r w:rsidRPr="00543BF5">
        <w:t xml:space="preserve">, průměrný počet tzv. státních pojištěnců se naopak meziročně snížil o </w:t>
      </w:r>
      <w:r w:rsidR="00704B41" w:rsidRPr="00F17159">
        <w:t>31</w:t>
      </w:r>
      <w:r w:rsidR="00704B41" w:rsidRPr="00543BF5">
        <w:t xml:space="preserve"> </w:t>
      </w:r>
      <w:r w:rsidRPr="00543BF5">
        <w:t xml:space="preserve">tis. osob (tj. o </w:t>
      </w:r>
      <w:r w:rsidR="00704B41" w:rsidRPr="00F17159">
        <w:t>0,5</w:t>
      </w:r>
      <w:r w:rsidRPr="00543BF5">
        <w:t xml:space="preserve"> %).</w:t>
      </w:r>
    </w:p>
    <w:p w14:paraId="6F4CB929" w14:textId="77777777" w:rsidR="00902FD8" w:rsidRDefault="00902FD8" w:rsidP="00902FD8">
      <w:pPr>
        <w:pStyle w:val="TEXT"/>
      </w:pPr>
      <w:r>
        <w:rPr>
          <w:b/>
        </w:rPr>
        <w:t>Ostatní příjmy systému v. z. p.</w:t>
      </w:r>
      <w:r>
        <w:t xml:space="preserve"> ve výši cca 0,75 % z celkových příjmů v hodnotě 2,</w:t>
      </w:r>
      <w:r w:rsidR="00543BF5">
        <w:t>3</w:t>
      </w:r>
      <w:r>
        <w:t xml:space="preserve"> mld. Kč mají jen marginální význam a tvoří je především sankční příjmy (penále, pokuty, přirážky, náhrady škod), úroky a dotace Ministerstva obrany (MO). MO přispívá na úhradu zdravotní péče pro vojáky na základě </w:t>
      </w:r>
      <w:r>
        <w:rPr>
          <w:rFonts w:cs="Times New Roman"/>
        </w:rPr>
        <w:t xml:space="preserve">§ </w:t>
      </w:r>
      <w:r>
        <w:t>11 odst. 3 zákona č. 48/1997 Sb.</w:t>
      </w:r>
    </w:p>
    <w:p w14:paraId="6D684DE2" w14:textId="3ED1E794" w:rsidR="00902FD8" w:rsidRDefault="00902FD8" w:rsidP="00902FD8">
      <w:pPr>
        <w:pStyle w:val="TEXT"/>
      </w:pPr>
      <w:r>
        <w:rPr>
          <w:b/>
        </w:rPr>
        <w:t>Příjmy od zahraničních pojišťoven</w:t>
      </w:r>
      <w:r>
        <w:t xml:space="preserve">, součást příjmů ZFZP (základní fond zdravotního pojištění) dle </w:t>
      </w:r>
      <w:r>
        <w:rPr>
          <w:rFonts w:cs="Times New Roman"/>
        </w:rPr>
        <w:t xml:space="preserve">§ </w:t>
      </w:r>
      <w:r>
        <w:t>1 odst. 1 f vyhlášky č. 418/2003 Sb.,</w:t>
      </w:r>
      <w:r>
        <w:rPr>
          <w:b/>
        </w:rPr>
        <w:t xml:space="preserve"> </w:t>
      </w:r>
      <w:r>
        <w:t>jsou</w:t>
      </w:r>
      <w:r>
        <w:rPr>
          <w:b/>
        </w:rPr>
        <w:t xml:space="preserve"> </w:t>
      </w:r>
      <w:r>
        <w:t>ve výši 1,</w:t>
      </w:r>
      <w:r w:rsidR="00174919">
        <w:t>2</w:t>
      </w:r>
      <w:r w:rsidR="00174919" w:rsidDel="00174919">
        <w:t xml:space="preserve"> </w:t>
      </w:r>
      <w:r>
        <w:t>mld. Kč, tj. cca 0,3</w:t>
      </w:r>
      <w:r w:rsidR="00784EBD">
        <w:t>8</w:t>
      </w:r>
      <w:r>
        <w:t xml:space="preserve"> % celkových příjmů v. z. p. Zcela minimální podíl na celkových příjmech mají </w:t>
      </w:r>
      <w:r>
        <w:rPr>
          <w:b/>
        </w:rPr>
        <w:t>příjmy z</w:t>
      </w:r>
      <w:r w:rsidR="00FC335C">
        <w:rPr>
          <w:b/>
        </w:rPr>
        <w:t xml:space="preserve"> </w:t>
      </w:r>
      <w:r w:rsidR="00937EC3">
        <w:rPr>
          <w:b/>
        </w:rPr>
        <w:t>jiných</w:t>
      </w:r>
      <w:r>
        <w:rPr>
          <w:b/>
        </w:rPr>
        <w:t xml:space="preserve"> činností,</w:t>
      </w:r>
      <w:r>
        <w:t xml:space="preserve"> a</w:t>
      </w:r>
      <w:r w:rsidR="006D1FEB">
        <w:t> </w:t>
      </w:r>
      <w:r>
        <w:t>to</w:t>
      </w:r>
      <w:r w:rsidR="006D1FEB">
        <w:t> </w:t>
      </w:r>
      <w:r>
        <w:t>ve</w:t>
      </w:r>
      <w:r w:rsidR="006D1FEB">
        <w:t> </w:t>
      </w:r>
      <w:r>
        <w:t>výši 0,0</w:t>
      </w:r>
      <w:r w:rsidR="00784EBD">
        <w:t>2</w:t>
      </w:r>
      <w:r>
        <w:t xml:space="preserve"> % v hodnotě 0,07 mld. Kč. Struktura </w:t>
      </w:r>
      <w:r w:rsidR="00937EC3">
        <w:t xml:space="preserve">jiných </w:t>
      </w:r>
      <w:r>
        <w:t>činností se dlouhodobě nemění, neboť účinné právní předpisy ZP umožňují pouze omezený rozsah vlastních aktivit. Těmi jsou především pronájmy nevyužitých nebytových prostor a zprostředkování prodeje komerčního pojištění. Zisky po zdanění z těchto činností využívají ZP v souladu s právními předpisy a rozhodnutími správních rad na posilování fondů v. z. p.</w:t>
      </w:r>
    </w:p>
    <w:p w14:paraId="5580B7D5" w14:textId="77777777" w:rsidR="00902FD8" w:rsidRDefault="00902FD8" w:rsidP="006C7011">
      <w:pPr>
        <w:pStyle w:val="TABOBR"/>
        <w:spacing w:before="360" w:after="200"/>
      </w:pPr>
      <w:r>
        <w:lastRenderedPageBreak/>
        <w:t>Obr. 1: Příjmy celkem za rok 201</w:t>
      </w:r>
      <w:r w:rsidR="00784EBD">
        <w:t>8</w:t>
      </w:r>
    </w:p>
    <w:p w14:paraId="46195366" w14:textId="77777777" w:rsidR="00784EBD" w:rsidRDefault="00784EBD" w:rsidP="00902FD8">
      <w:pPr>
        <w:pStyle w:val="OBR"/>
        <w:jc w:val="center"/>
        <w:rPr>
          <w:b/>
        </w:rPr>
      </w:pPr>
      <w:r>
        <w:rPr>
          <w:b/>
          <w:noProof/>
        </w:rPr>
        <w:drawing>
          <wp:inline distT="0" distB="0" distL="0" distR="0" wp14:anchorId="7B696225" wp14:editId="14E7317C">
            <wp:extent cx="4157932" cy="2333794"/>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0304" cy="2335125"/>
                    </a:xfrm>
                    <a:prstGeom prst="rect">
                      <a:avLst/>
                    </a:prstGeom>
                    <a:noFill/>
                  </pic:spPr>
                </pic:pic>
              </a:graphicData>
            </a:graphic>
          </wp:inline>
        </w:drawing>
      </w:r>
    </w:p>
    <w:p w14:paraId="54A154E8" w14:textId="77777777" w:rsidR="00F17159" w:rsidRDefault="00902FD8" w:rsidP="00F17159">
      <w:pPr>
        <w:pStyle w:val="OBR"/>
        <w:spacing w:before="240"/>
      </w:pPr>
      <w:r>
        <w:rPr>
          <w:b/>
        </w:rPr>
        <w:t>Průměrné celkové příjmy na jednoho pojištěnce</w:t>
      </w:r>
      <w:r w:rsidR="00784EBD">
        <w:rPr>
          <w:rStyle w:val="Znakapoznpodarou"/>
          <w:b/>
        </w:rPr>
        <w:footnoteReference w:id="2"/>
      </w:r>
      <w:r>
        <w:t xml:space="preserve"> v roce 201</w:t>
      </w:r>
      <w:r w:rsidR="00784EBD">
        <w:t>8</w:t>
      </w:r>
      <w:r>
        <w:t xml:space="preserve"> dosáhly částky </w:t>
      </w:r>
      <w:r w:rsidR="00820E20">
        <w:t>29 476</w:t>
      </w:r>
      <w:r>
        <w:t xml:space="preserve"> Kč (meziroční nárůst o </w:t>
      </w:r>
      <w:r w:rsidR="00820E20">
        <w:t>8</w:t>
      </w:r>
      <w:r>
        <w:t xml:space="preserve">,3 %). Nejvyšší příjmy vykázala VZP ČR v hodnotě </w:t>
      </w:r>
      <w:r w:rsidR="00820E20">
        <w:t>31 440</w:t>
      </w:r>
      <w:r>
        <w:t xml:space="preserve"> Kč s meziročním zvýšením o</w:t>
      </w:r>
      <w:r w:rsidR="006D1FEB">
        <w:t> </w:t>
      </w:r>
      <w:r w:rsidR="00820E20">
        <w:t>8,9</w:t>
      </w:r>
      <w:r>
        <w:t xml:space="preserve"> %, nejnižší příjmy vykázala Revírní bratrská pokladna, zdravotní pojišťovna (RBP) ve výši </w:t>
      </w:r>
      <w:r w:rsidR="00FA6166">
        <w:t>26</w:t>
      </w:r>
      <w:r w:rsidR="006D1FEB">
        <w:t> </w:t>
      </w:r>
      <w:r w:rsidR="00FA6166">
        <w:t>039</w:t>
      </w:r>
      <w:r>
        <w:t xml:space="preserve"> Kč s meziročním nárůstem o </w:t>
      </w:r>
      <w:r w:rsidR="00FA6166">
        <w:t>9,3</w:t>
      </w:r>
      <w:r>
        <w:t xml:space="preserve"> %. Zaměstnanecké zdravotní pojišťovny (ZZP) v průměru dosáhly hodnoty </w:t>
      </w:r>
      <w:r w:rsidR="00FA6166">
        <w:t>26 917</w:t>
      </w:r>
      <w:r>
        <w:t xml:space="preserve"> Kč s meziročním nárůstem o </w:t>
      </w:r>
      <w:r w:rsidR="00FA6166">
        <w:t xml:space="preserve">7,5 </w:t>
      </w:r>
      <w:r>
        <w:t>%.</w:t>
      </w:r>
    </w:p>
    <w:p w14:paraId="4C4334DA" w14:textId="77777777" w:rsidR="00F17159" w:rsidRDefault="007B02D4" w:rsidP="00F17159">
      <w:pPr>
        <w:pStyle w:val="OBR"/>
        <w:spacing w:before="240"/>
      </w:pPr>
      <w:r w:rsidRPr="00F17159">
        <w:t>Vývoj příjmů systému v. z. p. lze analyzovat i po jednotlivých zdravotních pojišťovnách</w:t>
      </w:r>
      <w:r w:rsidR="00FA6166" w:rsidRPr="00F17159">
        <w:t xml:space="preserve"> (viz Tab. 2)</w:t>
      </w:r>
      <w:r w:rsidRPr="00F17159">
        <w:t>.</w:t>
      </w:r>
      <w:r w:rsidRPr="007B02D4">
        <w:t xml:space="preserve"> </w:t>
      </w:r>
    </w:p>
    <w:p w14:paraId="494F709A" w14:textId="77777777" w:rsidR="00A76962" w:rsidRDefault="00A76962" w:rsidP="006C7011">
      <w:pPr>
        <w:pStyle w:val="TABOBR0"/>
        <w:spacing w:before="360" w:after="200"/>
      </w:pPr>
      <w:r w:rsidRPr="00D07F10">
        <w:t>Tab</w:t>
      </w:r>
      <w:r>
        <w:t>. 2: Příjmy systému v. z. p. 2018</w:t>
      </w:r>
      <w:r w:rsidRPr="00D07F10">
        <w:t xml:space="preserve"> dle zdravotních pojišťoven</w:t>
      </w:r>
    </w:p>
    <w:tbl>
      <w:tblPr>
        <w:tblW w:w="9303"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283"/>
        <w:gridCol w:w="960"/>
        <w:gridCol w:w="960"/>
        <w:gridCol w:w="960"/>
        <w:gridCol w:w="1040"/>
        <w:gridCol w:w="1040"/>
        <w:gridCol w:w="1040"/>
        <w:gridCol w:w="1020"/>
      </w:tblGrid>
      <w:tr w:rsidR="00A76962" w:rsidRPr="004E1AFC" w14:paraId="111CA217" w14:textId="77777777" w:rsidTr="00F1367D">
        <w:trPr>
          <w:trHeight w:val="870"/>
          <w:jc w:val="center"/>
        </w:trPr>
        <w:tc>
          <w:tcPr>
            <w:tcW w:w="2283" w:type="dxa"/>
            <w:shd w:val="clear" w:color="000000" w:fill="4F81BD"/>
            <w:vAlign w:val="center"/>
            <w:hideMark/>
          </w:tcPr>
          <w:p w14:paraId="079FA2E2" w14:textId="77777777" w:rsidR="00A76962" w:rsidRPr="00F17159" w:rsidRDefault="00F1367D" w:rsidP="00223CAF">
            <w:pPr>
              <w:spacing w:after="0" w:line="240" w:lineRule="auto"/>
              <w:rPr>
                <w:rFonts w:ascii="Calibri" w:eastAsia="Times New Roman" w:hAnsi="Calibri" w:cs="Times New Roman"/>
                <w:b/>
                <w:bCs/>
                <w:i/>
                <w:color w:val="FFFFFF" w:themeColor="background1"/>
                <w:sz w:val="21"/>
                <w:szCs w:val="21"/>
                <w:lang w:eastAsia="cs-CZ"/>
              </w:rPr>
            </w:pPr>
            <w:r w:rsidRPr="00F17159" w:rsidDel="00F1367D">
              <w:rPr>
                <w:rFonts w:ascii="Calibri" w:eastAsia="Times New Roman" w:hAnsi="Calibri" w:cs="Times New Roman"/>
                <w:b/>
                <w:bCs/>
                <w:color w:val="FFFFFF" w:themeColor="background1"/>
                <w:sz w:val="21"/>
                <w:szCs w:val="21"/>
                <w:lang w:eastAsia="cs-CZ"/>
              </w:rPr>
              <w:t xml:space="preserve"> </w:t>
            </w:r>
            <w:r w:rsidR="00A76962" w:rsidRPr="00F17159">
              <w:rPr>
                <w:rFonts w:ascii="Calibri" w:eastAsia="Times New Roman" w:hAnsi="Calibri" w:cs="Times New Roman"/>
                <w:b/>
                <w:bCs/>
                <w:i/>
                <w:color w:val="FFFFFF" w:themeColor="background1"/>
                <w:sz w:val="21"/>
                <w:szCs w:val="21"/>
                <w:lang w:eastAsia="cs-CZ"/>
              </w:rPr>
              <w:t xml:space="preserve">(v mil. </w:t>
            </w:r>
            <w:proofErr w:type="gramStart"/>
            <w:r w:rsidR="00A76962" w:rsidRPr="00F17159">
              <w:rPr>
                <w:rFonts w:ascii="Calibri" w:eastAsia="Times New Roman" w:hAnsi="Calibri" w:cs="Times New Roman"/>
                <w:b/>
                <w:bCs/>
                <w:i/>
                <w:color w:val="FFFFFF" w:themeColor="background1"/>
                <w:sz w:val="21"/>
                <w:szCs w:val="21"/>
                <w:lang w:eastAsia="cs-CZ"/>
              </w:rPr>
              <w:t>Kč )</w:t>
            </w:r>
            <w:proofErr w:type="gramEnd"/>
          </w:p>
        </w:tc>
        <w:tc>
          <w:tcPr>
            <w:tcW w:w="960" w:type="dxa"/>
            <w:shd w:val="clear" w:color="000000" w:fill="6691C6"/>
            <w:noWrap/>
            <w:vAlign w:val="center"/>
          </w:tcPr>
          <w:p w14:paraId="123870E6" w14:textId="77777777" w:rsidR="00A76962" w:rsidRPr="003862B4" w:rsidRDefault="00A76962" w:rsidP="00223CAF">
            <w:pPr>
              <w:spacing w:after="0" w:line="240" w:lineRule="auto"/>
              <w:jc w:val="center"/>
              <w:rPr>
                <w:rFonts w:ascii="Calibri" w:eastAsia="Times New Roman" w:hAnsi="Calibri" w:cs="Times New Roman"/>
                <w:b/>
                <w:bCs/>
                <w:color w:val="FFFFFF" w:themeColor="background1"/>
                <w:sz w:val="21"/>
                <w:szCs w:val="21"/>
                <w:lang w:eastAsia="cs-CZ"/>
              </w:rPr>
            </w:pPr>
            <w:r w:rsidRPr="003862B4">
              <w:rPr>
                <w:b/>
                <w:color w:val="FFFFFF" w:themeColor="background1"/>
                <w:sz w:val="21"/>
                <w:szCs w:val="21"/>
              </w:rPr>
              <w:t>VZP ČR</w:t>
            </w:r>
          </w:p>
        </w:tc>
        <w:tc>
          <w:tcPr>
            <w:tcW w:w="960" w:type="dxa"/>
            <w:shd w:val="clear" w:color="000000" w:fill="4F81BD"/>
            <w:noWrap/>
            <w:vAlign w:val="center"/>
          </w:tcPr>
          <w:p w14:paraId="1A4FF542" w14:textId="77777777" w:rsidR="00A76962" w:rsidRPr="003862B4" w:rsidRDefault="00A76962" w:rsidP="00223CAF">
            <w:pPr>
              <w:spacing w:after="0" w:line="240" w:lineRule="auto"/>
              <w:jc w:val="center"/>
              <w:rPr>
                <w:rFonts w:ascii="Calibri" w:eastAsia="Times New Roman" w:hAnsi="Calibri" w:cs="Times New Roman"/>
                <w:b/>
                <w:bCs/>
                <w:color w:val="FFFFFF" w:themeColor="background1"/>
                <w:sz w:val="21"/>
                <w:szCs w:val="21"/>
                <w:lang w:eastAsia="cs-CZ"/>
              </w:rPr>
            </w:pPr>
            <w:proofErr w:type="spellStart"/>
            <w:r w:rsidRPr="003862B4">
              <w:rPr>
                <w:b/>
                <w:color w:val="FFFFFF" w:themeColor="background1"/>
                <w:sz w:val="21"/>
                <w:szCs w:val="21"/>
              </w:rPr>
              <w:t>VoZP</w:t>
            </w:r>
            <w:proofErr w:type="spellEnd"/>
            <w:r w:rsidRPr="003862B4">
              <w:rPr>
                <w:b/>
                <w:color w:val="FFFFFF" w:themeColor="background1"/>
                <w:sz w:val="21"/>
                <w:szCs w:val="21"/>
              </w:rPr>
              <w:t xml:space="preserve"> ČR</w:t>
            </w:r>
          </w:p>
        </w:tc>
        <w:tc>
          <w:tcPr>
            <w:tcW w:w="960" w:type="dxa"/>
            <w:shd w:val="clear" w:color="000000" w:fill="6691C6"/>
            <w:noWrap/>
            <w:vAlign w:val="center"/>
          </w:tcPr>
          <w:p w14:paraId="0880A651" w14:textId="77777777" w:rsidR="00A76962" w:rsidRPr="003862B4" w:rsidRDefault="00A76962" w:rsidP="00223CAF">
            <w:pPr>
              <w:spacing w:after="0" w:line="240" w:lineRule="auto"/>
              <w:jc w:val="center"/>
              <w:rPr>
                <w:rFonts w:ascii="Calibri" w:eastAsia="Times New Roman" w:hAnsi="Calibri" w:cs="Times New Roman"/>
                <w:b/>
                <w:bCs/>
                <w:color w:val="FFFFFF" w:themeColor="background1"/>
                <w:sz w:val="21"/>
                <w:szCs w:val="21"/>
                <w:lang w:eastAsia="cs-CZ"/>
              </w:rPr>
            </w:pPr>
            <w:r w:rsidRPr="003862B4">
              <w:rPr>
                <w:b/>
                <w:color w:val="FFFFFF" w:themeColor="background1"/>
                <w:sz w:val="21"/>
                <w:szCs w:val="21"/>
              </w:rPr>
              <w:t>ČPZP</w:t>
            </w:r>
          </w:p>
        </w:tc>
        <w:tc>
          <w:tcPr>
            <w:tcW w:w="1040" w:type="dxa"/>
            <w:shd w:val="clear" w:color="000000" w:fill="4F81BD"/>
            <w:vAlign w:val="center"/>
          </w:tcPr>
          <w:p w14:paraId="4A7933E3" w14:textId="77777777" w:rsidR="00A76962" w:rsidRPr="003862B4" w:rsidRDefault="00A76962" w:rsidP="00223CAF">
            <w:pPr>
              <w:spacing w:after="0" w:line="240" w:lineRule="auto"/>
              <w:jc w:val="center"/>
              <w:rPr>
                <w:rFonts w:ascii="Calibri" w:eastAsia="Times New Roman" w:hAnsi="Calibri" w:cs="Times New Roman"/>
                <w:b/>
                <w:bCs/>
                <w:color w:val="FFFFFF" w:themeColor="background1"/>
                <w:sz w:val="21"/>
                <w:szCs w:val="21"/>
                <w:lang w:eastAsia="cs-CZ"/>
              </w:rPr>
            </w:pPr>
            <w:r w:rsidRPr="003862B4">
              <w:rPr>
                <w:b/>
                <w:color w:val="FFFFFF" w:themeColor="background1"/>
                <w:sz w:val="21"/>
                <w:szCs w:val="21"/>
              </w:rPr>
              <w:t>OZP</w:t>
            </w:r>
          </w:p>
        </w:tc>
        <w:tc>
          <w:tcPr>
            <w:tcW w:w="1040" w:type="dxa"/>
            <w:shd w:val="clear" w:color="000000" w:fill="6691C6"/>
            <w:vAlign w:val="center"/>
          </w:tcPr>
          <w:p w14:paraId="26C869BA" w14:textId="77777777" w:rsidR="00A76962" w:rsidRPr="003862B4" w:rsidRDefault="00A76962" w:rsidP="00223CAF">
            <w:pPr>
              <w:spacing w:after="0" w:line="240" w:lineRule="auto"/>
              <w:jc w:val="center"/>
              <w:rPr>
                <w:rFonts w:ascii="Calibri" w:eastAsia="Times New Roman" w:hAnsi="Calibri" w:cs="Times New Roman"/>
                <w:b/>
                <w:bCs/>
                <w:color w:val="FFFFFF" w:themeColor="background1"/>
                <w:sz w:val="21"/>
                <w:szCs w:val="21"/>
                <w:lang w:eastAsia="cs-CZ"/>
              </w:rPr>
            </w:pPr>
            <w:r w:rsidRPr="003862B4">
              <w:rPr>
                <w:b/>
                <w:color w:val="FFFFFF" w:themeColor="background1"/>
                <w:sz w:val="21"/>
                <w:szCs w:val="21"/>
              </w:rPr>
              <w:t>ZPŠ</w:t>
            </w:r>
          </w:p>
        </w:tc>
        <w:tc>
          <w:tcPr>
            <w:tcW w:w="1040" w:type="dxa"/>
            <w:shd w:val="clear" w:color="000000" w:fill="4F81BD"/>
            <w:vAlign w:val="center"/>
          </w:tcPr>
          <w:p w14:paraId="718CCB60" w14:textId="2A14855C" w:rsidR="00A76962" w:rsidRPr="003862B4" w:rsidRDefault="00A76962" w:rsidP="00223CAF">
            <w:pPr>
              <w:spacing w:after="0" w:line="240" w:lineRule="auto"/>
              <w:jc w:val="center"/>
              <w:rPr>
                <w:rFonts w:ascii="Calibri" w:eastAsia="Times New Roman" w:hAnsi="Calibri" w:cs="Times New Roman"/>
                <w:b/>
                <w:bCs/>
                <w:color w:val="FFFFFF" w:themeColor="background1"/>
                <w:sz w:val="21"/>
                <w:szCs w:val="21"/>
                <w:lang w:eastAsia="cs-CZ"/>
              </w:rPr>
            </w:pPr>
            <w:r w:rsidRPr="003862B4">
              <w:rPr>
                <w:b/>
                <w:color w:val="FFFFFF" w:themeColor="background1"/>
                <w:sz w:val="21"/>
                <w:szCs w:val="21"/>
              </w:rPr>
              <w:t>ZP</w:t>
            </w:r>
            <w:r w:rsidR="003862B4" w:rsidRPr="003862B4">
              <w:rPr>
                <w:b/>
                <w:color w:val="FFFFFF" w:themeColor="background1"/>
                <w:sz w:val="21"/>
                <w:szCs w:val="21"/>
              </w:rPr>
              <w:t xml:space="preserve"> </w:t>
            </w:r>
            <w:r w:rsidRPr="003862B4">
              <w:rPr>
                <w:b/>
                <w:color w:val="FFFFFF" w:themeColor="background1"/>
                <w:sz w:val="21"/>
                <w:szCs w:val="21"/>
              </w:rPr>
              <w:t>MV ČR</w:t>
            </w:r>
          </w:p>
        </w:tc>
        <w:tc>
          <w:tcPr>
            <w:tcW w:w="1020" w:type="dxa"/>
            <w:shd w:val="clear" w:color="000000" w:fill="6691C6"/>
            <w:vAlign w:val="center"/>
          </w:tcPr>
          <w:p w14:paraId="416314AA" w14:textId="77777777" w:rsidR="00A76962" w:rsidRPr="003862B4" w:rsidRDefault="00A76962" w:rsidP="00223CAF">
            <w:pPr>
              <w:spacing w:after="0" w:line="240" w:lineRule="auto"/>
              <w:jc w:val="center"/>
              <w:rPr>
                <w:rFonts w:ascii="Calibri" w:eastAsia="Times New Roman" w:hAnsi="Calibri" w:cs="Times New Roman"/>
                <w:b/>
                <w:bCs/>
                <w:color w:val="FFFFFF" w:themeColor="background1"/>
                <w:sz w:val="21"/>
                <w:szCs w:val="21"/>
                <w:lang w:eastAsia="cs-CZ"/>
              </w:rPr>
            </w:pPr>
            <w:r w:rsidRPr="003862B4">
              <w:rPr>
                <w:b/>
                <w:color w:val="FFFFFF" w:themeColor="background1"/>
                <w:sz w:val="21"/>
                <w:szCs w:val="21"/>
              </w:rPr>
              <w:t>RBP</w:t>
            </w:r>
          </w:p>
        </w:tc>
      </w:tr>
      <w:tr w:rsidR="00A76962" w:rsidRPr="004E1AFC" w14:paraId="6D3EDC4F" w14:textId="77777777" w:rsidTr="00F1367D">
        <w:trPr>
          <w:trHeight w:val="300"/>
          <w:jc w:val="center"/>
        </w:trPr>
        <w:tc>
          <w:tcPr>
            <w:tcW w:w="2283" w:type="dxa"/>
            <w:shd w:val="clear" w:color="auto" w:fill="auto"/>
          </w:tcPr>
          <w:p w14:paraId="12830827" w14:textId="77777777" w:rsidR="00A76962" w:rsidRPr="00F17159" w:rsidRDefault="00A76962" w:rsidP="00223CAF">
            <w:pPr>
              <w:spacing w:after="0" w:line="240" w:lineRule="auto"/>
              <w:rPr>
                <w:rFonts w:ascii="Calibri" w:eastAsia="Times New Roman" w:hAnsi="Calibri" w:cs="Times New Roman"/>
                <w:b/>
                <w:bCs/>
                <w:sz w:val="21"/>
                <w:szCs w:val="21"/>
                <w:lang w:eastAsia="cs-CZ"/>
              </w:rPr>
            </w:pPr>
            <w:r w:rsidRPr="00F17159">
              <w:rPr>
                <w:rFonts w:cs="Arial"/>
                <w:b/>
                <w:bCs/>
                <w:sz w:val="21"/>
                <w:szCs w:val="21"/>
                <w:lang w:eastAsia="cs-CZ"/>
              </w:rPr>
              <w:t>příjmy celkem</w:t>
            </w:r>
          </w:p>
        </w:tc>
        <w:tc>
          <w:tcPr>
            <w:tcW w:w="960" w:type="dxa"/>
            <w:shd w:val="clear" w:color="000000" w:fill="DCE6F1"/>
            <w:noWrap/>
            <w:vAlign w:val="center"/>
          </w:tcPr>
          <w:p w14:paraId="47DC71B2" w14:textId="77777777" w:rsidR="00DD12A8" w:rsidRPr="003D6FB5" w:rsidRDefault="00613CEF" w:rsidP="00613CEF">
            <w:pPr>
              <w:spacing w:after="0" w:line="240" w:lineRule="auto"/>
              <w:jc w:val="right"/>
              <w:rPr>
                <w:rFonts w:ascii="Calibri" w:eastAsia="Times New Roman" w:hAnsi="Calibri" w:cs="Times New Roman"/>
                <w:b/>
                <w:bCs/>
                <w:sz w:val="21"/>
                <w:szCs w:val="21"/>
                <w:lang w:eastAsia="cs-CZ"/>
              </w:rPr>
            </w:pPr>
            <w:r w:rsidRPr="00613CEF">
              <w:rPr>
                <w:rFonts w:ascii="Calibri" w:eastAsia="Times New Roman" w:hAnsi="Calibri" w:cs="Times New Roman"/>
                <w:b/>
                <w:bCs/>
                <w:sz w:val="21"/>
                <w:szCs w:val="21"/>
                <w:lang w:eastAsia="cs-CZ"/>
              </w:rPr>
              <w:t>186 918</w:t>
            </w:r>
          </w:p>
        </w:tc>
        <w:tc>
          <w:tcPr>
            <w:tcW w:w="960" w:type="dxa"/>
            <w:shd w:val="clear" w:color="auto" w:fill="auto"/>
            <w:noWrap/>
            <w:vAlign w:val="center"/>
          </w:tcPr>
          <w:p w14:paraId="6F0295F9" w14:textId="77777777" w:rsidR="00A76962" w:rsidRPr="003D6FB5" w:rsidRDefault="00613CEF" w:rsidP="00613CEF">
            <w:pPr>
              <w:spacing w:after="0" w:line="240" w:lineRule="auto"/>
              <w:jc w:val="right"/>
              <w:rPr>
                <w:rFonts w:ascii="Calibri" w:eastAsia="Times New Roman" w:hAnsi="Calibri" w:cs="Times New Roman"/>
                <w:b/>
                <w:bCs/>
                <w:sz w:val="21"/>
                <w:szCs w:val="21"/>
                <w:lang w:eastAsia="cs-CZ"/>
              </w:rPr>
            </w:pPr>
            <w:r w:rsidRPr="00613CEF">
              <w:rPr>
                <w:rFonts w:ascii="Calibri" w:eastAsia="Times New Roman" w:hAnsi="Calibri" w:cs="Times New Roman"/>
                <w:b/>
                <w:bCs/>
                <w:sz w:val="21"/>
                <w:szCs w:val="21"/>
                <w:lang w:eastAsia="cs-CZ"/>
              </w:rPr>
              <w:t>19 342</w:t>
            </w:r>
          </w:p>
        </w:tc>
        <w:tc>
          <w:tcPr>
            <w:tcW w:w="960" w:type="dxa"/>
            <w:shd w:val="clear" w:color="000000" w:fill="DCE6F1"/>
            <w:noWrap/>
            <w:vAlign w:val="center"/>
          </w:tcPr>
          <w:p w14:paraId="51406944" w14:textId="77777777" w:rsidR="00A76962" w:rsidRPr="003D6FB5" w:rsidRDefault="00F1367D" w:rsidP="00613CEF">
            <w:pPr>
              <w:spacing w:after="0" w:line="240" w:lineRule="auto"/>
              <w:jc w:val="right"/>
              <w:rPr>
                <w:rFonts w:ascii="Calibri" w:eastAsia="Times New Roman" w:hAnsi="Calibri" w:cs="Times New Roman"/>
                <w:b/>
                <w:bCs/>
                <w:sz w:val="21"/>
                <w:szCs w:val="21"/>
                <w:lang w:eastAsia="cs-CZ"/>
              </w:rPr>
            </w:pPr>
            <w:r w:rsidRPr="00F1367D">
              <w:rPr>
                <w:rFonts w:ascii="Calibri" w:eastAsia="Times New Roman" w:hAnsi="Calibri" w:cs="Times New Roman"/>
                <w:b/>
                <w:bCs/>
                <w:sz w:val="21"/>
                <w:szCs w:val="21"/>
                <w:lang w:eastAsia="cs-CZ"/>
              </w:rPr>
              <w:t>32 778</w:t>
            </w:r>
          </w:p>
        </w:tc>
        <w:tc>
          <w:tcPr>
            <w:tcW w:w="1040" w:type="dxa"/>
            <w:shd w:val="clear" w:color="auto" w:fill="auto"/>
            <w:noWrap/>
            <w:vAlign w:val="center"/>
          </w:tcPr>
          <w:p w14:paraId="2F1340A1" w14:textId="77777777" w:rsidR="00A76962" w:rsidRPr="003D6FB5" w:rsidRDefault="00F1367D" w:rsidP="00613CEF">
            <w:pPr>
              <w:spacing w:after="0" w:line="240" w:lineRule="auto"/>
              <w:jc w:val="right"/>
              <w:rPr>
                <w:rFonts w:ascii="Calibri" w:eastAsia="Times New Roman" w:hAnsi="Calibri" w:cs="Times New Roman"/>
                <w:b/>
                <w:bCs/>
                <w:sz w:val="21"/>
                <w:szCs w:val="21"/>
                <w:lang w:eastAsia="cs-CZ"/>
              </w:rPr>
            </w:pPr>
            <w:r w:rsidRPr="00F1367D">
              <w:rPr>
                <w:rFonts w:ascii="Calibri" w:eastAsia="Times New Roman" w:hAnsi="Calibri" w:cs="Times New Roman"/>
                <w:b/>
                <w:bCs/>
                <w:sz w:val="21"/>
                <w:szCs w:val="21"/>
                <w:lang w:eastAsia="cs-CZ"/>
              </w:rPr>
              <w:t>19 145</w:t>
            </w:r>
          </w:p>
        </w:tc>
        <w:tc>
          <w:tcPr>
            <w:tcW w:w="1040" w:type="dxa"/>
            <w:shd w:val="clear" w:color="000000" w:fill="DCE6F1"/>
            <w:noWrap/>
            <w:vAlign w:val="center"/>
          </w:tcPr>
          <w:p w14:paraId="10A31BAF" w14:textId="77777777" w:rsidR="00A76962" w:rsidRPr="003D6FB5" w:rsidRDefault="00F1367D" w:rsidP="00613CEF">
            <w:pPr>
              <w:spacing w:after="0" w:line="240" w:lineRule="auto"/>
              <w:jc w:val="right"/>
              <w:rPr>
                <w:rFonts w:ascii="Calibri" w:eastAsia="Times New Roman" w:hAnsi="Calibri" w:cs="Times New Roman"/>
                <w:b/>
                <w:bCs/>
                <w:sz w:val="21"/>
                <w:szCs w:val="21"/>
                <w:lang w:eastAsia="cs-CZ"/>
              </w:rPr>
            </w:pPr>
            <w:r w:rsidRPr="00F1367D">
              <w:rPr>
                <w:rFonts w:ascii="Calibri" w:eastAsia="Times New Roman" w:hAnsi="Calibri" w:cs="Times New Roman"/>
                <w:b/>
                <w:bCs/>
                <w:sz w:val="21"/>
                <w:szCs w:val="21"/>
                <w:lang w:eastAsia="cs-CZ"/>
              </w:rPr>
              <w:t>4 156</w:t>
            </w:r>
          </w:p>
        </w:tc>
        <w:tc>
          <w:tcPr>
            <w:tcW w:w="1040" w:type="dxa"/>
            <w:shd w:val="clear" w:color="auto" w:fill="auto"/>
            <w:noWrap/>
            <w:vAlign w:val="center"/>
          </w:tcPr>
          <w:p w14:paraId="5C69CF15" w14:textId="77777777" w:rsidR="00A76962" w:rsidRPr="003D6FB5" w:rsidRDefault="00F1367D" w:rsidP="00613CEF">
            <w:pPr>
              <w:spacing w:after="0" w:line="240" w:lineRule="auto"/>
              <w:jc w:val="right"/>
              <w:rPr>
                <w:rFonts w:ascii="Calibri" w:eastAsia="Times New Roman" w:hAnsi="Calibri" w:cs="Times New Roman"/>
                <w:b/>
                <w:bCs/>
                <w:sz w:val="21"/>
                <w:szCs w:val="21"/>
                <w:lang w:eastAsia="cs-CZ"/>
              </w:rPr>
            </w:pPr>
            <w:r w:rsidRPr="00F1367D">
              <w:rPr>
                <w:rFonts w:ascii="Calibri" w:eastAsia="Times New Roman" w:hAnsi="Calibri" w:cs="Times New Roman"/>
                <w:b/>
                <w:bCs/>
                <w:sz w:val="21"/>
                <w:szCs w:val="21"/>
                <w:lang w:eastAsia="cs-CZ"/>
              </w:rPr>
              <w:t>36 257</w:t>
            </w:r>
          </w:p>
        </w:tc>
        <w:tc>
          <w:tcPr>
            <w:tcW w:w="1020" w:type="dxa"/>
            <w:shd w:val="clear" w:color="000000" w:fill="DCE6F1"/>
            <w:noWrap/>
            <w:vAlign w:val="center"/>
          </w:tcPr>
          <w:p w14:paraId="623A2F8B" w14:textId="77777777" w:rsidR="00A76962" w:rsidRPr="003D6FB5" w:rsidRDefault="00F1367D" w:rsidP="00613CEF">
            <w:pPr>
              <w:spacing w:after="0" w:line="240" w:lineRule="auto"/>
              <w:jc w:val="right"/>
              <w:rPr>
                <w:rFonts w:ascii="Calibri" w:eastAsia="Times New Roman" w:hAnsi="Calibri" w:cs="Times New Roman"/>
                <w:b/>
                <w:bCs/>
                <w:sz w:val="21"/>
                <w:szCs w:val="21"/>
                <w:lang w:eastAsia="cs-CZ"/>
              </w:rPr>
            </w:pPr>
            <w:r w:rsidRPr="00F1367D">
              <w:rPr>
                <w:rFonts w:ascii="Calibri" w:eastAsia="Times New Roman" w:hAnsi="Calibri" w:cs="Times New Roman"/>
                <w:b/>
                <w:bCs/>
                <w:sz w:val="21"/>
                <w:szCs w:val="21"/>
                <w:lang w:eastAsia="cs-CZ"/>
              </w:rPr>
              <w:t>11 179</w:t>
            </w:r>
          </w:p>
        </w:tc>
      </w:tr>
      <w:tr w:rsidR="00A76962" w:rsidRPr="004E1AFC" w14:paraId="51C33679" w14:textId="77777777" w:rsidTr="00F1367D">
        <w:trPr>
          <w:trHeight w:val="300"/>
          <w:jc w:val="center"/>
        </w:trPr>
        <w:tc>
          <w:tcPr>
            <w:tcW w:w="2283" w:type="dxa"/>
            <w:shd w:val="clear" w:color="000000" w:fill="EEF3F8"/>
          </w:tcPr>
          <w:p w14:paraId="1F96A35C" w14:textId="77777777" w:rsidR="00A76962" w:rsidRPr="00613CEF" w:rsidRDefault="00A76962" w:rsidP="00223CAF">
            <w:pPr>
              <w:spacing w:after="0" w:line="240" w:lineRule="auto"/>
              <w:rPr>
                <w:rFonts w:ascii="Calibri" w:eastAsia="Times New Roman" w:hAnsi="Calibri" w:cs="Times New Roman"/>
                <w:sz w:val="21"/>
                <w:szCs w:val="21"/>
                <w:lang w:eastAsia="cs-CZ"/>
              </w:rPr>
            </w:pPr>
            <w:r w:rsidRPr="000314D9">
              <w:rPr>
                <w:sz w:val="21"/>
                <w:szCs w:val="21"/>
              </w:rPr>
              <w:t>pojistné po přerozdělování</w:t>
            </w:r>
          </w:p>
        </w:tc>
        <w:tc>
          <w:tcPr>
            <w:tcW w:w="960" w:type="dxa"/>
            <w:shd w:val="clear" w:color="000000" w:fill="EEF3F8"/>
            <w:noWrap/>
            <w:vAlign w:val="center"/>
          </w:tcPr>
          <w:p w14:paraId="7105C02F" w14:textId="77777777" w:rsidR="00A76962" w:rsidRPr="00613CEF" w:rsidRDefault="00613CEF" w:rsidP="00613CEF">
            <w:pPr>
              <w:spacing w:after="0" w:line="240" w:lineRule="auto"/>
              <w:jc w:val="right"/>
              <w:rPr>
                <w:rFonts w:ascii="Calibri" w:eastAsia="Times New Roman" w:hAnsi="Calibri" w:cs="Times New Roman"/>
                <w:sz w:val="21"/>
                <w:szCs w:val="21"/>
                <w:lang w:eastAsia="cs-CZ"/>
              </w:rPr>
            </w:pPr>
            <w:r w:rsidRPr="00613CEF">
              <w:rPr>
                <w:rFonts w:ascii="Calibri" w:eastAsia="Times New Roman" w:hAnsi="Calibri" w:cs="Times New Roman"/>
                <w:sz w:val="21"/>
                <w:szCs w:val="21"/>
                <w:lang w:eastAsia="cs-CZ"/>
              </w:rPr>
              <w:t>184 504</w:t>
            </w:r>
          </w:p>
        </w:tc>
        <w:tc>
          <w:tcPr>
            <w:tcW w:w="960" w:type="dxa"/>
            <w:shd w:val="clear" w:color="000000" w:fill="EEF3F8"/>
            <w:noWrap/>
            <w:vAlign w:val="center"/>
          </w:tcPr>
          <w:p w14:paraId="04AABB05" w14:textId="77777777" w:rsidR="00A76962" w:rsidRPr="00613CEF" w:rsidRDefault="00613CEF" w:rsidP="00613CEF">
            <w:pPr>
              <w:spacing w:after="0" w:line="240" w:lineRule="auto"/>
              <w:jc w:val="right"/>
              <w:rPr>
                <w:rFonts w:ascii="Calibri" w:eastAsia="Times New Roman" w:hAnsi="Calibri" w:cs="Times New Roman"/>
                <w:sz w:val="21"/>
                <w:szCs w:val="21"/>
                <w:lang w:eastAsia="cs-CZ"/>
              </w:rPr>
            </w:pPr>
            <w:r w:rsidRPr="00613CEF">
              <w:rPr>
                <w:rFonts w:ascii="Calibri" w:eastAsia="Times New Roman" w:hAnsi="Calibri" w:cs="Times New Roman"/>
                <w:sz w:val="21"/>
                <w:szCs w:val="21"/>
                <w:lang w:eastAsia="cs-CZ"/>
              </w:rPr>
              <w:t>19 042</w:t>
            </w:r>
          </w:p>
        </w:tc>
        <w:tc>
          <w:tcPr>
            <w:tcW w:w="960" w:type="dxa"/>
            <w:shd w:val="clear" w:color="000000" w:fill="EEF3F8"/>
            <w:noWrap/>
            <w:vAlign w:val="center"/>
          </w:tcPr>
          <w:p w14:paraId="24D570AE" w14:textId="77777777" w:rsidR="00A76962" w:rsidRPr="00613CEF" w:rsidRDefault="00F1367D" w:rsidP="00613CEF">
            <w:pPr>
              <w:spacing w:after="0" w:line="240" w:lineRule="auto"/>
              <w:jc w:val="right"/>
              <w:rPr>
                <w:rFonts w:ascii="Calibri" w:eastAsia="Times New Roman" w:hAnsi="Calibri" w:cs="Times New Roman"/>
                <w:sz w:val="21"/>
                <w:szCs w:val="21"/>
                <w:lang w:eastAsia="cs-CZ"/>
              </w:rPr>
            </w:pPr>
            <w:r w:rsidRPr="00F1367D">
              <w:rPr>
                <w:rFonts w:ascii="Calibri" w:eastAsia="Times New Roman" w:hAnsi="Calibri" w:cs="Times New Roman"/>
                <w:sz w:val="21"/>
                <w:szCs w:val="21"/>
                <w:lang w:eastAsia="cs-CZ"/>
              </w:rPr>
              <w:t>32 486</w:t>
            </w:r>
          </w:p>
        </w:tc>
        <w:tc>
          <w:tcPr>
            <w:tcW w:w="1040" w:type="dxa"/>
            <w:shd w:val="clear" w:color="000000" w:fill="EEF3F8"/>
            <w:noWrap/>
            <w:vAlign w:val="center"/>
          </w:tcPr>
          <w:p w14:paraId="2B509017" w14:textId="77777777" w:rsidR="00A76962" w:rsidRPr="00613CEF" w:rsidRDefault="00F1367D" w:rsidP="00613CEF">
            <w:pPr>
              <w:spacing w:after="0" w:line="240" w:lineRule="auto"/>
              <w:jc w:val="right"/>
              <w:rPr>
                <w:rFonts w:ascii="Calibri" w:eastAsia="Times New Roman" w:hAnsi="Calibri" w:cs="Times New Roman"/>
                <w:sz w:val="21"/>
                <w:szCs w:val="21"/>
                <w:lang w:eastAsia="cs-CZ"/>
              </w:rPr>
            </w:pPr>
            <w:r w:rsidRPr="00F1367D">
              <w:rPr>
                <w:rFonts w:ascii="Calibri" w:eastAsia="Times New Roman" w:hAnsi="Calibri" w:cs="Times New Roman"/>
                <w:sz w:val="21"/>
                <w:szCs w:val="21"/>
                <w:lang w:eastAsia="cs-CZ"/>
              </w:rPr>
              <w:t>18 959</w:t>
            </w:r>
          </w:p>
        </w:tc>
        <w:tc>
          <w:tcPr>
            <w:tcW w:w="1040" w:type="dxa"/>
            <w:shd w:val="clear" w:color="000000" w:fill="EEF3F8"/>
            <w:noWrap/>
            <w:vAlign w:val="center"/>
          </w:tcPr>
          <w:p w14:paraId="4CB483C4" w14:textId="77777777" w:rsidR="00A76962" w:rsidRPr="00613CEF" w:rsidRDefault="00F1367D" w:rsidP="00613CEF">
            <w:pPr>
              <w:spacing w:after="0" w:line="240" w:lineRule="auto"/>
              <w:jc w:val="right"/>
              <w:rPr>
                <w:rFonts w:ascii="Calibri" w:eastAsia="Times New Roman" w:hAnsi="Calibri" w:cs="Times New Roman"/>
                <w:sz w:val="21"/>
                <w:szCs w:val="21"/>
                <w:lang w:eastAsia="cs-CZ"/>
              </w:rPr>
            </w:pPr>
            <w:r w:rsidRPr="00F1367D">
              <w:rPr>
                <w:rFonts w:ascii="Calibri" w:eastAsia="Times New Roman" w:hAnsi="Calibri" w:cs="Times New Roman"/>
                <w:sz w:val="21"/>
                <w:szCs w:val="21"/>
                <w:lang w:eastAsia="cs-CZ"/>
              </w:rPr>
              <w:t>4 118</w:t>
            </w:r>
          </w:p>
        </w:tc>
        <w:tc>
          <w:tcPr>
            <w:tcW w:w="1040" w:type="dxa"/>
            <w:shd w:val="clear" w:color="000000" w:fill="EEF3F8"/>
            <w:noWrap/>
            <w:vAlign w:val="center"/>
          </w:tcPr>
          <w:p w14:paraId="442FE5FF" w14:textId="77777777" w:rsidR="00A76962" w:rsidRPr="00613CEF" w:rsidRDefault="00F1367D" w:rsidP="00613CEF">
            <w:pPr>
              <w:spacing w:after="0" w:line="240" w:lineRule="auto"/>
              <w:jc w:val="right"/>
              <w:rPr>
                <w:rFonts w:ascii="Calibri" w:eastAsia="Times New Roman" w:hAnsi="Calibri" w:cs="Times New Roman"/>
                <w:sz w:val="21"/>
                <w:szCs w:val="21"/>
                <w:lang w:eastAsia="cs-CZ"/>
              </w:rPr>
            </w:pPr>
            <w:r w:rsidRPr="00F1367D">
              <w:rPr>
                <w:rFonts w:ascii="Calibri" w:eastAsia="Times New Roman" w:hAnsi="Calibri" w:cs="Times New Roman"/>
                <w:sz w:val="21"/>
                <w:szCs w:val="21"/>
                <w:lang w:eastAsia="cs-CZ"/>
              </w:rPr>
              <w:t>35 979</w:t>
            </w:r>
          </w:p>
        </w:tc>
        <w:tc>
          <w:tcPr>
            <w:tcW w:w="1020" w:type="dxa"/>
            <w:shd w:val="clear" w:color="000000" w:fill="EEF3F8"/>
            <w:noWrap/>
            <w:vAlign w:val="center"/>
          </w:tcPr>
          <w:p w14:paraId="7C9741C6" w14:textId="77777777" w:rsidR="00A76962" w:rsidRPr="00613CEF" w:rsidRDefault="00F1367D" w:rsidP="00613CEF">
            <w:pPr>
              <w:spacing w:after="0" w:line="240" w:lineRule="auto"/>
              <w:jc w:val="right"/>
              <w:rPr>
                <w:rFonts w:ascii="Calibri" w:eastAsia="Times New Roman" w:hAnsi="Calibri" w:cs="Times New Roman"/>
                <w:sz w:val="21"/>
                <w:szCs w:val="21"/>
                <w:lang w:eastAsia="cs-CZ"/>
              </w:rPr>
            </w:pPr>
            <w:r w:rsidRPr="00F1367D">
              <w:rPr>
                <w:rFonts w:ascii="Calibri" w:eastAsia="Times New Roman" w:hAnsi="Calibri" w:cs="Times New Roman"/>
                <w:sz w:val="21"/>
                <w:szCs w:val="21"/>
                <w:lang w:eastAsia="cs-CZ"/>
              </w:rPr>
              <w:t>11 103</w:t>
            </w:r>
          </w:p>
        </w:tc>
      </w:tr>
      <w:tr w:rsidR="00A76962" w:rsidRPr="004E1AFC" w14:paraId="5F5DDD96" w14:textId="77777777" w:rsidTr="00F1367D">
        <w:trPr>
          <w:trHeight w:val="300"/>
          <w:jc w:val="center"/>
        </w:trPr>
        <w:tc>
          <w:tcPr>
            <w:tcW w:w="2283" w:type="dxa"/>
            <w:shd w:val="clear" w:color="auto" w:fill="auto"/>
          </w:tcPr>
          <w:p w14:paraId="2FD38C8C" w14:textId="61C39C04" w:rsidR="00D542A2" w:rsidRDefault="00D542A2" w:rsidP="00223CAF">
            <w:pPr>
              <w:spacing w:after="0" w:line="240" w:lineRule="auto"/>
              <w:rPr>
                <w:rFonts w:ascii="Calibri" w:eastAsia="Times New Roman" w:hAnsi="Calibri" w:cs="Times New Roman"/>
                <w:bCs/>
                <w:sz w:val="21"/>
                <w:szCs w:val="21"/>
                <w:lang w:eastAsia="cs-CZ"/>
              </w:rPr>
            </w:pPr>
            <w:r w:rsidRPr="000314D9">
              <w:rPr>
                <w:sz w:val="21"/>
                <w:szCs w:val="21"/>
              </w:rPr>
              <w:t>pojistné po přerozdělování</w:t>
            </w:r>
          </w:p>
          <w:p w14:paraId="490DAF60" w14:textId="77777777" w:rsidR="00A76962" w:rsidRPr="00613CEF" w:rsidRDefault="00A76962" w:rsidP="00223CAF">
            <w:pPr>
              <w:spacing w:after="0" w:line="240" w:lineRule="auto"/>
              <w:rPr>
                <w:rFonts w:ascii="Calibri" w:eastAsia="Times New Roman" w:hAnsi="Calibri" w:cs="Times New Roman"/>
                <w:bCs/>
                <w:sz w:val="21"/>
                <w:szCs w:val="21"/>
                <w:lang w:eastAsia="cs-CZ"/>
              </w:rPr>
            </w:pPr>
            <w:r w:rsidRPr="00613CEF">
              <w:rPr>
                <w:rFonts w:ascii="Calibri" w:eastAsia="Times New Roman" w:hAnsi="Calibri" w:cs="Times New Roman"/>
                <w:bCs/>
                <w:sz w:val="21"/>
                <w:szCs w:val="21"/>
                <w:lang w:eastAsia="cs-CZ"/>
              </w:rPr>
              <w:t>na 1 pojištěnce (v Kč)</w:t>
            </w:r>
          </w:p>
        </w:tc>
        <w:tc>
          <w:tcPr>
            <w:tcW w:w="960" w:type="dxa"/>
            <w:shd w:val="clear" w:color="000000" w:fill="DCE6F1"/>
            <w:noWrap/>
            <w:vAlign w:val="center"/>
          </w:tcPr>
          <w:p w14:paraId="2D0DD389" w14:textId="77777777" w:rsidR="00A76962" w:rsidRPr="00F1367D" w:rsidRDefault="00613CEF" w:rsidP="00613CEF">
            <w:pPr>
              <w:spacing w:after="0" w:line="240" w:lineRule="auto"/>
              <w:jc w:val="right"/>
              <w:rPr>
                <w:rFonts w:ascii="Calibri" w:eastAsia="Times New Roman" w:hAnsi="Calibri" w:cs="Times New Roman"/>
                <w:bCs/>
                <w:sz w:val="21"/>
                <w:szCs w:val="21"/>
                <w:lang w:eastAsia="cs-CZ"/>
              </w:rPr>
            </w:pPr>
            <w:r w:rsidRPr="00F1367D">
              <w:rPr>
                <w:rFonts w:ascii="Calibri" w:eastAsia="Times New Roman" w:hAnsi="Calibri" w:cs="Times New Roman"/>
                <w:bCs/>
                <w:sz w:val="21"/>
                <w:szCs w:val="21"/>
                <w:lang w:eastAsia="cs-CZ"/>
              </w:rPr>
              <w:t>31 034</w:t>
            </w:r>
          </w:p>
        </w:tc>
        <w:tc>
          <w:tcPr>
            <w:tcW w:w="960" w:type="dxa"/>
            <w:shd w:val="clear" w:color="auto" w:fill="auto"/>
            <w:noWrap/>
            <w:vAlign w:val="center"/>
          </w:tcPr>
          <w:p w14:paraId="06790A8F" w14:textId="77777777" w:rsidR="00A76962" w:rsidRPr="00F1367D" w:rsidRDefault="00613CEF" w:rsidP="00613CEF">
            <w:pPr>
              <w:spacing w:after="0" w:line="240" w:lineRule="auto"/>
              <w:jc w:val="right"/>
              <w:rPr>
                <w:rFonts w:ascii="Calibri" w:eastAsia="Times New Roman" w:hAnsi="Calibri" w:cs="Times New Roman"/>
                <w:bCs/>
                <w:sz w:val="21"/>
                <w:szCs w:val="21"/>
                <w:lang w:eastAsia="cs-CZ"/>
              </w:rPr>
            </w:pPr>
            <w:r w:rsidRPr="00F1367D">
              <w:rPr>
                <w:rFonts w:ascii="Calibri" w:eastAsia="Times New Roman" w:hAnsi="Calibri" w:cs="Times New Roman"/>
                <w:bCs/>
                <w:sz w:val="21"/>
                <w:szCs w:val="21"/>
                <w:lang w:eastAsia="cs-CZ"/>
              </w:rPr>
              <w:t>27 185</w:t>
            </w:r>
          </w:p>
        </w:tc>
        <w:tc>
          <w:tcPr>
            <w:tcW w:w="960" w:type="dxa"/>
            <w:shd w:val="clear" w:color="000000" w:fill="DCE6F1"/>
            <w:noWrap/>
            <w:vAlign w:val="center"/>
          </w:tcPr>
          <w:p w14:paraId="6C96D6FB" w14:textId="77777777" w:rsidR="00A76962" w:rsidRPr="00F1367D" w:rsidRDefault="00F1367D" w:rsidP="00613CEF">
            <w:pPr>
              <w:spacing w:after="0" w:line="240" w:lineRule="auto"/>
              <w:jc w:val="right"/>
              <w:rPr>
                <w:rFonts w:ascii="Calibri" w:eastAsia="Times New Roman" w:hAnsi="Calibri" w:cs="Times New Roman"/>
                <w:bCs/>
                <w:sz w:val="21"/>
                <w:szCs w:val="21"/>
                <w:lang w:eastAsia="cs-CZ"/>
              </w:rPr>
            </w:pPr>
            <w:r w:rsidRPr="00F1367D">
              <w:rPr>
                <w:rFonts w:ascii="Calibri" w:eastAsia="Times New Roman" w:hAnsi="Calibri" w:cs="Times New Roman"/>
                <w:bCs/>
                <w:sz w:val="21"/>
                <w:szCs w:val="21"/>
                <w:lang w:eastAsia="cs-CZ"/>
              </w:rPr>
              <w:t>25 967</w:t>
            </w:r>
          </w:p>
        </w:tc>
        <w:tc>
          <w:tcPr>
            <w:tcW w:w="1040" w:type="dxa"/>
            <w:shd w:val="clear" w:color="auto" w:fill="auto"/>
            <w:noWrap/>
            <w:vAlign w:val="center"/>
          </w:tcPr>
          <w:p w14:paraId="71C23C83" w14:textId="77777777" w:rsidR="00A76962" w:rsidRPr="00F1367D" w:rsidRDefault="00F1367D" w:rsidP="00613CEF">
            <w:pPr>
              <w:spacing w:after="0" w:line="240" w:lineRule="auto"/>
              <w:jc w:val="right"/>
              <w:rPr>
                <w:rFonts w:ascii="Calibri" w:eastAsia="Times New Roman" w:hAnsi="Calibri" w:cs="Times New Roman"/>
                <w:bCs/>
                <w:sz w:val="21"/>
                <w:szCs w:val="21"/>
                <w:lang w:eastAsia="cs-CZ"/>
              </w:rPr>
            </w:pPr>
            <w:r w:rsidRPr="00F1367D">
              <w:rPr>
                <w:rFonts w:ascii="Calibri" w:eastAsia="Times New Roman" w:hAnsi="Calibri" w:cs="Times New Roman"/>
                <w:bCs/>
                <w:sz w:val="21"/>
                <w:szCs w:val="21"/>
                <w:lang w:eastAsia="cs-CZ"/>
              </w:rPr>
              <w:t>25 899</w:t>
            </w:r>
          </w:p>
        </w:tc>
        <w:tc>
          <w:tcPr>
            <w:tcW w:w="1040" w:type="dxa"/>
            <w:shd w:val="clear" w:color="000000" w:fill="DCE6F1"/>
            <w:noWrap/>
            <w:vAlign w:val="center"/>
          </w:tcPr>
          <w:p w14:paraId="43986BFE" w14:textId="77777777" w:rsidR="00A76962" w:rsidRPr="00F1367D" w:rsidRDefault="00F1367D" w:rsidP="00613CEF">
            <w:pPr>
              <w:spacing w:after="0" w:line="240" w:lineRule="auto"/>
              <w:jc w:val="right"/>
              <w:rPr>
                <w:rFonts w:ascii="Calibri" w:eastAsia="Times New Roman" w:hAnsi="Calibri" w:cs="Times New Roman"/>
                <w:bCs/>
                <w:sz w:val="21"/>
                <w:szCs w:val="21"/>
                <w:lang w:eastAsia="cs-CZ"/>
              </w:rPr>
            </w:pPr>
            <w:r w:rsidRPr="00F1367D">
              <w:rPr>
                <w:rFonts w:ascii="Calibri" w:eastAsia="Times New Roman" w:hAnsi="Calibri" w:cs="Times New Roman"/>
                <w:bCs/>
                <w:sz w:val="21"/>
                <w:szCs w:val="21"/>
                <w:lang w:eastAsia="cs-CZ"/>
              </w:rPr>
              <w:t>28 637</w:t>
            </w:r>
          </w:p>
        </w:tc>
        <w:tc>
          <w:tcPr>
            <w:tcW w:w="1040" w:type="dxa"/>
            <w:shd w:val="clear" w:color="auto" w:fill="auto"/>
            <w:noWrap/>
            <w:vAlign w:val="center"/>
          </w:tcPr>
          <w:p w14:paraId="4973D999" w14:textId="77777777" w:rsidR="00A76962" w:rsidRPr="00F1367D" w:rsidRDefault="00F1367D" w:rsidP="00613CEF">
            <w:pPr>
              <w:spacing w:after="0" w:line="240" w:lineRule="auto"/>
              <w:jc w:val="right"/>
              <w:rPr>
                <w:rFonts w:ascii="Calibri" w:eastAsia="Times New Roman" w:hAnsi="Calibri" w:cs="Times New Roman"/>
                <w:bCs/>
                <w:sz w:val="21"/>
                <w:szCs w:val="21"/>
                <w:lang w:eastAsia="cs-CZ"/>
              </w:rPr>
            </w:pPr>
            <w:r w:rsidRPr="00F1367D">
              <w:rPr>
                <w:rFonts w:ascii="Calibri" w:eastAsia="Times New Roman" w:hAnsi="Calibri" w:cs="Times New Roman"/>
                <w:bCs/>
                <w:sz w:val="21"/>
                <w:szCs w:val="21"/>
                <w:lang w:eastAsia="cs-CZ"/>
              </w:rPr>
              <w:t>27 514</w:t>
            </w:r>
          </w:p>
        </w:tc>
        <w:tc>
          <w:tcPr>
            <w:tcW w:w="1020" w:type="dxa"/>
            <w:shd w:val="clear" w:color="000000" w:fill="DCE6F1"/>
            <w:noWrap/>
            <w:vAlign w:val="center"/>
          </w:tcPr>
          <w:p w14:paraId="7C6F92C0" w14:textId="77777777" w:rsidR="00A76962" w:rsidRPr="00F1367D" w:rsidRDefault="00F1367D" w:rsidP="00613CEF">
            <w:pPr>
              <w:spacing w:after="0" w:line="240" w:lineRule="auto"/>
              <w:jc w:val="right"/>
              <w:rPr>
                <w:rFonts w:ascii="Calibri" w:eastAsia="Times New Roman" w:hAnsi="Calibri" w:cs="Times New Roman"/>
                <w:bCs/>
                <w:sz w:val="21"/>
                <w:szCs w:val="21"/>
                <w:lang w:eastAsia="cs-CZ"/>
              </w:rPr>
            </w:pPr>
            <w:r w:rsidRPr="00F1367D">
              <w:rPr>
                <w:rFonts w:ascii="Calibri" w:eastAsia="Times New Roman" w:hAnsi="Calibri" w:cs="Times New Roman"/>
                <w:bCs/>
                <w:sz w:val="21"/>
                <w:szCs w:val="21"/>
                <w:lang w:eastAsia="cs-CZ"/>
              </w:rPr>
              <w:t>25 865</w:t>
            </w:r>
          </w:p>
        </w:tc>
      </w:tr>
    </w:tbl>
    <w:p w14:paraId="2F0ABDDA" w14:textId="77777777" w:rsidR="00F1367D" w:rsidRDefault="00F1367D" w:rsidP="00902FD8">
      <w:pPr>
        <w:pStyle w:val="TEXT"/>
      </w:pPr>
    </w:p>
    <w:p w14:paraId="4A221F6C" w14:textId="77777777" w:rsidR="00902FD8" w:rsidRDefault="00902FD8" w:rsidP="00902FD8">
      <w:pPr>
        <w:pStyle w:val="TEXT"/>
        <w:rPr>
          <w:szCs w:val="20"/>
        </w:rPr>
      </w:pPr>
      <w:r>
        <w:t>Příjmy jednotlivých ZP v různém členění a v meziročním porovnání včetně porovnání se</w:t>
      </w:r>
      <w:r w:rsidR="00A9522C">
        <w:t> </w:t>
      </w:r>
      <w:r>
        <w:t>zdravotně pojistnými plány (ZPP) na rok 201</w:t>
      </w:r>
      <w:r w:rsidR="00CC4B11">
        <w:t>8</w:t>
      </w:r>
      <w:r>
        <w:t xml:space="preserve"> podrobněji viz tabulková příloha </w:t>
      </w:r>
      <w:r>
        <w:rPr>
          <w:i/>
        </w:rPr>
        <w:t>Tabulka č. 1, str. 2–3</w:t>
      </w:r>
      <w:r>
        <w:t xml:space="preserve">. </w:t>
      </w:r>
      <w:r>
        <w:rPr>
          <w:b/>
        </w:rPr>
        <w:t>Vývoj příjmů systému v. z. p. 201</w:t>
      </w:r>
      <w:r w:rsidR="00CC4B11">
        <w:rPr>
          <w:b/>
        </w:rPr>
        <w:t>6</w:t>
      </w:r>
      <w:r>
        <w:rPr>
          <w:b/>
        </w:rPr>
        <w:t xml:space="preserve"> až 201</w:t>
      </w:r>
      <w:r w:rsidR="00CC4B11">
        <w:rPr>
          <w:b/>
        </w:rPr>
        <w:t>8</w:t>
      </w:r>
      <w:r>
        <w:rPr>
          <w:b/>
        </w:rPr>
        <w:t xml:space="preserve"> </w:t>
      </w:r>
      <w:r>
        <w:t xml:space="preserve">viz tabulková příloha </w:t>
      </w:r>
      <w:r>
        <w:rPr>
          <w:i/>
        </w:rPr>
        <w:t>Tabulka č. 4</w:t>
      </w:r>
      <w:r>
        <w:t>.</w:t>
      </w:r>
    </w:p>
    <w:p w14:paraId="1A1C5A2A" w14:textId="77777777" w:rsidR="00902FD8" w:rsidRPr="00215E9F" w:rsidRDefault="00902FD8" w:rsidP="00215E9F">
      <w:pPr>
        <w:pStyle w:val="NADPIS"/>
        <w:spacing w:before="240" w:after="120"/>
        <w:rPr>
          <w:rFonts w:ascii="Arial" w:hAnsi="Arial"/>
          <w:b w:val="0"/>
        </w:rPr>
      </w:pPr>
      <w:r>
        <w:br w:type="page"/>
      </w:r>
      <w:r w:rsidRPr="00215E9F">
        <w:rPr>
          <w:rFonts w:ascii="Arial" w:hAnsi="Arial"/>
        </w:rPr>
        <w:lastRenderedPageBreak/>
        <w:t xml:space="preserve">Výdaje </w:t>
      </w:r>
    </w:p>
    <w:p w14:paraId="4CBBAE43" w14:textId="119E588E" w:rsidR="00902FD8" w:rsidRDefault="00902FD8" w:rsidP="00902FD8">
      <w:pPr>
        <w:pStyle w:val="TEXT"/>
      </w:pPr>
      <w:r>
        <w:rPr>
          <w:rFonts w:eastAsia="Times New Roman"/>
          <w:b/>
        </w:rPr>
        <w:t>Výdaje</w:t>
      </w:r>
      <w:r>
        <w:rPr>
          <w:rFonts w:eastAsia="Times New Roman"/>
        </w:rPr>
        <w:t xml:space="preserve"> </w:t>
      </w:r>
      <w:r>
        <w:t xml:space="preserve">jsou charakterizovány meziročním nárůstem způsobeným mj. realizací expanzivní vyhlášky </w:t>
      </w:r>
      <w:r w:rsidR="00631F23">
        <w:t>č. 353</w:t>
      </w:r>
      <w:r w:rsidR="006D791B" w:rsidRPr="006D791B">
        <w:t>/201</w:t>
      </w:r>
      <w:r w:rsidR="00631F23">
        <w:t>7</w:t>
      </w:r>
      <w:r w:rsidR="006D791B" w:rsidRPr="006D791B">
        <w:t xml:space="preserve"> Sb</w:t>
      </w:r>
      <w:r w:rsidR="006D791B">
        <w:t>.</w:t>
      </w:r>
      <w:r>
        <w:t>, o stanovení hodnot bodu, výše úhrad hrazených služeb a regulačních omezení pro rok 201</w:t>
      </w:r>
      <w:r w:rsidR="006D791B">
        <w:t>8</w:t>
      </w:r>
      <w:r>
        <w:t xml:space="preserve"> (tzv. úhradová vyhláška).</w:t>
      </w:r>
      <w:r w:rsidR="00440291">
        <w:t xml:space="preserve"> </w:t>
      </w:r>
      <w:r w:rsidR="00440291" w:rsidRPr="00440291">
        <w:t xml:space="preserve">Celková výše výdajů je determinována příjmy systému veřejného zdravotního pojištění, což se následně projeví v úhradové vyhlášce. </w:t>
      </w:r>
    </w:p>
    <w:p w14:paraId="5719123C" w14:textId="77777777" w:rsidR="00902FD8" w:rsidRDefault="00902FD8" w:rsidP="006C7011">
      <w:pPr>
        <w:pStyle w:val="TABOBR"/>
        <w:spacing w:before="360" w:after="200"/>
      </w:pPr>
      <w:r>
        <w:t xml:space="preserve">Tab. </w:t>
      </w:r>
      <w:r w:rsidR="001E2527">
        <w:t>3</w:t>
      </w:r>
      <w:r>
        <w:t>: Výdaje systému v. z. p. za rok 201</w:t>
      </w:r>
      <w:r w:rsidR="006D791B">
        <w:t>8</w:t>
      </w:r>
    </w:p>
    <w:tbl>
      <w:tblPr>
        <w:tblW w:w="0" w:type="auto"/>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3181"/>
        <w:gridCol w:w="1021"/>
      </w:tblGrid>
      <w:tr w:rsidR="00902FD8" w:rsidRPr="006D791B" w14:paraId="046F7916" w14:textId="77777777" w:rsidTr="00902FD8">
        <w:trPr>
          <w:trHeight w:val="561"/>
        </w:trPr>
        <w:tc>
          <w:tcPr>
            <w:tcW w:w="3181" w:type="dxa"/>
            <w:tcBorders>
              <w:top w:val="single" w:sz="12" w:space="0" w:color="4F81BD"/>
              <w:left w:val="single" w:sz="12" w:space="0" w:color="4F81BD"/>
              <w:bottom w:val="nil"/>
              <w:right w:val="nil"/>
            </w:tcBorders>
            <w:shd w:val="clear" w:color="auto" w:fill="4F81BD"/>
            <w:noWrap/>
            <w:hideMark/>
          </w:tcPr>
          <w:p w14:paraId="77DD7617" w14:textId="77777777" w:rsidR="00902FD8" w:rsidRPr="006D791B" w:rsidRDefault="00902FD8">
            <w:pPr>
              <w:spacing w:after="0" w:line="240" w:lineRule="auto"/>
              <w:rPr>
                <w:rFonts w:eastAsia="Times New Roman" w:cs="Arial"/>
                <w:b/>
                <w:color w:val="FFFFFF"/>
                <w:sz w:val="21"/>
                <w:szCs w:val="21"/>
                <w:lang w:eastAsia="cs-CZ"/>
              </w:rPr>
            </w:pPr>
            <w:r w:rsidRPr="006D791B">
              <w:rPr>
                <w:rFonts w:eastAsia="Times New Roman" w:cs="Arial"/>
                <w:b/>
                <w:color w:val="FFFFFF"/>
                <w:sz w:val="21"/>
                <w:szCs w:val="21"/>
                <w:lang w:eastAsia="cs-CZ"/>
              </w:rPr>
              <w:t>Ukazatel</w:t>
            </w:r>
            <w:r w:rsidRPr="006D791B">
              <w:rPr>
                <w:rFonts w:eastAsia="Times New Roman" w:cs="Arial"/>
                <w:b/>
                <w:color w:val="FFFFFF"/>
                <w:sz w:val="21"/>
                <w:szCs w:val="21"/>
                <w:lang w:eastAsia="cs-CZ"/>
              </w:rPr>
              <w:br/>
            </w:r>
            <w:r w:rsidRPr="006D791B">
              <w:rPr>
                <w:rFonts w:eastAsia="Times New Roman" w:cs="Arial"/>
                <w:color w:val="FFFFFF"/>
                <w:sz w:val="21"/>
                <w:szCs w:val="21"/>
                <w:lang w:eastAsia="cs-CZ"/>
              </w:rPr>
              <w:t>(v mld. Kč)</w:t>
            </w:r>
          </w:p>
        </w:tc>
        <w:tc>
          <w:tcPr>
            <w:tcW w:w="1021" w:type="dxa"/>
            <w:tcBorders>
              <w:top w:val="single" w:sz="12" w:space="0" w:color="4F81BD"/>
              <w:left w:val="nil"/>
              <w:bottom w:val="nil"/>
              <w:right w:val="single" w:sz="12" w:space="0" w:color="4F81BD"/>
            </w:tcBorders>
            <w:shd w:val="clear" w:color="auto" w:fill="6691C6"/>
            <w:noWrap/>
            <w:vAlign w:val="center"/>
            <w:hideMark/>
          </w:tcPr>
          <w:p w14:paraId="06083896" w14:textId="77777777" w:rsidR="00902FD8" w:rsidRPr="006D791B" w:rsidRDefault="00902FD8">
            <w:pPr>
              <w:spacing w:after="0" w:line="240" w:lineRule="auto"/>
              <w:jc w:val="center"/>
              <w:rPr>
                <w:rFonts w:eastAsia="Times New Roman" w:cs="Arial"/>
                <w:b/>
                <w:color w:val="FFFFFF"/>
                <w:sz w:val="21"/>
                <w:szCs w:val="21"/>
                <w:lang w:eastAsia="cs-CZ"/>
              </w:rPr>
            </w:pPr>
            <w:r w:rsidRPr="006D791B">
              <w:rPr>
                <w:rFonts w:eastAsia="Times New Roman" w:cs="Arial"/>
                <w:b/>
                <w:color w:val="FFFFFF"/>
                <w:sz w:val="21"/>
                <w:szCs w:val="21"/>
                <w:lang w:eastAsia="cs-CZ"/>
              </w:rPr>
              <w:t>201</w:t>
            </w:r>
            <w:r w:rsidR="006D791B" w:rsidRPr="006D791B">
              <w:rPr>
                <w:rFonts w:eastAsia="Times New Roman" w:cs="Arial"/>
                <w:b/>
                <w:color w:val="FFFFFF"/>
                <w:sz w:val="21"/>
                <w:szCs w:val="21"/>
                <w:lang w:eastAsia="cs-CZ"/>
              </w:rPr>
              <w:t>8</w:t>
            </w:r>
          </w:p>
        </w:tc>
      </w:tr>
      <w:tr w:rsidR="006D791B" w:rsidRPr="006D791B" w14:paraId="6126B691" w14:textId="77777777" w:rsidTr="00762954">
        <w:trPr>
          <w:trHeight w:val="301"/>
        </w:trPr>
        <w:tc>
          <w:tcPr>
            <w:tcW w:w="3181" w:type="dxa"/>
            <w:tcBorders>
              <w:top w:val="nil"/>
              <w:left w:val="single" w:sz="12" w:space="0" w:color="4F81BD"/>
              <w:bottom w:val="nil"/>
              <w:right w:val="nil"/>
            </w:tcBorders>
            <w:noWrap/>
            <w:vAlign w:val="bottom"/>
            <w:hideMark/>
          </w:tcPr>
          <w:p w14:paraId="4384E302" w14:textId="77777777" w:rsidR="006D791B" w:rsidRPr="006D791B" w:rsidRDefault="006D791B">
            <w:pPr>
              <w:spacing w:after="0" w:line="240" w:lineRule="auto"/>
              <w:rPr>
                <w:rFonts w:eastAsia="Times New Roman" w:cs="Arial"/>
                <w:b/>
                <w:bCs/>
                <w:sz w:val="21"/>
                <w:szCs w:val="21"/>
                <w:lang w:eastAsia="cs-CZ"/>
              </w:rPr>
            </w:pPr>
            <w:r w:rsidRPr="006D791B">
              <w:rPr>
                <w:rFonts w:eastAsia="Times New Roman" w:cs="Arial"/>
                <w:b/>
                <w:bCs/>
                <w:sz w:val="21"/>
                <w:szCs w:val="21"/>
                <w:lang w:eastAsia="cs-CZ"/>
              </w:rPr>
              <w:t>Výdaje na zdravotní služby</w:t>
            </w:r>
          </w:p>
        </w:tc>
        <w:tc>
          <w:tcPr>
            <w:tcW w:w="1021" w:type="dxa"/>
            <w:tcBorders>
              <w:top w:val="nil"/>
              <w:left w:val="nil"/>
              <w:bottom w:val="nil"/>
              <w:right w:val="single" w:sz="12" w:space="0" w:color="4F81BD"/>
            </w:tcBorders>
            <w:shd w:val="clear" w:color="auto" w:fill="DBE5F1"/>
            <w:noWrap/>
            <w:hideMark/>
          </w:tcPr>
          <w:p w14:paraId="5C05AF66" w14:textId="77777777" w:rsidR="006D791B" w:rsidRPr="006D791B" w:rsidRDefault="006D791B">
            <w:pPr>
              <w:spacing w:after="0" w:line="240" w:lineRule="auto"/>
              <w:jc w:val="right"/>
              <w:rPr>
                <w:rFonts w:eastAsia="Times New Roman" w:cs="Arial"/>
                <w:bCs/>
                <w:sz w:val="21"/>
                <w:szCs w:val="21"/>
                <w:lang w:eastAsia="cs-CZ"/>
              </w:rPr>
            </w:pPr>
            <w:r w:rsidRPr="00762954">
              <w:rPr>
                <w:sz w:val="21"/>
                <w:szCs w:val="21"/>
              </w:rPr>
              <w:t>286,82</w:t>
            </w:r>
          </w:p>
        </w:tc>
      </w:tr>
      <w:tr w:rsidR="006D791B" w:rsidRPr="006D791B" w14:paraId="3F7782E6" w14:textId="77777777" w:rsidTr="00762954">
        <w:trPr>
          <w:trHeight w:val="301"/>
        </w:trPr>
        <w:tc>
          <w:tcPr>
            <w:tcW w:w="3181" w:type="dxa"/>
            <w:tcBorders>
              <w:top w:val="nil"/>
              <w:left w:val="single" w:sz="12" w:space="0" w:color="4F81BD"/>
              <w:bottom w:val="nil"/>
              <w:right w:val="nil"/>
            </w:tcBorders>
            <w:shd w:val="clear" w:color="auto" w:fill="EEF3F8"/>
            <w:noWrap/>
            <w:vAlign w:val="bottom"/>
            <w:hideMark/>
          </w:tcPr>
          <w:p w14:paraId="2536C2B4" w14:textId="77777777" w:rsidR="006D791B" w:rsidRPr="006D791B" w:rsidRDefault="006D791B">
            <w:pPr>
              <w:spacing w:after="0" w:line="240" w:lineRule="auto"/>
              <w:rPr>
                <w:rFonts w:eastAsia="Times New Roman" w:cs="Arial"/>
                <w:b/>
                <w:bCs/>
                <w:sz w:val="21"/>
                <w:szCs w:val="21"/>
                <w:lang w:eastAsia="cs-CZ"/>
              </w:rPr>
            </w:pPr>
            <w:r w:rsidRPr="006D791B">
              <w:rPr>
                <w:rFonts w:eastAsia="Times New Roman" w:cs="Arial"/>
                <w:b/>
                <w:bCs/>
                <w:sz w:val="21"/>
                <w:szCs w:val="21"/>
                <w:lang w:eastAsia="cs-CZ"/>
              </w:rPr>
              <w:t>Zálohy za cizince</w:t>
            </w:r>
          </w:p>
        </w:tc>
        <w:tc>
          <w:tcPr>
            <w:tcW w:w="1021" w:type="dxa"/>
            <w:tcBorders>
              <w:top w:val="nil"/>
              <w:left w:val="nil"/>
              <w:bottom w:val="nil"/>
              <w:right w:val="single" w:sz="12" w:space="0" w:color="4F81BD"/>
            </w:tcBorders>
            <w:shd w:val="clear" w:color="auto" w:fill="EEF3F8"/>
            <w:noWrap/>
            <w:hideMark/>
          </w:tcPr>
          <w:p w14:paraId="40D827B1" w14:textId="77777777" w:rsidR="006D791B" w:rsidRPr="006D791B" w:rsidRDefault="006D791B">
            <w:pPr>
              <w:spacing w:after="0" w:line="240" w:lineRule="auto"/>
              <w:jc w:val="right"/>
              <w:rPr>
                <w:rFonts w:eastAsia="Times New Roman" w:cs="Arial"/>
                <w:bCs/>
                <w:sz w:val="21"/>
                <w:szCs w:val="21"/>
                <w:lang w:eastAsia="cs-CZ"/>
              </w:rPr>
            </w:pPr>
            <w:r w:rsidRPr="00762954">
              <w:rPr>
                <w:sz w:val="21"/>
                <w:szCs w:val="21"/>
              </w:rPr>
              <w:t>1,49</w:t>
            </w:r>
          </w:p>
        </w:tc>
      </w:tr>
      <w:tr w:rsidR="006D791B" w:rsidRPr="006D791B" w14:paraId="6C189CFF" w14:textId="77777777" w:rsidTr="00762954">
        <w:trPr>
          <w:trHeight w:val="301"/>
        </w:trPr>
        <w:tc>
          <w:tcPr>
            <w:tcW w:w="3181" w:type="dxa"/>
            <w:tcBorders>
              <w:top w:val="nil"/>
              <w:left w:val="single" w:sz="12" w:space="0" w:color="4F81BD"/>
              <w:bottom w:val="nil"/>
              <w:right w:val="nil"/>
            </w:tcBorders>
            <w:noWrap/>
            <w:vAlign w:val="bottom"/>
            <w:hideMark/>
          </w:tcPr>
          <w:p w14:paraId="66E583F9" w14:textId="77777777" w:rsidR="006D791B" w:rsidRPr="006D791B" w:rsidRDefault="006D791B">
            <w:pPr>
              <w:spacing w:after="0" w:line="240" w:lineRule="auto"/>
              <w:rPr>
                <w:rFonts w:eastAsia="Times New Roman" w:cs="Arial"/>
                <w:b/>
                <w:bCs/>
                <w:sz w:val="21"/>
                <w:szCs w:val="21"/>
                <w:lang w:eastAsia="cs-CZ"/>
              </w:rPr>
            </w:pPr>
            <w:r w:rsidRPr="006D791B">
              <w:rPr>
                <w:rFonts w:eastAsia="Times New Roman" w:cs="Arial"/>
                <w:b/>
                <w:bCs/>
                <w:sz w:val="21"/>
                <w:szCs w:val="21"/>
                <w:lang w:eastAsia="cs-CZ"/>
              </w:rPr>
              <w:t xml:space="preserve">Provozní výdaje </w:t>
            </w:r>
          </w:p>
        </w:tc>
        <w:tc>
          <w:tcPr>
            <w:tcW w:w="1021" w:type="dxa"/>
            <w:tcBorders>
              <w:top w:val="nil"/>
              <w:left w:val="nil"/>
              <w:bottom w:val="nil"/>
              <w:right w:val="single" w:sz="12" w:space="0" w:color="4F81BD"/>
            </w:tcBorders>
            <w:shd w:val="clear" w:color="auto" w:fill="DBE5F1"/>
            <w:noWrap/>
            <w:hideMark/>
          </w:tcPr>
          <w:p w14:paraId="0E04E02B" w14:textId="77777777" w:rsidR="006D791B" w:rsidRPr="006D791B" w:rsidRDefault="006D791B">
            <w:pPr>
              <w:spacing w:after="0" w:line="240" w:lineRule="auto"/>
              <w:jc w:val="right"/>
              <w:rPr>
                <w:rFonts w:eastAsia="Times New Roman" w:cs="Arial"/>
                <w:bCs/>
                <w:sz w:val="21"/>
                <w:szCs w:val="21"/>
                <w:lang w:eastAsia="cs-CZ"/>
              </w:rPr>
            </w:pPr>
            <w:r w:rsidRPr="00762954">
              <w:rPr>
                <w:sz w:val="21"/>
                <w:szCs w:val="21"/>
              </w:rPr>
              <w:t>6,59</w:t>
            </w:r>
          </w:p>
        </w:tc>
      </w:tr>
      <w:tr w:rsidR="006D791B" w:rsidRPr="006D791B" w14:paraId="16592DA5" w14:textId="77777777" w:rsidTr="00762954">
        <w:trPr>
          <w:trHeight w:val="301"/>
        </w:trPr>
        <w:tc>
          <w:tcPr>
            <w:tcW w:w="3181" w:type="dxa"/>
            <w:tcBorders>
              <w:top w:val="nil"/>
              <w:left w:val="single" w:sz="12" w:space="0" w:color="4F81BD"/>
              <w:bottom w:val="nil"/>
              <w:right w:val="nil"/>
            </w:tcBorders>
            <w:shd w:val="clear" w:color="auto" w:fill="EEF3F8"/>
            <w:noWrap/>
            <w:vAlign w:val="bottom"/>
            <w:hideMark/>
          </w:tcPr>
          <w:p w14:paraId="074BD881" w14:textId="77777777" w:rsidR="006D791B" w:rsidRPr="006D791B" w:rsidRDefault="006D791B">
            <w:pPr>
              <w:spacing w:after="0" w:line="240" w:lineRule="auto"/>
              <w:rPr>
                <w:rFonts w:eastAsia="Times New Roman" w:cs="Arial"/>
                <w:b/>
                <w:bCs/>
                <w:sz w:val="21"/>
                <w:szCs w:val="21"/>
                <w:lang w:eastAsia="cs-CZ"/>
              </w:rPr>
            </w:pPr>
            <w:r w:rsidRPr="006D791B">
              <w:rPr>
                <w:rFonts w:eastAsia="Times New Roman" w:cs="Arial"/>
                <w:b/>
                <w:bCs/>
                <w:sz w:val="21"/>
                <w:szCs w:val="21"/>
                <w:lang w:eastAsia="cs-CZ"/>
              </w:rPr>
              <w:t>Výdaje na investice z FRM</w:t>
            </w:r>
          </w:p>
        </w:tc>
        <w:tc>
          <w:tcPr>
            <w:tcW w:w="1021" w:type="dxa"/>
            <w:tcBorders>
              <w:top w:val="nil"/>
              <w:left w:val="nil"/>
              <w:bottom w:val="nil"/>
              <w:right w:val="single" w:sz="12" w:space="0" w:color="4F81BD"/>
            </w:tcBorders>
            <w:shd w:val="clear" w:color="auto" w:fill="EEF3F8"/>
            <w:noWrap/>
            <w:hideMark/>
          </w:tcPr>
          <w:p w14:paraId="03BD75B4" w14:textId="77777777" w:rsidR="006D791B" w:rsidRPr="006D791B" w:rsidRDefault="006D791B">
            <w:pPr>
              <w:spacing w:after="0" w:line="240" w:lineRule="auto"/>
              <w:jc w:val="right"/>
              <w:rPr>
                <w:rFonts w:eastAsia="Times New Roman" w:cs="Arial"/>
                <w:bCs/>
                <w:sz w:val="21"/>
                <w:szCs w:val="21"/>
                <w:lang w:eastAsia="cs-CZ"/>
              </w:rPr>
            </w:pPr>
            <w:r w:rsidRPr="00762954">
              <w:rPr>
                <w:sz w:val="21"/>
                <w:szCs w:val="21"/>
              </w:rPr>
              <w:t>0,35</w:t>
            </w:r>
          </w:p>
        </w:tc>
      </w:tr>
      <w:tr w:rsidR="006D791B" w:rsidRPr="006D791B" w14:paraId="1DD5A07B" w14:textId="77777777" w:rsidTr="00762954">
        <w:trPr>
          <w:trHeight w:val="301"/>
        </w:trPr>
        <w:tc>
          <w:tcPr>
            <w:tcW w:w="3181" w:type="dxa"/>
            <w:tcBorders>
              <w:top w:val="nil"/>
              <w:left w:val="single" w:sz="12" w:space="0" w:color="4F81BD"/>
              <w:bottom w:val="nil"/>
              <w:right w:val="nil"/>
            </w:tcBorders>
            <w:noWrap/>
            <w:vAlign w:val="bottom"/>
            <w:hideMark/>
          </w:tcPr>
          <w:p w14:paraId="7638CFB5" w14:textId="15ADFCCC" w:rsidR="006D791B" w:rsidRPr="006D791B" w:rsidRDefault="006D791B">
            <w:pPr>
              <w:spacing w:after="0" w:line="240" w:lineRule="auto"/>
              <w:rPr>
                <w:rFonts w:eastAsia="Times New Roman" w:cs="Arial"/>
                <w:b/>
                <w:bCs/>
                <w:sz w:val="21"/>
                <w:szCs w:val="21"/>
                <w:lang w:eastAsia="cs-CZ"/>
              </w:rPr>
            </w:pPr>
            <w:r w:rsidRPr="006D791B">
              <w:rPr>
                <w:rFonts w:eastAsia="Times New Roman" w:cs="Arial"/>
                <w:b/>
                <w:bCs/>
                <w:sz w:val="21"/>
                <w:szCs w:val="21"/>
                <w:lang w:eastAsia="cs-CZ"/>
              </w:rPr>
              <w:t xml:space="preserve">Výdaje na </w:t>
            </w:r>
            <w:r w:rsidR="00937EC3">
              <w:rPr>
                <w:rFonts w:eastAsia="Times New Roman" w:cs="Arial"/>
                <w:b/>
                <w:bCs/>
                <w:sz w:val="21"/>
                <w:szCs w:val="21"/>
                <w:lang w:eastAsia="cs-CZ"/>
              </w:rPr>
              <w:t>jinou</w:t>
            </w:r>
            <w:r w:rsidRPr="006D791B">
              <w:rPr>
                <w:rFonts w:eastAsia="Times New Roman" w:cs="Arial"/>
                <w:b/>
                <w:bCs/>
                <w:sz w:val="21"/>
                <w:szCs w:val="21"/>
                <w:lang w:eastAsia="cs-CZ"/>
              </w:rPr>
              <w:t xml:space="preserve"> činnost</w:t>
            </w:r>
          </w:p>
        </w:tc>
        <w:tc>
          <w:tcPr>
            <w:tcW w:w="1021" w:type="dxa"/>
            <w:tcBorders>
              <w:top w:val="nil"/>
              <w:left w:val="nil"/>
              <w:bottom w:val="nil"/>
              <w:right w:val="single" w:sz="12" w:space="0" w:color="4F81BD"/>
            </w:tcBorders>
            <w:shd w:val="clear" w:color="auto" w:fill="DBE5F1"/>
            <w:noWrap/>
            <w:hideMark/>
          </w:tcPr>
          <w:p w14:paraId="7C853881" w14:textId="77777777" w:rsidR="006D791B" w:rsidRPr="006D791B" w:rsidRDefault="006D791B">
            <w:pPr>
              <w:spacing w:after="0" w:line="240" w:lineRule="auto"/>
              <w:jc w:val="right"/>
              <w:rPr>
                <w:rFonts w:eastAsia="Times New Roman" w:cs="Arial"/>
                <w:bCs/>
                <w:sz w:val="21"/>
                <w:szCs w:val="21"/>
                <w:lang w:eastAsia="cs-CZ"/>
              </w:rPr>
            </w:pPr>
            <w:r w:rsidRPr="00762954">
              <w:rPr>
                <w:sz w:val="21"/>
                <w:szCs w:val="21"/>
              </w:rPr>
              <w:t>0,04</w:t>
            </w:r>
          </w:p>
        </w:tc>
      </w:tr>
      <w:tr w:rsidR="006D791B" w:rsidRPr="006D791B" w14:paraId="0FC3ACC3" w14:textId="77777777" w:rsidTr="00762954">
        <w:trPr>
          <w:trHeight w:val="301"/>
        </w:trPr>
        <w:tc>
          <w:tcPr>
            <w:tcW w:w="3181" w:type="dxa"/>
            <w:tcBorders>
              <w:top w:val="nil"/>
              <w:left w:val="single" w:sz="12" w:space="0" w:color="4F81BD"/>
              <w:bottom w:val="single" w:sz="12" w:space="0" w:color="4F81BD"/>
              <w:right w:val="nil"/>
            </w:tcBorders>
            <w:shd w:val="clear" w:color="auto" w:fill="EEF3F8"/>
            <w:noWrap/>
            <w:vAlign w:val="bottom"/>
            <w:hideMark/>
          </w:tcPr>
          <w:p w14:paraId="277A4CA7" w14:textId="77777777" w:rsidR="006D791B" w:rsidRPr="006D791B" w:rsidRDefault="006D791B">
            <w:pPr>
              <w:spacing w:after="0" w:line="240" w:lineRule="auto"/>
              <w:rPr>
                <w:rFonts w:eastAsia="Times New Roman" w:cs="Arial"/>
                <w:b/>
                <w:bCs/>
                <w:sz w:val="21"/>
                <w:szCs w:val="21"/>
                <w:lang w:eastAsia="cs-CZ"/>
              </w:rPr>
            </w:pPr>
            <w:r w:rsidRPr="006D791B">
              <w:rPr>
                <w:rFonts w:eastAsia="Times New Roman" w:cs="Arial"/>
                <w:b/>
                <w:bCs/>
                <w:sz w:val="21"/>
                <w:szCs w:val="21"/>
                <w:lang w:eastAsia="cs-CZ"/>
              </w:rPr>
              <w:t xml:space="preserve">Celkové výdaje systému v. z. p. </w:t>
            </w:r>
          </w:p>
        </w:tc>
        <w:tc>
          <w:tcPr>
            <w:tcW w:w="1021" w:type="dxa"/>
            <w:tcBorders>
              <w:top w:val="nil"/>
              <w:left w:val="nil"/>
              <w:bottom w:val="single" w:sz="12" w:space="0" w:color="4F81BD"/>
              <w:right w:val="single" w:sz="12" w:space="0" w:color="4F81BD"/>
            </w:tcBorders>
            <w:shd w:val="clear" w:color="auto" w:fill="EEF3F8"/>
            <w:noWrap/>
            <w:hideMark/>
          </w:tcPr>
          <w:p w14:paraId="19DB5E77" w14:textId="77777777" w:rsidR="006D791B" w:rsidRPr="006D791B" w:rsidRDefault="006D791B">
            <w:pPr>
              <w:spacing w:after="0" w:line="240" w:lineRule="auto"/>
              <w:jc w:val="right"/>
              <w:rPr>
                <w:rFonts w:eastAsia="Times New Roman" w:cs="Arial"/>
                <w:b/>
                <w:bCs/>
                <w:sz w:val="21"/>
                <w:szCs w:val="21"/>
                <w:lang w:eastAsia="cs-CZ"/>
              </w:rPr>
            </w:pPr>
            <w:r w:rsidRPr="00762954">
              <w:rPr>
                <w:b/>
                <w:sz w:val="21"/>
                <w:szCs w:val="21"/>
              </w:rPr>
              <w:t>295,30</w:t>
            </w:r>
          </w:p>
        </w:tc>
      </w:tr>
    </w:tbl>
    <w:p w14:paraId="60C76AC9" w14:textId="77777777" w:rsidR="001E2527" w:rsidRDefault="00902FD8" w:rsidP="00902FD8">
      <w:pPr>
        <w:pStyle w:val="TEXTpodTABOBR"/>
      </w:pPr>
      <w:r>
        <w:rPr>
          <w:b/>
        </w:rPr>
        <w:t>Celkové výdaje systému v. z. p.</w:t>
      </w:r>
      <w:r>
        <w:t xml:space="preserve"> na rok 201</w:t>
      </w:r>
      <w:r w:rsidR="006D791B">
        <w:t>8</w:t>
      </w:r>
      <w:r>
        <w:t xml:space="preserve"> činily </w:t>
      </w:r>
      <w:r w:rsidR="00C45367">
        <w:rPr>
          <w:b/>
        </w:rPr>
        <w:t>295,3</w:t>
      </w:r>
      <w:r>
        <w:rPr>
          <w:b/>
        </w:rPr>
        <w:t> mld. Kč</w:t>
      </w:r>
      <w:r>
        <w:t xml:space="preserve"> s meziročním nárůstem o </w:t>
      </w:r>
      <w:r w:rsidR="00C45367">
        <w:t>7</w:t>
      </w:r>
      <w:r>
        <w:t>,3 %</w:t>
      </w:r>
      <w:r w:rsidR="001E2527">
        <w:t xml:space="preserve"> (absolutně o </w:t>
      </w:r>
      <w:r w:rsidR="00C45367">
        <w:t>20</w:t>
      </w:r>
      <w:r w:rsidR="001E2527">
        <w:t xml:space="preserve"> mld. Kč)</w:t>
      </w:r>
      <w:r>
        <w:t>. Naopak oproti ZPP 201</w:t>
      </w:r>
      <w:r w:rsidR="00C45367">
        <w:t>8</w:t>
      </w:r>
      <w:r>
        <w:t xml:space="preserve"> poklesly o 0,</w:t>
      </w:r>
      <w:r w:rsidR="00C45367">
        <w:t>0</w:t>
      </w:r>
      <w:r>
        <w:t>5 %</w:t>
      </w:r>
      <w:r w:rsidR="001E2527">
        <w:t xml:space="preserve"> (absolutně o</w:t>
      </w:r>
      <w:r w:rsidR="00762954">
        <w:t> </w:t>
      </w:r>
      <w:r w:rsidR="00C45367">
        <w:t>0,1</w:t>
      </w:r>
      <w:r w:rsidR="00762954">
        <w:t> </w:t>
      </w:r>
      <w:r w:rsidR="001E2527">
        <w:t>mld.</w:t>
      </w:r>
      <w:r w:rsidR="00762954">
        <w:t> </w:t>
      </w:r>
      <w:r w:rsidR="001E2527">
        <w:t>Kč)</w:t>
      </w:r>
      <w:r>
        <w:t xml:space="preserve">. </w:t>
      </w:r>
    </w:p>
    <w:p w14:paraId="5D5898D4" w14:textId="77777777" w:rsidR="00902FD8" w:rsidRDefault="00902FD8" w:rsidP="00762954">
      <w:pPr>
        <w:pStyle w:val="TEXTpodTABOBR"/>
        <w:spacing w:before="0"/>
      </w:pPr>
      <w:r>
        <w:t xml:space="preserve">V přepočtu </w:t>
      </w:r>
      <w:r>
        <w:rPr>
          <w:b/>
        </w:rPr>
        <w:t>na jednoho pojištěnce</w:t>
      </w:r>
      <w:r>
        <w:t xml:space="preserve"> byly celkové výdaje systému v. z. p. ve výši </w:t>
      </w:r>
      <w:r w:rsidR="00344832">
        <w:t>28 098</w:t>
      </w:r>
      <w:r>
        <w:t xml:space="preserve"> Kč</w:t>
      </w:r>
      <w:r w:rsidR="00131B24">
        <w:t xml:space="preserve"> (meziročně se zvýšily </w:t>
      </w:r>
      <w:r w:rsidR="001E2527">
        <w:t xml:space="preserve">o </w:t>
      </w:r>
      <w:r w:rsidR="00131B24">
        <w:t>6,9</w:t>
      </w:r>
      <w:r w:rsidR="001E2527">
        <w:t xml:space="preserve"> %)</w:t>
      </w:r>
      <w:r>
        <w:t xml:space="preserve">. Nejvyšší výdaje celkem na jednoho pojištěnce měla VZP ČR ve výši </w:t>
      </w:r>
      <w:r w:rsidR="00131B24">
        <w:t>29 801</w:t>
      </w:r>
      <w:r>
        <w:t xml:space="preserve"> Kč a nejnižší OZP s částkou </w:t>
      </w:r>
      <w:r w:rsidR="00131B24">
        <w:t>24 651</w:t>
      </w:r>
      <w:r>
        <w:t xml:space="preserve"> Kč</w:t>
      </w:r>
      <w:r w:rsidR="00762954">
        <w:t>.</w:t>
      </w:r>
    </w:p>
    <w:p w14:paraId="2AEBE7DD" w14:textId="77777777" w:rsidR="006C7011" w:rsidRDefault="00902FD8" w:rsidP="00902FD8">
      <w:pPr>
        <w:pStyle w:val="TEXT"/>
      </w:pPr>
      <w:r>
        <w:t xml:space="preserve">Z toho </w:t>
      </w:r>
      <w:r>
        <w:rPr>
          <w:b/>
        </w:rPr>
        <w:t>výdaje na zdravotní služby</w:t>
      </w:r>
      <w:r>
        <w:t xml:space="preserve"> ve výši </w:t>
      </w:r>
      <w:r>
        <w:rPr>
          <w:b/>
        </w:rPr>
        <w:t>2</w:t>
      </w:r>
      <w:r w:rsidR="004D12AA">
        <w:rPr>
          <w:b/>
        </w:rPr>
        <w:t>86,</w:t>
      </w:r>
      <w:r w:rsidR="00235C58">
        <w:rPr>
          <w:b/>
        </w:rPr>
        <w:t xml:space="preserve">8 </w:t>
      </w:r>
      <w:r>
        <w:rPr>
          <w:b/>
        </w:rPr>
        <w:t>mld. Kč</w:t>
      </w:r>
      <w:r>
        <w:t xml:space="preserve"> představovaly 97,</w:t>
      </w:r>
      <w:r w:rsidR="00235C58">
        <w:t>1</w:t>
      </w:r>
      <w:r>
        <w:t xml:space="preserve"> % celkových výdajů s meziročním nárůstem </w:t>
      </w:r>
      <w:r w:rsidR="00235C58">
        <w:t>7,1</w:t>
      </w:r>
      <w:r>
        <w:t> %</w:t>
      </w:r>
      <w:r w:rsidR="001E2527">
        <w:t xml:space="preserve"> (absolutně o </w:t>
      </w:r>
      <w:r w:rsidR="00235C58">
        <w:t xml:space="preserve">19,1 </w:t>
      </w:r>
      <w:r w:rsidR="001E2527">
        <w:t>mld. Kč)</w:t>
      </w:r>
      <w:r>
        <w:t xml:space="preserve">. Průměrné výdaje na zdravotní služby přepočtené </w:t>
      </w:r>
      <w:r>
        <w:rPr>
          <w:b/>
        </w:rPr>
        <w:t>na jednoho pojištěnce</w:t>
      </w:r>
      <w:r>
        <w:t xml:space="preserve"> pak dosáhly hodnoty </w:t>
      </w:r>
      <w:r w:rsidR="001E34A5">
        <w:t xml:space="preserve">27 292 </w:t>
      </w:r>
      <w:r>
        <w:t xml:space="preserve">Kč (nejvyšší u VZP ČR </w:t>
      </w:r>
      <w:r w:rsidR="001E34A5">
        <w:t>28</w:t>
      </w:r>
      <w:r w:rsidR="007472EF">
        <w:t> </w:t>
      </w:r>
      <w:r w:rsidR="001E34A5">
        <w:t>978</w:t>
      </w:r>
      <w:r w:rsidR="00762954">
        <w:t> </w:t>
      </w:r>
      <w:r>
        <w:t xml:space="preserve">Kč a nejnižší u OZP </w:t>
      </w:r>
      <w:r w:rsidR="001E34A5">
        <w:t xml:space="preserve">23 873 </w:t>
      </w:r>
      <w:r>
        <w:t xml:space="preserve">Kč). </w:t>
      </w:r>
    </w:p>
    <w:p w14:paraId="372AE3E0" w14:textId="77777777" w:rsidR="006C7011" w:rsidRDefault="00902FD8" w:rsidP="00902FD8">
      <w:pPr>
        <w:pStyle w:val="TEXT"/>
      </w:pPr>
      <w:r>
        <w:t xml:space="preserve">Vykázané rozdíly ve výdajích za zdravotní služby mezi VZP ČR a skupinou ZZP byly ovlivněny nejen rozdílnou skladbou pojištěnců, ale také rozdílnými smluvními vztahy s poskytovateli zdravotních služeb (PZS) a cenovými dodatky. </w:t>
      </w:r>
    </w:p>
    <w:p w14:paraId="0374D302" w14:textId="77777777" w:rsidR="00902FD8" w:rsidRDefault="00902FD8" w:rsidP="00902FD8">
      <w:pPr>
        <w:pStyle w:val="TEXT"/>
      </w:pPr>
      <w:r>
        <w:t>Dle zákona č. 48/1997 Sb. zdravotní pojišťovny uzavírají s PZS smlouvy o poskytování a úhradě hrazených služeb. Zdravotní pojišťovny si mohou s PZS sjednat rozdílný způsob úhrady, výši úhrady a</w:t>
      </w:r>
      <w:r w:rsidR="00A9522C">
        <w:t> </w:t>
      </w:r>
      <w:r>
        <w:t xml:space="preserve">regulační omezení, a může tak docházet k rozdílům v úhradách jednotlivým PZS a k rozdílným výdajům mezi zdravotními pojišťovnami. </w:t>
      </w:r>
    </w:p>
    <w:p w14:paraId="33CFA3E8" w14:textId="77777777" w:rsidR="006C7011" w:rsidRPr="006C7011" w:rsidRDefault="006C7011" w:rsidP="006C7011">
      <w:pPr>
        <w:rPr>
          <w:rFonts w:ascii="Times New Roman" w:hAnsi="Times New Roman" w:cs="Arial"/>
          <w:szCs w:val="24"/>
          <w:lang w:eastAsia="cs-CZ"/>
        </w:rPr>
      </w:pPr>
      <w:r>
        <w:br w:type="page"/>
      </w:r>
    </w:p>
    <w:p w14:paraId="3FCFCD41" w14:textId="648B9915" w:rsidR="00902FD8" w:rsidRDefault="00902FD8" w:rsidP="006C7011">
      <w:pPr>
        <w:pStyle w:val="TABOBR"/>
        <w:spacing w:before="360" w:after="200"/>
      </w:pPr>
      <w:r>
        <w:lastRenderedPageBreak/>
        <w:t xml:space="preserve">Obr. 2: Porovnání celkových </w:t>
      </w:r>
      <w:r w:rsidR="007173E6">
        <w:t xml:space="preserve">a </w:t>
      </w:r>
      <w:r>
        <w:t>skutečných výdajů 201</w:t>
      </w:r>
      <w:r w:rsidR="001E34A5">
        <w:t>8</w:t>
      </w:r>
      <w:r>
        <w:t xml:space="preserve"> a ZPP 201</w:t>
      </w:r>
      <w:r w:rsidR="001E34A5">
        <w:t>8</w:t>
      </w:r>
    </w:p>
    <w:p w14:paraId="22020584" w14:textId="297F6EA0" w:rsidR="00D11432" w:rsidRDefault="00345B8D" w:rsidP="00762954">
      <w:pPr>
        <w:pStyle w:val="TEXT"/>
        <w:ind w:firstLine="426"/>
        <w:jc w:val="center"/>
        <w:rPr>
          <w:b/>
        </w:rPr>
      </w:pPr>
      <w:r>
        <w:rPr>
          <w:b/>
          <w:noProof/>
        </w:rPr>
        <w:drawing>
          <wp:inline distT="0" distB="0" distL="0" distR="0" wp14:anchorId="18C3C5B2" wp14:editId="298401C7">
            <wp:extent cx="4123525" cy="2163465"/>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2718" cy="2163042"/>
                    </a:xfrm>
                    <a:prstGeom prst="rect">
                      <a:avLst/>
                    </a:prstGeom>
                    <a:noFill/>
                  </pic:spPr>
                </pic:pic>
              </a:graphicData>
            </a:graphic>
          </wp:inline>
        </w:drawing>
      </w:r>
    </w:p>
    <w:p w14:paraId="429A56B2" w14:textId="77777777" w:rsidR="001E2527" w:rsidRDefault="00902FD8" w:rsidP="00902FD8">
      <w:pPr>
        <w:pStyle w:val="TEXT"/>
        <w:ind w:firstLine="426"/>
      </w:pPr>
      <w:r>
        <w:rPr>
          <w:b/>
        </w:rPr>
        <w:t>Provozní výdaje</w:t>
      </w:r>
      <w:r>
        <w:t xml:space="preserve"> v roce 201</w:t>
      </w:r>
      <w:r w:rsidR="00502380">
        <w:t>8</w:t>
      </w:r>
      <w:r>
        <w:t xml:space="preserve"> byly vykázány ve výši </w:t>
      </w:r>
      <w:r>
        <w:rPr>
          <w:b/>
        </w:rPr>
        <w:t>6,</w:t>
      </w:r>
      <w:r w:rsidR="00502380">
        <w:rPr>
          <w:b/>
        </w:rPr>
        <w:t>6</w:t>
      </w:r>
      <w:r>
        <w:rPr>
          <w:b/>
        </w:rPr>
        <w:t> mld. Kč</w:t>
      </w:r>
      <w:r>
        <w:t xml:space="preserve">. Aktuální propočtené limity, limity zdravotně pojistných plánů a procenta jejich plnění viz tabulková příloha </w:t>
      </w:r>
      <w:r>
        <w:rPr>
          <w:i/>
        </w:rPr>
        <w:t>Tabulka č. 1a</w:t>
      </w:r>
      <w:r>
        <w:t xml:space="preserve">. Do provozních výdajů zdravotních pojišťoven byly zahrnuty např. mzdy včetně ostatních osobních nákladů, pojistné za zaměstnance na zdravotní a sociální pojištění, odměny členům statutárních orgánů, služby Kanceláře zdravotního pojištění, úhrady za vedení centrálního registru, nákup metodik atd. </w:t>
      </w:r>
    </w:p>
    <w:p w14:paraId="35FCB7EB" w14:textId="77777777" w:rsidR="00902FD8" w:rsidRDefault="00902FD8" w:rsidP="00902FD8">
      <w:pPr>
        <w:pStyle w:val="TEXT"/>
        <w:ind w:firstLine="426"/>
      </w:pPr>
      <w:r>
        <w:rPr>
          <w:b/>
        </w:rPr>
        <w:t>Výdaje na investice</w:t>
      </w:r>
      <w:r>
        <w:t xml:space="preserve"> z fondu reprodukce majetku (FRM) dosáhly hodnoty cca </w:t>
      </w:r>
      <w:r>
        <w:rPr>
          <w:b/>
        </w:rPr>
        <w:t>0,3</w:t>
      </w:r>
      <w:r w:rsidR="00502380">
        <w:rPr>
          <w:b/>
        </w:rPr>
        <w:t>5</w:t>
      </w:r>
      <w:r>
        <w:rPr>
          <w:b/>
        </w:rPr>
        <w:t xml:space="preserve"> mld. Kč, </w:t>
      </w:r>
      <w:r>
        <w:t xml:space="preserve">což činí </w:t>
      </w:r>
      <w:r w:rsidR="006419CC">
        <w:t xml:space="preserve">47 </w:t>
      </w:r>
      <w:r>
        <w:t>% z plánovaných investic (</w:t>
      </w:r>
      <w:r w:rsidR="00502380">
        <w:t xml:space="preserve">0,74 </w:t>
      </w:r>
      <w:r>
        <w:t>mld. Kč)</w:t>
      </w:r>
      <w:r w:rsidR="006419CC">
        <w:t>,</w:t>
      </w:r>
      <w:r>
        <w:t xml:space="preserve"> </w:t>
      </w:r>
      <w:r w:rsidR="006419CC">
        <w:t xml:space="preserve">avšak </w:t>
      </w:r>
      <w:r>
        <w:t>meziročně došlo k </w:t>
      </w:r>
      <w:r w:rsidR="006419CC">
        <w:t xml:space="preserve">růstu </w:t>
      </w:r>
      <w:r>
        <w:t>z částky 0,3</w:t>
      </w:r>
      <w:r w:rsidR="006419CC">
        <w:t>1</w:t>
      </w:r>
      <w:r>
        <w:t xml:space="preserve"> mld. Kč. Nízké čerpání bývá zapříčiněno především přesunem realizace do dalšího období z důvodu špatného odhadu délky příslušných správních řízení (např. stavební řízení či zadávací řízení veřejné zakázky).</w:t>
      </w:r>
    </w:p>
    <w:p w14:paraId="3B287043" w14:textId="436BA5F5" w:rsidR="00902FD8" w:rsidRDefault="00902FD8" w:rsidP="00902FD8">
      <w:pPr>
        <w:pStyle w:val="TEXT"/>
      </w:pPr>
      <w:r>
        <w:t>I v roce 201</w:t>
      </w:r>
      <w:r w:rsidR="00BB7D79">
        <w:t>8</w:t>
      </w:r>
      <w:r>
        <w:t xml:space="preserve"> bylo možné sledovat dopady účinnosti novely tzv. fondové vyhlášky MF (vyhláška č. 418/2003 Sb.), jež snížila od roku 2015 procentuální podíl prostředků, které je možné převést ze</w:t>
      </w:r>
      <w:r w:rsidR="00F37C4C">
        <w:t> </w:t>
      </w:r>
      <w:r>
        <w:t>ZFZP na vlastní činnost, tudíž bylo možné využít větší podíl prostředků na zdravotní služby. V roce 201</w:t>
      </w:r>
      <w:r w:rsidR="00BB7D79">
        <w:t>8</w:t>
      </w:r>
      <w:r>
        <w:t xml:space="preserve"> byly provozní výdaje </w:t>
      </w:r>
      <w:r w:rsidR="00CA67AE">
        <w:t xml:space="preserve">vyšší 0,5 mld. Kč </w:t>
      </w:r>
      <w:r w:rsidR="00BB7D79">
        <w:t>(v</w:t>
      </w:r>
      <w:r w:rsidR="00F37C4C">
        <w:t> </w:t>
      </w:r>
      <w:r w:rsidR="00BB7D79">
        <w:t>r.</w:t>
      </w:r>
      <w:r w:rsidR="00F37C4C">
        <w:t> </w:t>
      </w:r>
      <w:r w:rsidR="00BB7D79">
        <w:t xml:space="preserve">2017 byly 6,1 mld. Kč), rostoucí tendenci lze přisoudit </w:t>
      </w:r>
      <w:r w:rsidR="00884FB9">
        <w:t>většímu objemu prostředků v systému v.</w:t>
      </w:r>
      <w:r w:rsidR="004A7E39">
        <w:t xml:space="preserve"> </w:t>
      </w:r>
      <w:r w:rsidR="00884FB9">
        <w:t>z.</w:t>
      </w:r>
      <w:r w:rsidR="004A7E39">
        <w:t xml:space="preserve"> </w:t>
      </w:r>
      <w:r w:rsidR="00884FB9">
        <w:t>p.</w:t>
      </w:r>
      <w:r w:rsidR="00CA67AE">
        <w:t xml:space="preserve"> a růstu mezd zaměstnanců ZP</w:t>
      </w:r>
      <w:r>
        <w:t xml:space="preserve">. </w:t>
      </w:r>
    </w:p>
    <w:p w14:paraId="19679588" w14:textId="77777777" w:rsidR="00902FD8" w:rsidRDefault="00902FD8" w:rsidP="006C7011">
      <w:pPr>
        <w:pStyle w:val="TABOBR"/>
        <w:spacing w:before="360" w:after="200"/>
      </w:pPr>
      <w:r>
        <w:t>Obr. 3: Struktura výdajů celkem za rok 201</w:t>
      </w:r>
      <w:r w:rsidR="006419CC">
        <w:t>8</w:t>
      </w:r>
    </w:p>
    <w:p w14:paraId="35E0380E" w14:textId="77777777" w:rsidR="00A64454" w:rsidRDefault="00884FB9" w:rsidP="00F37C4C">
      <w:pPr>
        <w:pStyle w:val="TEXT"/>
        <w:jc w:val="center"/>
      </w:pPr>
      <w:r>
        <w:rPr>
          <w:noProof/>
        </w:rPr>
        <w:drawing>
          <wp:inline distT="0" distB="0" distL="0" distR="0" wp14:anchorId="0E78C9C1" wp14:editId="4AE0A9E9">
            <wp:extent cx="4298868" cy="2565166"/>
            <wp:effectExtent l="0" t="0" r="6985"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7857" cy="2564562"/>
                    </a:xfrm>
                    <a:prstGeom prst="rect">
                      <a:avLst/>
                    </a:prstGeom>
                    <a:noFill/>
                  </pic:spPr>
                </pic:pic>
              </a:graphicData>
            </a:graphic>
          </wp:inline>
        </w:drawing>
      </w:r>
    </w:p>
    <w:p w14:paraId="75D34D05" w14:textId="77777777" w:rsidR="006C7011" w:rsidRPr="00EF37F2" w:rsidRDefault="0083778D" w:rsidP="00D542A2">
      <w:pPr>
        <w:pStyle w:val="TABOBR0"/>
        <w:spacing w:after="200" w:line="288" w:lineRule="auto"/>
        <w:ind w:firstLine="425"/>
        <w:rPr>
          <w:rFonts w:ascii="Times New Roman" w:hAnsi="Times New Roman" w:cs="Times New Roman"/>
          <w:b w:val="0"/>
          <w:szCs w:val="24"/>
        </w:rPr>
      </w:pPr>
      <w:r w:rsidRPr="00EC7A6D">
        <w:rPr>
          <w:rFonts w:ascii="Times New Roman" w:hAnsi="Times New Roman" w:cs="Times New Roman"/>
          <w:b w:val="0"/>
        </w:rPr>
        <w:lastRenderedPageBreak/>
        <w:t>Ministerstvo financí pak dále sleduje řadu dalších veličin, z nichž jsou uvedeny „výdaje na vlastní činnost“</w:t>
      </w:r>
      <w:r w:rsidRPr="00EC7A6D">
        <w:rPr>
          <w:rStyle w:val="Znakapoznpodarou"/>
          <w:rFonts w:ascii="Times New Roman" w:hAnsi="Times New Roman" w:cs="Times New Roman"/>
          <w:b w:val="0"/>
        </w:rPr>
        <w:footnoteReference w:id="3"/>
      </w:r>
      <w:r w:rsidRPr="00EC7A6D">
        <w:rPr>
          <w:rFonts w:ascii="Times New Roman" w:hAnsi="Times New Roman" w:cs="Times New Roman"/>
          <w:b w:val="0"/>
        </w:rPr>
        <w:t xml:space="preserve"> a „výdaje na preventivní programy“</w:t>
      </w:r>
      <w:r w:rsidRPr="00EC7A6D">
        <w:rPr>
          <w:rStyle w:val="Znakapoznpodarou"/>
          <w:rFonts w:ascii="Times New Roman" w:hAnsi="Times New Roman" w:cs="Times New Roman"/>
          <w:b w:val="0"/>
        </w:rPr>
        <w:footnoteReference w:id="4"/>
      </w:r>
      <w:r w:rsidRPr="00EC7A6D">
        <w:rPr>
          <w:rFonts w:ascii="Times New Roman" w:hAnsi="Times New Roman" w:cs="Times New Roman"/>
          <w:b w:val="0"/>
        </w:rPr>
        <w:t xml:space="preserve">. </w:t>
      </w:r>
    </w:p>
    <w:p w14:paraId="463EB426" w14:textId="77777777" w:rsidR="0083778D" w:rsidRDefault="0083778D" w:rsidP="006C7011">
      <w:pPr>
        <w:pStyle w:val="TABOBR0"/>
        <w:spacing w:before="360" w:after="200"/>
      </w:pPr>
      <w:r w:rsidRPr="00D07F10">
        <w:t>Tab</w:t>
      </w:r>
      <w:r>
        <w:t>. 4: V</w:t>
      </w:r>
      <w:r w:rsidRPr="00D07F10">
        <w:t>ýdaje systému v. z. p. 201</w:t>
      </w:r>
      <w:r>
        <w:t>8</w:t>
      </w:r>
      <w:r w:rsidRPr="00D07F10">
        <w:t xml:space="preserve"> dle zdravotních pojišťoven</w:t>
      </w:r>
    </w:p>
    <w:tbl>
      <w:tblPr>
        <w:tblW w:w="9193" w:type="dxa"/>
        <w:jc w:val="center"/>
        <w:tblCellMar>
          <w:left w:w="70" w:type="dxa"/>
          <w:right w:w="70" w:type="dxa"/>
        </w:tblCellMar>
        <w:tblLook w:val="04A0" w:firstRow="1" w:lastRow="0" w:firstColumn="1" w:lastColumn="0" w:noHBand="0" w:noVBand="1"/>
      </w:tblPr>
      <w:tblGrid>
        <w:gridCol w:w="2256"/>
        <w:gridCol w:w="991"/>
        <w:gridCol w:w="991"/>
        <w:gridCol w:w="991"/>
        <w:gridCol w:w="991"/>
        <w:gridCol w:w="991"/>
        <w:gridCol w:w="991"/>
        <w:gridCol w:w="991"/>
      </w:tblGrid>
      <w:tr w:rsidR="0083778D" w:rsidRPr="005F75BF" w14:paraId="67AC1F65" w14:textId="77777777" w:rsidTr="00F37C4C">
        <w:trPr>
          <w:trHeight w:val="315"/>
          <w:jc w:val="center"/>
        </w:trPr>
        <w:tc>
          <w:tcPr>
            <w:tcW w:w="2256" w:type="dxa"/>
            <w:tcBorders>
              <w:top w:val="single" w:sz="12" w:space="0" w:color="4F81BD"/>
              <w:left w:val="single" w:sz="12" w:space="0" w:color="4F81BD"/>
              <w:bottom w:val="nil"/>
              <w:right w:val="nil"/>
            </w:tcBorders>
            <w:shd w:val="clear" w:color="000000" w:fill="4F81BD"/>
            <w:vAlign w:val="center"/>
            <w:hideMark/>
          </w:tcPr>
          <w:p w14:paraId="6E91EF0B" w14:textId="77777777" w:rsidR="0083778D" w:rsidRPr="005F75BF" w:rsidRDefault="0083778D" w:rsidP="00223CAF">
            <w:pPr>
              <w:spacing w:after="0" w:line="240" w:lineRule="auto"/>
              <w:rPr>
                <w:rFonts w:ascii="Calibri" w:eastAsia="Times New Roman" w:hAnsi="Calibri" w:cs="Times New Roman"/>
                <w:b/>
                <w:bCs/>
                <w:color w:val="FFFFFF"/>
                <w:sz w:val="21"/>
                <w:szCs w:val="21"/>
                <w:lang w:eastAsia="cs-CZ"/>
              </w:rPr>
            </w:pPr>
          </w:p>
        </w:tc>
        <w:tc>
          <w:tcPr>
            <w:tcW w:w="991" w:type="dxa"/>
            <w:vMerge w:val="restart"/>
            <w:tcBorders>
              <w:top w:val="single" w:sz="12" w:space="0" w:color="4F81BD"/>
              <w:left w:val="nil"/>
              <w:bottom w:val="nil"/>
              <w:right w:val="nil"/>
            </w:tcBorders>
            <w:shd w:val="clear" w:color="000000" w:fill="6691C6"/>
            <w:noWrap/>
            <w:vAlign w:val="center"/>
            <w:hideMark/>
          </w:tcPr>
          <w:p w14:paraId="6F8C5FA5" w14:textId="77777777" w:rsidR="0083778D" w:rsidRPr="00F37C4C" w:rsidRDefault="0083778D" w:rsidP="00223CAF">
            <w:pPr>
              <w:spacing w:after="0" w:line="240" w:lineRule="auto"/>
              <w:jc w:val="center"/>
              <w:rPr>
                <w:rFonts w:ascii="Calibri" w:eastAsia="Times New Roman" w:hAnsi="Calibri" w:cs="Times New Roman"/>
                <w:b/>
                <w:color w:val="FFFFFF"/>
                <w:sz w:val="21"/>
                <w:szCs w:val="21"/>
                <w:lang w:eastAsia="cs-CZ"/>
              </w:rPr>
            </w:pPr>
            <w:r w:rsidRPr="00F37C4C">
              <w:rPr>
                <w:rFonts w:ascii="Calibri" w:eastAsia="Times New Roman" w:hAnsi="Calibri" w:cs="Times New Roman"/>
                <w:b/>
                <w:color w:val="FFFFFF" w:themeColor="background1"/>
                <w:sz w:val="21"/>
                <w:szCs w:val="21"/>
                <w:lang w:eastAsia="cs-CZ"/>
              </w:rPr>
              <w:t>VZP ČR</w:t>
            </w:r>
          </w:p>
        </w:tc>
        <w:tc>
          <w:tcPr>
            <w:tcW w:w="991" w:type="dxa"/>
            <w:vMerge w:val="restart"/>
            <w:tcBorders>
              <w:top w:val="single" w:sz="12" w:space="0" w:color="4F81BD"/>
              <w:left w:val="nil"/>
              <w:bottom w:val="nil"/>
              <w:right w:val="nil"/>
            </w:tcBorders>
            <w:shd w:val="clear" w:color="000000" w:fill="4F81BD"/>
            <w:noWrap/>
            <w:vAlign w:val="center"/>
            <w:hideMark/>
          </w:tcPr>
          <w:p w14:paraId="773E3772" w14:textId="77777777" w:rsidR="0083778D" w:rsidRPr="00F37C4C" w:rsidRDefault="0083778D" w:rsidP="00223CAF">
            <w:pPr>
              <w:spacing w:after="0" w:line="240" w:lineRule="auto"/>
              <w:jc w:val="center"/>
              <w:rPr>
                <w:rFonts w:ascii="Calibri" w:eastAsia="Times New Roman" w:hAnsi="Calibri" w:cs="Times New Roman"/>
                <w:b/>
                <w:color w:val="FFFFFF"/>
                <w:sz w:val="21"/>
                <w:szCs w:val="21"/>
                <w:lang w:eastAsia="cs-CZ"/>
              </w:rPr>
            </w:pPr>
            <w:proofErr w:type="spellStart"/>
            <w:r w:rsidRPr="00F37C4C">
              <w:rPr>
                <w:rFonts w:ascii="Calibri" w:eastAsia="Times New Roman" w:hAnsi="Calibri" w:cs="Times New Roman"/>
                <w:b/>
                <w:color w:val="FFFFFF" w:themeColor="background1"/>
                <w:sz w:val="21"/>
                <w:szCs w:val="21"/>
                <w:lang w:eastAsia="cs-CZ"/>
              </w:rPr>
              <w:t>VoZP</w:t>
            </w:r>
            <w:proofErr w:type="spellEnd"/>
            <w:r w:rsidRPr="00F37C4C">
              <w:rPr>
                <w:rFonts w:ascii="Calibri" w:eastAsia="Times New Roman" w:hAnsi="Calibri" w:cs="Times New Roman"/>
                <w:b/>
                <w:color w:val="FFFFFF" w:themeColor="background1"/>
                <w:sz w:val="21"/>
                <w:szCs w:val="21"/>
                <w:lang w:eastAsia="cs-CZ"/>
              </w:rPr>
              <w:t xml:space="preserve"> ČR</w:t>
            </w:r>
          </w:p>
        </w:tc>
        <w:tc>
          <w:tcPr>
            <w:tcW w:w="991" w:type="dxa"/>
            <w:vMerge w:val="restart"/>
            <w:tcBorders>
              <w:top w:val="single" w:sz="12" w:space="0" w:color="4F81BD"/>
              <w:left w:val="nil"/>
              <w:bottom w:val="nil"/>
              <w:right w:val="nil"/>
            </w:tcBorders>
            <w:shd w:val="clear" w:color="000000" w:fill="6691C6"/>
            <w:noWrap/>
            <w:vAlign w:val="center"/>
            <w:hideMark/>
          </w:tcPr>
          <w:p w14:paraId="28E21005" w14:textId="77777777" w:rsidR="0083778D" w:rsidRPr="00F37C4C" w:rsidRDefault="0083778D" w:rsidP="00223CAF">
            <w:pPr>
              <w:spacing w:after="0" w:line="240" w:lineRule="auto"/>
              <w:jc w:val="center"/>
              <w:rPr>
                <w:rFonts w:ascii="Calibri" w:eastAsia="Times New Roman" w:hAnsi="Calibri" w:cs="Times New Roman"/>
                <w:b/>
                <w:color w:val="FFFFFF"/>
                <w:sz w:val="21"/>
                <w:szCs w:val="21"/>
                <w:lang w:eastAsia="cs-CZ"/>
              </w:rPr>
            </w:pPr>
            <w:r w:rsidRPr="00F37C4C">
              <w:rPr>
                <w:rFonts w:ascii="Calibri" w:eastAsia="Times New Roman" w:hAnsi="Calibri" w:cs="Times New Roman"/>
                <w:b/>
                <w:color w:val="FFFFFF" w:themeColor="background1"/>
                <w:sz w:val="21"/>
                <w:szCs w:val="21"/>
                <w:lang w:eastAsia="cs-CZ"/>
              </w:rPr>
              <w:t>ČPZP</w:t>
            </w:r>
          </w:p>
        </w:tc>
        <w:tc>
          <w:tcPr>
            <w:tcW w:w="991" w:type="dxa"/>
            <w:vMerge w:val="restart"/>
            <w:tcBorders>
              <w:top w:val="single" w:sz="12" w:space="0" w:color="4F81BD"/>
              <w:left w:val="nil"/>
              <w:bottom w:val="nil"/>
              <w:right w:val="nil"/>
            </w:tcBorders>
            <w:shd w:val="clear" w:color="000000" w:fill="4F81BD"/>
            <w:vAlign w:val="center"/>
            <w:hideMark/>
          </w:tcPr>
          <w:p w14:paraId="038D502F" w14:textId="77777777" w:rsidR="0083778D" w:rsidRPr="00F37C4C" w:rsidRDefault="0083778D" w:rsidP="00223CAF">
            <w:pPr>
              <w:spacing w:after="0" w:line="240" w:lineRule="auto"/>
              <w:jc w:val="center"/>
              <w:rPr>
                <w:rFonts w:ascii="Calibri" w:eastAsia="Times New Roman" w:hAnsi="Calibri" w:cs="Times New Roman"/>
                <w:b/>
                <w:color w:val="FFFFFF"/>
                <w:sz w:val="21"/>
                <w:szCs w:val="21"/>
                <w:lang w:eastAsia="cs-CZ"/>
              </w:rPr>
            </w:pPr>
            <w:r w:rsidRPr="00F37C4C">
              <w:rPr>
                <w:rFonts w:ascii="Calibri" w:eastAsia="Times New Roman" w:hAnsi="Calibri" w:cs="Times New Roman"/>
                <w:b/>
                <w:color w:val="FFFFFF" w:themeColor="background1"/>
                <w:sz w:val="21"/>
                <w:szCs w:val="21"/>
                <w:lang w:eastAsia="cs-CZ"/>
              </w:rPr>
              <w:t>OZP</w:t>
            </w:r>
          </w:p>
        </w:tc>
        <w:tc>
          <w:tcPr>
            <w:tcW w:w="991" w:type="dxa"/>
            <w:vMerge w:val="restart"/>
            <w:tcBorders>
              <w:top w:val="single" w:sz="12" w:space="0" w:color="4F81BD"/>
              <w:left w:val="nil"/>
              <w:bottom w:val="nil"/>
              <w:right w:val="nil"/>
            </w:tcBorders>
            <w:shd w:val="clear" w:color="000000" w:fill="6691C6"/>
            <w:vAlign w:val="center"/>
            <w:hideMark/>
          </w:tcPr>
          <w:p w14:paraId="5F49CFAC" w14:textId="77777777" w:rsidR="0083778D" w:rsidRPr="00F37C4C" w:rsidRDefault="0083778D" w:rsidP="00223CAF">
            <w:pPr>
              <w:spacing w:after="0" w:line="240" w:lineRule="auto"/>
              <w:jc w:val="center"/>
              <w:rPr>
                <w:rFonts w:ascii="Calibri" w:eastAsia="Times New Roman" w:hAnsi="Calibri" w:cs="Times New Roman"/>
                <w:b/>
                <w:color w:val="FFFFFF"/>
                <w:sz w:val="21"/>
                <w:szCs w:val="21"/>
                <w:lang w:eastAsia="cs-CZ"/>
              </w:rPr>
            </w:pPr>
            <w:r w:rsidRPr="00F37C4C">
              <w:rPr>
                <w:rFonts w:ascii="Calibri" w:eastAsia="Times New Roman" w:hAnsi="Calibri" w:cs="Times New Roman"/>
                <w:b/>
                <w:color w:val="FFFFFF" w:themeColor="background1"/>
                <w:sz w:val="21"/>
                <w:szCs w:val="21"/>
                <w:lang w:eastAsia="cs-CZ"/>
              </w:rPr>
              <w:t>ZPŠ</w:t>
            </w:r>
          </w:p>
        </w:tc>
        <w:tc>
          <w:tcPr>
            <w:tcW w:w="991" w:type="dxa"/>
            <w:vMerge w:val="restart"/>
            <w:tcBorders>
              <w:top w:val="single" w:sz="12" w:space="0" w:color="4F81BD"/>
              <w:left w:val="nil"/>
              <w:bottom w:val="nil"/>
              <w:right w:val="nil"/>
            </w:tcBorders>
            <w:shd w:val="clear" w:color="000000" w:fill="4F81BD"/>
            <w:vAlign w:val="center"/>
            <w:hideMark/>
          </w:tcPr>
          <w:p w14:paraId="2DB0E6F5" w14:textId="704CF11C" w:rsidR="0083778D" w:rsidRPr="00F37C4C" w:rsidRDefault="0083778D" w:rsidP="00223CAF">
            <w:pPr>
              <w:spacing w:after="0" w:line="240" w:lineRule="auto"/>
              <w:jc w:val="center"/>
              <w:rPr>
                <w:rFonts w:ascii="Calibri" w:eastAsia="Times New Roman" w:hAnsi="Calibri" w:cs="Times New Roman"/>
                <w:b/>
                <w:color w:val="FFFFFF"/>
                <w:sz w:val="21"/>
                <w:szCs w:val="21"/>
                <w:lang w:eastAsia="cs-CZ"/>
              </w:rPr>
            </w:pPr>
            <w:r w:rsidRPr="00F37C4C">
              <w:rPr>
                <w:rFonts w:ascii="Calibri" w:eastAsia="Times New Roman" w:hAnsi="Calibri" w:cs="Times New Roman"/>
                <w:b/>
                <w:color w:val="FFFFFF" w:themeColor="background1"/>
                <w:sz w:val="21"/>
                <w:szCs w:val="21"/>
                <w:lang w:eastAsia="cs-CZ"/>
              </w:rPr>
              <w:t>ZP</w:t>
            </w:r>
            <w:r w:rsidR="003862B4">
              <w:rPr>
                <w:rFonts w:ascii="Calibri" w:eastAsia="Times New Roman" w:hAnsi="Calibri" w:cs="Times New Roman"/>
                <w:b/>
                <w:color w:val="FFFFFF" w:themeColor="background1"/>
                <w:sz w:val="21"/>
                <w:szCs w:val="21"/>
                <w:lang w:eastAsia="cs-CZ"/>
              </w:rPr>
              <w:t xml:space="preserve"> </w:t>
            </w:r>
            <w:r w:rsidRPr="00F37C4C">
              <w:rPr>
                <w:rFonts w:ascii="Calibri" w:eastAsia="Times New Roman" w:hAnsi="Calibri" w:cs="Times New Roman"/>
                <w:b/>
                <w:color w:val="FFFFFF" w:themeColor="background1"/>
                <w:sz w:val="21"/>
                <w:szCs w:val="21"/>
                <w:lang w:eastAsia="cs-CZ"/>
              </w:rPr>
              <w:t>MV ČR</w:t>
            </w:r>
          </w:p>
        </w:tc>
        <w:tc>
          <w:tcPr>
            <w:tcW w:w="991" w:type="dxa"/>
            <w:vMerge w:val="restart"/>
            <w:tcBorders>
              <w:top w:val="single" w:sz="12" w:space="0" w:color="4F81BD"/>
              <w:left w:val="nil"/>
              <w:bottom w:val="nil"/>
              <w:right w:val="single" w:sz="12" w:space="0" w:color="4F81BD"/>
            </w:tcBorders>
            <w:shd w:val="clear" w:color="000000" w:fill="6691C6"/>
            <w:vAlign w:val="center"/>
            <w:hideMark/>
          </w:tcPr>
          <w:p w14:paraId="769906F0" w14:textId="77777777" w:rsidR="0083778D" w:rsidRPr="00F37C4C" w:rsidRDefault="0083778D" w:rsidP="00223CAF">
            <w:pPr>
              <w:spacing w:after="0" w:line="240" w:lineRule="auto"/>
              <w:jc w:val="center"/>
              <w:rPr>
                <w:rFonts w:ascii="Calibri" w:eastAsia="Times New Roman" w:hAnsi="Calibri" w:cs="Times New Roman"/>
                <w:b/>
                <w:color w:val="FFFFFF"/>
                <w:sz w:val="21"/>
                <w:szCs w:val="21"/>
                <w:lang w:eastAsia="cs-CZ"/>
              </w:rPr>
            </w:pPr>
            <w:r w:rsidRPr="00F37C4C">
              <w:rPr>
                <w:rFonts w:ascii="Calibri" w:eastAsia="Times New Roman" w:hAnsi="Calibri" w:cs="Times New Roman"/>
                <w:b/>
                <w:color w:val="FFFFFF" w:themeColor="background1"/>
                <w:sz w:val="21"/>
                <w:szCs w:val="21"/>
                <w:lang w:eastAsia="cs-CZ"/>
              </w:rPr>
              <w:t>RBP</w:t>
            </w:r>
          </w:p>
        </w:tc>
      </w:tr>
      <w:tr w:rsidR="0083778D" w:rsidRPr="005F75BF" w14:paraId="2DE5CA0D" w14:textId="77777777" w:rsidTr="00F37C4C">
        <w:trPr>
          <w:trHeight w:val="300"/>
          <w:jc w:val="center"/>
        </w:trPr>
        <w:tc>
          <w:tcPr>
            <w:tcW w:w="2256" w:type="dxa"/>
            <w:tcBorders>
              <w:top w:val="nil"/>
              <w:left w:val="single" w:sz="12" w:space="0" w:color="4F81BD"/>
              <w:bottom w:val="nil"/>
              <w:right w:val="nil"/>
            </w:tcBorders>
            <w:shd w:val="clear" w:color="000000" w:fill="4F81BD"/>
            <w:vAlign w:val="center"/>
            <w:hideMark/>
          </w:tcPr>
          <w:p w14:paraId="513D496C" w14:textId="77777777" w:rsidR="0083778D" w:rsidRPr="005F75BF" w:rsidRDefault="0083778D" w:rsidP="00223CAF">
            <w:pPr>
              <w:spacing w:after="0" w:line="240" w:lineRule="auto"/>
              <w:rPr>
                <w:rFonts w:ascii="Calibri" w:eastAsia="Times New Roman" w:hAnsi="Calibri" w:cs="Times New Roman"/>
                <w:b/>
                <w:bCs/>
                <w:i/>
                <w:iCs/>
                <w:color w:val="FFFFFF"/>
                <w:sz w:val="21"/>
                <w:szCs w:val="21"/>
                <w:lang w:eastAsia="cs-CZ"/>
              </w:rPr>
            </w:pPr>
            <w:r w:rsidRPr="005F75BF">
              <w:rPr>
                <w:rFonts w:ascii="Calibri" w:eastAsia="Times New Roman" w:hAnsi="Calibri" w:cs="Times New Roman"/>
                <w:b/>
                <w:bCs/>
                <w:i/>
                <w:iCs/>
                <w:color w:val="FFFFFF"/>
                <w:sz w:val="21"/>
                <w:szCs w:val="21"/>
                <w:lang w:eastAsia="cs-CZ"/>
              </w:rPr>
              <w:t xml:space="preserve">(v mil. </w:t>
            </w:r>
            <w:proofErr w:type="gramStart"/>
            <w:r w:rsidRPr="005F75BF">
              <w:rPr>
                <w:rFonts w:ascii="Calibri" w:eastAsia="Times New Roman" w:hAnsi="Calibri" w:cs="Times New Roman"/>
                <w:b/>
                <w:bCs/>
                <w:i/>
                <w:iCs/>
                <w:color w:val="FFFFFF"/>
                <w:sz w:val="21"/>
                <w:szCs w:val="21"/>
                <w:lang w:eastAsia="cs-CZ"/>
              </w:rPr>
              <w:t>Kč )</w:t>
            </w:r>
            <w:proofErr w:type="gramEnd"/>
          </w:p>
        </w:tc>
        <w:tc>
          <w:tcPr>
            <w:tcW w:w="991" w:type="dxa"/>
            <w:vMerge/>
            <w:tcBorders>
              <w:top w:val="single" w:sz="12" w:space="0" w:color="4F81BD"/>
              <w:left w:val="nil"/>
              <w:bottom w:val="nil"/>
              <w:right w:val="nil"/>
            </w:tcBorders>
            <w:vAlign w:val="center"/>
            <w:hideMark/>
          </w:tcPr>
          <w:p w14:paraId="37368502" w14:textId="77777777" w:rsidR="0083778D" w:rsidRPr="005F75BF" w:rsidRDefault="0083778D" w:rsidP="00223CAF">
            <w:pPr>
              <w:spacing w:after="0" w:line="240" w:lineRule="auto"/>
              <w:rPr>
                <w:rFonts w:ascii="Calibri" w:eastAsia="Times New Roman" w:hAnsi="Calibri" w:cs="Times New Roman"/>
                <w:color w:val="FFFFFF"/>
                <w:sz w:val="21"/>
                <w:szCs w:val="21"/>
                <w:lang w:eastAsia="cs-CZ"/>
              </w:rPr>
            </w:pPr>
          </w:p>
        </w:tc>
        <w:tc>
          <w:tcPr>
            <w:tcW w:w="991" w:type="dxa"/>
            <w:vMerge/>
            <w:tcBorders>
              <w:top w:val="single" w:sz="12" w:space="0" w:color="4F81BD"/>
              <w:left w:val="nil"/>
              <w:bottom w:val="nil"/>
              <w:right w:val="nil"/>
            </w:tcBorders>
            <w:vAlign w:val="center"/>
            <w:hideMark/>
          </w:tcPr>
          <w:p w14:paraId="41997039" w14:textId="77777777" w:rsidR="0083778D" w:rsidRPr="005F75BF" w:rsidRDefault="0083778D" w:rsidP="00223CAF">
            <w:pPr>
              <w:spacing w:after="0" w:line="240" w:lineRule="auto"/>
              <w:rPr>
                <w:rFonts w:ascii="Calibri" w:eastAsia="Times New Roman" w:hAnsi="Calibri" w:cs="Times New Roman"/>
                <w:color w:val="FFFFFF"/>
                <w:sz w:val="21"/>
                <w:szCs w:val="21"/>
                <w:lang w:eastAsia="cs-CZ"/>
              </w:rPr>
            </w:pPr>
          </w:p>
        </w:tc>
        <w:tc>
          <w:tcPr>
            <w:tcW w:w="991" w:type="dxa"/>
            <w:vMerge/>
            <w:tcBorders>
              <w:top w:val="single" w:sz="12" w:space="0" w:color="4F81BD"/>
              <w:left w:val="nil"/>
              <w:bottom w:val="nil"/>
              <w:right w:val="nil"/>
            </w:tcBorders>
            <w:vAlign w:val="center"/>
            <w:hideMark/>
          </w:tcPr>
          <w:p w14:paraId="36731406" w14:textId="77777777" w:rsidR="0083778D" w:rsidRPr="005F75BF" w:rsidRDefault="0083778D" w:rsidP="00223CAF">
            <w:pPr>
              <w:spacing w:after="0" w:line="240" w:lineRule="auto"/>
              <w:rPr>
                <w:rFonts w:ascii="Calibri" w:eastAsia="Times New Roman" w:hAnsi="Calibri" w:cs="Times New Roman"/>
                <w:color w:val="FFFFFF"/>
                <w:sz w:val="21"/>
                <w:szCs w:val="21"/>
                <w:lang w:eastAsia="cs-CZ"/>
              </w:rPr>
            </w:pPr>
          </w:p>
        </w:tc>
        <w:tc>
          <w:tcPr>
            <w:tcW w:w="991" w:type="dxa"/>
            <w:vMerge/>
            <w:tcBorders>
              <w:top w:val="single" w:sz="12" w:space="0" w:color="4F81BD"/>
              <w:left w:val="nil"/>
              <w:bottom w:val="nil"/>
              <w:right w:val="nil"/>
            </w:tcBorders>
            <w:vAlign w:val="center"/>
            <w:hideMark/>
          </w:tcPr>
          <w:p w14:paraId="77D3F16F" w14:textId="77777777" w:rsidR="0083778D" w:rsidRPr="005F75BF" w:rsidRDefault="0083778D" w:rsidP="00223CAF">
            <w:pPr>
              <w:spacing w:after="0" w:line="240" w:lineRule="auto"/>
              <w:rPr>
                <w:rFonts w:ascii="Calibri" w:eastAsia="Times New Roman" w:hAnsi="Calibri" w:cs="Times New Roman"/>
                <w:color w:val="FFFFFF"/>
                <w:sz w:val="21"/>
                <w:szCs w:val="21"/>
                <w:lang w:eastAsia="cs-CZ"/>
              </w:rPr>
            </w:pPr>
          </w:p>
        </w:tc>
        <w:tc>
          <w:tcPr>
            <w:tcW w:w="991" w:type="dxa"/>
            <w:vMerge/>
            <w:tcBorders>
              <w:top w:val="single" w:sz="12" w:space="0" w:color="4F81BD"/>
              <w:left w:val="nil"/>
              <w:bottom w:val="nil"/>
              <w:right w:val="nil"/>
            </w:tcBorders>
            <w:vAlign w:val="center"/>
            <w:hideMark/>
          </w:tcPr>
          <w:p w14:paraId="18E22590" w14:textId="77777777" w:rsidR="0083778D" w:rsidRPr="005F75BF" w:rsidRDefault="0083778D" w:rsidP="00223CAF">
            <w:pPr>
              <w:spacing w:after="0" w:line="240" w:lineRule="auto"/>
              <w:rPr>
                <w:rFonts w:ascii="Calibri" w:eastAsia="Times New Roman" w:hAnsi="Calibri" w:cs="Times New Roman"/>
                <w:color w:val="FFFFFF"/>
                <w:sz w:val="21"/>
                <w:szCs w:val="21"/>
                <w:lang w:eastAsia="cs-CZ"/>
              </w:rPr>
            </w:pPr>
          </w:p>
        </w:tc>
        <w:tc>
          <w:tcPr>
            <w:tcW w:w="991" w:type="dxa"/>
            <w:vMerge/>
            <w:tcBorders>
              <w:top w:val="single" w:sz="12" w:space="0" w:color="4F81BD"/>
              <w:left w:val="nil"/>
              <w:bottom w:val="nil"/>
              <w:right w:val="nil"/>
            </w:tcBorders>
            <w:vAlign w:val="center"/>
            <w:hideMark/>
          </w:tcPr>
          <w:p w14:paraId="36C7D111" w14:textId="77777777" w:rsidR="0083778D" w:rsidRPr="005F75BF" w:rsidRDefault="0083778D" w:rsidP="00223CAF">
            <w:pPr>
              <w:spacing w:after="0" w:line="240" w:lineRule="auto"/>
              <w:rPr>
                <w:rFonts w:ascii="Calibri" w:eastAsia="Times New Roman" w:hAnsi="Calibri" w:cs="Times New Roman"/>
                <w:color w:val="FFFFFF"/>
                <w:sz w:val="21"/>
                <w:szCs w:val="21"/>
                <w:lang w:eastAsia="cs-CZ"/>
              </w:rPr>
            </w:pPr>
          </w:p>
        </w:tc>
        <w:tc>
          <w:tcPr>
            <w:tcW w:w="991" w:type="dxa"/>
            <w:vMerge/>
            <w:tcBorders>
              <w:top w:val="single" w:sz="12" w:space="0" w:color="4F81BD"/>
              <w:left w:val="nil"/>
              <w:bottom w:val="nil"/>
              <w:right w:val="single" w:sz="12" w:space="0" w:color="4F81BD"/>
            </w:tcBorders>
            <w:vAlign w:val="center"/>
            <w:hideMark/>
          </w:tcPr>
          <w:p w14:paraId="2AAC4528" w14:textId="77777777" w:rsidR="0083778D" w:rsidRPr="005F75BF" w:rsidRDefault="0083778D" w:rsidP="00223CAF">
            <w:pPr>
              <w:spacing w:after="0" w:line="240" w:lineRule="auto"/>
              <w:rPr>
                <w:rFonts w:ascii="Calibri" w:eastAsia="Times New Roman" w:hAnsi="Calibri" w:cs="Times New Roman"/>
                <w:color w:val="FFFFFF"/>
                <w:sz w:val="21"/>
                <w:szCs w:val="21"/>
                <w:lang w:eastAsia="cs-CZ"/>
              </w:rPr>
            </w:pPr>
          </w:p>
        </w:tc>
      </w:tr>
      <w:tr w:rsidR="00845783" w:rsidRPr="005F75BF" w14:paraId="42689115" w14:textId="77777777" w:rsidTr="00F37C4C">
        <w:trPr>
          <w:trHeight w:val="300"/>
          <w:jc w:val="center"/>
        </w:trPr>
        <w:tc>
          <w:tcPr>
            <w:tcW w:w="2256" w:type="dxa"/>
            <w:tcBorders>
              <w:top w:val="nil"/>
              <w:left w:val="single" w:sz="12" w:space="0" w:color="4F81BD"/>
              <w:bottom w:val="nil"/>
              <w:right w:val="nil"/>
            </w:tcBorders>
            <w:shd w:val="clear" w:color="auto" w:fill="auto"/>
            <w:vAlign w:val="center"/>
            <w:hideMark/>
          </w:tcPr>
          <w:p w14:paraId="6385293D" w14:textId="77777777" w:rsidR="00845783" w:rsidRPr="005F75BF" w:rsidRDefault="00845783" w:rsidP="00223CAF">
            <w:pPr>
              <w:spacing w:after="0" w:line="240" w:lineRule="auto"/>
              <w:rPr>
                <w:rFonts w:ascii="Calibri" w:eastAsia="Times New Roman" w:hAnsi="Calibri" w:cs="Times New Roman"/>
                <w:b/>
                <w:bCs/>
                <w:color w:val="000000"/>
                <w:sz w:val="21"/>
                <w:szCs w:val="21"/>
                <w:lang w:eastAsia="cs-CZ"/>
              </w:rPr>
            </w:pPr>
            <w:r w:rsidRPr="005F75BF">
              <w:rPr>
                <w:rFonts w:ascii="Calibri" w:eastAsia="Times New Roman" w:hAnsi="Calibri" w:cs="Arial"/>
                <w:b/>
                <w:bCs/>
                <w:color w:val="000000"/>
                <w:sz w:val="21"/>
                <w:szCs w:val="21"/>
                <w:lang w:eastAsia="cs-CZ"/>
              </w:rPr>
              <w:t>výdaje celkem</w:t>
            </w:r>
          </w:p>
        </w:tc>
        <w:tc>
          <w:tcPr>
            <w:tcW w:w="991" w:type="dxa"/>
            <w:tcBorders>
              <w:top w:val="nil"/>
              <w:left w:val="nil"/>
              <w:bottom w:val="nil"/>
              <w:right w:val="nil"/>
            </w:tcBorders>
            <w:shd w:val="clear" w:color="000000" w:fill="DCE6F1"/>
            <w:noWrap/>
            <w:vAlign w:val="center"/>
          </w:tcPr>
          <w:p w14:paraId="068C052C" w14:textId="77777777" w:rsidR="00845783" w:rsidRPr="005F75BF" w:rsidRDefault="00845783" w:rsidP="00223CAF">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177 175</w:t>
            </w:r>
          </w:p>
        </w:tc>
        <w:tc>
          <w:tcPr>
            <w:tcW w:w="991" w:type="dxa"/>
            <w:tcBorders>
              <w:top w:val="nil"/>
              <w:left w:val="nil"/>
              <w:bottom w:val="nil"/>
              <w:right w:val="nil"/>
            </w:tcBorders>
            <w:shd w:val="clear" w:color="auto" w:fill="auto"/>
            <w:noWrap/>
            <w:vAlign w:val="center"/>
          </w:tcPr>
          <w:p w14:paraId="44AF0DB3" w14:textId="77777777" w:rsidR="00845783" w:rsidRPr="005F75BF" w:rsidRDefault="00845783" w:rsidP="00223CAF">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19 036</w:t>
            </w:r>
          </w:p>
        </w:tc>
        <w:tc>
          <w:tcPr>
            <w:tcW w:w="991" w:type="dxa"/>
            <w:tcBorders>
              <w:top w:val="nil"/>
              <w:left w:val="nil"/>
              <w:bottom w:val="nil"/>
              <w:right w:val="nil"/>
            </w:tcBorders>
            <w:shd w:val="clear" w:color="000000" w:fill="DCE6F1"/>
            <w:noWrap/>
            <w:vAlign w:val="center"/>
          </w:tcPr>
          <w:p w14:paraId="0AAD6605" w14:textId="77777777" w:rsidR="00845783" w:rsidRPr="005F75BF" w:rsidRDefault="00845783" w:rsidP="00223CAF">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31 582</w:t>
            </w:r>
          </w:p>
        </w:tc>
        <w:tc>
          <w:tcPr>
            <w:tcW w:w="991" w:type="dxa"/>
            <w:tcBorders>
              <w:top w:val="nil"/>
              <w:left w:val="nil"/>
              <w:bottom w:val="nil"/>
              <w:right w:val="nil"/>
            </w:tcBorders>
            <w:shd w:val="clear" w:color="auto" w:fill="auto"/>
            <w:noWrap/>
            <w:vAlign w:val="center"/>
          </w:tcPr>
          <w:p w14:paraId="392F8710" w14:textId="77777777" w:rsidR="00845783" w:rsidRPr="005F75BF" w:rsidRDefault="00845783" w:rsidP="00223CAF">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18 045</w:t>
            </w:r>
          </w:p>
        </w:tc>
        <w:tc>
          <w:tcPr>
            <w:tcW w:w="991" w:type="dxa"/>
            <w:tcBorders>
              <w:top w:val="nil"/>
              <w:left w:val="nil"/>
              <w:bottom w:val="nil"/>
              <w:right w:val="nil"/>
            </w:tcBorders>
            <w:shd w:val="clear" w:color="000000" w:fill="DCE6F1"/>
            <w:noWrap/>
            <w:vAlign w:val="center"/>
          </w:tcPr>
          <w:p w14:paraId="6F5D41F5" w14:textId="77777777" w:rsidR="00845783" w:rsidRPr="005F75BF" w:rsidRDefault="00845783" w:rsidP="00223CAF">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3 927</w:t>
            </w:r>
          </w:p>
        </w:tc>
        <w:tc>
          <w:tcPr>
            <w:tcW w:w="991" w:type="dxa"/>
            <w:tcBorders>
              <w:top w:val="nil"/>
              <w:left w:val="nil"/>
              <w:bottom w:val="nil"/>
              <w:right w:val="nil"/>
            </w:tcBorders>
            <w:shd w:val="clear" w:color="auto" w:fill="auto"/>
            <w:noWrap/>
            <w:vAlign w:val="center"/>
          </w:tcPr>
          <w:p w14:paraId="67B84957" w14:textId="77777777" w:rsidR="00845783" w:rsidRPr="005F75BF" w:rsidRDefault="00845783" w:rsidP="00223CAF">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34 688</w:t>
            </w:r>
          </w:p>
        </w:tc>
        <w:tc>
          <w:tcPr>
            <w:tcW w:w="991" w:type="dxa"/>
            <w:tcBorders>
              <w:top w:val="nil"/>
              <w:left w:val="nil"/>
              <w:bottom w:val="nil"/>
              <w:right w:val="single" w:sz="12" w:space="0" w:color="4F81BD"/>
            </w:tcBorders>
            <w:shd w:val="clear" w:color="000000" w:fill="DCE6F1"/>
            <w:noWrap/>
            <w:vAlign w:val="center"/>
          </w:tcPr>
          <w:p w14:paraId="23E279D4" w14:textId="77777777" w:rsidR="00845783" w:rsidRPr="005F75BF" w:rsidRDefault="00845783" w:rsidP="00223CAF">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10 843</w:t>
            </w:r>
          </w:p>
        </w:tc>
      </w:tr>
      <w:tr w:rsidR="00845783" w:rsidRPr="005F75BF" w14:paraId="131EAFC3" w14:textId="77777777" w:rsidTr="00F37C4C">
        <w:trPr>
          <w:trHeight w:val="570"/>
          <w:jc w:val="center"/>
        </w:trPr>
        <w:tc>
          <w:tcPr>
            <w:tcW w:w="2256" w:type="dxa"/>
            <w:tcBorders>
              <w:top w:val="nil"/>
              <w:left w:val="single" w:sz="12" w:space="0" w:color="4F81BD"/>
              <w:bottom w:val="nil"/>
              <w:right w:val="nil"/>
            </w:tcBorders>
            <w:shd w:val="clear" w:color="000000" w:fill="EEF3F8"/>
            <w:vAlign w:val="center"/>
            <w:hideMark/>
          </w:tcPr>
          <w:p w14:paraId="4092AF04" w14:textId="77777777" w:rsidR="00845783" w:rsidRPr="005F75BF" w:rsidRDefault="00845783" w:rsidP="00223CAF">
            <w:pPr>
              <w:spacing w:after="0" w:line="240" w:lineRule="auto"/>
              <w:rPr>
                <w:rFonts w:ascii="Calibri" w:eastAsia="Times New Roman" w:hAnsi="Calibri" w:cs="Times New Roman"/>
                <w:color w:val="000000"/>
                <w:sz w:val="21"/>
                <w:szCs w:val="21"/>
                <w:lang w:eastAsia="cs-CZ"/>
              </w:rPr>
            </w:pPr>
            <w:r w:rsidRPr="005F75BF">
              <w:rPr>
                <w:rFonts w:ascii="Calibri" w:eastAsia="Times New Roman" w:hAnsi="Calibri" w:cs="Times New Roman"/>
                <w:color w:val="000000"/>
                <w:sz w:val="21"/>
                <w:szCs w:val="21"/>
                <w:lang w:eastAsia="cs-CZ"/>
              </w:rPr>
              <w:t>výdaje na zdravotní služby ze ZFZP</w:t>
            </w:r>
          </w:p>
        </w:tc>
        <w:tc>
          <w:tcPr>
            <w:tcW w:w="991" w:type="dxa"/>
            <w:tcBorders>
              <w:top w:val="nil"/>
              <w:left w:val="nil"/>
              <w:bottom w:val="nil"/>
              <w:right w:val="nil"/>
            </w:tcBorders>
            <w:shd w:val="clear" w:color="000000" w:fill="EEF3F8"/>
            <w:noWrap/>
            <w:vAlign w:val="center"/>
          </w:tcPr>
          <w:p w14:paraId="565104DE"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171 859</w:t>
            </w:r>
          </w:p>
        </w:tc>
        <w:tc>
          <w:tcPr>
            <w:tcW w:w="991" w:type="dxa"/>
            <w:tcBorders>
              <w:top w:val="nil"/>
              <w:left w:val="nil"/>
              <w:bottom w:val="nil"/>
              <w:right w:val="nil"/>
            </w:tcBorders>
            <w:shd w:val="clear" w:color="000000" w:fill="EEF3F8"/>
            <w:noWrap/>
            <w:vAlign w:val="center"/>
          </w:tcPr>
          <w:p w14:paraId="7D349F5F"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18 250</w:t>
            </w:r>
          </w:p>
        </w:tc>
        <w:tc>
          <w:tcPr>
            <w:tcW w:w="991" w:type="dxa"/>
            <w:tcBorders>
              <w:top w:val="nil"/>
              <w:left w:val="nil"/>
              <w:bottom w:val="nil"/>
              <w:right w:val="nil"/>
            </w:tcBorders>
            <w:shd w:val="clear" w:color="000000" w:fill="EEF3F8"/>
            <w:noWrap/>
            <w:vAlign w:val="center"/>
          </w:tcPr>
          <w:p w14:paraId="66D300D6"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30 433</w:t>
            </w:r>
          </w:p>
        </w:tc>
        <w:tc>
          <w:tcPr>
            <w:tcW w:w="991" w:type="dxa"/>
            <w:tcBorders>
              <w:top w:val="nil"/>
              <w:left w:val="nil"/>
              <w:bottom w:val="nil"/>
              <w:right w:val="nil"/>
            </w:tcBorders>
            <w:shd w:val="clear" w:color="000000" w:fill="EEF3F8"/>
            <w:noWrap/>
            <w:vAlign w:val="center"/>
          </w:tcPr>
          <w:p w14:paraId="47D3FF5D"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17 395</w:t>
            </w:r>
          </w:p>
        </w:tc>
        <w:tc>
          <w:tcPr>
            <w:tcW w:w="991" w:type="dxa"/>
            <w:tcBorders>
              <w:top w:val="nil"/>
              <w:left w:val="nil"/>
              <w:bottom w:val="nil"/>
              <w:right w:val="nil"/>
            </w:tcBorders>
            <w:shd w:val="clear" w:color="000000" w:fill="EEF3F8"/>
            <w:noWrap/>
            <w:vAlign w:val="center"/>
          </w:tcPr>
          <w:p w14:paraId="2AF862A9"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3 784</w:t>
            </w:r>
          </w:p>
        </w:tc>
        <w:tc>
          <w:tcPr>
            <w:tcW w:w="991" w:type="dxa"/>
            <w:tcBorders>
              <w:top w:val="nil"/>
              <w:left w:val="nil"/>
              <w:bottom w:val="nil"/>
              <w:right w:val="nil"/>
            </w:tcBorders>
            <w:shd w:val="clear" w:color="000000" w:fill="EEF3F8"/>
            <w:noWrap/>
            <w:vAlign w:val="center"/>
          </w:tcPr>
          <w:p w14:paraId="15EDB900"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33 554</w:t>
            </w:r>
          </w:p>
        </w:tc>
        <w:tc>
          <w:tcPr>
            <w:tcW w:w="991" w:type="dxa"/>
            <w:tcBorders>
              <w:top w:val="nil"/>
              <w:left w:val="nil"/>
              <w:bottom w:val="nil"/>
              <w:right w:val="single" w:sz="12" w:space="0" w:color="4F81BD"/>
            </w:tcBorders>
            <w:shd w:val="clear" w:color="000000" w:fill="EEF3F8"/>
            <w:noWrap/>
            <w:vAlign w:val="center"/>
          </w:tcPr>
          <w:p w14:paraId="5BDEF30A"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10 462</w:t>
            </w:r>
          </w:p>
        </w:tc>
      </w:tr>
      <w:tr w:rsidR="00845783" w:rsidRPr="005F75BF" w14:paraId="7E0D1925" w14:textId="77777777" w:rsidTr="00F37C4C">
        <w:trPr>
          <w:trHeight w:val="300"/>
          <w:jc w:val="center"/>
        </w:trPr>
        <w:tc>
          <w:tcPr>
            <w:tcW w:w="2256" w:type="dxa"/>
            <w:tcBorders>
              <w:top w:val="nil"/>
              <w:left w:val="single" w:sz="12" w:space="0" w:color="4F81BD"/>
              <w:bottom w:val="nil"/>
              <w:right w:val="nil"/>
            </w:tcBorders>
            <w:shd w:val="clear" w:color="auto" w:fill="auto"/>
            <w:vAlign w:val="center"/>
            <w:hideMark/>
          </w:tcPr>
          <w:p w14:paraId="34D5FBB6" w14:textId="1026503C" w:rsidR="00440291" w:rsidRDefault="00440291" w:rsidP="00223CAF">
            <w:pPr>
              <w:spacing w:after="0" w:line="240" w:lineRule="auto"/>
              <w:rPr>
                <w:rFonts w:ascii="Calibri" w:eastAsia="Times New Roman" w:hAnsi="Calibri" w:cs="Times New Roman"/>
                <w:color w:val="000000"/>
                <w:sz w:val="21"/>
                <w:szCs w:val="21"/>
                <w:lang w:eastAsia="cs-CZ"/>
              </w:rPr>
            </w:pPr>
            <w:r w:rsidRPr="005F75BF">
              <w:rPr>
                <w:rFonts w:ascii="Calibri" w:eastAsia="Times New Roman" w:hAnsi="Calibri" w:cs="Times New Roman"/>
                <w:color w:val="000000"/>
                <w:sz w:val="21"/>
                <w:szCs w:val="21"/>
                <w:lang w:eastAsia="cs-CZ"/>
              </w:rPr>
              <w:t>výdaje na zdravotní služby ze ZFZP</w:t>
            </w:r>
          </w:p>
          <w:p w14:paraId="1B497940" w14:textId="77777777" w:rsidR="00845783" w:rsidRPr="005F75BF" w:rsidRDefault="00845783" w:rsidP="00223CAF">
            <w:pPr>
              <w:spacing w:after="0" w:line="240" w:lineRule="auto"/>
              <w:rPr>
                <w:rFonts w:ascii="Calibri" w:eastAsia="Times New Roman" w:hAnsi="Calibri" w:cs="Times New Roman"/>
                <w:color w:val="000000"/>
                <w:sz w:val="21"/>
                <w:szCs w:val="21"/>
                <w:lang w:eastAsia="cs-CZ"/>
              </w:rPr>
            </w:pPr>
            <w:r w:rsidRPr="005F75BF">
              <w:rPr>
                <w:rFonts w:ascii="Calibri" w:eastAsia="Times New Roman" w:hAnsi="Calibri" w:cs="Times New Roman"/>
                <w:color w:val="000000"/>
                <w:sz w:val="21"/>
                <w:szCs w:val="21"/>
                <w:lang w:eastAsia="cs-CZ"/>
              </w:rPr>
              <w:t>na 1 pojištěnce (v Kč)</w:t>
            </w:r>
          </w:p>
        </w:tc>
        <w:tc>
          <w:tcPr>
            <w:tcW w:w="991" w:type="dxa"/>
            <w:tcBorders>
              <w:top w:val="nil"/>
              <w:left w:val="nil"/>
              <w:bottom w:val="nil"/>
              <w:right w:val="nil"/>
            </w:tcBorders>
            <w:shd w:val="clear" w:color="000000" w:fill="DCE6F1"/>
            <w:noWrap/>
            <w:vAlign w:val="center"/>
          </w:tcPr>
          <w:p w14:paraId="6CBD4292"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28 907</w:t>
            </w:r>
          </w:p>
        </w:tc>
        <w:tc>
          <w:tcPr>
            <w:tcW w:w="991" w:type="dxa"/>
            <w:tcBorders>
              <w:top w:val="nil"/>
              <w:left w:val="nil"/>
              <w:bottom w:val="nil"/>
              <w:right w:val="nil"/>
            </w:tcBorders>
            <w:shd w:val="clear" w:color="auto" w:fill="auto"/>
            <w:noWrap/>
            <w:vAlign w:val="center"/>
          </w:tcPr>
          <w:p w14:paraId="33AFCF54"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26 054</w:t>
            </w:r>
          </w:p>
        </w:tc>
        <w:tc>
          <w:tcPr>
            <w:tcW w:w="991" w:type="dxa"/>
            <w:tcBorders>
              <w:top w:val="nil"/>
              <w:left w:val="nil"/>
              <w:bottom w:val="nil"/>
              <w:right w:val="nil"/>
            </w:tcBorders>
            <w:shd w:val="clear" w:color="000000" w:fill="DCE6F1"/>
            <w:noWrap/>
            <w:vAlign w:val="center"/>
          </w:tcPr>
          <w:p w14:paraId="7AB19FC1"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24 327</w:t>
            </w:r>
          </w:p>
        </w:tc>
        <w:tc>
          <w:tcPr>
            <w:tcW w:w="991" w:type="dxa"/>
            <w:tcBorders>
              <w:top w:val="nil"/>
              <w:left w:val="nil"/>
              <w:bottom w:val="nil"/>
              <w:right w:val="nil"/>
            </w:tcBorders>
            <w:shd w:val="clear" w:color="auto" w:fill="auto"/>
            <w:noWrap/>
            <w:vAlign w:val="center"/>
          </w:tcPr>
          <w:p w14:paraId="0B4AB1F1"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23 763</w:t>
            </w:r>
          </w:p>
        </w:tc>
        <w:tc>
          <w:tcPr>
            <w:tcW w:w="991" w:type="dxa"/>
            <w:tcBorders>
              <w:top w:val="nil"/>
              <w:left w:val="nil"/>
              <w:bottom w:val="nil"/>
              <w:right w:val="nil"/>
            </w:tcBorders>
            <w:shd w:val="clear" w:color="000000" w:fill="DCE6F1"/>
            <w:noWrap/>
            <w:vAlign w:val="center"/>
          </w:tcPr>
          <w:p w14:paraId="4B9923B8"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26 314</w:t>
            </w:r>
          </w:p>
        </w:tc>
        <w:tc>
          <w:tcPr>
            <w:tcW w:w="991" w:type="dxa"/>
            <w:tcBorders>
              <w:top w:val="nil"/>
              <w:left w:val="nil"/>
              <w:bottom w:val="nil"/>
              <w:right w:val="nil"/>
            </w:tcBorders>
            <w:shd w:val="clear" w:color="auto" w:fill="auto"/>
            <w:noWrap/>
            <w:vAlign w:val="center"/>
          </w:tcPr>
          <w:p w14:paraId="4CFC3A63"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25 659</w:t>
            </w:r>
          </w:p>
        </w:tc>
        <w:tc>
          <w:tcPr>
            <w:tcW w:w="991" w:type="dxa"/>
            <w:tcBorders>
              <w:top w:val="nil"/>
              <w:left w:val="nil"/>
              <w:bottom w:val="nil"/>
              <w:right w:val="single" w:sz="12" w:space="0" w:color="4F81BD"/>
            </w:tcBorders>
            <w:shd w:val="clear" w:color="000000" w:fill="DCE6F1"/>
            <w:noWrap/>
            <w:vAlign w:val="center"/>
          </w:tcPr>
          <w:p w14:paraId="0358BB10"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24 370</w:t>
            </w:r>
          </w:p>
        </w:tc>
      </w:tr>
      <w:tr w:rsidR="00845783" w:rsidRPr="005F75BF" w14:paraId="64203A96" w14:textId="77777777" w:rsidTr="00F37C4C">
        <w:trPr>
          <w:trHeight w:val="570"/>
          <w:jc w:val="center"/>
        </w:trPr>
        <w:tc>
          <w:tcPr>
            <w:tcW w:w="2256" w:type="dxa"/>
            <w:tcBorders>
              <w:top w:val="nil"/>
              <w:left w:val="single" w:sz="12" w:space="0" w:color="4F81BD"/>
              <w:bottom w:val="nil"/>
              <w:right w:val="nil"/>
            </w:tcBorders>
            <w:shd w:val="clear" w:color="000000" w:fill="EEF3F8"/>
            <w:vAlign w:val="center"/>
            <w:hideMark/>
          </w:tcPr>
          <w:p w14:paraId="578A9375" w14:textId="77777777" w:rsidR="00845783" w:rsidRPr="00845783" w:rsidRDefault="00845783" w:rsidP="00223CAF">
            <w:pPr>
              <w:spacing w:after="0" w:line="240" w:lineRule="auto"/>
              <w:rPr>
                <w:rFonts w:ascii="Calibri" w:eastAsia="Times New Roman" w:hAnsi="Calibri" w:cs="Times New Roman"/>
                <w:b/>
                <w:bCs/>
                <w:color w:val="000000"/>
                <w:sz w:val="21"/>
                <w:szCs w:val="21"/>
                <w:lang w:eastAsia="cs-CZ"/>
              </w:rPr>
            </w:pPr>
            <w:r w:rsidRPr="00845783">
              <w:rPr>
                <w:rFonts w:ascii="Calibri" w:eastAsia="Times New Roman" w:hAnsi="Calibri" w:cs="Arial"/>
                <w:b/>
                <w:bCs/>
                <w:color w:val="000000"/>
                <w:sz w:val="21"/>
                <w:szCs w:val="21"/>
                <w:lang w:eastAsia="cs-CZ"/>
              </w:rPr>
              <w:t>výdaje na preventivní programy</w:t>
            </w:r>
          </w:p>
        </w:tc>
        <w:tc>
          <w:tcPr>
            <w:tcW w:w="991" w:type="dxa"/>
            <w:tcBorders>
              <w:top w:val="nil"/>
              <w:left w:val="nil"/>
              <w:bottom w:val="nil"/>
              <w:right w:val="nil"/>
            </w:tcBorders>
            <w:shd w:val="clear" w:color="000000" w:fill="EEF3F8"/>
            <w:noWrap/>
            <w:vAlign w:val="center"/>
          </w:tcPr>
          <w:p w14:paraId="7A47C272"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423</w:t>
            </w:r>
          </w:p>
        </w:tc>
        <w:tc>
          <w:tcPr>
            <w:tcW w:w="991" w:type="dxa"/>
            <w:tcBorders>
              <w:top w:val="nil"/>
              <w:left w:val="nil"/>
              <w:bottom w:val="nil"/>
              <w:right w:val="nil"/>
            </w:tcBorders>
            <w:shd w:val="clear" w:color="000000" w:fill="EEF3F8"/>
            <w:noWrap/>
            <w:vAlign w:val="center"/>
          </w:tcPr>
          <w:p w14:paraId="2DFB928A"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99</w:t>
            </w:r>
          </w:p>
        </w:tc>
        <w:tc>
          <w:tcPr>
            <w:tcW w:w="991" w:type="dxa"/>
            <w:tcBorders>
              <w:top w:val="nil"/>
              <w:left w:val="nil"/>
              <w:bottom w:val="nil"/>
              <w:right w:val="nil"/>
            </w:tcBorders>
            <w:shd w:val="clear" w:color="000000" w:fill="EEF3F8"/>
            <w:noWrap/>
            <w:vAlign w:val="center"/>
          </w:tcPr>
          <w:p w14:paraId="27318D2E"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219</w:t>
            </w:r>
          </w:p>
        </w:tc>
        <w:tc>
          <w:tcPr>
            <w:tcW w:w="991" w:type="dxa"/>
            <w:tcBorders>
              <w:top w:val="nil"/>
              <w:left w:val="nil"/>
              <w:bottom w:val="nil"/>
              <w:right w:val="nil"/>
            </w:tcBorders>
            <w:shd w:val="clear" w:color="000000" w:fill="EEF3F8"/>
            <w:noWrap/>
            <w:vAlign w:val="center"/>
          </w:tcPr>
          <w:p w14:paraId="3301D768"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80</w:t>
            </w:r>
          </w:p>
        </w:tc>
        <w:tc>
          <w:tcPr>
            <w:tcW w:w="991" w:type="dxa"/>
            <w:tcBorders>
              <w:top w:val="nil"/>
              <w:left w:val="nil"/>
              <w:bottom w:val="nil"/>
              <w:right w:val="nil"/>
            </w:tcBorders>
            <w:shd w:val="clear" w:color="000000" w:fill="EEF3F8"/>
            <w:noWrap/>
            <w:vAlign w:val="center"/>
          </w:tcPr>
          <w:p w14:paraId="68B18560"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23</w:t>
            </w:r>
          </w:p>
        </w:tc>
        <w:tc>
          <w:tcPr>
            <w:tcW w:w="991" w:type="dxa"/>
            <w:tcBorders>
              <w:top w:val="nil"/>
              <w:left w:val="nil"/>
              <w:bottom w:val="nil"/>
              <w:right w:val="nil"/>
            </w:tcBorders>
            <w:shd w:val="clear" w:color="000000" w:fill="EEF3F8"/>
            <w:noWrap/>
            <w:vAlign w:val="center"/>
          </w:tcPr>
          <w:p w14:paraId="7D56907C"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175</w:t>
            </w:r>
          </w:p>
        </w:tc>
        <w:tc>
          <w:tcPr>
            <w:tcW w:w="991" w:type="dxa"/>
            <w:tcBorders>
              <w:top w:val="nil"/>
              <w:left w:val="nil"/>
              <w:bottom w:val="nil"/>
              <w:right w:val="single" w:sz="12" w:space="0" w:color="4F81BD"/>
            </w:tcBorders>
            <w:shd w:val="clear" w:color="000000" w:fill="EEF3F8"/>
            <w:noWrap/>
            <w:vAlign w:val="center"/>
          </w:tcPr>
          <w:p w14:paraId="7CF1D25D"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58</w:t>
            </w:r>
          </w:p>
        </w:tc>
      </w:tr>
      <w:tr w:rsidR="00845783" w:rsidRPr="005F75BF" w14:paraId="3C2606AF" w14:textId="77777777" w:rsidTr="00F37C4C">
        <w:trPr>
          <w:trHeight w:val="300"/>
          <w:jc w:val="center"/>
        </w:trPr>
        <w:tc>
          <w:tcPr>
            <w:tcW w:w="2256" w:type="dxa"/>
            <w:tcBorders>
              <w:top w:val="nil"/>
              <w:left w:val="single" w:sz="12" w:space="0" w:color="4F81BD"/>
              <w:bottom w:val="nil"/>
              <w:right w:val="nil"/>
            </w:tcBorders>
            <w:shd w:val="clear" w:color="auto" w:fill="auto"/>
            <w:vAlign w:val="center"/>
            <w:hideMark/>
          </w:tcPr>
          <w:p w14:paraId="43746F9F" w14:textId="21ED06CE" w:rsidR="00845783" w:rsidRPr="00845783" w:rsidRDefault="0011182D" w:rsidP="00223CAF">
            <w:pPr>
              <w:spacing w:after="0" w:line="240" w:lineRule="auto"/>
              <w:rPr>
                <w:rFonts w:ascii="Calibri" w:eastAsia="Times New Roman" w:hAnsi="Calibri" w:cs="Times New Roman"/>
                <w:color w:val="000000"/>
                <w:sz w:val="21"/>
                <w:szCs w:val="21"/>
                <w:lang w:eastAsia="cs-CZ"/>
              </w:rPr>
            </w:pPr>
            <w:r w:rsidRPr="0011182D">
              <w:rPr>
                <w:rFonts w:ascii="Calibri" w:eastAsia="Times New Roman" w:hAnsi="Calibri" w:cs="Times New Roman"/>
                <w:color w:val="000000"/>
                <w:sz w:val="21"/>
                <w:szCs w:val="21"/>
                <w:lang w:eastAsia="cs-CZ"/>
              </w:rPr>
              <w:t xml:space="preserve">výdaje na preventivní programy </w:t>
            </w:r>
            <w:r>
              <w:rPr>
                <w:rFonts w:ascii="Calibri" w:eastAsia="Times New Roman" w:hAnsi="Calibri" w:cs="Times New Roman"/>
                <w:color w:val="000000"/>
                <w:sz w:val="21"/>
                <w:szCs w:val="21"/>
                <w:lang w:eastAsia="cs-CZ"/>
              </w:rPr>
              <w:br/>
            </w:r>
            <w:r w:rsidR="00845783" w:rsidRPr="00845783">
              <w:rPr>
                <w:rFonts w:ascii="Calibri" w:eastAsia="Times New Roman" w:hAnsi="Calibri" w:cs="Times New Roman"/>
                <w:color w:val="000000"/>
                <w:sz w:val="21"/>
                <w:szCs w:val="21"/>
                <w:lang w:eastAsia="cs-CZ"/>
              </w:rPr>
              <w:t>na 1 pojištěnce (v Kč)</w:t>
            </w:r>
          </w:p>
        </w:tc>
        <w:tc>
          <w:tcPr>
            <w:tcW w:w="991" w:type="dxa"/>
            <w:tcBorders>
              <w:top w:val="nil"/>
              <w:left w:val="nil"/>
              <w:bottom w:val="nil"/>
              <w:right w:val="nil"/>
            </w:tcBorders>
            <w:shd w:val="clear" w:color="000000" w:fill="DCE6F1"/>
            <w:noWrap/>
            <w:vAlign w:val="center"/>
          </w:tcPr>
          <w:p w14:paraId="64EB0C83"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71</w:t>
            </w:r>
          </w:p>
        </w:tc>
        <w:tc>
          <w:tcPr>
            <w:tcW w:w="991" w:type="dxa"/>
            <w:tcBorders>
              <w:top w:val="nil"/>
              <w:left w:val="nil"/>
              <w:bottom w:val="nil"/>
              <w:right w:val="nil"/>
            </w:tcBorders>
            <w:shd w:val="clear" w:color="auto" w:fill="auto"/>
            <w:noWrap/>
            <w:vAlign w:val="center"/>
          </w:tcPr>
          <w:p w14:paraId="284BF10E"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141</w:t>
            </w:r>
          </w:p>
        </w:tc>
        <w:tc>
          <w:tcPr>
            <w:tcW w:w="991" w:type="dxa"/>
            <w:tcBorders>
              <w:top w:val="nil"/>
              <w:left w:val="nil"/>
              <w:bottom w:val="nil"/>
              <w:right w:val="nil"/>
            </w:tcBorders>
            <w:shd w:val="clear" w:color="000000" w:fill="DCE6F1"/>
            <w:noWrap/>
            <w:vAlign w:val="center"/>
          </w:tcPr>
          <w:p w14:paraId="046B7C68"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175</w:t>
            </w:r>
          </w:p>
        </w:tc>
        <w:tc>
          <w:tcPr>
            <w:tcW w:w="991" w:type="dxa"/>
            <w:tcBorders>
              <w:top w:val="nil"/>
              <w:left w:val="nil"/>
              <w:bottom w:val="nil"/>
              <w:right w:val="nil"/>
            </w:tcBorders>
            <w:shd w:val="clear" w:color="auto" w:fill="auto"/>
            <w:noWrap/>
            <w:vAlign w:val="center"/>
          </w:tcPr>
          <w:p w14:paraId="2A905ED9"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109</w:t>
            </w:r>
          </w:p>
        </w:tc>
        <w:tc>
          <w:tcPr>
            <w:tcW w:w="991" w:type="dxa"/>
            <w:tcBorders>
              <w:top w:val="nil"/>
              <w:left w:val="nil"/>
              <w:bottom w:val="nil"/>
              <w:right w:val="nil"/>
            </w:tcBorders>
            <w:shd w:val="clear" w:color="000000" w:fill="DCE6F1"/>
            <w:noWrap/>
            <w:vAlign w:val="center"/>
          </w:tcPr>
          <w:p w14:paraId="7F938617"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159</w:t>
            </w:r>
          </w:p>
        </w:tc>
        <w:tc>
          <w:tcPr>
            <w:tcW w:w="991" w:type="dxa"/>
            <w:tcBorders>
              <w:top w:val="nil"/>
              <w:left w:val="nil"/>
              <w:bottom w:val="nil"/>
              <w:right w:val="nil"/>
            </w:tcBorders>
            <w:shd w:val="clear" w:color="auto" w:fill="auto"/>
            <w:noWrap/>
            <w:vAlign w:val="center"/>
          </w:tcPr>
          <w:p w14:paraId="598C29B3"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134</w:t>
            </w:r>
          </w:p>
        </w:tc>
        <w:tc>
          <w:tcPr>
            <w:tcW w:w="991" w:type="dxa"/>
            <w:tcBorders>
              <w:top w:val="nil"/>
              <w:left w:val="nil"/>
              <w:bottom w:val="nil"/>
              <w:right w:val="single" w:sz="12" w:space="0" w:color="4F81BD"/>
            </w:tcBorders>
            <w:shd w:val="clear" w:color="000000" w:fill="DCE6F1"/>
            <w:noWrap/>
            <w:vAlign w:val="center"/>
          </w:tcPr>
          <w:p w14:paraId="71288FEA" w14:textId="77777777" w:rsidR="00845783" w:rsidRPr="005F75BF" w:rsidRDefault="00845783"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136</w:t>
            </w:r>
          </w:p>
        </w:tc>
      </w:tr>
      <w:tr w:rsidR="00C714AD" w:rsidRPr="005F75BF" w14:paraId="1B55CEBC" w14:textId="77777777" w:rsidTr="00F37C4C">
        <w:trPr>
          <w:trHeight w:val="300"/>
          <w:jc w:val="center"/>
        </w:trPr>
        <w:tc>
          <w:tcPr>
            <w:tcW w:w="2256" w:type="dxa"/>
            <w:tcBorders>
              <w:top w:val="nil"/>
              <w:left w:val="single" w:sz="12" w:space="0" w:color="4F81BD"/>
              <w:bottom w:val="nil"/>
              <w:right w:val="nil"/>
            </w:tcBorders>
            <w:shd w:val="clear" w:color="000000" w:fill="EEF3F8"/>
            <w:vAlign w:val="center"/>
            <w:hideMark/>
          </w:tcPr>
          <w:p w14:paraId="19DB3906" w14:textId="77777777" w:rsidR="00C714AD" w:rsidRPr="005C10E7" w:rsidRDefault="00C714AD" w:rsidP="00223CAF">
            <w:pPr>
              <w:spacing w:after="0" w:line="240" w:lineRule="auto"/>
              <w:rPr>
                <w:rFonts w:ascii="Calibri" w:eastAsia="Times New Roman" w:hAnsi="Calibri" w:cs="Times New Roman"/>
                <w:b/>
                <w:bCs/>
                <w:color w:val="000000"/>
                <w:sz w:val="21"/>
                <w:szCs w:val="21"/>
                <w:lang w:eastAsia="cs-CZ"/>
              </w:rPr>
            </w:pPr>
            <w:r w:rsidRPr="00845783">
              <w:rPr>
                <w:rFonts w:ascii="Calibri" w:eastAsia="Times New Roman" w:hAnsi="Calibri" w:cs="Arial"/>
                <w:b/>
                <w:bCs/>
                <w:color w:val="000000"/>
                <w:sz w:val="21"/>
                <w:szCs w:val="21"/>
                <w:lang w:eastAsia="cs-CZ"/>
              </w:rPr>
              <w:t>výdaje na vlastní činnost</w:t>
            </w:r>
          </w:p>
        </w:tc>
        <w:tc>
          <w:tcPr>
            <w:tcW w:w="991" w:type="dxa"/>
            <w:tcBorders>
              <w:top w:val="nil"/>
              <w:left w:val="nil"/>
              <w:bottom w:val="nil"/>
              <w:right w:val="nil"/>
            </w:tcBorders>
            <w:shd w:val="clear" w:color="000000" w:fill="EEF3F8"/>
            <w:noWrap/>
            <w:vAlign w:val="center"/>
          </w:tcPr>
          <w:p w14:paraId="0A275FAB" w14:textId="77777777" w:rsidR="00C714AD" w:rsidRPr="005F75BF" w:rsidRDefault="00C714AD"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3 868</w:t>
            </w:r>
          </w:p>
        </w:tc>
        <w:tc>
          <w:tcPr>
            <w:tcW w:w="991" w:type="dxa"/>
            <w:tcBorders>
              <w:top w:val="nil"/>
              <w:left w:val="nil"/>
              <w:bottom w:val="nil"/>
              <w:right w:val="nil"/>
            </w:tcBorders>
            <w:shd w:val="clear" w:color="000000" w:fill="EEF3F8"/>
            <w:noWrap/>
            <w:vAlign w:val="center"/>
          </w:tcPr>
          <w:p w14:paraId="238DD759" w14:textId="77777777" w:rsidR="00C714AD" w:rsidRPr="005F75BF" w:rsidRDefault="00C714AD"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488</w:t>
            </w:r>
          </w:p>
        </w:tc>
        <w:tc>
          <w:tcPr>
            <w:tcW w:w="991" w:type="dxa"/>
            <w:tcBorders>
              <w:top w:val="nil"/>
              <w:left w:val="nil"/>
              <w:bottom w:val="nil"/>
              <w:right w:val="nil"/>
            </w:tcBorders>
            <w:shd w:val="clear" w:color="000000" w:fill="EEF3F8"/>
            <w:noWrap/>
            <w:vAlign w:val="center"/>
          </w:tcPr>
          <w:p w14:paraId="138B3BF7" w14:textId="77777777" w:rsidR="00C714AD" w:rsidRPr="005F75BF" w:rsidRDefault="00C714AD"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834</w:t>
            </w:r>
          </w:p>
        </w:tc>
        <w:tc>
          <w:tcPr>
            <w:tcW w:w="991" w:type="dxa"/>
            <w:tcBorders>
              <w:top w:val="nil"/>
              <w:left w:val="nil"/>
              <w:bottom w:val="nil"/>
              <w:right w:val="nil"/>
            </w:tcBorders>
            <w:shd w:val="clear" w:color="000000" w:fill="EEF3F8"/>
            <w:noWrap/>
            <w:vAlign w:val="center"/>
          </w:tcPr>
          <w:p w14:paraId="5F8822E8" w14:textId="77777777" w:rsidR="00C714AD" w:rsidRPr="005F75BF" w:rsidRDefault="00C714AD"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528</w:t>
            </w:r>
          </w:p>
        </w:tc>
        <w:tc>
          <w:tcPr>
            <w:tcW w:w="991" w:type="dxa"/>
            <w:tcBorders>
              <w:top w:val="nil"/>
              <w:left w:val="nil"/>
              <w:bottom w:val="nil"/>
              <w:right w:val="nil"/>
            </w:tcBorders>
            <w:shd w:val="clear" w:color="000000" w:fill="EEF3F8"/>
            <w:noWrap/>
            <w:vAlign w:val="center"/>
          </w:tcPr>
          <w:p w14:paraId="04B0169F" w14:textId="77777777" w:rsidR="00C714AD" w:rsidRPr="005F75BF" w:rsidRDefault="00C714AD"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113</w:t>
            </w:r>
          </w:p>
        </w:tc>
        <w:tc>
          <w:tcPr>
            <w:tcW w:w="991" w:type="dxa"/>
            <w:tcBorders>
              <w:top w:val="nil"/>
              <w:left w:val="nil"/>
              <w:bottom w:val="nil"/>
              <w:right w:val="nil"/>
            </w:tcBorders>
            <w:shd w:val="clear" w:color="000000" w:fill="EEF3F8"/>
            <w:noWrap/>
            <w:vAlign w:val="center"/>
          </w:tcPr>
          <w:p w14:paraId="72607A4C" w14:textId="77777777" w:rsidR="00C714AD" w:rsidRPr="005F75BF" w:rsidRDefault="00C714AD"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845</w:t>
            </w:r>
          </w:p>
        </w:tc>
        <w:tc>
          <w:tcPr>
            <w:tcW w:w="991" w:type="dxa"/>
            <w:tcBorders>
              <w:top w:val="nil"/>
              <w:left w:val="nil"/>
              <w:bottom w:val="nil"/>
              <w:right w:val="single" w:sz="12" w:space="0" w:color="4F81BD"/>
            </w:tcBorders>
            <w:shd w:val="clear" w:color="000000" w:fill="EEF3F8"/>
            <w:noWrap/>
            <w:vAlign w:val="center"/>
          </w:tcPr>
          <w:p w14:paraId="7A4099B6" w14:textId="77777777" w:rsidR="00C714AD" w:rsidRPr="005F75BF" w:rsidRDefault="00C714AD" w:rsidP="00223CAF">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b/>
                <w:bCs/>
                <w:color w:val="000000"/>
                <w:sz w:val="21"/>
                <w:szCs w:val="21"/>
              </w:rPr>
              <w:t>310</w:t>
            </w:r>
          </w:p>
        </w:tc>
      </w:tr>
      <w:tr w:rsidR="00845783" w:rsidRPr="005F75BF" w14:paraId="3D67D1A5" w14:textId="77777777" w:rsidTr="00F37C4C">
        <w:trPr>
          <w:trHeight w:val="315"/>
          <w:jc w:val="center"/>
        </w:trPr>
        <w:tc>
          <w:tcPr>
            <w:tcW w:w="2256" w:type="dxa"/>
            <w:tcBorders>
              <w:top w:val="nil"/>
              <w:left w:val="single" w:sz="12" w:space="0" w:color="4F81BD"/>
              <w:bottom w:val="single" w:sz="12" w:space="0" w:color="4F81BD"/>
              <w:right w:val="nil"/>
            </w:tcBorders>
            <w:shd w:val="clear" w:color="auto" w:fill="auto"/>
            <w:vAlign w:val="center"/>
            <w:hideMark/>
          </w:tcPr>
          <w:p w14:paraId="45E8C043" w14:textId="77777777" w:rsidR="00845783" w:rsidRPr="00845783" w:rsidRDefault="00845783" w:rsidP="00223CAF">
            <w:pPr>
              <w:spacing w:after="0" w:line="240" w:lineRule="auto"/>
              <w:rPr>
                <w:rFonts w:ascii="Calibri" w:eastAsia="Times New Roman" w:hAnsi="Calibri" w:cs="Times New Roman"/>
                <w:color w:val="000000"/>
                <w:sz w:val="21"/>
                <w:szCs w:val="21"/>
                <w:lang w:eastAsia="cs-CZ"/>
              </w:rPr>
            </w:pPr>
            <w:r w:rsidRPr="00845783">
              <w:rPr>
                <w:rFonts w:ascii="Calibri" w:eastAsia="Times New Roman" w:hAnsi="Calibri" w:cs="Times New Roman"/>
                <w:color w:val="000000"/>
                <w:sz w:val="21"/>
                <w:szCs w:val="21"/>
                <w:lang w:eastAsia="cs-CZ"/>
              </w:rPr>
              <w:t xml:space="preserve">podíl na výdajích celkem </w:t>
            </w:r>
          </w:p>
        </w:tc>
        <w:tc>
          <w:tcPr>
            <w:tcW w:w="991" w:type="dxa"/>
            <w:tcBorders>
              <w:top w:val="nil"/>
              <w:left w:val="nil"/>
              <w:bottom w:val="single" w:sz="12" w:space="0" w:color="4F81BD"/>
              <w:right w:val="nil"/>
            </w:tcBorders>
            <w:shd w:val="clear" w:color="000000" w:fill="DCE6F1"/>
            <w:noWrap/>
            <w:vAlign w:val="center"/>
          </w:tcPr>
          <w:p w14:paraId="0D24AC80" w14:textId="77777777" w:rsidR="00845783" w:rsidRPr="005F75BF" w:rsidRDefault="00845783" w:rsidP="00223CAF">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 w:val="21"/>
                <w:szCs w:val="21"/>
              </w:rPr>
              <w:t>2,2</w:t>
            </w:r>
            <w:r w:rsidR="00B9182D">
              <w:rPr>
                <w:rFonts w:ascii="Calibri" w:hAnsi="Calibri" w:cs="Times New Roman CE"/>
                <w:color w:val="000000"/>
                <w:sz w:val="21"/>
                <w:szCs w:val="21"/>
              </w:rPr>
              <w:t xml:space="preserve"> </w:t>
            </w:r>
            <w:r>
              <w:rPr>
                <w:rFonts w:ascii="Calibri" w:hAnsi="Calibri" w:cs="Times New Roman CE"/>
                <w:color w:val="000000"/>
                <w:sz w:val="21"/>
                <w:szCs w:val="21"/>
              </w:rPr>
              <w:t>%</w:t>
            </w:r>
          </w:p>
        </w:tc>
        <w:tc>
          <w:tcPr>
            <w:tcW w:w="991" w:type="dxa"/>
            <w:tcBorders>
              <w:top w:val="nil"/>
              <w:left w:val="nil"/>
              <w:bottom w:val="single" w:sz="12" w:space="0" w:color="4F81BD"/>
              <w:right w:val="nil"/>
            </w:tcBorders>
            <w:shd w:val="clear" w:color="auto" w:fill="auto"/>
            <w:noWrap/>
            <w:vAlign w:val="center"/>
          </w:tcPr>
          <w:p w14:paraId="52FA5C07" w14:textId="77777777" w:rsidR="00845783" w:rsidRPr="005F75BF" w:rsidRDefault="00845783" w:rsidP="00223CAF">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 w:val="21"/>
                <w:szCs w:val="21"/>
              </w:rPr>
              <w:t>2,6</w:t>
            </w:r>
            <w:r w:rsidR="00B9182D">
              <w:rPr>
                <w:rFonts w:ascii="Calibri" w:hAnsi="Calibri" w:cs="Times New Roman CE"/>
                <w:color w:val="000000"/>
                <w:sz w:val="21"/>
                <w:szCs w:val="21"/>
              </w:rPr>
              <w:t xml:space="preserve"> </w:t>
            </w:r>
            <w:r>
              <w:rPr>
                <w:rFonts w:ascii="Calibri" w:hAnsi="Calibri" w:cs="Times New Roman CE"/>
                <w:color w:val="000000"/>
                <w:sz w:val="21"/>
                <w:szCs w:val="21"/>
              </w:rPr>
              <w:t>%</w:t>
            </w:r>
          </w:p>
        </w:tc>
        <w:tc>
          <w:tcPr>
            <w:tcW w:w="991" w:type="dxa"/>
            <w:tcBorders>
              <w:top w:val="nil"/>
              <w:left w:val="nil"/>
              <w:bottom w:val="single" w:sz="12" w:space="0" w:color="4F81BD"/>
              <w:right w:val="nil"/>
            </w:tcBorders>
            <w:shd w:val="clear" w:color="000000" w:fill="DCE6F1"/>
            <w:noWrap/>
            <w:vAlign w:val="center"/>
          </w:tcPr>
          <w:p w14:paraId="69A954DA" w14:textId="77777777" w:rsidR="00845783" w:rsidRPr="005F75BF" w:rsidRDefault="00845783" w:rsidP="00223CAF">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 w:val="21"/>
                <w:szCs w:val="21"/>
              </w:rPr>
              <w:t>2,6</w:t>
            </w:r>
            <w:r w:rsidR="00B9182D">
              <w:rPr>
                <w:rFonts w:ascii="Calibri" w:hAnsi="Calibri" w:cs="Times New Roman CE"/>
                <w:color w:val="000000"/>
                <w:sz w:val="21"/>
                <w:szCs w:val="21"/>
              </w:rPr>
              <w:t xml:space="preserve"> </w:t>
            </w:r>
            <w:r>
              <w:rPr>
                <w:rFonts w:ascii="Calibri" w:hAnsi="Calibri" w:cs="Times New Roman CE"/>
                <w:color w:val="000000"/>
                <w:sz w:val="21"/>
                <w:szCs w:val="21"/>
              </w:rPr>
              <w:t>%</w:t>
            </w:r>
          </w:p>
        </w:tc>
        <w:tc>
          <w:tcPr>
            <w:tcW w:w="991" w:type="dxa"/>
            <w:tcBorders>
              <w:top w:val="nil"/>
              <w:left w:val="nil"/>
              <w:bottom w:val="single" w:sz="12" w:space="0" w:color="4F81BD"/>
              <w:right w:val="nil"/>
            </w:tcBorders>
            <w:shd w:val="clear" w:color="auto" w:fill="auto"/>
            <w:noWrap/>
            <w:vAlign w:val="center"/>
          </w:tcPr>
          <w:p w14:paraId="20292702" w14:textId="77777777" w:rsidR="00845783" w:rsidRPr="005F75BF" w:rsidRDefault="00845783" w:rsidP="00223CAF">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 w:val="21"/>
                <w:szCs w:val="21"/>
              </w:rPr>
              <w:t>2,9</w:t>
            </w:r>
            <w:r w:rsidR="00B9182D">
              <w:rPr>
                <w:rFonts w:ascii="Calibri" w:hAnsi="Calibri" w:cs="Times New Roman CE"/>
                <w:color w:val="000000"/>
                <w:sz w:val="21"/>
                <w:szCs w:val="21"/>
              </w:rPr>
              <w:t xml:space="preserve"> </w:t>
            </w:r>
            <w:r>
              <w:rPr>
                <w:rFonts w:ascii="Calibri" w:hAnsi="Calibri" w:cs="Times New Roman CE"/>
                <w:color w:val="000000"/>
                <w:sz w:val="21"/>
                <w:szCs w:val="21"/>
              </w:rPr>
              <w:t>%</w:t>
            </w:r>
          </w:p>
        </w:tc>
        <w:tc>
          <w:tcPr>
            <w:tcW w:w="991" w:type="dxa"/>
            <w:tcBorders>
              <w:top w:val="nil"/>
              <w:left w:val="nil"/>
              <w:bottom w:val="single" w:sz="12" w:space="0" w:color="4F81BD"/>
              <w:right w:val="nil"/>
            </w:tcBorders>
            <w:shd w:val="clear" w:color="000000" w:fill="DCE6F1"/>
            <w:noWrap/>
            <w:vAlign w:val="center"/>
          </w:tcPr>
          <w:p w14:paraId="65CA3C36" w14:textId="77777777" w:rsidR="00845783" w:rsidRPr="005F75BF" w:rsidRDefault="00845783" w:rsidP="00223CAF">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 w:val="21"/>
                <w:szCs w:val="21"/>
              </w:rPr>
              <w:t>2,9</w:t>
            </w:r>
            <w:r w:rsidR="00B9182D">
              <w:rPr>
                <w:rFonts w:ascii="Calibri" w:hAnsi="Calibri" w:cs="Times New Roman CE"/>
                <w:color w:val="000000"/>
                <w:sz w:val="21"/>
                <w:szCs w:val="21"/>
              </w:rPr>
              <w:t xml:space="preserve"> </w:t>
            </w:r>
            <w:r>
              <w:rPr>
                <w:rFonts w:ascii="Calibri" w:hAnsi="Calibri" w:cs="Times New Roman CE"/>
                <w:color w:val="000000"/>
                <w:sz w:val="21"/>
                <w:szCs w:val="21"/>
              </w:rPr>
              <w:t>%</w:t>
            </w:r>
          </w:p>
        </w:tc>
        <w:tc>
          <w:tcPr>
            <w:tcW w:w="991" w:type="dxa"/>
            <w:tcBorders>
              <w:top w:val="nil"/>
              <w:left w:val="nil"/>
              <w:bottom w:val="single" w:sz="12" w:space="0" w:color="4F81BD"/>
              <w:right w:val="nil"/>
            </w:tcBorders>
            <w:shd w:val="clear" w:color="auto" w:fill="auto"/>
            <w:noWrap/>
            <w:vAlign w:val="center"/>
          </w:tcPr>
          <w:p w14:paraId="1A74BE35" w14:textId="77777777" w:rsidR="00845783" w:rsidRPr="005F75BF" w:rsidRDefault="00845783" w:rsidP="00223CAF">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 w:val="21"/>
                <w:szCs w:val="21"/>
              </w:rPr>
              <w:t>2,4</w:t>
            </w:r>
            <w:r w:rsidR="00B9182D">
              <w:rPr>
                <w:rFonts w:ascii="Calibri" w:hAnsi="Calibri" w:cs="Times New Roman CE"/>
                <w:color w:val="000000"/>
                <w:sz w:val="21"/>
                <w:szCs w:val="21"/>
              </w:rPr>
              <w:t xml:space="preserve"> </w:t>
            </w:r>
            <w:r>
              <w:rPr>
                <w:rFonts w:ascii="Calibri" w:hAnsi="Calibri" w:cs="Times New Roman CE"/>
                <w:color w:val="000000"/>
                <w:sz w:val="21"/>
                <w:szCs w:val="21"/>
              </w:rPr>
              <w:t>%</w:t>
            </w:r>
          </w:p>
        </w:tc>
        <w:tc>
          <w:tcPr>
            <w:tcW w:w="991" w:type="dxa"/>
            <w:tcBorders>
              <w:top w:val="nil"/>
              <w:left w:val="nil"/>
              <w:bottom w:val="single" w:sz="12" w:space="0" w:color="4F81BD"/>
              <w:right w:val="single" w:sz="12" w:space="0" w:color="4F81BD"/>
            </w:tcBorders>
            <w:shd w:val="clear" w:color="000000" w:fill="DCE6F1"/>
            <w:noWrap/>
            <w:vAlign w:val="center"/>
          </w:tcPr>
          <w:p w14:paraId="0BB1C1E3" w14:textId="77777777" w:rsidR="00845783" w:rsidRPr="005F75BF" w:rsidRDefault="00845783" w:rsidP="00223CAF">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 w:val="21"/>
                <w:szCs w:val="21"/>
              </w:rPr>
              <w:t>2,9</w:t>
            </w:r>
            <w:r w:rsidR="00B9182D">
              <w:rPr>
                <w:rFonts w:ascii="Calibri" w:hAnsi="Calibri" w:cs="Times New Roman CE"/>
                <w:color w:val="000000"/>
                <w:sz w:val="21"/>
                <w:szCs w:val="21"/>
              </w:rPr>
              <w:t xml:space="preserve"> </w:t>
            </w:r>
            <w:r>
              <w:rPr>
                <w:rFonts w:ascii="Calibri" w:hAnsi="Calibri" w:cs="Times New Roman CE"/>
                <w:color w:val="000000"/>
                <w:sz w:val="21"/>
                <w:szCs w:val="21"/>
              </w:rPr>
              <w:t>%</w:t>
            </w:r>
          </w:p>
        </w:tc>
      </w:tr>
    </w:tbl>
    <w:p w14:paraId="52E278EA" w14:textId="77777777" w:rsidR="0083778D" w:rsidRDefault="0083778D" w:rsidP="0083778D">
      <w:pPr>
        <w:pStyle w:val="TEXT"/>
        <w:spacing w:before="240"/>
      </w:pPr>
      <w:r>
        <w:t>V</w:t>
      </w:r>
      <w:r w:rsidRPr="002634D3">
        <w:t> roce 201</w:t>
      </w:r>
      <w:r w:rsidR="009D16DE">
        <w:t>8</w:t>
      </w:r>
      <w:r w:rsidRPr="002634D3">
        <w:t xml:space="preserve"> (</w:t>
      </w:r>
      <w:r w:rsidRPr="00F37C4C">
        <w:t xml:space="preserve">Tab. </w:t>
      </w:r>
      <w:r w:rsidR="00F37C4C">
        <w:t>4</w:t>
      </w:r>
      <w:r w:rsidRPr="002634D3">
        <w:t xml:space="preserve">) </w:t>
      </w:r>
      <w:r>
        <w:t xml:space="preserve">měla nejvyšší </w:t>
      </w:r>
      <w:r w:rsidRPr="006B4456">
        <w:t xml:space="preserve">výdaje na zdravotní služby ze ZFZP </w:t>
      </w:r>
      <w:r>
        <w:t>VZP ČR nejnižší pak</w:t>
      </w:r>
      <w:r w:rsidR="00A9522C">
        <w:t> </w:t>
      </w:r>
      <w:r>
        <w:t xml:space="preserve">OZP, což může být v obou případech způsobeno strukturou pojistného kmene. </w:t>
      </w:r>
    </w:p>
    <w:p w14:paraId="554577E8" w14:textId="77777777" w:rsidR="0083778D" w:rsidRDefault="0083778D" w:rsidP="0083778D">
      <w:pPr>
        <w:pStyle w:val="TEXT"/>
      </w:pPr>
      <w:r>
        <w:t xml:space="preserve">Úroveň výdajů na preventivní programy je pochopitelně odlišná vzhledem k velikosti zdravotních pojišťoven. Při přepočtu na jednoho pojištěnce nejnižší hodnoty dosáhla VZP ČR, naopak tomu bylo v případě </w:t>
      </w:r>
      <w:r w:rsidR="009D16DE">
        <w:t xml:space="preserve">ČPZP a </w:t>
      </w:r>
      <w:r>
        <w:t>ZPŠ</w:t>
      </w:r>
      <w:r w:rsidR="009D16DE">
        <w:t>, které na jednoho svého pojištěnce vynaložily násobně více</w:t>
      </w:r>
      <w:r>
        <w:t xml:space="preserve">. </w:t>
      </w:r>
    </w:p>
    <w:p w14:paraId="6515E362" w14:textId="77777777" w:rsidR="0083778D" w:rsidRDefault="0083778D" w:rsidP="0083778D">
      <w:pPr>
        <w:pStyle w:val="TEXT"/>
      </w:pPr>
      <w:r>
        <w:t>Rovněž absolutně neporovnatelnou veličinu představují výdaje na vlastní činnost, a tak byl určen jejich podíl na celkových výdajích dané zdravotní pojišťovny. Zde nejvyšší hodnoty dosáhla OZP</w:t>
      </w:r>
      <w:r w:rsidR="009D16DE">
        <w:t xml:space="preserve"> a</w:t>
      </w:r>
      <w:r w:rsidR="00F37C4C">
        <w:t> </w:t>
      </w:r>
      <w:r w:rsidR="009D16DE">
        <w:t>ZPŠ, naopak nejnižší</w:t>
      </w:r>
      <w:r>
        <w:t xml:space="preserve"> VZP ČR.</w:t>
      </w:r>
    </w:p>
    <w:p w14:paraId="13C11A38" w14:textId="77777777" w:rsidR="00902FD8" w:rsidRDefault="00902FD8" w:rsidP="00902FD8">
      <w:pPr>
        <w:pStyle w:val="TEXTpodTABOBR"/>
      </w:pPr>
      <w:r>
        <w:t xml:space="preserve">Podrobnější informace viz tabulková příloha </w:t>
      </w:r>
      <w:r>
        <w:rPr>
          <w:i/>
        </w:rPr>
        <w:t>Tabulka č. 1, str. 4–5</w:t>
      </w:r>
      <w:r>
        <w:t xml:space="preserve">. </w:t>
      </w:r>
      <w:r>
        <w:rPr>
          <w:b/>
        </w:rPr>
        <w:t>Vývoj výdajů systému v. z. p. 201</w:t>
      </w:r>
      <w:r w:rsidR="005C10E7">
        <w:rPr>
          <w:b/>
        </w:rPr>
        <w:t>6</w:t>
      </w:r>
      <w:r>
        <w:rPr>
          <w:b/>
        </w:rPr>
        <w:t xml:space="preserve"> až 201</w:t>
      </w:r>
      <w:r w:rsidR="005C10E7">
        <w:rPr>
          <w:b/>
        </w:rPr>
        <w:t>8</w:t>
      </w:r>
      <w:r>
        <w:rPr>
          <w:b/>
        </w:rPr>
        <w:t xml:space="preserve"> </w:t>
      </w:r>
      <w:r>
        <w:t xml:space="preserve">viz tabulková příloha </w:t>
      </w:r>
      <w:r>
        <w:rPr>
          <w:i/>
        </w:rPr>
        <w:t>Tabulka č. 4</w:t>
      </w:r>
      <w:r>
        <w:t xml:space="preserve">. </w:t>
      </w:r>
    </w:p>
    <w:p w14:paraId="7217943B" w14:textId="77777777" w:rsidR="00902FD8" w:rsidRPr="00215E9F" w:rsidRDefault="00902FD8" w:rsidP="00215E9F">
      <w:pPr>
        <w:pStyle w:val="NADPIS"/>
        <w:spacing w:before="240" w:after="120"/>
        <w:rPr>
          <w:rFonts w:ascii="Arial" w:hAnsi="Arial"/>
          <w:b w:val="0"/>
        </w:rPr>
      </w:pPr>
      <w:r>
        <w:rPr>
          <w:rFonts w:ascii="Arial" w:hAnsi="Arial"/>
          <w:b w:val="0"/>
          <w:u w:val="single"/>
        </w:rPr>
        <w:br w:type="page"/>
      </w:r>
      <w:r w:rsidRPr="00215E9F">
        <w:rPr>
          <w:rFonts w:ascii="Arial" w:hAnsi="Arial"/>
        </w:rPr>
        <w:lastRenderedPageBreak/>
        <w:t xml:space="preserve">Saldo </w:t>
      </w:r>
    </w:p>
    <w:p w14:paraId="0D9E9CFD" w14:textId="77777777" w:rsidR="00902FD8" w:rsidRDefault="00902FD8" w:rsidP="00902FD8">
      <w:pPr>
        <w:pStyle w:val="TEXT"/>
      </w:pPr>
      <w:r>
        <w:rPr>
          <w:b/>
        </w:rPr>
        <w:t>Saldo příjmů a výdajů celkem</w:t>
      </w:r>
      <w:r>
        <w:t xml:space="preserve"> systému v. z. p. za rok 201</w:t>
      </w:r>
      <w:r w:rsidR="005C10E7">
        <w:t>8</w:t>
      </w:r>
      <w:r>
        <w:t xml:space="preserve"> činilo cca </w:t>
      </w:r>
      <w:r>
        <w:rPr>
          <w:b/>
        </w:rPr>
        <w:t>+</w:t>
      </w:r>
      <w:r w:rsidR="005C10E7">
        <w:rPr>
          <w:b/>
        </w:rPr>
        <w:t>14,48</w:t>
      </w:r>
      <w:r>
        <w:rPr>
          <w:b/>
        </w:rPr>
        <w:t> mld. Kč</w:t>
      </w:r>
      <w:r>
        <w:t>. Kladné</w:t>
      </w:r>
      <w:r w:rsidR="005C21B6">
        <w:t> </w:t>
      </w:r>
      <w:r>
        <w:t>saldo vykázaly v roce 201</w:t>
      </w:r>
      <w:r w:rsidR="005C10E7">
        <w:t>8</w:t>
      </w:r>
      <w:r>
        <w:t xml:space="preserve"> všechny zdravotní pojišťovny</w:t>
      </w:r>
      <w:r w:rsidR="00946CF7">
        <w:t xml:space="preserve">, jak </w:t>
      </w:r>
      <w:r w:rsidR="00CA67AE">
        <w:t>zobrazuje</w:t>
      </w:r>
      <w:r w:rsidR="00946CF7">
        <w:t xml:space="preserve"> graf</w:t>
      </w:r>
      <w:r w:rsidR="00796DDE">
        <w:t>.</w:t>
      </w:r>
    </w:p>
    <w:p w14:paraId="18F94BA3" w14:textId="77777777" w:rsidR="00902FD8" w:rsidRDefault="00902FD8" w:rsidP="006C7011">
      <w:pPr>
        <w:pStyle w:val="TABOBR"/>
        <w:spacing w:before="360" w:after="200"/>
      </w:pPr>
      <w:r>
        <w:t>Obr. 4: Saldo příjmů a výdajů celkem 201</w:t>
      </w:r>
      <w:r w:rsidR="005C10E7">
        <w:t>8</w:t>
      </w:r>
    </w:p>
    <w:p w14:paraId="2ED768C2" w14:textId="2155770E" w:rsidR="005C10E7" w:rsidRDefault="00345B8D" w:rsidP="009B4732">
      <w:pPr>
        <w:pStyle w:val="TABOBR"/>
        <w:spacing w:before="360" w:after="120"/>
        <w:jc w:val="center"/>
      </w:pPr>
      <w:r>
        <w:rPr>
          <w:noProof/>
        </w:rPr>
        <w:drawing>
          <wp:inline distT="0" distB="0" distL="0" distR="0" wp14:anchorId="66C50649" wp14:editId="2F8F132F">
            <wp:extent cx="4752153" cy="2663678"/>
            <wp:effectExtent l="0" t="0" r="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021" cy="2669209"/>
                    </a:xfrm>
                    <a:prstGeom prst="rect">
                      <a:avLst/>
                    </a:prstGeom>
                    <a:noFill/>
                  </pic:spPr>
                </pic:pic>
              </a:graphicData>
            </a:graphic>
          </wp:inline>
        </w:drawing>
      </w:r>
    </w:p>
    <w:p w14:paraId="18DAAB54" w14:textId="5A7CAD7E" w:rsidR="005C10E7" w:rsidRPr="00946CF7" w:rsidRDefault="00946CF7" w:rsidP="009B4732">
      <w:pPr>
        <w:pStyle w:val="TEXT"/>
      </w:pPr>
      <w:r w:rsidRPr="00946CF7">
        <w:t xml:space="preserve">Vývoj rozdílu mezi příjmy a výdaji </w:t>
      </w:r>
      <w:r>
        <w:t xml:space="preserve">v delším časovém horizontu ukazuje, že </w:t>
      </w:r>
      <w:r w:rsidR="00D467A2">
        <w:t>od roku 2014</w:t>
      </w:r>
      <w:r w:rsidR="007173E6">
        <w:t xml:space="preserve"> </w:t>
      </w:r>
      <w:r w:rsidR="009B4732">
        <w:t>převyšovaly příjmy výdaje systému, což je velmi kladná tendence z hlediska vytváření rezerv pro</w:t>
      </w:r>
      <w:r w:rsidR="00A9522C">
        <w:t> </w:t>
      </w:r>
      <w:r w:rsidR="009B4732">
        <w:t>případ nepříznivého budoucího vývoje.</w:t>
      </w:r>
    </w:p>
    <w:p w14:paraId="17EB689F" w14:textId="77777777" w:rsidR="00902FD8" w:rsidRDefault="00902FD8" w:rsidP="006C7011">
      <w:pPr>
        <w:pStyle w:val="TABOBR"/>
        <w:spacing w:before="360" w:after="200"/>
      </w:pPr>
      <w:r>
        <w:t>Obr. 5: Vývoj příjmů a výdajů systému veřejného zdravotního pojištění 2009–201</w:t>
      </w:r>
      <w:r w:rsidR="006C2BB9">
        <w:t>8</w:t>
      </w:r>
    </w:p>
    <w:p w14:paraId="3D194A98" w14:textId="77777777" w:rsidR="005C10E7" w:rsidRDefault="005C10E7" w:rsidP="00902FD8">
      <w:pPr>
        <w:jc w:val="center"/>
      </w:pPr>
      <w:r>
        <w:rPr>
          <w:noProof/>
          <w:lang w:eastAsia="cs-CZ"/>
        </w:rPr>
        <w:drawing>
          <wp:inline distT="0" distB="0" distL="0" distR="0" wp14:anchorId="73C5A8F1" wp14:editId="00EF2A2E">
            <wp:extent cx="5138831" cy="2895600"/>
            <wp:effectExtent l="0" t="0" r="508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7485" cy="2894841"/>
                    </a:xfrm>
                    <a:prstGeom prst="rect">
                      <a:avLst/>
                    </a:prstGeom>
                    <a:noFill/>
                  </pic:spPr>
                </pic:pic>
              </a:graphicData>
            </a:graphic>
          </wp:inline>
        </w:drawing>
      </w:r>
    </w:p>
    <w:p w14:paraId="0E4F70DB" w14:textId="77777777" w:rsidR="00902FD8" w:rsidRDefault="00902FD8" w:rsidP="00902FD8">
      <w:pPr>
        <w:rPr>
          <w:rFonts w:eastAsia="Times New Roman" w:cs="Arial"/>
          <w:b/>
          <w:szCs w:val="24"/>
          <w:lang w:eastAsia="cs-CZ"/>
        </w:rPr>
      </w:pPr>
      <w:r>
        <w:br w:type="page"/>
      </w:r>
    </w:p>
    <w:p w14:paraId="18A9278D" w14:textId="77777777" w:rsidR="00902FD8" w:rsidRDefault="00902FD8" w:rsidP="006C7011">
      <w:pPr>
        <w:pStyle w:val="TABOBR"/>
        <w:spacing w:before="360" w:after="200"/>
      </w:pPr>
      <w:r>
        <w:lastRenderedPageBreak/>
        <w:t>Obr. 6: Vývoj salda příjmů a výdajů veřejného zdravotního pojištění 2009–201</w:t>
      </w:r>
      <w:r w:rsidR="006C2BB9">
        <w:t>8</w:t>
      </w:r>
    </w:p>
    <w:p w14:paraId="2C5F0339" w14:textId="77777777" w:rsidR="006C2BB9" w:rsidRDefault="006C2BB9" w:rsidP="009B4732">
      <w:pPr>
        <w:pStyle w:val="OBR"/>
        <w:spacing w:before="0" w:after="0"/>
        <w:jc w:val="center"/>
        <w:rPr>
          <w:rFonts w:asciiTheme="minorHAnsi" w:hAnsiTheme="minorHAnsi"/>
          <w:b/>
          <w:sz w:val="20"/>
          <w:szCs w:val="20"/>
        </w:rPr>
      </w:pPr>
      <w:r>
        <w:rPr>
          <w:rFonts w:asciiTheme="minorHAnsi" w:hAnsiTheme="minorHAnsi"/>
          <w:b/>
          <w:noProof/>
          <w:sz w:val="20"/>
          <w:szCs w:val="20"/>
        </w:rPr>
        <w:drawing>
          <wp:inline distT="0" distB="0" distL="0" distR="0" wp14:anchorId="7231C74D" wp14:editId="7AB7D5B3">
            <wp:extent cx="5247933" cy="2835919"/>
            <wp:effectExtent l="0" t="0" r="0" b="254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45028" cy="2834349"/>
                    </a:xfrm>
                    <a:prstGeom prst="rect">
                      <a:avLst/>
                    </a:prstGeom>
                    <a:noFill/>
                  </pic:spPr>
                </pic:pic>
              </a:graphicData>
            </a:graphic>
          </wp:inline>
        </w:drawing>
      </w:r>
    </w:p>
    <w:p w14:paraId="540B619F" w14:textId="77777777" w:rsidR="00902FD8" w:rsidRDefault="00902FD8" w:rsidP="006C7011">
      <w:pPr>
        <w:pStyle w:val="OBR"/>
        <w:spacing w:before="0" w:after="0"/>
        <w:jc w:val="center"/>
      </w:pPr>
      <w:r>
        <w:rPr>
          <w:rFonts w:asciiTheme="minorHAnsi" w:hAnsiTheme="minorHAnsi"/>
          <w:b/>
          <w:sz w:val="20"/>
          <w:szCs w:val="20"/>
        </w:rPr>
        <w:t xml:space="preserve">Pozn.: </w:t>
      </w:r>
      <w:r>
        <w:rPr>
          <w:rFonts w:asciiTheme="minorHAnsi" w:hAnsiTheme="minorHAnsi"/>
          <w:i/>
          <w:sz w:val="20"/>
        </w:rPr>
        <w:t>Příjmy v roce 2012 očištěny od vlivu mimořádného přerozdělení.</w:t>
      </w:r>
    </w:p>
    <w:p w14:paraId="53ACE847" w14:textId="77777777" w:rsidR="00902FD8" w:rsidRDefault="00902FD8" w:rsidP="00902FD8">
      <w:pPr>
        <w:pStyle w:val="TEXTpodTABOBR"/>
      </w:pPr>
      <w:r>
        <w:t xml:space="preserve">Podrobnější informace viz tabulková příloha </w:t>
      </w:r>
      <w:r>
        <w:rPr>
          <w:i/>
        </w:rPr>
        <w:t>Tabulka č. 1, str. 6</w:t>
      </w:r>
      <w:r>
        <w:t xml:space="preserve">. </w:t>
      </w:r>
      <w:r>
        <w:rPr>
          <w:b/>
        </w:rPr>
        <w:t>Vývoj salda v. z. p. 201</w:t>
      </w:r>
      <w:r w:rsidR="006C2BB9">
        <w:rPr>
          <w:b/>
        </w:rPr>
        <w:t>6</w:t>
      </w:r>
      <w:r>
        <w:rPr>
          <w:b/>
        </w:rPr>
        <w:t xml:space="preserve"> až</w:t>
      </w:r>
      <w:r w:rsidR="005C21B6">
        <w:rPr>
          <w:b/>
        </w:rPr>
        <w:t> </w:t>
      </w:r>
      <w:r>
        <w:rPr>
          <w:b/>
        </w:rPr>
        <w:t>201</w:t>
      </w:r>
      <w:r w:rsidR="006C2BB9">
        <w:rPr>
          <w:b/>
        </w:rPr>
        <w:t>8</w:t>
      </w:r>
      <w:r>
        <w:rPr>
          <w:b/>
        </w:rPr>
        <w:t xml:space="preserve"> </w:t>
      </w:r>
      <w:r>
        <w:t xml:space="preserve">viz tabulková příloha </w:t>
      </w:r>
      <w:r>
        <w:rPr>
          <w:i/>
        </w:rPr>
        <w:t>Tabulka č. 4</w:t>
      </w:r>
      <w:r>
        <w:t>.</w:t>
      </w:r>
    </w:p>
    <w:p w14:paraId="2B57CBA1" w14:textId="77777777" w:rsidR="00902FD8" w:rsidRDefault="00902FD8" w:rsidP="00017CF8">
      <w:pPr>
        <w:pStyle w:val="TEXT"/>
      </w:pPr>
      <w:r>
        <w:t>Saldo prezentované v tomto materiálu se liší od salda sektoru S.1314 (sektor zhruba odpovídající zdravotním pojišťovnám v systému národních účtů), které dle Českého statistického úřadu (ČSÚ) předběžně činilo v roce 201</w:t>
      </w:r>
      <w:r w:rsidR="006C2BB9">
        <w:t>8</w:t>
      </w:r>
      <w:r>
        <w:t xml:space="preserve"> </w:t>
      </w:r>
      <w:r w:rsidR="00C901C4">
        <w:t xml:space="preserve">+16,4 </w:t>
      </w:r>
      <w:r>
        <w:t>mld. Kč. Rozdíl je způsoben specifickou metodikou ESA 2010, ve</w:t>
      </w:r>
      <w:r w:rsidR="005C21B6">
        <w:t> </w:t>
      </w:r>
      <w:r>
        <w:t>které jsou příjmy započítávány s </w:t>
      </w:r>
      <w:r w:rsidRPr="00017CF8">
        <w:t>určitým</w:t>
      </w:r>
      <w:r>
        <w:t xml:space="preserve"> časovým posunem a </w:t>
      </w:r>
      <w:proofErr w:type="spellStart"/>
      <w:r>
        <w:t>semi-akruálně</w:t>
      </w:r>
      <w:proofErr w:type="spellEnd"/>
      <w:r>
        <w:t xml:space="preserve"> (část příjmů </w:t>
      </w:r>
      <w:proofErr w:type="spellStart"/>
      <w:r>
        <w:t>akruálně</w:t>
      </w:r>
      <w:proofErr w:type="spellEnd"/>
      <w:r>
        <w:t xml:space="preserve">, část pak skutečně přijatými platbami) a výdaje na zdravotní péči jsou rovněž započítávány </w:t>
      </w:r>
      <w:proofErr w:type="spellStart"/>
      <w:r>
        <w:t>akruálně</w:t>
      </w:r>
      <w:proofErr w:type="spellEnd"/>
      <w:r>
        <w:t xml:space="preserve"> a nikoliv pomocí skutečných výdajů. ČSÚ postupuje podle pravidel harmonizovaných na úrovni EU, které požaduje EUROSTAT. V této metodice dosáhl zmíněný sektor </w:t>
      </w:r>
      <w:r w:rsidR="00C901C4">
        <w:t xml:space="preserve">vyššího </w:t>
      </w:r>
      <w:r>
        <w:t>kladného salda než dle</w:t>
      </w:r>
      <w:r w:rsidR="00D467A2">
        <w:t xml:space="preserve"> </w:t>
      </w:r>
      <w:r>
        <w:t>výpočtů MF (hotovostní pojetí)</w:t>
      </w:r>
      <w:r w:rsidR="00C901C4">
        <w:t>, což je odůvodnitelné použitou metodikou ČSÚ a rychlým růstem výdajů na zdravotní péči, které jsou jinak zaznamenávány v akruálním pojetí</w:t>
      </w:r>
      <w:r>
        <w:t>.</w:t>
      </w:r>
      <w:r w:rsidR="00C901C4">
        <w:t xml:space="preserve"> </w:t>
      </w:r>
    </w:p>
    <w:p w14:paraId="622B9F2D" w14:textId="77777777" w:rsidR="00902FD8" w:rsidRDefault="00902FD8" w:rsidP="00902FD8">
      <w:pPr>
        <w:rPr>
          <w:rFonts w:ascii="Times New Roman" w:hAnsi="Times New Roman" w:cs="Arial"/>
          <w:szCs w:val="24"/>
          <w:lang w:eastAsia="cs-CZ"/>
        </w:rPr>
      </w:pPr>
      <w:r>
        <w:br w:type="page"/>
      </w:r>
    </w:p>
    <w:p w14:paraId="3E866A53" w14:textId="77777777" w:rsidR="00902FD8" w:rsidRPr="00215E9F" w:rsidRDefault="00902FD8" w:rsidP="00215E9F">
      <w:pPr>
        <w:pStyle w:val="NADPIS"/>
        <w:spacing w:before="240" w:after="120"/>
        <w:rPr>
          <w:rFonts w:ascii="Arial" w:hAnsi="Arial"/>
        </w:rPr>
      </w:pPr>
      <w:r w:rsidRPr="00215E9F">
        <w:rPr>
          <w:rFonts w:ascii="Arial" w:hAnsi="Arial"/>
        </w:rPr>
        <w:lastRenderedPageBreak/>
        <w:t xml:space="preserve">Pohledávky a závazky </w:t>
      </w:r>
    </w:p>
    <w:p w14:paraId="45A9B7FC" w14:textId="0AD064B4" w:rsidR="00796DDE" w:rsidRDefault="00902FD8" w:rsidP="00902FD8">
      <w:pPr>
        <w:pStyle w:val="TEXT"/>
      </w:pPr>
      <w:r>
        <w:rPr>
          <w:b/>
        </w:rPr>
        <w:t xml:space="preserve">Stav pohledávek v. z. p. celkem </w:t>
      </w:r>
      <w:r>
        <w:t>(v čisté výši bez opravných položek)</w:t>
      </w:r>
      <w:r>
        <w:rPr>
          <w:b/>
        </w:rPr>
        <w:t xml:space="preserve"> k 31. 12. 201</w:t>
      </w:r>
      <w:r w:rsidR="003E5543">
        <w:rPr>
          <w:b/>
        </w:rPr>
        <w:t>8</w:t>
      </w:r>
      <w:r>
        <w:rPr>
          <w:b/>
        </w:rPr>
        <w:t xml:space="preserve"> je</w:t>
      </w:r>
      <w:r>
        <w:t xml:space="preserve"> </w:t>
      </w:r>
      <w:r w:rsidR="003D2790" w:rsidRPr="003D2790">
        <w:rPr>
          <w:b/>
        </w:rPr>
        <w:t>39</w:t>
      </w:r>
      <w:r w:rsidR="003D2790">
        <w:rPr>
          <w:b/>
        </w:rPr>
        <w:t>,</w:t>
      </w:r>
      <w:r w:rsidR="003D2790" w:rsidRPr="003D2790">
        <w:rPr>
          <w:b/>
        </w:rPr>
        <w:t>2</w:t>
      </w:r>
      <w:r w:rsidR="009B4732">
        <w:rPr>
          <w:b/>
        </w:rPr>
        <w:t> </w:t>
      </w:r>
      <w:r>
        <w:rPr>
          <w:b/>
        </w:rPr>
        <w:t>mld. Kč,</w:t>
      </w:r>
      <w:r>
        <w:t xml:space="preserve"> došlo tak k jejich meziročnímu růstu </w:t>
      </w:r>
      <w:proofErr w:type="gramStart"/>
      <w:r>
        <w:t xml:space="preserve">o </w:t>
      </w:r>
      <w:r w:rsidR="00440291">
        <w:t xml:space="preserve"> 2</w:t>
      </w:r>
      <w:proofErr w:type="gramEnd"/>
      <w:r w:rsidR="00440291">
        <w:t xml:space="preserve"> </w:t>
      </w:r>
      <w:r>
        <w:t>mld. Kč (</w:t>
      </w:r>
      <w:r w:rsidR="003D2790">
        <w:t>5,3</w:t>
      </w:r>
      <w:r>
        <w:t xml:space="preserve"> %). Pohledávky za plátci pojistného činí </w:t>
      </w:r>
      <w:r w:rsidR="003D2790" w:rsidRPr="003D2790">
        <w:t>34</w:t>
      </w:r>
      <w:r w:rsidR="003D2790">
        <w:t xml:space="preserve">,2 </w:t>
      </w:r>
      <w:r>
        <w:t>mld. Kč, tj. 87 %.</w:t>
      </w:r>
    </w:p>
    <w:p w14:paraId="1B04237A" w14:textId="77777777" w:rsidR="004C6F9C" w:rsidRDefault="004C6F9C" w:rsidP="00902FD8">
      <w:pPr>
        <w:pStyle w:val="TEXT"/>
      </w:pPr>
      <w:r>
        <w:t xml:space="preserve">Následující tabulka uvádí </w:t>
      </w:r>
      <w:r w:rsidR="00CB718B">
        <w:t>vybrané</w:t>
      </w:r>
      <w:r>
        <w:t xml:space="preserve"> indikátory v oblasti </w:t>
      </w:r>
      <w:proofErr w:type="spellStart"/>
      <w:r>
        <w:t>pohledávkově</w:t>
      </w:r>
      <w:proofErr w:type="spellEnd"/>
      <w:r>
        <w:t>-závazkových vztahů pro</w:t>
      </w:r>
      <w:r w:rsidR="00A9522C">
        <w:t> </w:t>
      </w:r>
      <w:r>
        <w:t>jednotlivé pojišťovny a dále pak vývoj souvisejících kategorií (dohadné položky, opravné položky, roční odstranění tvrdosti, rezervy na soudní spory a stav půjček a úvěrů).</w:t>
      </w:r>
    </w:p>
    <w:p w14:paraId="08D1CC80" w14:textId="77777777" w:rsidR="00796DDE" w:rsidRPr="00F5352F" w:rsidRDefault="00796DDE" w:rsidP="006C7011">
      <w:pPr>
        <w:pStyle w:val="TABOBR0"/>
        <w:spacing w:before="360" w:after="200"/>
      </w:pPr>
      <w:r w:rsidRPr="00D07F10">
        <w:t>Tab</w:t>
      </w:r>
      <w:r>
        <w:t>. 5</w:t>
      </w:r>
      <w:r w:rsidRPr="00D07F10">
        <w:t>: Vybrané ukazatele 2018 dle zdravotních pojišťoven</w:t>
      </w:r>
    </w:p>
    <w:tbl>
      <w:tblPr>
        <w:tblW w:w="9350" w:type="dxa"/>
        <w:jc w:val="center"/>
        <w:tblCellMar>
          <w:left w:w="70" w:type="dxa"/>
          <w:right w:w="70" w:type="dxa"/>
        </w:tblCellMar>
        <w:tblLook w:val="04A0" w:firstRow="1" w:lastRow="0" w:firstColumn="1" w:lastColumn="0" w:noHBand="0" w:noVBand="1"/>
      </w:tblPr>
      <w:tblGrid>
        <w:gridCol w:w="2630"/>
        <w:gridCol w:w="960"/>
        <w:gridCol w:w="960"/>
        <w:gridCol w:w="960"/>
        <w:gridCol w:w="960"/>
        <w:gridCol w:w="960"/>
        <w:gridCol w:w="960"/>
        <w:gridCol w:w="960"/>
      </w:tblGrid>
      <w:tr w:rsidR="00796DDE" w:rsidRPr="00FB4E5F" w14:paraId="413B09A1" w14:textId="77777777" w:rsidTr="00B9182D">
        <w:trPr>
          <w:trHeight w:val="315"/>
          <w:jc w:val="center"/>
        </w:trPr>
        <w:tc>
          <w:tcPr>
            <w:tcW w:w="2630" w:type="dxa"/>
            <w:tcBorders>
              <w:top w:val="single" w:sz="12" w:space="0" w:color="4F81BD"/>
              <w:left w:val="single" w:sz="12" w:space="0" w:color="4F81BD"/>
              <w:bottom w:val="nil"/>
              <w:right w:val="nil"/>
            </w:tcBorders>
            <w:shd w:val="clear" w:color="000000" w:fill="4F81BD"/>
            <w:vAlign w:val="center"/>
            <w:hideMark/>
          </w:tcPr>
          <w:p w14:paraId="739F016B" w14:textId="77777777" w:rsidR="00796DDE" w:rsidRPr="00FB4E5F" w:rsidRDefault="00796DDE" w:rsidP="00E357E8">
            <w:pPr>
              <w:spacing w:after="0" w:line="240" w:lineRule="auto"/>
              <w:rPr>
                <w:rFonts w:ascii="Calibri" w:eastAsia="Times New Roman" w:hAnsi="Calibri" w:cs="Times New Roman"/>
                <w:b/>
                <w:bCs/>
                <w:color w:val="FFFFFF"/>
                <w:sz w:val="21"/>
                <w:szCs w:val="21"/>
                <w:lang w:eastAsia="cs-CZ"/>
              </w:rPr>
            </w:pPr>
          </w:p>
        </w:tc>
        <w:tc>
          <w:tcPr>
            <w:tcW w:w="960" w:type="dxa"/>
            <w:vMerge w:val="restart"/>
            <w:tcBorders>
              <w:top w:val="single" w:sz="12" w:space="0" w:color="4F81BD"/>
              <w:left w:val="nil"/>
              <w:bottom w:val="nil"/>
              <w:right w:val="nil"/>
            </w:tcBorders>
            <w:shd w:val="clear" w:color="000000" w:fill="6691C6"/>
            <w:noWrap/>
            <w:vAlign w:val="center"/>
            <w:hideMark/>
          </w:tcPr>
          <w:p w14:paraId="36066B8B" w14:textId="77777777" w:rsidR="00796DDE" w:rsidRPr="009B4732" w:rsidRDefault="00796DDE" w:rsidP="00E357E8">
            <w:pPr>
              <w:spacing w:after="0" w:line="240" w:lineRule="auto"/>
              <w:jc w:val="center"/>
              <w:rPr>
                <w:rFonts w:ascii="Calibri" w:eastAsia="Times New Roman" w:hAnsi="Calibri" w:cs="Times New Roman"/>
                <w:b/>
                <w:color w:val="FFFFFF"/>
                <w:sz w:val="21"/>
                <w:szCs w:val="21"/>
                <w:lang w:eastAsia="cs-CZ"/>
              </w:rPr>
            </w:pPr>
            <w:r w:rsidRPr="009B4732">
              <w:rPr>
                <w:rFonts w:ascii="Calibri" w:eastAsia="Times New Roman" w:hAnsi="Calibri" w:cs="Times New Roman"/>
                <w:b/>
                <w:color w:val="FFFFFF" w:themeColor="background1"/>
                <w:sz w:val="21"/>
                <w:szCs w:val="21"/>
                <w:lang w:eastAsia="cs-CZ"/>
              </w:rPr>
              <w:t>VZP ČR</w:t>
            </w:r>
          </w:p>
        </w:tc>
        <w:tc>
          <w:tcPr>
            <w:tcW w:w="960" w:type="dxa"/>
            <w:vMerge w:val="restart"/>
            <w:tcBorders>
              <w:top w:val="single" w:sz="12" w:space="0" w:color="4F81BD"/>
              <w:left w:val="nil"/>
              <w:bottom w:val="nil"/>
              <w:right w:val="nil"/>
            </w:tcBorders>
            <w:shd w:val="clear" w:color="000000" w:fill="4F81BD"/>
            <w:noWrap/>
            <w:vAlign w:val="center"/>
            <w:hideMark/>
          </w:tcPr>
          <w:p w14:paraId="2F588F22" w14:textId="77777777" w:rsidR="00796DDE" w:rsidRPr="009B4732" w:rsidRDefault="00796DDE" w:rsidP="00E357E8">
            <w:pPr>
              <w:spacing w:after="0" w:line="240" w:lineRule="auto"/>
              <w:jc w:val="center"/>
              <w:rPr>
                <w:rFonts w:ascii="Calibri" w:eastAsia="Times New Roman" w:hAnsi="Calibri" w:cs="Times New Roman"/>
                <w:b/>
                <w:color w:val="FFFFFF"/>
                <w:sz w:val="21"/>
                <w:szCs w:val="21"/>
                <w:lang w:eastAsia="cs-CZ"/>
              </w:rPr>
            </w:pPr>
            <w:proofErr w:type="spellStart"/>
            <w:r w:rsidRPr="009B4732">
              <w:rPr>
                <w:rFonts w:ascii="Calibri" w:eastAsia="Times New Roman" w:hAnsi="Calibri" w:cs="Times New Roman"/>
                <w:b/>
                <w:color w:val="FFFFFF" w:themeColor="background1"/>
                <w:sz w:val="21"/>
                <w:szCs w:val="21"/>
                <w:lang w:eastAsia="cs-CZ"/>
              </w:rPr>
              <w:t>VoZP</w:t>
            </w:r>
            <w:proofErr w:type="spellEnd"/>
            <w:r w:rsidRPr="009B4732">
              <w:rPr>
                <w:rFonts w:ascii="Calibri" w:eastAsia="Times New Roman" w:hAnsi="Calibri" w:cs="Times New Roman"/>
                <w:b/>
                <w:color w:val="FFFFFF" w:themeColor="background1"/>
                <w:sz w:val="21"/>
                <w:szCs w:val="21"/>
                <w:lang w:eastAsia="cs-CZ"/>
              </w:rPr>
              <w:t xml:space="preserve"> ČR</w:t>
            </w:r>
          </w:p>
        </w:tc>
        <w:tc>
          <w:tcPr>
            <w:tcW w:w="960" w:type="dxa"/>
            <w:vMerge w:val="restart"/>
            <w:tcBorders>
              <w:top w:val="single" w:sz="12" w:space="0" w:color="4F81BD"/>
              <w:left w:val="nil"/>
              <w:bottom w:val="nil"/>
              <w:right w:val="nil"/>
            </w:tcBorders>
            <w:shd w:val="clear" w:color="000000" w:fill="6691C6"/>
            <w:noWrap/>
            <w:vAlign w:val="center"/>
            <w:hideMark/>
          </w:tcPr>
          <w:p w14:paraId="7377EACF" w14:textId="77777777" w:rsidR="00796DDE" w:rsidRPr="009B4732" w:rsidRDefault="00796DDE" w:rsidP="00E357E8">
            <w:pPr>
              <w:spacing w:after="0" w:line="240" w:lineRule="auto"/>
              <w:jc w:val="center"/>
              <w:rPr>
                <w:rFonts w:ascii="Calibri" w:eastAsia="Times New Roman" w:hAnsi="Calibri" w:cs="Times New Roman"/>
                <w:b/>
                <w:color w:val="FFFFFF"/>
                <w:sz w:val="21"/>
                <w:szCs w:val="21"/>
                <w:lang w:eastAsia="cs-CZ"/>
              </w:rPr>
            </w:pPr>
            <w:r w:rsidRPr="009B4732">
              <w:rPr>
                <w:rFonts w:ascii="Calibri" w:eastAsia="Times New Roman" w:hAnsi="Calibri" w:cs="Times New Roman"/>
                <w:b/>
                <w:color w:val="FFFFFF" w:themeColor="background1"/>
                <w:sz w:val="21"/>
                <w:szCs w:val="21"/>
                <w:lang w:eastAsia="cs-CZ"/>
              </w:rPr>
              <w:t>ČPZP</w:t>
            </w:r>
          </w:p>
        </w:tc>
        <w:tc>
          <w:tcPr>
            <w:tcW w:w="960" w:type="dxa"/>
            <w:vMerge w:val="restart"/>
            <w:tcBorders>
              <w:top w:val="single" w:sz="12" w:space="0" w:color="4F81BD"/>
              <w:left w:val="nil"/>
              <w:bottom w:val="nil"/>
              <w:right w:val="nil"/>
            </w:tcBorders>
            <w:shd w:val="clear" w:color="000000" w:fill="4F81BD"/>
            <w:vAlign w:val="center"/>
            <w:hideMark/>
          </w:tcPr>
          <w:p w14:paraId="5A77F0C6" w14:textId="77777777" w:rsidR="00796DDE" w:rsidRPr="009B4732" w:rsidRDefault="00796DDE" w:rsidP="00E357E8">
            <w:pPr>
              <w:spacing w:after="0" w:line="240" w:lineRule="auto"/>
              <w:jc w:val="center"/>
              <w:rPr>
                <w:rFonts w:ascii="Calibri" w:eastAsia="Times New Roman" w:hAnsi="Calibri" w:cs="Times New Roman"/>
                <w:b/>
                <w:color w:val="FFFFFF"/>
                <w:sz w:val="21"/>
                <w:szCs w:val="21"/>
                <w:lang w:eastAsia="cs-CZ"/>
              </w:rPr>
            </w:pPr>
            <w:r w:rsidRPr="009B4732">
              <w:rPr>
                <w:rFonts w:ascii="Calibri" w:eastAsia="Times New Roman" w:hAnsi="Calibri" w:cs="Times New Roman"/>
                <w:b/>
                <w:color w:val="FFFFFF" w:themeColor="background1"/>
                <w:sz w:val="21"/>
                <w:szCs w:val="21"/>
                <w:lang w:eastAsia="cs-CZ"/>
              </w:rPr>
              <w:t>OZP</w:t>
            </w:r>
          </w:p>
        </w:tc>
        <w:tc>
          <w:tcPr>
            <w:tcW w:w="960" w:type="dxa"/>
            <w:vMerge w:val="restart"/>
            <w:tcBorders>
              <w:top w:val="single" w:sz="12" w:space="0" w:color="4F81BD"/>
              <w:left w:val="nil"/>
              <w:bottom w:val="nil"/>
              <w:right w:val="nil"/>
            </w:tcBorders>
            <w:shd w:val="clear" w:color="000000" w:fill="6691C6"/>
            <w:vAlign w:val="center"/>
            <w:hideMark/>
          </w:tcPr>
          <w:p w14:paraId="465CB339" w14:textId="77777777" w:rsidR="00796DDE" w:rsidRPr="009B4732" w:rsidRDefault="00796DDE" w:rsidP="00E357E8">
            <w:pPr>
              <w:spacing w:after="0" w:line="240" w:lineRule="auto"/>
              <w:jc w:val="center"/>
              <w:rPr>
                <w:rFonts w:ascii="Calibri" w:eastAsia="Times New Roman" w:hAnsi="Calibri" w:cs="Times New Roman"/>
                <w:b/>
                <w:color w:val="FFFFFF"/>
                <w:sz w:val="21"/>
                <w:szCs w:val="21"/>
                <w:lang w:eastAsia="cs-CZ"/>
              </w:rPr>
            </w:pPr>
            <w:r w:rsidRPr="009B4732">
              <w:rPr>
                <w:rFonts w:ascii="Calibri" w:eastAsia="Times New Roman" w:hAnsi="Calibri" w:cs="Times New Roman"/>
                <w:b/>
                <w:color w:val="FFFFFF" w:themeColor="background1"/>
                <w:sz w:val="21"/>
                <w:szCs w:val="21"/>
                <w:lang w:eastAsia="cs-CZ"/>
              </w:rPr>
              <w:t>ZPŠ</w:t>
            </w:r>
          </w:p>
        </w:tc>
        <w:tc>
          <w:tcPr>
            <w:tcW w:w="960" w:type="dxa"/>
            <w:vMerge w:val="restart"/>
            <w:tcBorders>
              <w:top w:val="single" w:sz="12" w:space="0" w:color="4F81BD"/>
              <w:left w:val="nil"/>
              <w:bottom w:val="nil"/>
              <w:right w:val="nil"/>
            </w:tcBorders>
            <w:shd w:val="clear" w:color="000000" w:fill="4F81BD"/>
            <w:vAlign w:val="center"/>
            <w:hideMark/>
          </w:tcPr>
          <w:p w14:paraId="6D545CA2" w14:textId="52CAC571" w:rsidR="00796DDE" w:rsidRPr="003862B4" w:rsidRDefault="00796DDE" w:rsidP="00E357E8">
            <w:pPr>
              <w:spacing w:after="0" w:line="240" w:lineRule="auto"/>
              <w:jc w:val="center"/>
              <w:rPr>
                <w:rFonts w:ascii="Calibri" w:eastAsia="Times New Roman" w:hAnsi="Calibri" w:cs="Times New Roman"/>
                <w:b/>
                <w:color w:val="FFFFFF"/>
                <w:spacing w:val="-10"/>
                <w:sz w:val="21"/>
                <w:szCs w:val="21"/>
                <w:lang w:eastAsia="cs-CZ"/>
              </w:rPr>
            </w:pPr>
            <w:r w:rsidRPr="003862B4">
              <w:rPr>
                <w:rFonts w:ascii="Calibri" w:eastAsia="Times New Roman" w:hAnsi="Calibri" w:cs="Times New Roman"/>
                <w:b/>
                <w:color w:val="FFFFFF" w:themeColor="background1"/>
                <w:spacing w:val="-10"/>
                <w:sz w:val="21"/>
                <w:szCs w:val="21"/>
                <w:lang w:eastAsia="cs-CZ"/>
              </w:rPr>
              <w:t>ZP</w:t>
            </w:r>
            <w:r w:rsidR="003862B4" w:rsidRPr="003862B4">
              <w:rPr>
                <w:rFonts w:ascii="Calibri" w:eastAsia="Times New Roman" w:hAnsi="Calibri" w:cs="Times New Roman"/>
                <w:b/>
                <w:color w:val="FFFFFF" w:themeColor="background1"/>
                <w:spacing w:val="-10"/>
                <w:sz w:val="21"/>
                <w:szCs w:val="21"/>
                <w:lang w:eastAsia="cs-CZ"/>
              </w:rPr>
              <w:t xml:space="preserve"> </w:t>
            </w:r>
            <w:r w:rsidRPr="003862B4">
              <w:rPr>
                <w:rFonts w:ascii="Calibri" w:eastAsia="Times New Roman" w:hAnsi="Calibri" w:cs="Times New Roman"/>
                <w:b/>
                <w:color w:val="FFFFFF" w:themeColor="background1"/>
                <w:spacing w:val="-10"/>
                <w:sz w:val="21"/>
                <w:szCs w:val="21"/>
                <w:lang w:eastAsia="cs-CZ"/>
              </w:rPr>
              <w:t>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14:paraId="5872A544" w14:textId="77777777" w:rsidR="00796DDE" w:rsidRPr="009B4732" w:rsidRDefault="00796DDE" w:rsidP="00E357E8">
            <w:pPr>
              <w:spacing w:after="0" w:line="240" w:lineRule="auto"/>
              <w:jc w:val="center"/>
              <w:rPr>
                <w:rFonts w:ascii="Calibri" w:eastAsia="Times New Roman" w:hAnsi="Calibri" w:cs="Times New Roman"/>
                <w:b/>
                <w:color w:val="FFFFFF"/>
                <w:sz w:val="21"/>
                <w:szCs w:val="21"/>
                <w:lang w:eastAsia="cs-CZ"/>
              </w:rPr>
            </w:pPr>
            <w:r w:rsidRPr="009B4732">
              <w:rPr>
                <w:rFonts w:ascii="Calibri" w:eastAsia="Times New Roman" w:hAnsi="Calibri" w:cs="Times New Roman"/>
                <w:b/>
                <w:color w:val="FFFFFF" w:themeColor="background1"/>
                <w:sz w:val="21"/>
                <w:szCs w:val="21"/>
                <w:lang w:eastAsia="cs-CZ"/>
              </w:rPr>
              <w:t>RBP</w:t>
            </w:r>
          </w:p>
        </w:tc>
      </w:tr>
      <w:tr w:rsidR="00796DDE" w:rsidRPr="00FB4E5F" w14:paraId="55B19776" w14:textId="77777777" w:rsidTr="00B9182D">
        <w:trPr>
          <w:trHeight w:val="300"/>
          <w:jc w:val="center"/>
        </w:trPr>
        <w:tc>
          <w:tcPr>
            <w:tcW w:w="2630" w:type="dxa"/>
            <w:tcBorders>
              <w:top w:val="nil"/>
              <w:left w:val="single" w:sz="12" w:space="0" w:color="4F81BD"/>
              <w:bottom w:val="nil"/>
              <w:right w:val="nil"/>
            </w:tcBorders>
            <w:shd w:val="clear" w:color="000000" w:fill="4F81BD"/>
            <w:vAlign w:val="center"/>
            <w:hideMark/>
          </w:tcPr>
          <w:p w14:paraId="10ED3CDC" w14:textId="77777777" w:rsidR="00796DDE" w:rsidRPr="00FB4E5F" w:rsidRDefault="00796DDE" w:rsidP="00E357E8">
            <w:pPr>
              <w:spacing w:after="0" w:line="240" w:lineRule="auto"/>
              <w:rPr>
                <w:rFonts w:ascii="Calibri" w:eastAsia="Times New Roman" w:hAnsi="Calibri" w:cs="Times New Roman"/>
                <w:b/>
                <w:bCs/>
                <w:i/>
                <w:iCs/>
                <w:color w:val="FFFFFF"/>
                <w:sz w:val="21"/>
                <w:szCs w:val="21"/>
                <w:lang w:eastAsia="cs-CZ"/>
              </w:rPr>
            </w:pPr>
            <w:r w:rsidRPr="00FB4E5F">
              <w:rPr>
                <w:rFonts w:ascii="Calibri" w:eastAsia="Times New Roman" w:hAnsi="Calibri" w:cs="Times New Roman"/>
                <w:b/>
                <w:bCs/>
                <w:i/>
                <w:iCs/>
                <w:color w:val="FFFFFF"/>
                <w:sz w:val="21"/>
                <w:szCs w:val="21"/>
                <w:lang w:eastAsia="cs-CZ"/>
              </w:rPr>
              <w:t xml:space="preserve">(v mil. </w:t>
            </w:r>
            <w:proofErr w:type="gramStart"/>
            <w:r w:rsidRPr="00FB4E5F">
              <w:rPr>
                <w:rFonts w:ascii="Calibri" w:eastAsia="Times New Roman" w:hAnsi="Calibri" w:cs="Times New Roman"/>
                <w:b/>
                <w:bCs/>
                <w:i/>
                <w:iCs/>
                <w:color w:val="FFFFFF"/>
                <w:sz w:val="21"/>
                <w:szCs w:val="21"/>
                <w:lang w:eastAsia="cs-CZ"/>
              </w:rPr>
              <w:t>Kč )</w:t>
            </w:r>
            <w:proofErr w:type="gramEnd"/>
          </w:p>
        </w:tc>
        <w:tc>
          <w:tcPr>
            <w:tcW w:w="960" w:type="dxa"/>
            <w:vMerge/>
            <w:tcBorders>
              <w:top w:val="single" w:sz="12" w:space="0" w:color="4F81BD"/>
              <w:left w:val="nil"/>
              <w:bottom w:val="nil"/>
              <w:right w:val="nil"/>
            </w:tcBorders>
            <w:vAlign w:val="center"/>
            <w:hideMark/>
          </w:tcPr>
          <w:p w14:paraId="78446F74"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7474A36F"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39AEC18D"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00440B2E"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4D6D85BA"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7DB01C3E"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single" w:sz="12" w:space="0" w:color="4F81BD"/>
            </w:tcBorders>
            <w:vAlign w:val="center"/>
            <w:hideMark/>
          </w:tcPr>
          <w:p w14:paraId="68385F6C"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r>
      <w:tr w:rsidR="00796DDE" w:rsidRPr="00FB4E5F" w14:paraId="098D6A38" w14:textId="77777777" w:rsidTr="00B9182D">
        <w:trPr>
          <w:trHeight w:val="300"/>
          <w:jc w:val="center"/>
        </w:trPr>
        <w:tc>
          <w:tcPr>
            <w:tcW w:w="2630" w:type="dxa"/>
            <w:tcBorders>
              <w:top w:val="nil"/>
              <w:left w:val="single" w:sz="12" w:space="0" w:color="4F81BD"/>
              <w:bottom w:val="nil"/>
              <w:right w:val="nil"/>
            </w:tcBorders>
            <w:shd w:val="clear" w:color="000000" w:fill="4F81BD"/>
            <w:vAlign w:val="center"/>
            <w:hideMark/>
          </w:tcPr>
          <w:p w14:paraId="190C72EB" w14:textId="77777777" w:rsidR="00796DDE" w:rsidRPr="00FB4E5F" w:rsidRDefault="00796DDE" w:rsidP="00E357E8">
            <w:pPr>
              <w:spacing w:after="0" w:line="240" w:lineRule="auto"/>
              <w:jc w:val="both"/>
              <w:rPr>
                <w:rFonts w:ascii="Calibri" w:eastAsia="Times New Roman" w:hAnsi="Calibri" w:cs="Times New Roman"/>
                <w:i/>
                <w:iCs/>
                <w:color w:val="FFFFFF"/>
                <w:sz w:val="20"/>
                <w:szCs w:val="20"/>
                <w:lang w:eastAsia="cs-CZ"/>
              </w:rPr>
            </w:pPr>
            <w:r w:rsidRPr="00FB4E5F">
              <w:rPr>
                <w:rFonts w:ascii="Calibri" w:eastAsia="Times New Roman" w:hAnsi="Calibri" w:cs="Times New Roman"/>
                <w:i/>
                <w:iCs/>
                <w:color w:val="FFFFFF"/>
                <w:sz w:val="20"/>
                <w:szCs w:val="20"/>
                <w:lang w:eastAsia="cs-CZ"/>
              </w:rPr>
              <w:t>(stav k poslednímu dni roku)</w:t>
            </w:r>
          </w:p>
        </w:tc>
        <w:tc>
          <w:tcPr>
            <w:tcW w:w="960" w:type="dxa"/>
            <w:vMerge/>
            <w:tcBorders>
              <w:top w:val="single" w:sz="12" w:space="0" w:color="4F81BD"/>
              <w:left w:val="nil"/>
              <w:bottom w:val="nil"/>
              <w:right w:val="nil"/>
            </w:tcBorders>
            <w:vAlign w:val="center"/>
            <w:hideMark/>
          </w:tcPr>
          <w:p w14:paraId="0DA16E2D"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050C6ECC"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49032F4C"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1A3A5060"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4A2A3D94"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nil"/>
            </w:tcBorders>
            <w:vAlign w:val="center"/>
            <w:hideMark/>
          </w:tcPr>
          <w:p w14:paraId="51893446"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c>
          <w:tcPr>
            <w:tcW w:w="960" w:type="dxa"/>
            <w:vMerge/>
            <w:tcBorders>
              <w:top w:val="single" w:sz="12" w:space="0" w:color="4F81BD"/>
              <w:left w:val="nil"/>
              <w:bottom w:val="nil"/>
              <w:right w:val="single" w:sz="12" w:space="0" w:color="4F81BD"/>
            </w:tcBorders>
            <w:vAlign w:val="center"/>
            <w:hideMark/>
          </w:tcPr>
          <w:p w14:paraId="17A755A5" w14:textId="77777777" w:rsidR="00796DDE" w:rsidRPr="00FB4E5F" w:rsidRDefault="00796DDE" w:rsidP="00E357E8">
            <w:pPr>
              <w:spacing w:after="0" w:line="240" w:lineRule="auto"/>
              <w:rPr>
                <w:rFonts w:ascii="Calibri" w:eastAsia="Times New Roman" w:hAnsi="Calibri" w:cs="Times New Roman"/>
                <w:color w:val="FFFFFF"/>
                <w:sz w:val="21"/>
                <w:szCs w:val="21"/>
                <w:lang w:eastAsia="cs-CZ"/>
              </w:rPr>
            </w:pPr>
          </w:p>
        </w:tc>
      </w:tr>
      <w:tr w:rsidR="00EB413B" w:rsidRPr="00FB4E5F" w14:paraId="3B5BCB81" w14:textId="77777777" w:rsidTr="00B9182D">
        <w:trPr>
          <w:trHeight w:val="300"/>
          <w:jc w:val="center"/>
        </w:trPr>
        <w:tc>
          <w:tcPr>
            <w:tcW w:w="2630" w:type="dxa"/>
            <w:tcBorders>
              <w:top w:val="nil"/>
              <w:left w:val="single" w:sz="12" w:space="0" w:color="4F81BD"/>
              <w:bottom w:val="nil"/>
              <w:right w:val="nil"/>
            </w:tcBorders>
            <w:shd w:val="clear" w:color="auto" w:fill="auto"/>
            <w:vAlign w:val="center"/>
            <w:hideMark/>
          </w:tcPr>
          <w:p w14:paraId="1130A091" w14:textId="77777777" w:rsidR="00EB413B" w:rsidRPr="00FB4E5F" w:rsidRDefault="00EB413B" w:rsidP="00E357E8">
            <w:pPr>
              <w:spacing w:after="0" w:line="240" w:lineRule="auto"/>
              <w:rPr>
                <w:rFonts w:ascii="Calibri" w:eastAsia="Times New Roman" w:hAnsi="Calibri" w:cs="Times New Roman"/>
                <w:b/>
                <w:bCs/>
                <w:color w:val="000000"/>
                <w:sz w:val="21"/>
                <w:szCs w:val="21"/>
                <w:lang w:eastAsia="cs-CZ"/>
              </w:rPr>
            </w:pPr>
            <w:r w:rsidRPr="00FB4E5F">
              <w:rPr>
                <w:rFonts w:ascii="Calibri" w:eastAsia="Times New Roman" w:hAnsi="Calibri" w:cs="Arial"/>
                <w:b/>
                <w:bCs/>
                <w:color w:val="000000"/>
                <w:sz w:val="21"/>
                <w:szCs w:val="21"/>
                <w:lang w:eastAsia="cs-CZ"/>
              </w:rPr>
              <w:t>stav pohledávek celkem</w:t>
            </w:r>
          </w:p>
        </w:tc>
        <w:tc>
          <w:tcPr>
            <w:tcW w:w="960" w:type="dxa"/>
            <w:tcBorders>
              <w:top w:val="nil"/>
              <w:left w:val="nil"/>
              <w:bottom w:val="nil"/>
              <w:right w:val="nil"/>
            </w:tcBorders>
            <w:shd w:val="clear" w:color="000000" w:fill="DCE6F1"/>
            <w:noWrap/>
            <w:vAlign w:val="center"/>
          </w:tcPr>
          <w:p w14:paraId="118C9353"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20 616</w:t>
            </w:r>
          </w:p>
        </w:tc>
        <w:tc>
          <w:tcPr>
            <w:tcW w:w="960" w:type="dxa"/>
            <w:tcBorders>
              <w:top w:val="nil"/>
              <w:left w:val="nil"/>
              <w:bottom w:val="nil"/>
              <w:right w:val="nil"/>
            </w:tcBorders>
            <w:shd w:val="clear" w:color="auto" w:fill="auto"/>
            <w:noWrap/>
            <w:vAlign w:val="center"/>
          </w:tcPr>
          <w:p w14:paraId="58FC96EA"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3 733</w:t>
            </w:r>
          </w:p>
        </w:tc>
        <w:tc>
          <w:tcPr>
            <w:tcW w:w="960" w:type="dxa"/>
            <w:tcBorders>
              <w:top w:val="nil"/>
              <w:left w:val="nil"/>
              <w:bottom w:val="nil"/>
              <w:right w:val="nil"/>
            </w:tcBorders>
            <w:shd w:val="clear" w:color="000000" w:fill="DCE6F1"/>
            <w:noWrap/>
            <w:vAlign w:val="center"/>
          </w:tcPr>
          <w:p w14:paraId="6D367EF3"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5 168</w:t>
            </w:r>
          </w:p>
        </w:tc>
        <w:tc>
          <w:tcPr>
            <w:tcW w:w="960" w:type="dxa"/>
            <w:tcBorders>
              <w:top w:val="nil"/>
              <w:left w:val="nil"/>
              <w:bottom w:val="nil"/>
              <w:right w:val="nil"/>
            </w:tcBorders>
            <w:shd w:val="clear" w:color="auto" w:fill="auto"/>
            <w:noWrap/>
            <w:vAlign w:val="center"/>
          </w:tcPr>
          <w:p w14:paraId="5EB1185A"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3 536</w:t>
            </w:r>
          </w:p>
        </w:tc>
        <w:tc>
          <w:tcPr>
            <w:tcW w:w="960" w:type="dxa"/>
            <w:tcBorders>
              <w:top w:val="nil"/>
              <w:left w:val="nil"/>
              <w:bottom w:val="nil"/>
              <w:right w:val="nil"/>
            </w:tcBorders>
            <w:shd w:val="clear" w:color="000000" w:fill="DCE6F1"/>
            <w:noWrap/>
            <w:vAlign w:val="center"/>
          </w:tcPr>
          <w:p w14:paraId="4B001A13"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606</w:t>
            </w:r>
          </w:p>
        </w:tc>
        <w:tc>
          <w:tcPr>
            <w:tcW w:w="960" w:type="dxa"/>
            <w:tcBorders>
              <w:top w:val="nil"/>
              <w:left w:val="nil"/>
              <w:bottom w:val="nil"/>
              <w:right w:val="nil"/>
            </w:tcBorders>
            <w:shd w:val="clear" w:color="auto" w:fill="auto"/>
            <w:noWrap/>
            <w:vAlign w:val="center"/>
          </w:tcPr>
          <w:p w14:paraId="5DF51B86"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4 190</w:t>
            </w:r>
          </w:p>
        </w:tc>
        <w:tc>
          <w:tcPr>
            <w:tcW w:w="960" w:type="dxa"/>
            <w:tcBorders>
              <w:top w:val="nil"/>
              <w:left w:val="nil"/>
              <w:bottom w:val="nil"/>
              <w:right w:val="single" w:sz="12" w:space="0" w:color="4F81BD"/>
            </w:tcBorders>
            <w:shd w:val="clear" w:color="000000" w:fill="DCE6F1"/>
            <w:noWrap/>
            <w:vAlign w:val="center"/>
          </w:tcPr>
          <w:p w14:paraId="1F2DCE9B"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1 391</w:t>
            </w:r>
          </w:p>
        </w:tc>
      </w:tr>
      <w:tr w:rsidR="00EB413B" w:rsidRPr="00FB4E5F" w14:paraId="15016AA9" w14:textId="77777777" w:rsidTr="00B9182D">
        <w:trPr>
          <w:trHeight w:val="570"/>
          <w:jc w:val="center"/>
        </w:trPr>
        <w:tc>
          <w:tcPr>
            <w:tcW w:w="2630" w:type="dxa"/>
            <w:tcBorders>
              <w:top w:val="nil"/>
              <w:left w:val="single" w:sz="12" w:space="0" w:color="4F81BD"/>
              <w:bottom w:val="nil"/>
              <w:right w:val="nil"/>
            </w:tcBorders>
            <w:shd w:val="clear" w:color="000000" w:fill="EEF3F8"/>
            <w:vAlign w:val="center"/>
            <w:hideMark/>
          </w:tcPr>
          <w:p w14:paraId="4B9ADA5F" w14:textId="77777777" w:rsidR="00EB413B" w:rsidRPr="00FB4E5F" w:rsidRDefault="00EB413B" w:rsidP="00E357E8">
            <w:pPr>
              <w:spacing w:after="0" w:line="240" w:lineRule="auto"/>
              <w:rPr>
                <w:rFonts w:ascii="Calibri" w:eastAsia="Times New Roman" w:hAnsi="Calibri" w:cs="Times New Roman"/>
                <w:color w:val="000000"/>
                <w:sz w:val="21"/>
                <w:szCs w:val="21"/>
                <w:lang w:eastAsia="cs-CZ"/>
              </w:rPr>
            </w:pPr>
            <w:r w:rsidRPr="00FB4E5F">
              <w:rPr>
                <w:rFonts w:ascii="Calibri" w:eastAsia="Times New Roman" w:hAnsi="Calibri" w:cs="Times New Roman"/>
                <w:color w:val="000000"/>
                <w:sz w:val="21"/>
                <w:szCs w:val="21"/>
                <w:lang w:eastAsia="cs-CZ"/>
              </w:rPr>
              <w:t>z toho po lhůtě za plátci pojistného</w:t>
            </w:r>
          </w:p>
        </w:tc>
        <w:tc>
          <w:tcPr>
            <w:tcW w:w="960" w:type="dxa"/>
            <w:tcBorders>
              <w:top w:val="nil"/>
              <w:left w:val="nil"/>
              <w:bottom w:val="nil"/>
              <w:right w:val="nil"/>
            </w:tcBorders>
            <w:shd w:val="clear" w:color="000000" w:fill="EEF3F8"/>
            <w:noWrap/>
            <w:vAlign w:val="center"/>
          </w:tcPr>
          <w:p w14:paraId="0EB8456F"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6 671</w:t>
            </w:r>
          </w:p>
        </w:tc>
        <w:tc>
          <w:tcPr>
            <w:tcW w:w="960" w:type="dxa"/>
            <w:tcBorders>
              <w:top w:val="nil"/>
              <w:left w:val="nil"/>
              <w:bottom w:val="nil"/>
              <w:right w:val="nil"/>
            </w:tcBorders>
            <w:shd w:val="clear" w:color="000000" w:fill="EEF3F8"/>
            <w:noWrap/>
            <w:vAlign w:val="center"/>
          </w:tcPr>
          <w:p w14:paraId="4E4C5B69"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1 757</w:t>
            </w:r>
          </w:p>
        </w:tc>
        <w:tc>
          <w:tcPr>
            <w:tcW w:w="960" w:type="dxa"/>
            <w:tcBorders>
              <w:top w:val="nil"/>
              <w:left w:val="nil"/>
              <w:bottom w:val="nil"/>
              <w:right w:val="nil"/>
            </w:tcBorders>
            <w:shd w:val="clear" w:color="000000" w:fill="EEF3F8"/>
            <w:noWrap/>
            <w:vAlign w:val="center"/>
          </w:tcPr>
          <w:p w14:paraId="625BABCD"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2 327</w:t>
            </w:r>
          </w:p>
        </w:tc>
        <w:tc>
          <w:tcPr>
            <w:tcW w:w="960" w:type="dxa"/>
            <w:tcBorders>
              <w:top w:val="nil"/>
              <w:left w:val="nil"/>
              <w:bottom w:val="nil"/>
              <w:right w:val="nil"/>
            </w:tcBorders>
            <w:shd w:val="clear" w:color="000000" w:fill="EEF3F8"/>
            <w:noWrap/>
            <w:vAlign w:val="center"/>
          </w:tcPr>
          <w:p w14:paraId="71DABD73"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1 427</w:t>
            </w:r>
          </w:p>
        </w:tc>
        <w:tc>
          <w:tcPr>
            <w:tcW w:w="960" w:type="dxa"/>
            <w:tcBorders>
              <w:top w:val="nil"/>
              <w:left w:val="nil"/>
              <w:bottom w:val="nil"/>
              <w:right w:val="nil"/>
            </w:tcBorders>
            <w:shd w:val="clear" w:color="000000" w:fill="EEF3F8"/>
            <w:noWrap/>
            <w:vAlign w:val="center"/>
          </w:tcPr>
          <w:p w14:paraId="6FA2C6C8"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159</w:t>
            </w:r>
          </w:p>
        </w:tc>
        <w:tc>
          <w:tcPr>
            <w:tcW w:w="960" w:type="dxa"/>
            <w:tcBorders>
              <w:top w:val="nil"/>
              <w:left w:val="nil"/>
              <w:bottom w:val="nil"/>
              <w:right w:val="nil"/>
            </w:tcBorders>
            <w:shd w:val="clear" w:color="000000" w:fill="EEF3F8"/>
            <w:noWrap/>
            <w:vAlign w:val="center"/>
          </w:tcPr>
          <w:p w14:paraId="52B0D6F9"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1 249</w:t>
            </w:r>
          </w:p>
        </w:tc>
        <w:tc>
          <w:tcPr>
            <w:tcW w:w="960" w:type="dxa"/>
            <w:tcBorders>
              <w:top w:val="nil"/>
              <w:left w:val="nil"/>
              <w:bottom w:val="nil"/>
              <w:right w:val="single" w:sz="12" w:space="0" w:color="4F81BD"/>
            </w:tcBorders>
            <w:shd w:val="clear" w:color="000000" w:fill="EEF3F8"/>
            <w:noWrap/>
            <w:vAlign w:val="center"/>
          </w:tcPr>
          <w:p w14:paraId="6533F315"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581</w:t>
            </w:r>
          </w:p>
        </w:tc>
      </w:tr>
      <w:tr w:rsidR="00EB413B" w:rsidRPr="00FB4E5F" w14:paraId="726FC6E4" w14:textId="77777777" w:rsidTr="00B9182D">
        <w:trPr>
          <w:trHeight w:val="300"/>
          <w:jc w:val="center"/>
        </w:trPr>
        <w:tc>
          <w:tcPr>
            <w:tcW w:w="2630" w:type="dxa"/>
            <w:tcBorders>
              <w:top w:val="nil"/>
              <w:left w:val="single" w:sz="12" w:space="0" w:color="4F81BD"/>
              <w:bottom w:val="nil"/>
              <w:right w:val="nil"/>
            </w:tcBorders>
            <w:shd w:val="clear" w:color="auto" w:fill="auto"/>
            <w:vAlign w:val="center"/>
            <w:hideMark/>
          </w:tcPr>
          <w:p w14:paraId="72659CCC" w14:textId="77777777" w:rsidR="00EB413B" w:rsidRPr="00FB4E5F" w:rsidRDefault="00EB413B" w:rsidP="00E357E8">
            <w:pPr>
              <w:spacing w:after="0" w:line="240" w:lineRule="auto"/>
              <w:rPr>
                <w:rFonts w:ascii="Calibri" w:eastAsia="Times New Roman" w:hAnsi="Calibri" w:cs="Times New Roman"/>
                <w:color w:val="000000"/>
                <w:sz w:val="21"/>
                <w:szCs w:val="21"/>
                <w:lang w:eastAsia="cs-CZ"/>
              </w:rPr>
            </w:pPr>
            <w:r w:rsidRPr="00FB4E5F">
              <w:rPr>
                <w:rFonts w:ascii="Calibri" w:eastAsia="Times New Roman" w:hAnsi="Calibri" w:cs="Times New Roman"/>
                <w:color w:val="000000"/>
                <w:sz w:val="21"/>
                <w:szCs w:val="21"/>
                <w:lang w:eastAsia="cs-CZ"/>
              </w:rPr>
              <w:t>dohadné položky aktivní</w:t>
            </w:r>
          </w:p>
        </w:tc>
        <w:tc>
          <w:tcPr>
            <w:tcW w:w="960" w:type="dxa"/>
            <w:tcBorders>
              <w:top w:val="nil"/>
              <w:left w:val="nil"/>
              <w:bottom w:val="nil"/>
              <w:right w:val="nil"/>
            </w:tcBorders>
            <w:shd w:val="clear" w:color="000000" w:fill="DCE6F1"/>
            <w:noWrap/>
            <w:vAlign w:val="center"/>
          </w:tcPr>
          <w:p w14:paraId="3F3D4249"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1 246</w:t>
            </w:r>
          </w:p>
        </w:tc>
        <w:tc>
          <w:tcPr>
            <w:tcW w:w="960" w:type="dxa"/>
            <w:tcBorders>
              <w:top w:val="nil"/>
              <w:left w:val="nil"/>
              <w:bottom w:val="nil"/>
              <w:right w:val="nil"/>
            </w:tcBorders>
            <w:shd w:val="clear" w:color="auto" w:fill="auto"/>
            <w:noWrap/>
            <w:vAlign w:val="center"/>
          </w:tcPr>
          <w:p w14:paraId="2C24ADE2"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656</w:t>
            </w:r>
          </w:p>
        </w:tc>
        <w:tc>
          <w:tcPr>
            <w:tcW w:w="960" w:type="dxa"/>
            <w:tcBorders>
              <w:top w:val="nil"/>
              <w:left w:val="nil"/>
              <w:bottom w:val="nil"/>
              <w:right w:val="nil"/>
            </w:tcBorders>
            <w:shd w:val="clear" w:color="000000" w:fill="DCE6F1"/>
            <w:noWrap/>
            <w:vAlign w:val="center"/>
          </w:tcPr>
          <w:p w14:paraId="162F75E5"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330</w:t>
            </w:r>
          </w:p>
        </w:tc>
        <w:tc>
          <w:tcPr>
            <w:tcW w:w="960" w:type="dxa"/>
            <w:tcBorders>
              <w:top w:val="nil"/>
              <w:left w:val="nil"/>
              <w:bottom w:val="nil"/>
              <w:right w:val="nil"/>
            </w:tcBorders>
            <w:shd w:val="clear" w:color="auto" w:fill="auto"/>
            <w:noWrap/>
            <w:vAlign w:val="center"/>
          </w:tcPr>
          <w:p w14:paraId="35CA8DE9"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234</w:t>
            </w:r>
          </w:p>
        </w:tc>
        <w:tc>
          <w:tcPr>
            <w:tcW w:w="960" w:type="dxa"/>
            <w:tcBorders>
              <w:top w:val="nil"/>
              <w:left w:val="nil"/>
              <w:bottom w:val="nil"/>
              <w:right w:val="nil"/>
            </w:tcBorders>
            <w:shd w:val="clear" w:color="000000" w:fill="DCE6F1"/>
            <w:noWrap/>
            <w:vAlign w:val="center"/>
          </w:tcPr>
          <w:p w14:paraId="36B2F491"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75</w:t>
            </w:r>
          </w:p>
        </w:tc>
        <w:tc>
          <w:tcPr>
            <w:tcW w:w="960" w:type="dxa"/>
            <w:tcBorders>
              <w:top w:val="nil"/>
              <w:left w:val="nil"/>
              <w:bottom w:val="nil"/>
              <w:right w:val="nil"/>
            </w:tcBorders>
            <w:shd w:val="clear" w:color="auto" w:fill="auto"/>
            <w:noWrap/>
            <w:vAlign w:val="center"/>
          </w:tcPr>
          <w:p w14:paraId="0A5D3F1D"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44</w:t>
            </w:r>
          </w:p>
        </w:tc>
        <w:tc>
          <w:tcPr>
            <w:tcW w:w="960" w:type="dxa"/>
            <w:tcBorders>
              <w:top w:val="nil"/>
              <w:left w:val="nil"/>
              <w:bottom w:val="nil"/>
              <w:right w:val="single" w:sz="12" w:space="0" w:color="4F81BD"/>
            </w:tcBorders>
            <w:shd w:val="clear" w:color="000000" w:fill="DCE6F1"/>
            <w:noWrap/>
            <w:vAlign w:val="center"/>
          </w:tcPr>
          <w:p w14:paraId="364AE63F"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92</w:t>
            </w:r>
          </w:p>
        </w:tc>
      </w:tr>
      <w:tr w:rsidR="00EB413B" w:rsidRPr="00FB4E5F" w14:paraId="668F7E59" w14:textId="77777777" w:rsidTr="00B9182D">
        <w:trPr>
          <w:trHeight w:val="300"/>
          <w:jc w:val="center"/>
        </w:trPr>
        <w:tc>
          <w:tcPr>
            <w:tcW w:w="2630" w:type="dxa"/>
            <w:tcBorders>
              <w:top w:val="nil"/>
              <w:left w:val="single" w:sz="12" w:space="0" w:color="4F81BD"/>
              <w:bottom w:val="nil"/>
              <w:right w:val="nil"/>
            </w:tcBorders>
            <w:shd w:val="clear" w:color="000000" w:fill="EEF3F8"/>
            <w:vAlign w:val="center"/>
            <w:hideMark/>
          </w:tcPr>
          <w:p w14:paraId="452E0806" w14:textId="77777777" w:rsidR="00EB413B" w:rsidRPr="00FB4E5F" w:rsidRDefault="00EB413B" w:rsidP="00E357E8">
            <w:pPr>
              <w:spacing w:after="0" w:line="240" w:lineRule="auto"/>
              <w:rPr>
                <w:rFonts w:ascii="Calibri" w:eastAsia="Times New Roman" w:hAnsi="Calibri" w:cs="Times New Roman"/>
                <w:color w:val="000000"/>
                <w:sz w:val="21"/>
                <w:szCs w:val="21"/>
                <w:lang w:eastAsia="cs-CZ"/>
              </w:rPr>
            </w:pPr>
            <w:r w:rsidRPr="00FB4E5F">
              <w:rPr>
                <w:rFonts w:ascii="Calibri" w:eastAsia="Times New Roman" w:hAnsi="Calibri" w:cs="Times New Roman"/>
                <w:color w:val="000000"/>
                <w:sz w:val="21"/>
                <w:szCs w:val="21"/>
                <w:lang w:eastAsia="cs-CZ"/>
              </w:rPr>
              <w:t>stav opravných položek</w:t>
            </w:r>
          </w:p>
        </w:tc>
        <w:tc>
          <w:tcPr>
            <w:tcW w:w="960" w:type="dxa"/>
            <w:tcBorders>
              <w:top w:val="nil"/>
              <w:left w:val="nil"/>
              <w:bottom w:val="nil"/>
              <w:right w:val="nil"/>
            </w:tcBorders>
            <w:shd w:val="clear" w:color="000000" w:fill="EEF3F8"/>
            <w:noWrap/>
            <w:vAlign w:val="center"/>
          </w:tcPr>
          <w:p w14:paraId="11F696F0"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20 757</w:t>
            </w:r>
          </w:p>
        </w:tc>
        <w:tc>
          <w:tcPr>
            <w:tcW w:w="960" w:type="dxa"/>
            <w:tcBorders>
              <w:top w:val="nil"/>
              <w:left w:val="nil"/>
              <w:bottom w:val="nil"/>
              <w:right w:val="nil"/>
            </w:tcBorders>
            <w:shd w:val="clear" w:color="000000" w:fill="EEF3F8"/>
            <w:noWrap/>
            <w:vAlign w:val="center"/>
          </w:tcPr>
          <w:p w14:paraId="3C0936FA"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3 230</w:t>
            </w:r>
          </w:p>
        </w:tc>
        <w:tc>
          <w:tcPr>
            <w:tcW w:w="960" w:type="dxa"/>
            <w:tcBorders>
              <w:top w:val="nil"/>
              <w:left w:val="nil"/>
              <w:bottom w:val="nil"/>
              <w:right w:val="nil"/>
            </w:tcBorders>
            <w:shd w:val="clear" w:color="000000" w:fill="EEF3F8"/>
            <w:noWrap/>
            <w:vAlign w:val="center"/>
          </w:tcPr>
          <w:p w14:paraId="488EDABA"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4 061</w:t>
            </w:r>
          </w:p>
        </w:tc>
        <w:tc>
          <w:tcPr>
            <w:tcW w:w="960" w:type="dxa"/>
            <w:tcBorders>
              <w:top w:val="nil"/>
              <w:left w:val="nil"/>
              <w:bottom w:val="nil"/>
              <w:right w:val="nil"/>
            </w:tcBorders>
            <w:shd w:val="clear" w:color="000000" w:fill="EEF3F8"/>
            <w:noWrap/>
            <w:vAlign w:val="center"/>
          </w:tcPr>
          <w:p w14:paraId="2B69FD78"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1 753</w:t>
            </w:r>
          </w:p>
        </w:tc>
        <w:tc>
          <w:tcPr>
            <w:tcW w:w="960" w:type="dxa"/>
            <w:tcBorders>
              <w:top w:val="nil"/>
              <w:left w:val="nil"/>
              <w:bottom w:val="nil"/>
              <w:right w:val="nil"/>
            </w:tcBorders>
            <w:shd w:val="clear" w:color="000000" w:fill="EEF3F8"/>
            <w:noWrap/>
            <w:vAlign w:val="center"/>
          </w:tcPr>
          <w:p w14:paraId="1C2DADA7"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304</w:t>
            </w:r>
          </w:p>
        </w:tc>
        <w:tc>
          <w:tcPr>
            <w:tcW w:w="960" w:type="dxa"/>
            <w:tcBorders>
              <w:top w:val="nil"/>
              <w:left w:val="nil"/>
              <w:bottom w:val="nil"/>
              <w:right w:val="nil"/>
            </w:tcBorders>
            <w:shd w:val="clear" w:color="000000" w:fill="EEF3F8"/>
            <w:noWrap/>
            <w:vAlign w:val="center"/>
          </w:tcPr>
          <w:p w14:paraId="1F6B96F8"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2 657</w:t>
            </w:r>
          </w:p>
        </w:tc>
        <w:tc>
          <w:tcPr>
            <w:tcW w:w="960" w:type="dxa"/>
            <w:tcBorders>
              <w:top w:val="nil"/>
              <w:left w:val="nil"/>
              <w:bottom w:val="nil"/>
              <w:right w:val="single" w:sz="12" w:space="0" w:color="4F81BD"/>
            </w:tcBorders>
            <w:shd w:val="clear" w:color="000000" w:fill="EEF3F8"/>
            <w:noWrap/>
            <w:vAlign w:val="center"/>
          </w:tcPr>
          <w:p w14:paraId="7D8B5D84"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1 180</w:t>
            </w:r>
          </w:p>
        </w:tc>
      </w:tr>
      <w:tr w:rsidR="00EB413B" w:rsidRPr="00FB4E5F" w14:paraId="5AA159D3" w14:textId="77777777" w:rsidTr="00B9182D">
        <w:trPr>
          <w:trHeight w:val="300"/>
          <w:jc w:val="center"/>
        </w:trPr>
        <w:tc>
          <w:tcPr>
            <w:tcW w:w="2630" w:type="dxa"/>
            <w:tcBorders>
              <w:top w:val="nil"/>
              <w:left w:val="single" w:sz="12" w:space="0" w:color="4F81BD"/>
              <w:bottom w:val="nil"/>
              <w:right w:val="nil"/>
            </w:tcBorders>
            <w:shd w:val="clear" w:color="auto" w:fill="auto"/>
            <w:vAlign w:val="center"/>
            <w:hideMark/>
          </w:tcPr>
          <w:p w14:paraId="29EEFDAA" w14:textId="77777777" w:rsidR="00EB413B" w:rsidRPr="00FB4E5F" w:rsidRDefault="00EB413B" w:rsidP="00E357E8">
            <w:pPr>
              <w:spacing w:after="0" w:line="240" w:lineRule="auto"/>
              <w:rPr>
                <w:rFonts w:ascii="Calibri" w:eastAsia="Times New Roman" w:hAnsi="Calibri" w:cs="Times New Roman"/>
                <w:color w:val="000000"/>
                <w:sz w:val="21"/>
                <w:szCs w:val="21"/>
                <w:lang w:eastAsia="cs-CZ"/>
              </w:rPr>
            </w:pPr>
            <w:r w:rsidRPr="00FB4E5F">
              <w:rPr>
                <w:rFonts w:ascii="Calibri" w:eastAsia="Times New Roman" w:hAnsi="Calibri" w:cs="Times New Roman"/>
                <w:color w:val="000000"/>
                <w:sz w:val="21"/>
                <w:szCs w:val="21"/>
                <w:lang w:eastAsia="cs-CZ"/>
              </w:rPr>
              <w:t>roční odpisy pohledávek</w:t>
            </w:r>
          </w:p>
        </w:tc>
        <w:tc>
          <w:tcPr>
            <w:tcW w:w="960" w:type="dxa"/>
            <w:tcBorders>
              <w:top w:val="nil"/>
              <w:left w:val="nil"/>
              <w:bottom w:val="nil"/>
              <w:right w:val="nil"/>
            </w:tcBorders>
            <w:shd w:val="clear" w:color="000000" w:fill="DCE6F1"/>
            <w:noWrap/>
            <w:vAlign w:val="center"/>
          </w:tcPr>
          <w:p w14:paraId="50863AB9"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2 935</w:t>
            </w:r>
          </w:p>
        </w:tc>
        <w:tc>
          <w:tcPr>
            <w:tcW w:w="960" w:type="dxa"/>
            <w:tcBorders>
              <w:top w:val="nil"/>
              <w:left w:val="nil"/>
              <w:bottom w:val="nil"/>
              <w:right w:val="nil"/>
            </w:tcBorders>
            <w:shd w:val="clear" w:color="auto" w:fill="auto"/>
            <w:noWrap/>
            <w:vAlign w:val="center"/>
          </w:tcPr>
          <w:p w14:paraId="4887AE7D"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123</w:t>
            </w:r>
          </w:p>
        </w:tc>
        <w:tc>
          <w:tcPr>
            <w:tcW w:w="960" w:type="dxa"/>
            <w:tcBorders>
              <w:top w:val="nil"/>
              <w:left w:val="nil"/>
              <w:bottom w:val="nil"/>
              <w:right w:val="nil"/>
            </w:tcBorders>
            <w:shd w:val="clear" w:color="000000" w:fill="DCE6F1"/>
            <w:noWrap/>
            <w:vAlign w:val="center"/>
          </w:tcPr>
          <w:p w14:paraId="183DBEBD"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255</w:t>
            </w:r>
          </w:p>
        </w:tc>
        <w:tc>
          <w:tcPr>
            <w:tcW w:w="960" w:type="dxa"/>
            <w:tcBorders>
              <w:top w:val="nil"/>
              <w:left w:val="nil"/>
              <w:bottom w:val="nil"/>
              <w:right w:val="nil"/>
            </w:tcBorders>
            <w:shd w:val="clear" w:color="auto" w:fill="auto"/>
            <w:noWrap/>
            <w:vAlign w:val="center"/>
          </w:tcPr>
          <w:p w14:paraId="13CB1D86"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377</w:t>
            </w:r>
          </w:p>
        </w:tc>
        <w:tc>
          <w:tcPr>
            <w:tcW w:w="960" w:type="dxa"/>
            <w:tcBorders>
              <w:top w:val="nil"/>
              <w:left w:val="nil"/>
              <w:bottom w:val="nil"/>
              <w:right w:val="nil"/>
            </w:tcBorders>
            <w:shd w:val="clear" w:color="000000" w:fill="DCE6F1"/>
            <w:noWrap/>
            <w:vAlign w:val="center"/>
          </w:tcPr>
          <w:p w14:paraId="72384E61"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16</w:t>
            </w:r>
          </w:p>
        </w:tc>
        <w:tc>
          <w:tcPr>
            <w:tcW w:w="960" w:type="dxa"/>
            <w:tcBorders>
              <w:top w:val="nil"/>
              <w:left w:val="nil"/>
              <w:bottom w:val="nil"/>
              <w:right w:val="nil"/>
            </w:tcBorders>
            <w:shd w:val="clear" w:color="auto" w:fill="auto"/>
            <w:noWrap/>
            <w:vAlign w:val="center"/>
          </w:tcPr>
          <w:p w14:paraId="7523E1FC"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244</w:t>
            </w:r>
          </w:p>
        </w:tc>
        <w:tc>
          <w:tcPr>
            <w:tcW w:w="960" w:type="dxa"/>
            <w:tcBorders>
              <w:top w:val="nil"/>
              <w:left w:val="nil"/>
              <w:bottom w:val="nil"/>
              <w:right w:val="single" w:sz="12" w:space="0" w:color="4F81BD"/>
            </w:tcBorders>
            <w:shd w:val="clear" w:color="000000" w:fill="DCE6F1"/>
            <w:noWrap/>
            <w:vAlign w:val="center"/>
          </w:tcPr>
          <w:p w14:paraId="7CA17F66"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58</w:t>
            </w:r>
          </w:p>
        </w:tc>
      </w:tr>
      <w:tr w:rsidR="00EB413B" w:rsidRPr="00FB4E5F" w14:paraId="74B3C9BF" w14:textId="77777777" w:rsidTr="00B9182D">
        <w:trPr>
          <w:trHeight w:val="300"/>
          <w:jc w:val="center"/>
        </w:trPr>
        <w:tc>
          <w:tcPr>
            <w:tcW w:w="2630" w:type="dxa"/>
            <w:tcBorders>
              <w:top w:val="nil"/>
              <w:left w:val="single" w:sz="12" w:space="0" w:color="4F81BD"/>
              <w:bottom w:val="nil"/>
              <w:right w:val="nil"/>
            </w:tcBorders>
            <w:shd w:val="clear" w:color="000000" w:fill="EEF3F8"/>
            <w:vAlign w:val="center"/>
            <w:hideMark/>
          </w:tcPr>
          <w:p w14:paraId="7AFFD189" w14:textId="77777777" w:rsidR="00EB413B" w:rsidRPr="00FB4E5F" w:rsidRDefault="00EB413B" w:rsidP="00E357E8">
            <w:pPr>
              <w:spacing w:after="0" w:line="240" w:lineRule="auto"/>
              <w:rPr>
                <w:rFonts w:ascii="Calibri" w:eastAsia="Times New Roman" w:hAnsi="Calibri" w:cs="Times New Roman"/>
                <w:color w:val="000000"/>
                <w:sz w:val="21"/>
                <w:szCs w:val="21"/>
                <w:lang w:eastAsia="cs-CZ"/>
              </w:rPr>
            </w:pPr>
            <w:r w:rsidRPr="00FB4E5F">
              <w:rPr>
                <w:rFonts w:ascii="Calibri" w:eastAsia="Times New Roman" w:hAnsi="Calibri" w:cs="Times New Roman"/>
                <w:color w:val="000000"/>
                <w:sz w:val="21"/>
                <w:szCs w:val="21"/>
                <w:lang w:eastAsia="cs-CZ"/>
              </w:rPr>
              <w:t>roční odstranění tvrdosti</w:t>
            </w:r>
          </w:p>
        </w:tc>
        <w:tc>
          <w:tcPr>
            <w:tcW w:w="960" w:type="dxa"/>
            <w:tcBorders>
              <w:top w:val="nil"/>
              <w:left w:val="nil"/>
              <w:bottom w:val="nil"/>
              <w:right w:val="nil"/>
            </w:tcBorders>
            <w:shd w:val="clear" w:color="000000" w:fill="EEF3F8"/>
            <w:noWrap/>
            <w:vAlign w:val="center"/>
          </w:tcPr>
          <w:p w14:paraId="43166576"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126</w:t>
            </w:r>
          </w:p>
        </w:tc>
        <w:tc>
          <w:tcPr>
            <w:tcW w:w="960" w:type="dxa"/>
            <w:tcBorders>
              <w:top w:val="nil"/>
              <w:left w:val="nil"/>
              <w:bottom w:val="nil"/>
              <w:right w:val="nil"/>
            </w:tcBorders>
            <w:shd w:val="clear" w:color="000000" w:fill="EEF3F8"/>
            <w:noWrap/>
            <w:vAlign w:val="center"/>
          </w:tcPr>
          <w:p w14:paraId="4D3F40E6"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w:t>
            </w:r>
          </w:p>
        </w:tc>
        <w:tc>
          <w:tcPr>
            <w:tcW w:w="960" w:type="dxa"/>
            <w:tcBorders>
              <w:top w:val="nil"/>
              <w:left w:val="nil"/>
              <w:bottom w:val="nil"/>
              <w:right w:val="nil"/>
            </w:tcBorders>
            <w:shd w:val="clear" w:color="000000" w:fill="EEF3F8"/>
            <w:noWrap/>
            <w:vAlign w:val="center"/>
          </w:tcPr>
          <w:p w14:paraId="0EA99A04"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20</w:t>
            </w:r>
          </w:p>
        </w:tc>
        <w:tc>
          <w:tcPr>
            <w:tcW w:w="960" w:type="dxa"/>
            <w:tcBorders>
              <w:top w:val="nil"/>
              <w:left w:val="nil"/>
              <w:bottom w:val="nil"/>
              <w:right w:val="nil"/>
            </w:tcBorders>
            <w:shd w:val="clear" w:color="000000" w:fill="EEF3F8"/>
            <w:noWrap/>
            <w:vAlign w:val="center"/>
          </w:tcPr>
          <w:p w14:paraId="1B86327E"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11</w:t>
            </w:r>
          </w:p>
        </w:tc>
        <w:tc>
          <w:tcPr>
            <w:tcW w:w="960" w:type="dxa"/>
            <w:tcBorders>
              <w:top w:val="nil"/>
              <w:left w:val="nil"/>
              <w:bottom w:val="nil"/>
              <w:right w:val="nil"/>
            </w:tcBorders>
            <w:shd w:val="clear" w:color="000000" w:fill="EEF3F8"/>
            <w:noWrap/>
            <w:vAlign w:val="center"/>
          </w:tcPr>
          <w:p w14:paraId="064BD79B"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w:t>
            </w:r>
          </w:p>
        </w:tc>
        <w:tc>
          <w:tcPr>
            <w:tcW w:w="960" w:type="dxa"/>
            <w:tcBorders>
              <w:top w:val="nil"/>
              <w:left w:val="nil"/>
              <w:bottom w:val="nil"/>
              <w:right w:val="nil"/>
            </w:tcBorders>
            <w:shd w:val="clear" w:color="000000" w:fill="EEF3F8"/>
            <w:noWrap/>
            <w:vAlign w:val="center"/>
          </w:tcPr>
          <w:p w14:paraId="269B01E5"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18</w:t>
            </w:r>
          </w:p>
        </w:tc>
        <w:tc>
          <w:tcPr>
            <w:tcW w:w="960" w:type="dxa"/>
            <w:tcBorders>
              <w:top w:val="nil"/>
              <w:left w:val="nil"/>
              <w:bottom w:val="nil"/>
              <w:right w:val="single" w:sz="12" w:space="0" w:color="4F81BD"/>
            </w:tcBorders>
            <w:shd w:val="clear" w:color="000000" w:fill="EEF3F8"/>
            <w:noWrap/>
            <w:vAlign w:val="center"/>
          </w:tcPr>
          <w:p w14:paraId="23A46497"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w:t>
            </w:r>
          </w:p>
        </w:tc>
      </w:tr>
      <w:tr w:rsidR="00EB413B" w:rsidRPr="00FB4E5F" w14:paraId="2B196B2D" w14:textId="77777777" w:rsidTr="00B9182D">
        <w:trPr>
          <w:trHeight w:val="300"/>
          <w:jc w:val="center"/>
        </w:trPr>
        <w:tc>
          <w:tcPr>
            <w:tcW w:w="2630" w:type="dxa"/>
            <w:tcBorders>
              <w:top w:val="nil"/>
              <w:left w:val="single" w:sz="12" w:space="0" w:color="4F81BD"/>
              <w:bottom w:val="nil"/>
              <w:right w:val="nil"/>
            </w:tcBorders>
            <w:shd w:val="clear" w:color="auto" w:fill="auto"/>
            <w:vAlign w:val="center"/>
            <w:hideMark/>
          </w:tcPr>
          <w:p w14:paraId="304F9CDF" w14:textId="77777777" w:rsidR="00EB413B" w:rsidRPr="00FB4E5F" w:rsidRDefault="00EB413B" w:rsidP="00E357E8">
            <w:pPr>
              <w:spacing w:after="0" w:line="240" w:lineRule="auto"/>
              <w:rPr>
                <w:rFonts w:ascii="Calibri" w:eastAsia="Times New Roman" w:hAnsi="Calibri" w:cs="Times New Roman"/>
                <w:b/>
                <w:bCs/>
                <w:color w:val="000000"/>
                <w:sz w:val="21"/>
                <w:szCs w:val="21"/>
                <w:lang w:eastAsia="cs-CZ"/>
              </w:rPr>
            </w:pPr>
            <w:r w:rsidRPr="00FB4E5F">
              <w:rPr>
                <w:rFonts w:ascii="Calibri" w:eastAsia="Times New Roman" w:hAnsi="Calibri" w:cs="Arial"/>
                <w:b/>
                <w:bCs/>
                <w:color w:val="000000"/>
                <w:sz w:val="21"/>
                <w:szCs w:val="21"/>
                <w:lang w:eastAsia="cs-CZ"/>
              </w:rPr>
              <w:t>stav závazků celkem</w:t>
            </w:r>
          </w:p>
        </w:tc>
        <w:tc>
          <w:tcPr>
            <w:tcW w:w="960" w:type="dxa"/>
            <w:tcBorders>
              <w:top w:val="nil"/>
              <w:left w:val="nil"/>
              <w:bottom w:val="nil"/>
              <w:right w:val="nil"/>
            </w:tcBorders>
            <w:shd w:val="clear" w:color="000000" w:fill="DCE6F1"/>
            <w:noWrap/>
            <w:vAlign w:val="center"/>
          </w:tcPr>
          <w:p w14:paraId="7941F3D8"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20 585</w:t>
            </w:r>
          </w:p>
        </w:tc>
        <w:tc>
          <w:tcPr>
            <w:tcW w:w="960" w:type="dxa"/>
            <w:tcBorders>
              <w:top w:val="nil"/>
              <w:left w:val="nil"/>
              <w:bottom w:val="nil"/>
              <w:right w:val="nil"/>
            </w:tcBorders>
            <w:shd w:val="clear" w:color="auto" w:fill="auto"/>
            <w:noWrap/>
            <w:vAlign w:val="center"/>
          </w:tcPr>
          <w:p w14:paraId="7234A7B1"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3 471</w:t>
            </w:r>
          </w:p>
        </w:tc>
        <w:tc>
          <w:tcPr>
            <w:tcW w:w="960" w:type="dxa"/>
            <w:tcBorders>
              <w:top w:val="nil"/>
              <w:left w:val="nil"/>
              <w:bottom w:val="nil"/>
              <w:right w:val="nil"/>
            </w:tcBorders>
            <w:shd w:val="clear" w:color="000000" w:fill="DCE6F1"/>
            <w:noWrap/>
            <w:vAlign w:val="center"/>
          </w:tcPr>
          <w:p w14:paraId="691225D0"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3 538</w:t>
            </w:r>
          </w:p>
        </w:tc>
        <w:tc>
          <w:tcPr>
            <w:tcW w:w="960" w:type="dxa"/>
            <w:tcBorders>
              <w:top w:val="nil"/>
              <w:left w:val="nil"/>
              <w:bottom w:val="nil"/>
              <w:right w:val="nil"/>
            </w:tcBorders>
            <w:shd w:val="clear" w:color="auto" w:fill="auto"/>
            <w:noWrap/>
            <w:vAlign w:val="center"/>
          </w:tcPr>
          <w:p w14:paraId="784187C8"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2 457</w:t>
            </w:r>
          </w:p>
        </w:tc>
        <w:tc>
          <w:tcPr>
            <w:tcW w:w="960" w:type="dxa"/>
            <w:tcBorders>
              <w:top w:val="nil"/>
              <w:left w:val="nil"/>
              <w:bottom w:val="nil"/>
              <w:right w:val="nil"/>
            </w:tcBorders>
            <w:shd w:val="clear" w:color="000000" w:fill="DCE6F1"/>
            <w:noWrap/>
            <w:vAlign w:val="center"/>
          </w:tcPr>
          <w:p w14:paraId="05030117"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368</w:t>
            </w:r>
          </w:p>
        </w:tc>
        <w:tc>
          <w:tcPr>
            <w:tcW w:w="960" w:type="dxa"/>
            <w:tcBorders>
              <w:top w:val="nil"/>
              <w:left w:val="nil"/>
              <w:bottom w:val="nil"/>
              <w:right w:val="nil"/>
            </w:tcBorders>
            <w:shd w:val="clear" w:color="auto" w:fill="auto"/>
            <w:noWrap/>
            <w:vAlign w:val="center"/>
          </w:tcPr>
          <w:p w14:paraId="5F4D8587"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3 666</w:t>
            </w:r>
          </w:p>
        </w:tc>
        <w:tc>
          <w:tcPr>
            <w:tcW w:w="960" w:type="dxa"/>
            <w:tcBorders>
              <w:top w:val="nil"/>
              <w:left w:val="nil"/>
              <w:bottom w:val="nil"/>
              <w:right w:val="single" w:sz="12" w:space="0" w:color="4F81BD"/>
            </w:tcBorders>
            <w:shd w:val="clear" w:color="000000" w:fill="DCE6F1"/>
            <w:noWrap/>
            <w:vAlign w:val="center"/>
          </w:tcPr>
          <w:p w14:paraId="3C087265" w14:textId="77777777" w:rsidR="00EB413B" w:rsidRPr="00FB4E5F" w:rsidRDefault="00EB413B" w:rsidP="00E357E8">
            <w:pPr>
              <w:spacing w:after="0" w:line="240" w:lineRule="auto"/>
              <w:jc w:val="right"/>
              <w:rPr>
                <w:rFonts w:ascii="Calibri" w:eastAsia="Times New Roman" w:hAnsi="Calibri" w:cs="Times New Roman"/>
                <w:b/>
                <w:bCs/>
                <w:color w:val="000000"/>
                <w:sz w:val="21"/>
                <w:szCs w:val="21"/>
                <w:lang w:eastAsia="cs-CZ"/>
              </w:rPr>
            </w:pPr>
            <w:r>
              <w:rPr>
                <w:rFonts w:ascii="Calibri" w:hAnsi="Calibri" w:cs="Times New Roman CE"/>
                <w:b/>
                <w:bCs/>
                <w:color w:val="000000"/>
                <w:sz w:val="21"/>
                <w:szCs w:val="21"/>
              </w:rPr>
              <w:t>1 415</w:t>
            </w:r>
          </w:p>
        </w:tc>
      </w:tr>
      <w:tr w:rsidR="00EB413B" w:rsidRPr="00FB4E5F" w14:paraId="137F6A60" w14:textId="77777777" w:rsidTr="00B9182D">
        <w:trPr>
          <w:trHeight w:val="300"/>
          <w:jc w:val="center"/>
        </w:trPr>
        <w:tc>
          <w:tcPr>
            <w:tcW w:w="2630" w:type="dxa"/>
            <w:tcBorders>
              <w:top w:val="nil"/>
              <w:left w:val="single" w:sz="12" w:space="0" w:color="4F81BD"/>
              <w:bottom w:val="nil"/>
              <w:right w:val="nil"/>
            </w:tcBorders>
            <w:shd w:val="clear" w:color="000000" w:fill="EEF3F8"/>
            <w:vAlign w:val="center"/>
            <w:hideMark/>
          </w:tcPr>
          <w:p w14:paraId="09317910" w14:textId="77777777" w:rsidR="00EB413B" w:rsidRPr="00FB4E5F" w:rsidRDefault="00EB413B" w:rsidP="00E357E8">
            <w:pPr>
              <w:spacing w:after="0" w:line="240" w:lineRule="auto"/>
              <w:rPr>
                <w:rFonts w:ascii="Calibri" w:eastAsia="Times New Roman" w:hAnsi="Calibri" w:cs="Times New Roman"/>
                <w:color w:val="000000"/>
                <w:sz w:val="21"/>
                <w:szCs w:val="21"/>
                <w:lang w:eastAsia="cs-CZ"/>
              </w:rPr>
            </w:pPr>
            <w:r w:rsidRPr="00FB4E5F">
              <w:rPr>
                <w:rFonts w:ascii="Calibri" w:eastAsia="Times New Roman" w:hAnsi="Calibri" w:cs="Times New Roman"/>
                <w:color w:val="000000"/>
                <w:sz w:val="21"/>
                <w:szCs w:val="21"/>
                <w:lang w:eastAsia="cs-CZ"/>
              </w:rPr>
              <w:t>z toho po lhůtě vůči PZS</w:t>
            </w:r>
          </w:p>
        </w:tc>
        <w:tc>
          <w:tcPr>
            <w:tcW w:w="960" w:type="dxa"/>
            <w:tcBorders>
              <w:top w:val="nil"/>
              <w:left w:val="nil"/>
              <w:bottom w:val="nil"/>
              <w:right w:val="nil"/>
            </w:tcBorders>
            <w:shd w:val="clear" w:color="000000" w:fill="EEF3F8"/>
            <w:noWrap/>
            <w:vAlign w:val="center"/>
          </w:tcPr>
          <w:p w14:paraId="49FE1AE0"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c>
          <w:tcPr>
            <w:tcW w:w="960" w:type="dxa"/>
            <w:tcBorders>
              <w:top w:val="nil"/>
              <w:left w:val="nil"/>
              <w:bottom w:val="nil"/>
              <w:right w:val="nil"/>
            </w:tcBorders>
            <w:shd w:val="clear" w:color="000000" w:fill="EEF3F8"/>
            <w:noWrap/>
            <w:vAlign w:val="center"/>
          </w:tcPr>
          <w:p w14:paraId="3459E8D4"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c>
          <w:tcPr>
            <w:tcW w:w="960" w:type="dxa"/>
            <w:tcBorders>
              <w:top w:val="nil"/>
              <w:left w:val="nil"/>
              <w:bottom w:val="nil"/>
              <w:right w:val="nil"/>
            </w:tcBorders>
            <w:shd w:val="clear" w:color="000000" w:fill="EEF3F8"/>
            <w:noWrap/>
            <w:vAlign w:val="center"/>
          </w:tcPr>
          <w:p w14:paraId="7845E49B"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c>
          <w:tcPr>
            <w:tcW w:w="960" w:type="dxa"/>
            <w:tcBorders>
              <w:top w:val="nil"/>
              <w:left w:val="nil"/>
              <w:bottom w:val="nil"/>
              <w:right w:val="nil"/>
            </w:tcBorders>
            <w:shd w:val="clear" w:color="000000" w:fill="EEF3F8"/>
            <w:noWrap/>
            <w:vAlign w:val="center"/>
          </w:tcPr>
          <w:p w14:paraId="2C5FF51D"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c>
          <w:tcPr>
            <w:tcW w:w="960" w:type="dxa"/>
            <w:tcBorders>
              <w:top w:val="nil"/>
              <w:left w:val="nil"/>
              <w:bottom w:val="nil"/>
              <w:right w:val="nil"/>
            </w:tcBorders>
            <w:shd w:val="clear" w:color="000000" w:fill="EEF3F8"/>
            <w:noWrap/>
            <w:vAlign w:val="center"/>
          </w:tcPr>
          <w:p w14:paraId="784B151A"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c>
          <w:tcPr>
            <w:tcW w:w="960" w:type="dxa"/>
            <w:tcBorders>
              <w:top w:val="nil"/>
              <w:left w:val="nil"/>
              <w:bottom w:val="nil"/>
              <w:right w:val="nil"/>
            </w:tcBorders>
            <w:shd w:val="clear" w:color="000000" w:fill="EEF3F8"/>
            <w:noWrap/>
            <w:vAlign w:val="center"/>
          </w:tcPr>
          <w:p w14:paraId="73756FCB"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c>
          <w:tcPr>
            <w:tcW w:w="960" w:type="dxa"/>
            <w:tcBorders>
              <w:top w:val="nil"/>
              <w:left w:val="nil"/>
              <w:bottom w:val="nil"/>
              <w:right w:val="single" w:sz="12" w:space="0" w:color="4F81BD"/>
            </w:tcBorders>
            <w:shd w:val="clear" w:color="000000" w:fill="EEF3F8"/>
            <w:noWrap/>
            <w:vAlign w:val="center"/>
          </w:tcPr>
          <w:p w14:paraId="7B4EA791"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r>
      <w:tr w:rsidR="00EB413B" w:rsidRPr="00FB4E5F" w14:paraId="09239824" w14:textId="77777777" w:rsidTr="00B9182D">
        <w:trPr>
          <w:trHeight w:val="300"/>
          <w:jc w:val="center"/>
        </w:trPr>
        <w:tc>
          <w:tcPr>
            <w:tcW w:w="2630" w:type="dxa"/>
            <w:tcBorders>
              <w:top w:val="nil"/>
              <w:left w:val="single" w:sz="12" w:space="0" w:color="4F81BD"/>
              <w:bottom w:val="nil"/>
              <w:right w:val="nil"/>
            </w:tcBorders>
            <w:shd w:val="clear" w:color="auto" w:fill="auto"/>
            <w:vAlign w:val="center"/>
            <w:hideMark/>
          </w:tcPr>
          <w:p w14:paraId="1A20B2BA" w14:textId="77777777" w:rsidR="00EB413B" w:rsidRPr="00FB4E5F" w:rsidRDefault="00EB413B" w:rsidP="00E357E8">
            <w:pPr>
              <w:spacing w:after="0" w:line="240" w:lineRule="auto"/>
              <w:rPr>
                <w:rFonts w:ascii="Calibri" w:eastAsia="Times New Roman" w:hAnsi="Calibri" w:cs="Times New Roman"/>
                <w:color w:val="000000"/>
                <w:sz w:val="21"/>
                <w:szCs w:val="21"/>
                <w:lang w:eastAsia="cs-CZ"/>
              </w:rPr>
            </w:pPr>
            <w:r w:rsidRPr="00FB4E5F">
              <w:rPr>
                <w:rFonts w:ascii="Calibri" w:eastAsia="Times New Roman" w:hAnsi="Calibri" w:cs="Times New Roman"/>
                <w:color w:val="000000"/>
                <w:sz w:val="21"/>
                <w:szCs w:val="21"/>
                <w:lang w:eastAsia="cs-CZ"/>
              </w:rPr>
              <w:t>dohadné položky pasivní</w:t>
            </w:r>
          </w:p>
        </w:tc>
        <w:tc>
          <w:tcPr>
            <w:tcW w:w="960" w:type="dxa"/>
            <w:tcBorders>
              <w:top w:val="nil"/>
              <w:left w:val="nil"/>
              <w:bottom w:val="nil"/>
              <w:right w:val="nil"/>
            </w:tcBorders>
            <w:shd w:val="clear" w:color="000000" w:fill="DCE6F1"/>
            <w:noWrap/>
            <w:vAlign w:val="center"/>
          </w:tcPr>
          <w:p w14:paraId="737558D7"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5 152</w:t>
            </w:r>
          </w:p>
        </w:tc>
        <w:tc>
          <w:tcPr>
            <w:tcW w:w="960" w:type="dxa"/>
            <w:tcBorders>
              <w:top w:val="nil"/>
              <w:left w:val="nil"/>
              <w:bottom w:val="nil"/>
              <w:right w:val="nil"/>
            </w:tcBorders>
            <w:shd w:val="clear" w:color="auto" w:fill="auto"/>
            <w:noWrap/>
            <w:vAlign w:val="center"/>
          </w:tcPr>
          <w:p w14:paraId="77DE370C"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937</w:t>
            </w:r>
          </w:p>
        </w:tc>
        <w:tc>
          <w:tcPr>
            <w:tcW w:w="960" w:type="dxa"/>
            <w:tcBorders>
              <w:top w:val="nil"/>
              <w:left w:val="nil"/>
              <w:bottom w:val="nil"/>
              <w:right w:val="nil"/>
            </w:tcBorders>
            <w:shd w:val="clear" w:color="000000" w:fill="DCE6F1"/>
            <w:noWrap/>
            <w:vAlign w:val="center"/>
          </w:tcPr>
          <w:p w14:paraId="22F2CCCF"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971</w:t>
            </w:r>
          </w:p>
        </w:tc>
        <w:tc>
          <w:tcPr>
            <w:tcW w:w="960" w:type="dxa"/>
            <w:tcBorders>
              <w:top w:val="nil"/>
              <w:left w:val="nil"/>
              <w:bottom w:val="nil"/>
              <w:right w:val="nil"/>
            </w:tcBorders>
            <w:shd w:val="clear" w:color="auto" w:fill="auto"/>
            <w:noWrap/>
            <w:vAlign w:val="center"/>
          </w:tcPr>
          <w:p w14:paraId="57A7E801"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788</w:t>
            </w:r>
          </w:p>
        </w:tc>
        <w:tc>
          <w:tcPr>
            <w:tcW w:w="960" w:type="dxa"/>
            <w:tcBorders>
              <w:top w:val="nil"/>
              <w:left w:val="nil"/>
              <w:bottom w:val="nil"/>
              <w:right w:val="nil"/>
            </w:tcBorders>
            <w:shd w:val="clear" w:color="000000" w:fill="DCE6F1"/>
            <w:noWrap/>
            <w:vAlign w:val="center"/>
          </w:tcPr>
          <w:p w14:paraId="5F7C6127"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53</w:t>
            </w:r>
          </w:p>
        </w:tc>
        <w:tc>
          <w:tcPr>
            <w:tcW w:w="960" w:type="dxa"/>
            <w:tcBorders>
              <w:top w:val="nil"/>
              <w:left w:val="nil"/>
              <w:bottom w:val="nil"/>
              <w:right w:val="nil"/>
            </w:tcBorders>
            <w:shd w:val="clear" w:color="auto" w:fill="auto"/>
            <w:noWrap/>
            <w:vAlign w:val="center"/>
          </w:tcPr>
          <w:p w14:paraId="41A7F97F"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738</w:t>
            </w:r>
          </w:p>
        </w:tc>
        <w:tc>
          <w:tcPr>
            <w:tcW w:w="960" w:type="dxa"/>
            <w:tcBorders>
              <w:top w:val="nil"/>
              <w:left w:val="nil"/>
              <w:bottom w:val="nil"/>
              <w:right w:val="single" w:sz="12" w:space="0" w:color="4F81BD"/>
            </w:tcBorders>
            <w:shd w:val="clear" w:color="000000" w:fill="DCE6F1"/>
            <w:noWrap/>
            <w:vAlign w:val="center"/>
          </w:tcPr>
          <w:p w14:paraId="641B5F4A"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487</w:t>
            </w:r>
          </w:p>
        </w:tc>
      </w:tr>
      <w:tr w:rsidR="00EB413B" w:rsidRPr="00FB4E5F" w14:paraId="3832ACA2" w14:textId="77777777" w:rsidTr="00B9182D">
        <w:trPr>
          <w:trHeight w:val="315"/>
          <w:jc w:val="center"/>
        </w:trPr>
        <w:tc>
          <w:tcPr>
            <w:tcW w:w="2630" w:type="dxa"/>
            <w:tcBorders>
              <w:top w:val="nil"/>
              <w:left w:val="single" w:sz="12" w:space="0" w:color="4F81BD"/>
              <w:bottom w:val="nil"/>
              <w:right w:val="nil"/>
            </w:tcBorders>
            <w:shd w:val="clear" w:color="000000" w:fill="EEF3F8"/>
            <w:vAlign w:val="center"/>
            <w:hideMark/>
          </w:tcPr>
          <w:p w14:paraId="35905307" w14:textId="19F7E508" w:rsidR="00EB413B" w:rsidRPr="00FB4E5F" w:rsidRDefault="001250A1" w:rsidP="001250A1">
            <w:pPr>
              <w:spacing w:after="0" w:line="240" w:lineRule="auto"/>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 xml:space="preserve">tvorba </w:t>
            </w:r>
            <w:r w:rsidR="00EB413B" w:rsidRPr="00FB4E5F">
              <w:rPr>
                <w:rFonts w:ascii="Calibri" w:eastAsia="Times New Roman" w:hAnsi="Calibri" w:cs="Times New Roman"/>
                <w:color w:val="000000"/>
                <w:sz w:val="21"/>
                <w:szCs w:val="21"/>
                <w:lang w:eastAsia="cs-CZ"/>
              </w:rPr>
              <w:t>rezerv na soudní spory</w:t>
            </w:r>
          </w:p>
        </w:tc>
        <w:tc>
          <w:tcPr>
            <w:tcW w:w="960" w:type="dxa"/>
            <w:tcBorders>
              <w:top w:val="nil"/>
              <w:left w:val="nil"/>
              <w:bottom w:val="nil"/>
              <w:right w:val="nil"/>
            </w:tcBorders>
            <w:shd w:val="clear" w:color="000000" w:fill="EEF3F8"/>
            <w:noWrap/>
            <w:vAlign w:val="center"/>
          </w:tcPr>
          <w:p w14:paraId="7CCE04FD"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144</w:t>
            </w:r>
          </w:p>
        </w:tc>
        <w:tc>
          <w:tcPr>
            <w:tcW w:w="960" w:type="dxa"/>
            <w:tcBorders>
              <w:top w:val="nil"/>
              <w:left w:val="nil"/>
              <w:bottom w:val="nil"/>
              <w:right w:val="nil"/>
            </w:tcBorders>
            <w:shd w:val="clear" w:color="000000" w:fill="EEF3F8"/>
            <w:noWrap/>
            <w:vAlign w:val="center"/>
          </w:tcPr>
          <w:p w14:paraId="06A248C3"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c>
          <w:tcPr>
            <w:tcW w:w="960" w:type="dxa"/>
            <w:tcBorders>
              <w:top w:val="nil"/>
              <w:left w:val="nil"/>
              <w:bottom w:val="nil"/>
              <w:right w:val="nil"/>
            </w:tcBorders>
            <w:shd w:val="clear" w:color="000000" w:fill="EEF3F8"/>
            <w:noWrap/>
            <w:vAlign w:val="center"/>
          </w:tcPr>
          <w:p w14:paraId="1ACE1538"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3</w:t>
            </w:r>
          </w:p>
        </w:tc>
        <w:tc>
          <w:tcPr>
            <w:tcW w:w="960" w:type="dxa"/>
            <w:tcBorders>
              <w:top w:val="nil"/>
              <w:left w:val="nil"/>
              <w:bottom w:val="nil"/>
              <w:right w:val="nil"/>
            </w:tcBorders>
            <w:shd w:val="clear" w:color="000000" w:fill="EEF3F8"/>
            <w:noWrap/>
            <w:vAlign w:val="center"/>
          </w:tcPr>
          <w:p w14:paraId="6F10B78B"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-18</w:t>
            </w:r>
          </w:p>
        </w:tc>
        <w:tc>
          <w:tcPr>
            <w:tcW w:w="960" w:type="dxa"/>
            <w:tcBorders>
              <w:top w:val="nil"/>
              <w:left w:val="nil"/>
              <w:bottom w:val="nil"/>
              <w:right w:val="nil"/>
            </w:tcBorders>
            <w:shd w:val="clear" w:color="000000" w:fill="EEF3F8"/>
            <w:noWrap/>
            <w:vAlign w:val="center"/>
          </w:tcPr>
          <w:p w14:paraId="6F5E4428"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c>
          <w:tcPr>
            <w:tcW w:w="960" w:type="dxa"/>
            <w:tcBorders>
              <w:top w:val="nil"/>
              <w:left w:val="nil"/>
              <w:bottom w:val="nil"/>
              <w:right w:val="nil"/>
            </w:tcBorders>
            <w:shd w:val="clear" w:color="000000" w:fill="EEF3F8"/>
            <w:noWrap/>
            <w:vAlign w:val="center"/>
          </w:tcPr>
          <w:p w14:paraId="0E69ABB2"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9</w:t>
            </w:r>
          </w:p>
        </w:tc>
        <w:tc>
          <w:tcPr>
            <w:tcW w:w="960" w:type="dxa"/>
            <w:tcBorders>
              <w:top w:val="nil"/>
              <w:left w:val="nil"/>
              <w:bottom w:val="nil"/>
              <w:right w:val="single" w:sz="12" w:space="0" w:color="4F81BD"/>
            </w:tcBorders>
            <w:shd w:val="clear" w:color="000000" w:fill="EEF3F8"/>
            <w:noWrap/>
            <w:vAlign w:val="center"/>
          </w:tcPr>
          <w:p w14:paraId="06EC7434" w14:textId="77777777" w:rsidR="00EB413B" w:rsidRPr="00FB4E5F" w:rsidRDefault="00EB413B" w:rsidP="00E357E8">
            <w:pPr>
              <w:spacing w:after="0" w:line="240" w:lineRule="auto"/>
              <w:jc w:val="right"/>
              <w:rPr>
                <w:rFonts w:ascii="Calibri" w:eastAsia="Times New Roman" w:hAnsi="Calibri" w:cs="Times New Roman"/>
                <w:color w:val="000000"/>
                <w:sz w:val="21"/>
                <w:szCs w:val="21"/>
                <w:lang w:eastAsia="cs-CZ"/>
              </w:rPr>
            </w:pPr>
            <w:r>
              <w:rPr>
                <w:rFonts w:ascii="Calibri" w:hAnsi="Calibri" w:cs="Times New Roman CE"/>
                <w:color w:val="000000"/>
                <w:sz w:val="21"/>
                <w:szCs w:val="21"/>
              </w:rPr>
              <w:t>0</w:t>
            </w:r>
          </w:p>
        </w:tc>
      </w:tr>
      <w:tr w:rsidR="00EB413B" w:rsidRPr="00FB4E5F" w14:paraId="0E6CB9A8" w14:textId="77777777" w:rsidTr="00B9182D">
        <w:trPr>
          <w:trHeight w:val="315"/>
          <w:jc w:val="center"/>
        </w:trPr>
        <w:tc>
          <w:tcPr>
            <w:tcW w:w="2630" w:type="dxa"/>
            <w:tcBorders>
              <w:top w:val="nil"/>
              <w:left w:val="single" w:sz="12" w:space="0" w:color="4F81BD"/>
              <w:bottom w:val="single" w:sz="12" w:space="0" w:color="4F81BD"/>
              <w:right w:val="nil"/>
            </w:tcBorders>
            <w:shd w:val="clear" w:color="000000" w:fill="EEF3F8"/>
            <w:vAlign w:val="center"/>
          </w:tcPr>
          <w:p w14:paraId="0B15901B" w14:textId="77777777" w:rsidR="00EB413B" w:rsidRPr="009B4732" w:rsidRDefault="00EB413B" w:rsidP="00E357E8">
            <w:pPr>
              <w:spacing w:after="0" w:line="240" w:lineRule="auto"/>
              <w:rPr>
                <w:rFonts w:ascii="Calibri" w:eastAsia="Times New Roman" w:hAnsi="Calibri" w:cs="Times New Roman"/>
                <w:b/>
                <w:color w:val="000000"/>
                <w:sz w:val="21"/>
                <w:szCs w:val="21"/>
                <w:lang w:eastAsia="cs-CZ"/>
              </w:rPr>
            </w:pPr>
            <w:r w:rsidRPr="009B4732">
              <w:rPr>
                <w:rFonts w:ascii="Calibri" w:eastAsia="Times New Roman" w:hAnsi="Calibri" w:cs="Times New Roman"/>
                <w:b/>
                <w:color w:val="000000"/>
                <w:sz w:val="21"/>
                <w:szCs w:val="21"/>
                <w:lang w:eastAsia="cs-CZ"/>
              </w:rPr>
              <w:t>stav půjček a úvěrů</w:t>
            </w:r>
          </w:p>
        </w:tc>
        <w:tc>
          <w:tcPr>
            <w:tcW w:w="960" w:type="dxa"/>
            <w:tcBorders>
              <w:top w:val="nil"/>
              <w:left w:val="nil"/>
              <w:bottom w:val="single" w:sz="12" w:space="0" w:color="4F81BD"/>
              <w:right w:val="nil"/>
            </w:tcBorders>
            <w:shd w:val="clear" w:color="000000" w:fill="EEF3F8"/>
            <w:noWrap/>
            <w:vAlign w:val="center"/>
          </w:tcPr>
          <w:p w14:paraId="554619B3" w14:textId="77777777" w:rsidR="00EB413B" w:rsidRPr="009B4732" w:rsidRDefault="00EB413B" w:rsidP="00E357E8">
            <w:pPr>
              <w:spacing w:after="0" w:line="240" w:lineRule="auto"/>
              <w:jc w:val="right"/>
              <w:rPr>
                <w:rFonts w:ascii="Calibri" w:eastAsia="Times New Roman" w:hAnsi="Calibri" w:cs="Times New Roman"/>
                <w:b/>
                <w:color w:val="000000"/>
                <w:sz w:val="21"/>
                <w:szCs w:val="21"/>
                <w:lang w:eastAsia="cs-CZ"/>
              </w:rPr>
            </w:pPr>
            <w:r>
              <w:rPr>
                <w:rFonts w:ascii="Calibri" w:hAnsi="Calibri" w:cs="Times New Roman CE"/>
                <w:b/>
                <w:bCs/>
                <w:color w:val="000000"/>
                <w:sz w:val="21"/>
                <w:szCs w:val="21"/>
              </w:rPr>
              <w:t>0</w:t>
            </w:r>
          </w:p>
        </w:tc>
        <w:tc>
          <w:tcPr>
            <w:tcW w:w="960" w:type="dxa"/>
            <w:tcBorders>
              <w:top w:val="nil"/>
              <w:left w:val="nil"/>
              <w:bottom w:val="single" w:sz="12" w:space="0" w:color="4F81BD"/>
              <w:right w:val="nil"/>
            </w:tcBorders>
            <w:shd w:val="clear" w:color="000000" w:fill="EEF3F8"/>
            <w:noWrap/>
            <w:vAlign w:val="center"/>
          </w:tcPr>
          <w:p w14:paraId="7D54C336" w14:textId="77777777" w:rsidR="00EB413B" w:rsidRPr="009B4732" w:rsidRDefault="00EB413B" w:rsidP="00E357E8">
            <w:pPr>
              <w:spacing w:after="0" w:line="240" w:lineRule="auto"/>
              <w:jc w:val="right"/>
              <w:rPr>
                <w:rFonts w:ascii="Calibri" w:eastAsia="Times New Roman" w:hAnsi="Calibri" w:cs="Times New Roman"/>
                <w:b/>
                <w:color w:val="000000"/>
                <w:sz w:val="21"/>
                <w:szCs w:val="21"/>
                <w:lang w:eastAsia="cs-CZ"/>
              </w:rPr>
            </w:pPr>
            <w:r>
              <w:rPr>
                <w:rFonts w:ascii="Calibri" w:hAnsi="Calibri" w:cs="Times New Roman CE"/>
                <w:b/>
                <w:bCs/>
                <w:color w:val="000000"/>
                <w:sz w:val="21"/>
                <w:szCs w:val="21"/>
              </w:rPr>
              <w:t>0</w:t>
            </w:r>
          </w:p>
        </w:tc>
        <w:tc>
          <w:tcPr>
            <w:tcW w:w="960" w:type="dxa"/>
            <w:tcBorders>
              <w:top w:val="nil"/>
              <w:left w:val="nil"/>
              <w:bottom w:val="single" w:sz="12" w:space="0" w:color="4F81BD"/>
              <w:right w:val="nil"/>
            </w:tcBorders>
            <w:shd w:val="clear" w:color="000000" w:fill="EEF3F8"/>
            <w:noWrap/>
            <w:vAlign w:val="center"/>
          </w:tcPr>
          <w:p w14:paraId="37D1F0FE" w14:textId="77777777" w:rsidR="00EB413B" w:rsidRPr="009B4732" w:rsidRDefault="00EB413B" w:rsidP="00E357E8">
            <w:pPr>
              <w:spacing w:after="0" w:line="240" w:lineRule="auto"/>
              <w:jc w:val="right"/>
              <w:rPr>
                <w:rFonts w:ascii="Calibri" w:eastAsia="Times New Roman" w:hAnsi="Calibri" w:cs="Times New Roman"/>
                <w:b/>
                <w:color w:val="000000"/>
                <w:sz w:val="21"/>
                <w:szCs w:val="21"/>
                <w:lang w:eastAsia="cs-CZ"/>
              </w:rPr>
            </w:pPr>
            <w:r>
              <w:rPr>
                <w:rFonts w:ascii="Calibri" w:hAnsi="Calibri" w:cs="Times New Roman CE"/>
                <w:b/>
                <w:bCs/>
                <w:color w:val="000000"/>
                <w:sz w:val="21"/>
                <w:szCs w:val="21"/>
              </w:rPr>
              <w:t>0</w:t>
            </w:r>
          </w:p>
        </w:tc>
        <w:tc>
          <w:tcPr>
            <w:tcW w:w="960" w:type="dxa"/>
            <w:tcBorders>
              <w:top w:val="nil"/>
              <w:left w:val="nil"/>
              <w:bottom w:val="single" w:sz="12" w:space="0" w:color="4F81BD"/>
              <w:right w:val="nil"/>
            </w:tcBorders>
            <w:shd w:val="clear" w:color="000000" w:fill="EEF3F8"/>
            <w:noWrap/>
            <w:vAlign w:val="center"/>
          </w:tcPr>
          <w:p w14:paraId="0C171C37" w14:textId="77777777" w:rsidR="00EB413B" w:rsidRPr="009B4732" w:rsidRDefault="00EB413B" w:rsidP="00E357E8">
            <w:pPr>
              <w:spacing w:after="0" w:line="240" w:lineRule="auto"/>
              <w:jc w:val="right"/>
              <w:rPr>
                <w:rFonts w:ascii="Calibri" w:eastAsia="Times New Roman" w:hAnsi="Calibri" w:cs="Times New Roman"/>
                <w:b/>
                <w:color w:val="000000"/>
                <w:sz w:val="21"/>
                <w:szCs w:val="21"/>
                <w:lang w:eastAsia="cs-CZ"/>
              </w:rPr>
            </w:pPr>
            <w:r>
              <w:rPr>
                <w:rFonts w:ascii="Calibri" w:hAnsi="Calibri" w:cs="Times New Roman CE"/>
                <w:b/>
                <w:bCs/>
                <w:color w:val="000000"/>
                <w:sz w:val="21"/>
                <w:szCs w:val="21"/>
              </w:rPr>
              <w:t>0</w:t>
            </w:r>
          </w:p>
        </w:tc>
        <w:tc>
          <w:tcPr>
            <w:tcW w:w="960" w:type="dxa"/>
            <w:tcBorders>
              <w:top w:val="nil"/>
              <w:left w:val="nil"/>
              <w:bottom w:val="single" w:sz="12" w:space="0" w:color="4F81BD"/>
              <w:right w:val="nil"/>
            </w:tcBorders>
            <w:shd w:val="clear" w:color="000000" w:fill="EEF3F8"/>
            <w:noWrap/>
            <w:vAlign w:val="center"/>
          </w:tcPr>
          <w:p w14:paraId="6DA21895" w14:textId="77777777" w:rsidR="00EB413B" w:rsidRPr="009B4732" w:rsidRDefault="00EB413B" w:rsidP="00E357E8">
            <w:pPr>
              <w:spacing w:after="0" w:line="240" w:lineRule="auto"/>
              <w:jc w:val="right"/>
              <w:rPr>
                <w:rFonts w:ascii="Calibri" w:eastAsia="Times New Roman" w:hAnsi="Calibri" w:cs="Times New Roman"/>
                <w:b/>
                <w:color w:val="000000"/>
                <w:sz w:val="21"/>
                <w:szCs w:val="21"/>
                <w:lang w:eastAsia="cs-CZ"/>
              </w:rPr>
            </w:pPr>
            <w:r>
              <w:rPr>
                <w:rFonts w:ascii="Calibri" w:hAnsi="Calibri" w:cs="Times New Roman CE"/>
                <w:b/>
                <w:bCs/>
                <w:color w:val="000000"/>
                <w:sz w:val="21"/>
                <w:szCs w:val="21"/>
              </w:rPr>
              <w:t>0</w:t>
            </w:r>
          </w:p>
        </w:tc>
        <w:tc>
          <w:tcPr>
            <w:tcW w:w="960" w:type="dxa"/>
            <w:tcBorders>
              <w:top w:val="nil"/>
              <w:left w:val="nil"/>
              <w:bottom w:val="single" w:sz="12" w:space="0" w:color="4F81BD"/>
              <w:right w:val="nil"/>
            </w:tcBorders>
            <w:shd w:val="clear" w:color="000000" w:fill="EEF3F8"/>
            <w:noWrap/>
            <w:vAlign w:val="center"/>
          </w:tcPr>
          <w:p w14:paraId="7E960B94" w14:textId="77777777" w:rsidR="00EB413B" w:rsidRPr="009B4732" w:rsidRDefault="00EB413B" w:rsidP="00E357E8">
            <w:pPr>
              <w:spacing w:after="0" w:line="240" w:lineRule="auto"/>
              <w:jc w:val="right"/>
              <w:rPr>
                <w:rFonts w:ascii="Calibri" w:eastAsia="Times New Roman" w:hAnsi="Calibri" w:cs="Times New Roman"/>
                <w:b/>
                <w:color w:val="000000"/>
                <w:sz w:val="21"/>
                <w:szCs w:val="21"/>
                <w:lang w:eastAsia="cs-CZ"/>
              </w:rPr>
            </w:pPr>
            <w:r>
              <w:rPr>
                <w:rFonts w:ascii="Calibri" w:hAnsi="Calibri" w:cs="Times New Roman CE"/>
                <w:b/>
                <w:bCs/>
                <w:color w:val="000000"/>
                <w:sz w:val="21"/>
                <w:szCs w:val="21"/>
              </w:rPr>
              <w:t>0</w:t>
            </w:r>
          </w:p>
        </w:tc>
        <w:tc>
          <w:tcPr>
            <w:tcW w:w="960" w:type="dxa"/>
            <w:tcBorders>
              <w:top w:val="nil"/>
              <w:left w:val="nil"/>
              <w:bottom w:val="single" w:sz="12" w:space="0" w:color="4F81BD"/>
              <w:right w:val="single" w:sz="12" w:space="0" w:color="4F81BD"/>
            </w:tcBorders>
            <w:shd w:val="clear" w:color="000000" w:fill="EEF3F8"/>
            <w:noWrap/>
            <w:vAlign w:val="center"/>
          </w:tcPr>
          <w:p w14:paraId="5D472BEB" w14:textId="77777777" w:rsidR="00EB413B" w:rsidRPr="009B4732" w:rsidRDefault="00EB413B" w:rsidP="00E357E8">
            <w:pPr>
              <w:spacing w:after="0" w:line="240" w:lineRule="auto"/>
              <w:jc w:val="right"/>
              <w:rPr>
                <w:rFonts w:ascii="Calibri" w:eastAsia="Times New Roman" w:hAnsi="Calibri" w:cs="Times New Roman"/>
                <w:b/>
                <w:color w:val="000000"/>
                <w:sz w:val="21"/>
                <w:szCs w:val="21"/>
                <w:lang w:eastAsia="cs-CZ"/>
              </w:rPr>
            </w:pPr>
            <w:r>
              <w:rPr>
                <w:rFonts w:ascii="Calibri" w:hAnsi="Calibri" w:cs="Times New Roman CE"/>
                <w:b/>
                <w:bCs/>
                <w:color w:val="000000"/>
                <w:sz w:val="21"/>
                <w:szCs w:val="21"/>
              </w:rPr>
              <w:t>0</w:t>
            </w:r>
          </w:p>
        </w:tc>
      </w:tr>
    </w:tbl>
    <w:p w14:paraId="7C1B08FE" w14:textId="77777777" w:rsidR="00902FD8" w:rsidRDefault="00902FD8" w:rsidP="00902FD8">
      <w:pPr>
        <w:pStyle w:val="TEXT"/>
      </w:pPr>
      <w:r>
        <w:t xml:space="preserve"> </w:t>
      </w:r>
    </w:p>
    <w:p w14:paraId="3434E37F" w14:textId="42D5BFE5" w:rsidR="00902FD8" w:rsidRDefault="00902FD8" w:rsidP="00902FD8">
      <w:pPr>
        <w:pStyle w:val="TEXT"/>
      </w:pPr>
      <w:r>
        <w:t xml:space="preserve">Na základě rozhodnutí o odstranění tvrdosti podle § 53a zákona č. 48/1997 Sb. bylo zdravotními pojišťovnami prominuto </w:t>
      </w:r>
      <w:r w:rsidR="00890BF5">
        <w:t xml:space="preserve">180 </w:t>
      </w:r>
      <w:r>
        <w:t xml:space="preserve">mil. Kč, což činí přibližně </w:t>
      </w:r>
      <w:r w:rsidR="00AA7C01">
        <w:t xml:space="preserve">4 </w:t>
      </w:r>
      <w:r>
        <w:t>% z celkové částky (</w:t>
      </w:r>
      <w:r w:rsidR="00AA7C01">
        <w:t>4,6</w:t>
      </w:r>
      <w:r>
        <w:t> mld. Kč), kterou</w:t>
      </w:r>
      <w:r w:rsidR="00683D94">
        <w:t> </w:t>
      </w:r>
      <w:r>
        <w:t>pojišťovny v tomto roce předepsaly pojištěncům jako penále, pokuty a přirážky k</w:t>
      </w:r>
      <w:r w:rsidR="00AA7C01">
        <w:t> </w:t>
      </w:r>
      <w:r>
        <w:t>pojistnému</w:t>
      </w:r>
      <w:r w:rsidR="004A7E39">
        <w:t xml:space="preserve"> (v </w:t>
      </w:r>
      <w:r w:rsidR="00AA7C01">
        <w:t xml:space="preserve">části A výkazů, kde byly uvedené výnosy v ZFZP a </w:t>
      </w:r>
      <w:proofErr w:type="spellStart"/>
      <w:r w:rsidR="00AA7C01">
        <w:t>Fprev</w:t>
      </w:r>
      <w:proofErr w:type="spellEnd"/>
      <w:r w:rsidR="00AA7C01">
        <w:t xml:space="preserve"> očištěny o duplicitní platby)</w:t>
      </w:r>
      <w:r>
        <w:t>.</w:t>
      </w:r>
    </w:p>
    <w:p w14:paraId="6C085647" w14:textId="77777777" w:rsidR="00902FD8" w:rsidRDefault="00902FD8" w:rsidP="00902FD8">
      <w:pPr>
        <w:pStyle w:val="TEXT"/>
      </w:pPr>
      <w:r>
        <w:rPr>
          <w:b/>
        </w:rPr>
        <w:t>Stav závazků v. z. p. celkem k 31. 12. 201</w:t>
      </w:r>
      <w:r w:rsidR="00DD38EB">
        <w:rPr>
          <w:b/>
        </w:rPr>
        <w:t>8</w:t>
      </w:r>
      <w:r>
        <w:rPr>
          <w:b/>
        </w:rPr>
        <w:t xml:space="preserve"> je 35,</w:t>
      </w:r>
      <w:r w:rsidR="00283D7D">
        <w:rPr>
          <w:b/>
        </w:rPr>
        <w:t>5</w:t>
      </w:r>
      <w:r>
        <w:rPr>
          <w:b/>
        </w:rPr>
        <w:t xml:space="preserve"> mld. Kč, </w:t>
      </w:r>
      <w:r>
        <w:t xml:space="preserve">což představuje meziroční </w:t>
      </w:r>
      <w:r w:rsidR="00283D7D">
        <w:t xml:space="preserve">pokles </w:t>
      </w:r>
      <w:r>
        <w:t>o 0,</w:t>
      </w:r>
      <w:r w:rsidR="00283D7D">
        <w:t>3</w:t>
      </w:r>
      <w:r>
        <w:t xml:space="preserve"> mld. Kč (</w:t>
      </w:r>
      <w:r w:rsidR="00283D7D">
        <w:t>0,7</w:t>
      </w:r>
      <w:r>
        <w:t xml:space="preserve"> %). V tom závazky vůči PZS činí 34,</w:t>
      </w:r>
      <w:r w:rsidR="00283D7D">
        <w:t>4</w:t>
      </w:r>
      <w:r>
        <w:t xml:space="preserve"> mld. Kč, tj. 97,0 % z celku, závazky </w:t>
      </w:r>
      <w:r>
        <w:rPr>
          <w:b/>
        </w:rPr>
        <w:t>po</w:t>
      </w:r>
      <w:r w:rsidR="00683D94">
        <w:rPr>
          <w:b/>
        </w:rPr>
        <w:t> </w:t>
      </w:r>
      <w:r>
        <w:rPr>
          <w:b/>
        </w:rPr>
        <w:t>lhůtě splatnosti nevykázala ani jedna ze ZP</w:t>
      </w:r>
      <w:r>
        <w:t>.</w:t>
      </w:r>
    </w:p>
    <w:p w14:paraId="16E2C527" w14:textId="77777777" w:rsidR="00902FD8" w:rsidRDefault="00902FD8" w:rsidP="00902FD8">
      <w:pPr>
        <w:pStyle w:val="TEXT"/>
      </w:pPr>
      <w:r>
        <w:t xml:space="preserve">Ve výši </w:t>
      </w:r>
      <w:r>
        <w:rPr>
          <w:b/>
        </w:rPr>
        <w:t>9,1 mld. Kč</w:t>
      </w:r>
      <w:r>
        <w:t xml:space="preserve"> jsou evidovány </w:t>
      </w:r>
      <w:r>
        <w:rPr>
          <w:b/>
        </w:rPr>
        <w:t>dohadné položky pasivní</w:t>
      </w:r>
      <w:r>
        <w:t xml:space="preserve"> a </w:t>
      </w:r>
      <w:r>
        <w:rPr>
          <w:b/>
        </w:rPr>
        <w:t>dohadné položky aktivní</w:t>
      </w:r>
      <w:r>
        <w:t xml:space="preserve"> v celkové výši </w:t>
      </w:r>
      <w:r>
        <w:rPr>
          <w:b/>
        </w:rPr>
        <w:t>2,</w:t>
      </w:r>
      <w:r w:rsidR="00676580">
        <w:rPr>
          <w:b/>
        </w:rPr>
        <w:t>7</w:t>
      </w:r>
      <w:r>
        <w:rPr>
          <w:b/>
        </w:rPr>
        <w:t xml:space="preserve"> mld. Kč</w:t>
      </w:r>
      <w:r>
        <w:t>.</w:t>
      </w:r>
    </w:p>
    <w:p w14:paraId="14B21740" w14:textId="77777777" w:rsidR="00902FD8" w:rsidRDefault="00902FD8" w:rsidP="00902FD8">
      <w:pPr>
        <w:pStyle w:val="TEXT"/>
      </w:pPr>
      <w:r>
        <w:rPr>
          <w:b/>
        </w:rPr>
        <w:t>Stav opravných položek</w:t>
      </w:r>
      <w:r>
        <w:t xml:space="preserve"> dosáhl k 31. 12. 201</w:t>
      </w:r>
      <w:r w:rsidR="00676580">
        <w:t>8</w:t>
      </w:r>
      <w:r>
        <w:t xml:space="preserve"> celkem hodnoty </w:t>
      </w:r>
      <w:r>
        <w:rPr>
          <w:b/>
        </w:rPr>
        <w:t>3</w:t>
      </w:r>
      <w:r w:rsidR="00676580">
        <w:rPr>
          <w:b/>
        </w:rPr>
        <w:t>3</w:t>
      </w:r>
      <w:r>
        <w:rPr>
          <w:b/>
        </w:rPr>
        <w:t>,</w:t>
      </w:r>
      <w:r w:rsidR="00676580">
        <w:rPr>
          <w:b/>
        </w:rPr>
        <w:t>9</w:t>
      </w:r>
      <w:r>
        <w:rPr>
          <w:b/>
        </w:rPr>
        <w:t xml:space="preserve"> mld. Kč </w:t>
      </w:r>
      <w:r>
        <w:t>(meziroční růst o</w:t>
      </w:r>
      <w:r w:rsidR="00B169DD">
        <w:t> </w:t>
      </w:r>
      <w:r w:rsidR="00FC462C">
        <w:t>1,9 mld.</w:t>
      </w:r>
      <w:r>
        <w:t xml:space="preserve"> Kč, tj. </w:t>
      </w:r>
      <w:r w:rsidR="00FC462C">
        <w:t>6</w:t>
      </w:r>
      <w:r>
        <w:t xml:space="preserve"> %). Tato kategorie pohledávek (součást tzv. „hrubé“ výše pohledávek) je nadále vymáhána na plátcích pojistného. Pouze z hlediska účetního jsou tyto položky vyjmuty z „čistých“ pohledávek a čtvrtletně přehodnocovány v souladu s účetními standardy.</w:t>
      </w:r>
      <w:r>
        <w:rPr>
          <w:vertAlign w:val="superscript"/>
        </w:rPr>
        <w:footnoteReference w:id="5"/>
      </w:r>
      <w:r>
        <w:t xml:space="preserve"> </w:t>
      </w:r>
    </w:p>
    <w:p w14:paraId="0F32C0EE" w14:textId="77777777" w:rsidR="00902FD8" w:rsidRDefault="00902FD8" w:rsidP="00902FD8">
      <w:pPr>
        <w:pStyle w:val="TEXT"/>
      </w:pPr>
      <w:r>
        <w:lastRenderedPageBreak/>
        <w:t xml:space="preserve">Informace o stavu závazků a pohledávek jednotlivých ZP viz tabulková příloha </w:t>
      </w:r>
      <w:r>
        <w:rPr>
          <w:i/>
        </w:rPr>
        <w:t>Tabulka č. 1, str. 7–</w:t>
      </w:r>
      <w:r w:rsidR="00657657">
        <w:rPr>
          <w:i/>
        </w:rPr>
        <w:t>8</w:t>
      </w:r>
      <w:r>
        <w:t xml:space="preserve">. </w:t>
      </w:r>
    </w:p>
    <w:p w14:paraId="2920134C" w14:textId="5B866B1B" w:rsidR="00902FD8" w:rsidRDefault="00902FD8" w:rsidP="00902FD8">
      <w:pPr>
        <w:pStyle w:val="TEXT"/>
      </w:pPr>
      <w:r>
        <w:rPr>
          <w:i/>
        </w:rPr>
        <w:t>Tabulka č. 1, str. 7</w:t>
      </w:r>
      <w:r>
        <w:t xml:space="preserve"> v tabulkové příloze, zpracovaná na základě podkladů jednotlivých ZP, dokládá absolutní stav závazků vůči PZS k 31. 12. 201</w:t>
      </w:r>
      <w:r w:rsidR="00FC462C">
        <w:t>8</w:t>
      </w:r>
      <w:r>
        <w:t>. Tento stav závazků je rovněž z důvodu srovnatelnosti vyjádřen i v </w:t>
      </w:r>
      <w:r>
        <w:rPr>
          <w:b/>
        </w:rPr>
        <w:t xml:space="preserve">přepočtu na denní spotřebu výdajů na zdravotní služby </w:t>
      </w:r>
      <w:r>
        <w:t xml:space="preserve">(tabulková příloha </w:t>
      </w:r>
      <w:r>
        <w:rPr>
          <w:i/>
        </w:rPr>
        <w:t>Tabulka č.</w:t>
      </w:r>
      <w:r w:rsidR="00A2767A">
        <w:rPr>
          <w:i/>
        </w:rPr>
        <w:t> </w:t>
      </w:r>
      <w:r>
        <w:rPr>
          <w:i/>
        </w:rPr>
        <w:t>1b</w:t>
      </w:r>
      <w:r>
        <w:t>). Závazky ve lhůtě splatnosti vůči PZS se pohybují v rozmezí</w:t>
      </w:r>
      <w:r w:rsidR="00FC462C">
        <w:t xml:space="preserve"> 34-68</w:t>
      </w:r>
      <w:r>
        <w:t xml:space="preserve"> dnů. </w:t>
      </w:r>
    </w:p>
    <w:p w14:paraId="4E912439" w14:textId="77777777" w:rsidR="00902FD8" w:rsidRDefault="00902FD8" w:rsidP="00902FD8">
      <w:pPr>
        <w:pStyle w:val="TEXT"/>
      </w:pPr>
      <w:r>
        <w:t>Zásoby na bankovních účtech (BÚ) základního fondu zdravotního pojištění (ZFZP) jednotlivých ZP vyjádřené v denních ekvivalentech plateb za zdravotní služby k 31. 12. 201</w:t>
      </w:r>
      <w:r w:rsidR="00FC462C">
        <w:t>8</w:t>
      </w:r>
      <w:r>
        <w:t xml:space="preserve"> jsou nerovnoměrné a dosahují </w:t>
      </w:r>
      <w:r w:rsidR="00D11432">
        <w:t>20</w:t>
      </w:r>
      <w:r>
        <w:t>–</w:t>
      </w:r>
      <w:r w:rsidR="00D11432">
        <w:t xml:space="preserve">60 </w:t>
      </w:r>
      <w:r>
        <w:t xml:space="preserve">dnů. </w:t>
      </w:r>
      <w:r w:rsidRPr="0039098B">
        <w:t xml:space="preserve">Při meziročním porovnání ukazatele v grafu je patrný růst u všech </w:t>
      </w:r>
      <w:r w:rsidRPr="003F3849">
        <w:t>zdravotních pojišťoven</w:t>
      </w:r>
      <w:r w:rsidRPr="008B1F6E">
        <w:t xml:space="preserve">. Příčinou je </w:t>
      </w:r>
      <w:r w:rsidR="0039098B" w:rsidRPr="009B4732">
        <w:t>kladný</w:t>
      </w:r>
      <w:r w:rsidR="0039098B" w:rsidRPr="0039098B">
        <w:t xml:space="preserve"> </w:t>
      </w:r>
      <w:r w:rsidRPr="001D336A">
        <w:t>výsledek hospodaření v tomto roce.</w:t>
      </w:r>
    </w:p>
    <w:p w14:paraId="312781D7" w14:textId="77777777" w:rsidR="00902FD8" w:rsidRDefault="00902FD8" w:rsidP="006C7011">
      <w:pPr>
        <w:pStyle w:val="TABOBR"/>
        <w:spacing w:before="360" w:after="200"/>
      </w:pPr>
      <w:r>
        <w:t>Obr. 7: Finanční zásoba na BÚ ZFZP v roce 201</w:t>
      </w:r>
      <w:r w:rsidR="00D11432">
        <w:t>8</w:t>
      </w:r>
      <w:r>
        <w:t xml:space="preserve"> v denním ekvivalentu plateb</w:t>
      </w:r>
    </w:p>
    <w:p w14:paraId="53ACD47E" w14:textId="7164C086" w:rsidR="00C158FF" w:rsidRDefault="00345B8D" w:rsidP="00902FD8">
      <w:pPr>
        <w:pStyle w:val="OBR"/>
        <w:jc w:val="center"/>
        <w:rPr>
          <w:rStyle w:val="NADPISChar"/>
          <w:rFonts w:eastAsiaTheme="minorHAnsi"/>
        </w:rPr>
      </w:pPr>
      <w:r>
        <w:rPr>
          <w:b/>
          <w:noProof/>
          <w:sz w:val="28"/>
          <w:szCs w:val="28"/>
        </w:rPr>
        <w:drawing>
          <wp:inline distT="0" distB="0" distL="0" distR="0" wp14:anchorId="413AC36D" wp14:editId="0667F1E9">
            <wp:extent cx="5018568" cy="2485573"/>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18275" cy="2485428"/>
                    </a:xfrm>
                    <a:prstGeom prst="rect">
                      <a:avLst/>
                    </a:prstGeom>
                    <a:noFill/>
                  </pic:spPr>
                </pic:pic>
              </a:graphicData>
            </a:graphic>
          </wp:inline>
        </w:drawing>
      </w:r>
    </w:p>
    <w:p w14:paraId="2860D93D" w14:textId="77777777" w:rsidR="00657657" w:rsidRDefault="00657657" w:rsidP="00902FD8">
      <w:pPr>
        <w:pStyle w:val="OBR"/>
        <w:jc w:val="center"/>
        <w:rPr>
          <w:rStyle w:val="NADPISChar"/>
          <w:rFonts w:eastAsiaTheme="minorHAnsi"/>
        </w:rPr>
      </w:pPr>
    </w:p>
    <w:p w14:paraId="267ACF7B" w14:textId="77777777" w:rsidR="00902FD8" w:rsidRDefault="00902FD8" w:rsidP="00902FD8">
      <w:pPr>
        <w:pStyle w:val="OBR"/>
        <w:jc w:val="center"/>
        <w:rPr>
          <w:rStyle w:val="NADPISChar"/>
          <w:rFonts w:eastAsiaTheme="minorHAnsi"/>
        </w:rPr>
      </w:pPr>
      <w:r>
        <w:rPr>
          <w:rStyle w:val="NADPISChar"/>
          <w:rFonts w:eastAsiaTheme="minorHAnsi"/>
        </w:rPr>
        <w:br w:type="page"/>
      </w:r>
    </w:p>
    <w:p w14:paraId="50765EC0" w14:textId="77777777" w:rsidR="00902FD8" w:rsidRDefault="00902FD8" w:rsidP="00215E9F">
      <w:pPr>
        <w:pStyle w:val="NADPIS"/>
        <w:spacing w:before="240" w:after="120"/>
      </w:pPr>
      <w:r w:rsidRPr="00215E9F">
        <w:rPr>
          <w:rFonts w:ascii="Arial" w:hAnsi="Arial"/>
        </w:rPr>
        <w:lastRenderedPageBreak/>
        <w:t>Stavy peněžních prostředků zdravotních pojišťoven na BÚ</w:t>
      </w:r>
    </w:p>
    <w:p w14:paraId="681DC703" w14:textId="77777777" w:rsidR="00902FD8" w:rsidRDefault="00902FD8" w:rsidP="00902FD8">
      <w:pPr>
        <w:pStyle w:val="TEXT"/>
      </w:pPr>
      <w:r>
        <w:rPr>
          <w:b/>
        </w:rPr>
        <w:t xml:space="preserve">Stav peněžních zůstatků </w:t>
      </w:r>
      <w:r>
        <w:t>na BÚ ZP činil k 31. 12. 201</w:t>
      </w:r>
      <w:r w:rsidR="000B4CF9">
        <w:t>8</w:t>
      </w:r>
      <w:r>
        <w:t xml:space="preserve"> za celý systém v. z. p. </w:t>
      </w:r>
      <w:r w:rsidR="001D336A">
        <w:rPr>
          <w:b/>
        </w:rPr>
        <w:t>45,06</w:t>
      </w:r>
      <w:r w:rsidR="001D336A" w:rsidRPr="001D336A">
        <w:rPr>
          <w:b/>
        </w:rPr>
        <w:t xml:space="preserve"> </w:t>
      </w:r>
      <w:r>
        <w:rPr>
          <w:b/>
        </w:rPr>
        <w:t>mld. Kč</w:t>
      </w:r>
      <w:r>
        <w:t xml:space="preserve">. Meziročně se tak z hodnoty </w:t>
      </w:r>
      <w:r w:rsidR="001D336A">
        <w:t xml:space="preserve">30,52 </w:t>
      </w:r>
      <w:r>
        <w:t xml:space="preserve">mld. Kč zvýšil o </w:t>
      </w:r>
      <w:r w:rsidR="001D336A">
        <w:t>47,6</w:t>
      </w:r>
      <w:r>
        <w:t xml:space="preserve"> %</w:t>
      </w:r>
      <w:r w:rsidR="00912300">
        <w:t>.</w:t>
      </w:r>
      <w:r>
        <w:t xml:space="preserve"> </w:t>
      </w:r>
      <w:r w:rsidR="00912300">
        <w:t xml:space="preserve">To </w:t>
      </w:r>
      <w:r>
        <w:t>je zapříčiněno hospodářskými výsledky celého systému v. z. p., především VZP ČR</w:t>
      </w:r>
      <w:r w:rsidR="00912300">
        <w:t>, které meziročně vzrostly zůstatky téměř o 10 mld. Kč. U</w:t>
      </w:r>
      <w:r w:rsidR="00285F80">
        <w:t> </w:t>
      </w:r>
      <w:r w:rsidR="00912300">
        <w:t>zaměstnaneckých zdravotních pojišťoven již růst tak výrazný nebyl</w:t>
      </w:r>
      <w:r w:rsidR="00D467A2">
        <w:t>.</w:t>
      </w:r>
      <w:r w:rsidR="00912300">
        <w:t xml:space="preserve">  </w:t>
      </w:r>
    </w:p>
    <w:p w14:paraId="5968A112" w14:textId="6E703E0B" w:rsidR="00845CE3" w:rsidRDefault="00845CE3" w:rsidP="006C7011">
      <w:pPr>
        <w:pStyle w:val="TABOBR0"/>
        <w:spacing w:before="360" w:after="200"/>
      </w:pPr>
      <w:r w:rsidRPr="00D07F10">
        <w:t>Tab</w:t>
      </w:r>
      <w:r>
        <w:t>.</w:t>
      </w:r>
      <w:r w:rsidRPr="00D07F10">
        <w:t xml:space="preserve"> </w:t>
      </w:r>
      <w:r>
        <w:t>6</w:t>
      </w:r>
      <w:r w:rsidRPr="00D07F10">
        <w:t xml:space="preserve">: </w:t>
      </w:r>
      <w:r w:rsidR="00693C8A">
        <w:t>Srovnání</w:t>
      </w:r>
      <w:r w:rsidR="00693C8A" w:rsidRPr="00D07F10">
        <w:t xml:space="preserve"> </w:t>
      </w:r>
      <w:r w:rsidRPr="00D07F10">
        <w:t>zůstatků na bankovních účtech dle zdravotních pojišťoven</w:t>
      </w:r>
      <w:r>
        <w:t xml:space="preserve"> v roce 2018</w:t>
      </w:r>
    </w:p>
    <w:tbl>
      <w:tblPr>
        <w:tblW w:w="8962" w:type="dxa"/>
        <w:jc w:val="center"/>
        <w:tblCellMar>
          <w:left w:w="70" w:type="dxa"/>
          <w:right w:w="70" w:type="dxa"/>
        </w:tblCellMar>
        <w:tblLook w:val="04A0" w:firstRow="1" w:lastRow="0" w:firstColumn="1" w:lastColumn="0" w:noHBand="0" w:noVBand="1"/>
      </w:tblPr>
      <w:tblGrid>
        <w:gridCol w:w="1931"/>
        <w:gridCol w:w="992"/>
        <w:gridCol w:w="1134"/>
        <w:gridCol w:w="851"/>
        <w:gridCol w:w="934"/>
        <w:gridCol w:w="1109"/>
        <w:gridCol w:w="1017"/>
        <w:gridCol w:w="994"/>
      </w:tblGrid>
      <w:tr w:rsidR="00DA7233" w:rsidRPr="0011274B" w14:paraId="5688F034" w14:textId="77777777" w:rsidTr="00DA7233">
        <w:trPr>
          <w:trHeight w:val="315"/>
          <w:jc w:val="center"/>
        </w:trPr>
        <w:tc>
          <w:tcPr>
            <w:tcW w:w="1931" w:type="dxa"/>
            <w:tcBorders>
              <w:top w:val="single" w:sz="12" w:space="0" w:color="4F81BD"/>
              <w:left w:val="single" w:sz="12" w:space="0" w:color="4F81BD"/>
              <w:bottom w:val="nil"/>
              <w:right w:val="nil"/>
            </w:tcBorders>
            <w:shd w:val="clear" w:color="000000" w:fill="4F81BD"/>
            <w:vAlign w:val="center"/>
            <w:hideMark/>
          </w:tcPr>
          <w:p w14:paraId="1DF8075C" w14:textId="77777777" w:rsidR="00DA7233" w:rsidRDefault="00DA7233" w:rsidP="00E357E8">
            <w:pPr>
              <w:spacing w:after="0" w:line="240" w:lineRule="auto"/>
              <w:rPr>
                <w:rFonts w:ascii="Calibri" w:eastAsia="Times New Roman" w:hAnsi="Calibri" w:cs="Times New Roman"/>
                <w:b/>
                <w:bCs/>
                <w:i/>
                <w:iCs/>
                <w:color w:val="FFFFFF"/>
                <w:sz w:val="21"/>
                <w:szCs w:val="21"/>
                <w:lang w:eastAsia="cs-CZ"/>
              </w:rPr>
            </w:pPr>
          </w:p>
          <w:p w14:paraId="4F3F0367" w14:textId="77777777" w:rsidR="00845CE3" w:rsidRPr="0011274B" w:rsidRDefault="00845CE3" w:rsidP="00E357E8">
            <w:pPr>
              <w:spacing w:after="0" w:line="240" w:lineRule="auto"/>
              <w:rPr>
                <w:rFonts w:ascii="Calibri" w:eastAsia="Times New Roman" w:hAnsi="Calibri" w:cs="Times New Roman"/>
                <w:b/>
                <w:bCs/>
                <w:i/>
                <w:iCs/>
                <w:color w:val="FFFFFF"/>
                <w:sz w:val="21"/>
                <w:szCs w:val="21"/>
                <w:lang w:eastAsia="cs-CZ"/>
              </w:rPr>
            </w:pPr>
            <w:r w:rsidRPr="0011274B">
              <w:rPr>
                <w:rFonts w:ascii="Calibri" w:eastAsia="Times New Roman" w:hAnsi="Calibri" w:cs="Times New Roman"/>
                <w:b/>
                <w:bCs/>
                <w:i/>
                <w:iCs/>
                <w:color w:val="FFFFFF"/>
                <w:sz w:val="21"/>
                <w:szCs w:val="21"/>
                <w:lang w:eastAsia="cs-CZ"/>
              </w:rPr>
              <w:t xml:space="preserve">(v mil. </w:t>
            </w:r>
            <w:proofErr w:type="gramStart"/>
            <w:r w:rsidRPr="0011274B">
              <w:rPr>
                <w:rFonts w:ascii="Calibri" w:eastAsia="Times New Roman" w:hAnsi="Calibri" w:cs="Times New Roman"/>
                <w:b/>
                <w:bCs/>
                <w:i/>
                <w:iCs/>
                <w:color w:val="FFFFFF"/>
                <w:sz w:val="21"/>
                <w:szCs w:val="21"/>
                <w:lang w:eastAsia="cs-CZ"/>
              </w:rPr>
              <w:t>Kč )</w:t>
            </w:r>
            <w:proofErr w:type="gramEnd"/>
          </w:p>
        </w:tc>
        <w:tc>
          <w:tcPr>
            <w:tcW w:w="992" w:type="dxa"/>
            <w:tcBorders>
              <w:top w:val="single" w:sz="12" w:space="0" w:color="4F81BD"/>
              <w:left w:val="nil"/>
              <w:bottom w:val="nil"/>
              <w:right w:val="nil"/>
            </w:tcBorders>
            <w:shd w:val="clear" w:color="000000" w:fill="6691C6"/>
            <w:noWrap/>
            <w:vAlign w:val="center"/>
            <w:hideMark/>
          </w:tcPr>
          <w:p w14:paraId="3F725BFD" w14:textId="77777777" w:rsidR="00845CE3" w:rsidRPr="00DA7233" w:rsidRDefault="00845CE3" w:rsidP="00E357E8">
            <w:pPr>
              <w:spacing w:after="0" w:line="240" w:lineRule="auto"/>
              <w:jc w:val="center"/>
              <w:rPr>
                <w:rFonts w:ascii="Calibri" w:eastAsia="Times New Roman" w:hAnsi="Calibri" w:cs="Times New Roman"/>
                <w:b/>
                <w:color w:val="FFFFFF"/>
                <w:sz w:val="21"/>
                <w:szCs w:val="21"/>
                <w:lang w:eastAsia="cs-CZ"/>
              </w:rPr>
            </w:pPr>
            <w:r w:rsidRPr="00DA7233">
              <w:rPr>
                <w:rFonts w:ascii="Calibri" w:eastAsia="Times New Roman" w:hAnsi="Calibri" w:cs="Times New Roman"/>
                <w:b/>
                <w:color w:val="FFFFFF" w:themeColor="background1"/>
                <w:sz w:val="21"/>
                <w:szCs w:val="21"/>
                <w:lang w:eastAsia="cs-CZ"/>
              </w:rPr>
              <w:t>VZP ČR</w:t>
            </w:r>
          </w:p>
        </w:tc>
        <w:tc>
          <w:tcPr>
            <w:tcW w:w="1134" w:type="dxa"/>
            <w:tcBorders>
              <w:top w:val="single" w:sz="12" w:space="0" w:color="4F81BD"/>
              <w:left w:val="nil"/>
              <w:bottom w:val="nil"/>
              <w:right w:val="nil"/>
            </w:tcBorders>
            <w:shd w:val="clear" w:color="000000" w:fill="4F81BD"/>
            <w:noWrap/>
            <w:vAlign w:val="center"/>
            <w:hideMark/>
          </w:tcPr>
          <w:p w14:paraId="213FBD06" w14:textId="77777777" w:rsidR="00845CE3" w:rsidRPr="00DA7233" w:rsidRDefault="00845CE3" w:rsidP="00E357E8">
            <w:pPr>
              <w:spacing w:after="0" w:line="240" w:lineRule="auto"/>
              <w:jc w:val="center"/>
              <w:rPr>
                <w:rFonts w:ascii="Calibri" w:eastAsia="Times New Roman" w:hAnsi="Calibri" w:cs="Times New Roman"/>
                <w:b/>
                <w:color w:val="FFFFFF"/>
                <w:sz w:val="21"/>
                <w:szCs w:val="21"/>
                <w:lang w:eastAsia="cs-CZ"/>
              </w:rPr>
            </w:pPr>
            <w:proofErr w:type="spellStart"/>
            <w:r w:rsidRPr="00DA7233">
              <w:rPr>
                <w:rFonts w:ascii="Calibri" w:eastAsia="Times New Roman" w:hAnsi="Calibri" w:cs="Times New Roman"/>
                <w:b/>
                <w:color w:val="FFFFFF" w:themeColor="background1"/>
                <w:sz w:val="21"/>
                <w:szCs w:val="21"/>
                <w:lang w:eastAsia="cs-CZ"/>
              </w:rPr>
              <w:t>VoZP</w:t>
            </w:r>
            <w:proofErr w:type="spellEnd"/>
            <w:r w:rsidRPr="00DA7233">
              <w:rPr>
                <w:rFonts w:ascii="Calibri" w:eastAsia="Times New Roman" w:hAnsi="Calibri" w:cs="Times New Roman"/>
                <w:b/>
                <w:color w:val="FFFFFF" w:themeColor="background1"/>
                <w:sz w:val="21"/>
                <w:szCs w:val="21"/>
                <w:lang w:eastAsia="cs-CZ"/>
              </w:rPr>
              <w:t xml:space="preserve"> ČR</w:t>
            </w:r>
          </w:p>
        </w:tc>
        <w:tc>
          <w:tcPr>
            <w:tcW w:w="851" w:type="dxa"/>
            <w:tcBorders>
              <w:top w:val="single" w:sz="12" w:space="0" w:color="4F81BD"/>
              <w:left w:val="nil"/>
              <w:bottom w:val="nil"/>
              <w:right w:val="nil"/>
            </w:tcBorders>
            <w:shd w:val="clear" w:color="000000" w:fill="6691C6"/>
            <w:noWrap/>
            <w:vAlign w:val="center"/>
            <w:hideMark/>
          </w:tcPr>
          <w:p w14:paraId="254346EE" w14:textId="77777777" w:rsidR="00845CE3" w:rsidRPr="00DA7233" w:rsidRDefault="00845CE3" w:rsidP="00E357E8">
            <w:pPr>
              <w:spacing w:after="0" w:line="240" w:lineRule="auto"/>
              <w:jc w:val="center"/>
              <w:rPr>
                <w:rFonts w:ascii="Calibri" w:eastAsia="Times New Roman" w:hAnsi="Calibri" w:cs="Times New Roman"/>
                <w:b/>
                <w:color w:val="FFFFFF"/>
                <w:sz w:val="21"/>
                <w:szCs w:val="21"/>
                <w:lang w:eastAsia="cs-CZ"/>
              </w:rPr>
            </w:pPr>
            <w:r w:rsidRPr="00DA7233">
              <w:rPr>
                <w:rFonts w:ascii="Calibri" w:eastAsia="Times New Roman" w:hAnsi="Calibri" w:cs="Times New Roman"/>
                <w:b/>
                <w:color w:val="FFFFFF" w:themeColor="background1"/>
                <w:sz w:val="21"/>
                <w:szCs w:val="21"/>
                <w:lang w:eastAsia="cs-CZ"/>
              </w:rPr>
              <w:t>ČPZP</w:t>
            </w:r>
          </w:p>
        </w:tc>
        <w:tc>
          <w:tcPr>
            <w:tcW w:w="934" w:type="dxa"/>
            <w:tcBorders>
              <w:top w:val="single" w:sz="12" w:space="0" w:color="4F81BD"/>
              <w:left w:val="nil"/>
              <w:bottom w:val="nil"/>
              <w:right w:val="nil"/>
            </w:tcBorders>
            <w:shd w:val="clear" w:color="000000" w:fill="4F81BD"/>
            <w:vAlign w:val="center"/>
            <w:hideMark/>
          </w:tcPr>
          <w:p w14:paraId="2104D155" w14:textId="77777777" w:rsidR="00845CE3" w:rsidRPr="00DA7233" w:rsidRDefault="00845CE3" w:rsidP="00E357E8">
            <w:pPr>
              <w:spacing w:after="0" w:line="240" w:lineRule="auto"/>
              <w:jc w:val="center"/>
              <w:rPr>
                <w:rFonts w:ascii="Calibri" w:eastAsia="Times New Roman" w:hAnsi="Calibri" w:cs="Times New Roman"/>
                <w:b/>
                <w:color w:val="FFFFFF"/>
                <w:sz w:val="21"/>
                <w:szCs w:val="21"/>
                <w:lang w:eastAsia="cs-CZ"/>
              </w:rPr>
            </w:pPr>
            <w:r w:rsidRPr="00DA7233">
              <w:rPr>
                <w:rFonts w:ascii="Calibri" w:eastAsia="Times New Roman" w:hAnsi="Calibri" w:cs="Times New Roman"/>
                <w:b/>
                <w:color w:val="FFFFFF" w:themeColor="background1"/>
                <w:sz w:val="21"/>
                <w:szCs w:val="21"/>
                <w:lang w:eastAsia="cs-CZ"/>
              </w:rPr>
              <w:t>OZP</w:t>
            </w:r>
          </w:p>
        </w:tc>
        <w:tc>
          <w:tcPr>
            <w:tcW w:w="1109" w:type="dxa"/>
            <w:tcBorders>
              <w:top w:val="single" w:sz="12" w:space="0" w:color="4F81BD"/>
              <w:left w:val="nil"/>
              <w:bottom w:val="nil"/>
              <w:right w:val="nil"/>
            </w:tcBorders>
            <w:shd w:val="clear" w:color="000000" w:fill="6691C6"/>
            <w:vAlign w:val="center"/>
            <w:hideMark/>
          </w:tcPr>
          <w:p w14:paraId="50DF7E8C" w14:textId="77777777" w:rsidR="00845CE3" w:rsidRPr="00DA7233" w:rsidRDefault="00845CE3" w:rsidP="00E357E8">
            <w:pPr>
              <w:spacing w:after="0" w:line="240" w:lineRule="auto"/>
              <w:jc w:val="center"/>
              <w:rPr>
                <w:rFonts w:ascii="Calibri" w:eastAsia="Times New Roman" w:hAnsi="Calibri" w:cs="Times New Roman"/>
                <w:b/>
                <w:color w:val="FFFFFF"/>
                <w:sz w:val="21"/>
                <w:szCs w:val="21"/>
                <w:lang w:eastAsia="cs-CZ"/>
              </w:rPr>
            </w:pPr>
            <w:r w:rsidRPr="00DA7233">
              <w:rPr>
                <w:rFonts w:ascii="Calibri" w:eastAsia="Times New Roman" w:hAnsi="Calibri" w:cs="Times New Roman"/>
                <w:b/>
                <w:color w:val="FFFFFF" w:themeColor="background1"/>
                <w:sz w:val="21"/>
                <w:szCs w:val="21"/>
                <w:lang w:eastAsia="cs-CZ"/>
              </w:rPr>
              <w:t>ZPŠ</w:t>
            </w:r>
          </w:p>
        </w:tc>
        <w:tc>
          <w:tcPr>
            <w:tcW w:w="1017" w:type="dxa"/>
            <w:tcBorders>
              <w:top w:val="single" w:sz="12" w:space="0" w:color="4F81BD"/>
              <w:left w:val="nil"/>
              <w:bottom w:val="nil"/>
              <w:right w:val="nil"/>
            </w:tcBorders>
            <w:shd w:val="clear" w:color="000000" w:fill="4F81BD"/>
            <w:vAlign w:val="center"/>
            <w:hideMark/>
          </w:tcPr>
          <w:p w14:paraId="2906A471" w14:textId="48056D12" w:rsidR="00845CE3" w:rsidRPr="00DA7233" w:rsidRDefault="00845CE3" w:rsidP="00E357E8">
            <w:pPr>
              <w:spacing w:after="0" w:line="240" w:lineRule="auto"/>
              <w:jc w:val="center"/>
              <w:rPr>
                <w:rFonts w:ascii="Calibri" w:eastAsia="Times New Roman" w:hAnsi="Calibri" w:cs="Times New Roman"/>
                <w:b/>
                <w:color w:val="FFFFFF"/>
                <w:sz w:val="21"/>
                <w:szCs w:val="21"/>
                <w:lang w:eastAsia="cs-CZ"/>
              </w:rPr>
            </w:pPr>
            <w:r w:rsidRPr="00DA7233">
              <w:rPr>
                <w:rFonts w:ascii="Calibri" w:eastAsia="Times New Roman" w:hAnsi="Calibri" w:cs="Times New Roman"/>
                <w:b/>
                <w:color w:val="FFFFFF" w:themeColor="background1"/>
                <w:sz w:val="21"/>
                <w:szCs w:val="21"/>
                <w:lang w:eastAsia="cs-CZ"/>
              </w:rPr>
              <w:t>ZP</w:t>
            </w:r>
            <w:r w:rsidR="003862B4">
              <w:rPr>
                <w:rFonts w:ascii="Calibri" w:eastAsia="Times New Roman" w:hAnsi="Calibri" w:cs="Times New Roman"/>
                <w:b/>
                <w:color w:val="FFFFFF" w:themeColor="background1"/>
                <w:sz w:val="21"/>
                <w:szCs w:val="21"/>
                <w:lang w:eastAsia="cs-CZ"/>
              </w:rPr>
              <w:t xml:space="preserve"> </w:t>
            </w:r>
            <w:r w:rsidRPr="00DA7233">
              <w:rPr>
                <w:rFonts w:ascii="Calibri" w:eastAsia="Times New Roman" w:hAnsi="Calibri" w:cs="Times New Roman"/>
                <w:b/>
                <w:color w:val="FFFFFF" w:themeColor="background1"/>
                <w:sz w:val="21"/>
                <w:szCs w:val="21"/>
                <w:lang w:eastAsia="cs-CZ"/>
              </w:rPr>
              <w:t>MV ČR</w:t>
            </w:r>
          </w:p>
        </w:tc>
        <w:tc>
          <w:tcPr>
            <w:tcW w:w="994" w:type="dxa"/>
            <w:tcBorders>
              <w:top w:val="single" w:sz="12" w:space="0" w:color="4F81BD"/>
              <w:left w:val="nil"/>
              <w:bottom w:val="nil"/>
              <w:right w:val="single" w:sz="12" w:space="0" w:color="4F81BD"/>
            </w:tcBorders>
            <w:shd w:val="clear" w:color="000000" w:fill="6691C6"/>
            <w:vAlign w:val="center"/>
            <w:hideMark/>
          </w:tcPr>
          <w:p w14:paraId="7EDF45E2" w14:textId="77777777" w:rsidR="00845CE3" w:rsidRPr="00DA7233" w:rsidRDefault="00845CE3" w:rsidP="00E357E8">
            <w:pPr>
              <w:spacing w:after="0" w:line="240" w:lineRule="auto"/>
              <w:jc w:val="center"/>
              <w:rPr>
                <w:rFonts w:ascii="Calibri" w:eastAsia="Times New Roman" w:hAnsi="Calibri" w:cs="Times New Roman"/>
                <w:b/>
                <w:color w:val="FFFFFF"/>
                <w:sz w:val="21"/>
                <w:szCs w:val="21"/>
                <w:lang w:eastAsia="cs-CZ"/>
              </w:rPr>
            </w:pPr>
            <w:r w:rsidRPr="00DA7233">
              <w:rPr>
                <w:rFonts w:ascii="Calibri" w:eastAsia="Times New Roman" w:hAnsi="Calibri" w:cs="Times New Roman"/>
                <w:b/>
                <w:color w:val="FFFFFF" w:themeColor="background1"/>
                <w:sz w:val="21"/>
                <w:szCs w:val="21"/>
                <w:lang w:eastAsia="cs-CZ"/>
              </w:rPr>
              <w:t>RBP</w:t>
            </w:r>
          </w:p>
        </w:tc>
      </w:tr>
      <w:tr w:rsidR="00DA7233" w:rsidRPr="0011274B" w14:paraId="2495F944" w14:textId="77777777" w:rsidTr="00DA7233">
        <w:trPr>
          <w:trHeight w:val="300"/>
          <w:jc w:val="center"/>
        </w:trPr>
        <w:tc>
          <w:tcPr>
            <w:tcW w:w="1931" w:type="dxa"/>
            <w:tcBorders>
              <w:top w:val="nil"/>
              <w:left w:val="single" w:sz="12" w:space="0" w:color="4F81BD"/>
              <w:bottom w:val="nil"/>
              <w:right w:val="nil"/>
            </w:tcBorders>
            <w:shd w:val="clear" w:color="auto" w:fill="auto"/>
            <w:vAlign w:val="center"/>
            <w:hideMark/>
          </w:tcPr>
          <w:p w14:paraId="5E73D387" w14:textId="77777777" w:rsidR="003F3849" w:rsidRPr="0011274B" w:rsidRDefault="003F3849" w:rsidP="00E357E8">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VZ 2018</w:t>
            </w:r>
          </w:p>
        </w:tc>
        <w:tc>
          <w:tcPr>
            <w:tcW w:w="992" w:type="dxa"/>
            <w:tcBorders>
              <w:top w:val="nil"/>
              <w:left w:val="nil"/>
              <w:bottom w:val="nil"/>
              <w:right w:val="nil"/>
            </w:tcBorders>
            <w:shd w:val="clear" w:color="000000" w:fill="DCE6F1"/>
            <w:noWrap/>
            <w:vAlign w:val="center"/>
            <w:hideMark/>
          </w:tcPr>
          <w:p w14:paraId="1C86DDAD"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24 633</w:t>
            </w:r>
          </w:p>
        </w:tc>
        <w:tc>
          <w:tcPr>
            <w:tcW w:w="1134" w:type="dxa"/>
            <w:tcBorders>
              <w:top w:val="nil"/>
              <w:left w:val="nil"/>
              <w:bottom w:val="nil"/>
              <w:right w:val="nil"/>
            </w:tcBorders>
            <w:shd w:val="clear" w:color="auto" w:fill="auto"/>
            <w:noWrap/>
            <w:vAlign w:val="center"/>
            <w:hideMark/>
          </w:tcPr>
          <w:p w14:paraId="7CF30472"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1 861</w:t>
            </w:r>
          </w:p>
        </w:tc>
        <w:tc>
          <w:tcPr>
            <w:tcW w:w="851" w:type="dxa"/>
            <w:tcBorders>
              <w:top w:val="nil"/>
              <w:left w:val="nil"/>
              <w:bottom w:val="nil"/>
              <w:right w:val="nil"/>
            </w:tcBorders>
            <w:shd w:val="clear" w:color="000000" w:fill="DCE6F1"/>
            <w:noWrap/>
            <w:vAlign w:val="center"/>
            <w:hideMark/>
          </w:tcPr>
          <w:p w14:paraId="11FE7803"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4 903</w:t>
            </w:r>
          </w:p>
        </w:tc>
        <w:tc>
          <w:tcPr>
            <w:tcW w:w="934" w:type="dxa"/>
            <w:tcBorders>
              <w:top w:val="nil"/>
              <w:left w:val="nil"/>
              <w:bottom w:val="nil"/>
              <w:right w:val="nil"/>
            </w:tcBorders>
            <w:shd w:val="clear" w:color="auto" w:fill="auto"/>
            <w:noWrap/>
            <w:vAlign w:val="center"/>
            <w:hideMark/>
          </w:tcPr>
          <w:p w14:paraId="6A4EC276"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4 536</w:t>
            </w:r>
          </w:p>
        </w:tc>
        <w:tc>
          <w:tcPr>
            <w:tcW w:w="1109" w:type="dxa"/>
            <w:tcBorders>
              <w:top w:val="nil"/>
              <w:left w:val="nil"/>
              <w:bottom w:val="nil"/>
              <w:right w:val="nil"/>
            </w:tcBorders>
            <w:shd w:val="clear" w:color="000000" w:fill="DCE6F1"/>
            <w:noWrap/>
            <w:vAlign w:val="center"/>
            <w:hideMark/>
          </w:tcPr>
          <w:p w14:paraId="6A870B9F"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927</w:t>
            </w:r>
          </w:p>
        </w:tc>
        <w:tc>
          <w:tcPr>
            <w:tcW w:w="1017" w:type="dxa"/>
            <w:tcBorders>
              <w:top w:val="nil"/>
              <w:left w:val="nil"/>
              <w:bottom w:val="nil"/>
              <w:right w:val="nil"/>
            </w:tcBorders>
            <w:shd w:val="clear" w:color="auto" w:fill="auto"/>
            <w:noWrap/>
            <w:vAlign w:val="center"/>
            <w:hideMark/>
          </w:tcPr>
          <w:p w14:paraId="59D5BC09"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6 421</w:t>
            </w:r>
          </w:p>
        </w:tc>
        <w:tc>
          <w:tcPr>
            <w:tcW w:w="994" w:type="dxa"/>
            <w:tcBorders>
              <w:top w:val="nil"/>
              <w:left w:val="nil"/>
              <w:bottom w:val="nil"/>
              <w:right w:val="single" w:sz="12" w:space="0" w:color="4F81BD"/>
            </w:tcBorders>
            <w:shd w:val="clear" w:color="000000" w:fill="DCE6F1"/>
            <w:noWrap/>
            <w:vAlign w:val="center"/>
            <w:hideMark/>
          </w:tcPr>
          <w:p w14:paraId="779B86F9"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1 783</w:t>
            </w:r>
          </w:p>
        </w:tc>
      </w:tr>
      <w:tr w:rsidR="00DA7233" w:rsidRPr="0011274B" w14:paraId="316AB8F8" w14:textId="77777777" w:rsidTr="00DA7233">
        <w:trPr>
          <w:trHeight w:val="570"/>
          <w:jc w:val="center"/>
        </w:trPr>
        <w:tc>
          <w:tcPr>
            <w:tcW w:w="1931" w:type="dxa"/>
            <w:tcBorders>
              <w:top w:val="nil"/>
              <w:left w:val="single" w:sz="12" w:space="0" w:color="4F81BD"/>
              <w:bottom w:val="nil"/>
              <w:right w:val="nil"/>
            </w:tcBorders>
            <w:shd w:val="clear" w:color="000000" w:fill="EEF3F8"/>
            <w:vAlign w:val="center"/>
            <w:hideMark/>
          </w:tcPr>
          <w:p w14:paraId="28887474" w14:textId="77777777" w:rsidR="003F3849" w:rsidRPr="0011274B" w:rsidRDefault="003F3849" w:rsidP="00E357E8">
            <w:pPr>
              <w:spacing w:after="0" w:line="240" w:lineRule="auto"/>
              <w:rPr>
                <w:rFonts w:ascii="Calibri" w:eastAsia="Times New Roman" w:hAnsi="Calibri" w:cs="Times New Roman"/>
                <w:color w:val="000000"/>
                <w:sz w:val="21"/>
                <w:szCs w:val="21"/>
                <w:lang w:eastAsia="cs-CZ"/>
              </w:rPr>
            </w:pPr>
            <w:r w:rsidRPr="0011274B">
              <w:rPr>
                <w:rFonts w:ascii="Calibri" w:eastAsia="Times New Roman" w:hAnsi="Calibri" w:cs="Times New Roman"/>
                <w:color w:val="000000"/>
                <w:sz w:val="21"/>
                <w:szCs w:val="21"/>
                <w:lang w:eastAsia="cs-CZ"/>
              </w:rPr>
              <w:t>Podíl zůstatků na celkových ročních výdajích</w:t>
            </w:r>
          </w:p>
        </w:tc>
        <w:tc>
          <w:tcPr>
            <w:tcW w:w="992" w:type="dxa"/>
            <w:tcBorders>
              <w:top w:val="nil"/>
              <w:left w:val="nil"/>
              <w:bottom w:val="nil"/>
              <w:right w:val="nil"/>
            </w:tcBorders>
            <w:shd w:val="clear" w:color="000000" w:fill="EEF3F8"/>
            <w:noWrap/>
            <w:vAlign w:val="center"/>
            <w:hideMark/>
          </w:tcPr>
          <w:p w14:paraId="15E85C50" w14:textId="77777777" w:rsidR="003F3849" w:rsidRPr="0011274B" w:rsidRDefault="003F3849" w:rsidP="00E357E8">
            <w:pPr>
              <w:spacing w:after="0" w:line="240" w:lineRule="auto"/>
              <w:jc w:val="right"/>
              <w:rPr>
                <w:rFonts w:ascii="Calibri" w:eastAsia="Times New Roman" w:hAnsi="Calibri" w:cs="Times New Roman"/>
                <w:color w:val="000000"/>
                <w:sz w:val="21"/>
                <w:szCs w:val="21"/>
                <w:lang w:eastAsia="cs-CZ"/>
              </w:rPr>
            </w:pPr>
            <w:r w:rsidRPr="001D336A">
              <w:rPr>
                <w:rFonts w:ascii="Calibri" w:eastAsia="Times New Roman" w:hAnsi="Calibri" w:cs="Times New Roman CE"/>
                <w:color w:val="000000"/>
                <w:sz w:val="21"/>
                <w:szCs w:val="21"/>
                <w:lang w:eastAsia="cs-CZ"/>
              </w:rPr>
              <w:t>13,9</w:t>
            </w:r>
            <w:r w:rsidR="00DA7233">
              <w:rPr>
                <w:rFonts w:ascii="Calibri" w:eastAsia="Times New Roman" w:hAnsi="Calibri" w:cs="Times New Roman CE"/>
                <w:color w:val="000000"/>
                <w:sz w:val="21"/>
                <w:szCs w:val="21"/>
                <w:lang w:eastAsia="cs-CZ"/>
              </w:rPr>
              <w:t xml:space="preserve"> </w:t>
            </w:r>
            <w:r w:rsidRPr="001D336A">
              <w:rPr>
                <w:rFonts w:ascii="Calibri" w:eastAsia="Times New Roman" w:hAnsi="Calibri" w:cs="Times New Roman CE"/>
                <w:color w:val="000000"/>
                <w:sz w:val="21"/>
                <w:szCs w:val="21"/>
                <w:lang w:eastAsia="cs-CZ"/>
              </w:rPr>
              <w:t>%</w:t>
            </w:r>
          </w:p>
        </w:tc>
        <w:tc>
          <w:tcPr>
            <w:tcW w:w="1134" w:type="dxa"/>
            <w:tcBorders>
              <w:top w:val="nil"/>
              <w:left w:val="nil"/>
              <w:bottom w:val="nil"/>
              <w:right w:val="nil"/>
            </w:tcBorders>
            <w:shd w:val="clear" w:color="000000" w:fill="EEF3F8"/>
            <w:noWrap/>
            <w:vAlign w:val="center"/>
            <w:hideMark/>
          </w:tcPr>
          <w:p w14:paraId="0E2A1832" w14:textId="77777777" w:rsidR="003F3849" w:rsidRPr="0011274B" w:rsidRDefault="003F3849" w:rsidP="00E357E8">
            <w:pPr>
              <w:spacing w:after="0" w:line="240" w:lineRule="auto"/>
              <w:jc w:val="right"/>
              <w:rPr>
                <w:rFonts w:ascii="Calibri" w:eastAsia="Times New Roman" w:hAnsi="Calibri" w:cs="Times New Roman"/>
                <w:color w:val="000000"/>
                <w:sz w:val="21"/>
                <w:szCs w:val="21"/>
                <w:lang w:eastAsia="cs-CZ"/>
              </w:rPr>
            </w:pPr>
            <w:r w:rsidRPr="001D336A">
              <w:rPr>
                <w:rFonts w:ascii="Calibri" w:eastAsia="Times New Roman" w:hAnsi="Calibri" w:cs="Times New Roman CE"/>
                <w:color w:val="000000"/>
                <w:sz w:val="21"/>
                <w:szCs w:val="21"/>
                <w:lang w:eastAsia="cs-CZ"/>
              </w:rPr>
              <w:t>9,8</w:t>
            </w:r>
            <w:r w:rsidR="00DA7233">
              <w:rPr>
                <w:rFonts w:ascii="Calibri" w:eastAsia="Times New Roman" w:hAnsi="Calibri" w:cs="Times New Roman CE"/>
                <w:color w:val="000000"/>
                <w:sz w:val="21"/>
                <w:szCs w:val="21"/>
                <w:lang w:eastAsia="cs-CZ"/>
              </w:rPr>
              <w:t xml:space="preserve"> </w:t>
            </w:r>
            <w:r w:rsidRPr="001D336A">
              <w:rPr>
                <w:rFonts w:ascii="Calibri" w:eastAsia="Times New Roman" w:hAnsi="Calibri" w:cs="Times New Roman CE"/>
                <w:color w:val="000000"/>
                <w:sz w:val="21"/>
                <w:szCs w:val="21"/>
                <w:lang w:eastAsia="cs-CZ"/>
              </w:rPr>
              <w:t>%</w:t>
            </w:r>
          </w:p>
        </w:tc>
        <w:tc>
          <w:tcPr>
            <w:tcW w:w="851" w:type="dxa"/>
            <w:tcBorders>
              <w:top w:val="nil"/>
              <w:left w:val="nil"/>
              <w:bottom w:val="nil"/>
              <w:right w:val="nil"/>
            </w:tcBorders>
            <w:shd w:val="clear" w:color="000000" w:fill="EEF3F8"/>
            <w:noWrap/>
            <w:vAlign w:val="center"/>
            <w:hideMark/>
          </w:tcPr>
          <w:p w14:paraId="7FEEF34D" w14:textId="77777777" w:rsidR="003F3849" w:rsidRPr="0011274B" w:rsidRDefault="003F3849" w:rsidP="00E357E8">
            <w:pPr>
              <w:spacing w:after="0" w:line="240" w:lineRule="auto"/>
              <w:jc w:val="right"/>
              <w:rPr>
                <w:rFonts w:ascii="Calibri" w:eastAsia="Times New Roman" w:hAnsi="Calibri" w:cs="Times New Roman"/>
                <w:color w:val="000000"/>
                <w:sz w:val="21"/>
                <w:szCs w:val="21"/>
                <w:lang w:eastAsia="cs-CZ"/>
              </w:rPr>
            </w:pPr>
            <w:r w:rsidRPr="001D336A">
              <w:rPr>
                <w:rFonts w:ascii="Calibri" w:eastAsia="Times New Roman" w:hAnsi="Calibri" w:cs="Times New Roman CE"/>
                <w:color w:val="000000"/>
                <w:sz w:val="21"/>
                <w:szCs w:val="21"/>
                <w:lang w:eastAsia="cs-CZ"/>
              </w:rPr>
              <w:t>15,5</w:t>
            </w:r>
            <w:r w:rsidR="00DA7233">
              <w:rPr>
                <w:rFonts w:ascii="Calibri" w:eastAsia="Times New Roman" w:hAnsi="Calibri" w:cs="Times New Roman CE"/>
                <w:color w:val="000000"/>
                <w:sz w:val="21"/>
                <w:szCs w:val="21"/>
                <w:lang w:eastAsia="cs-CZ"/>
              </w:rPr>
              <w:t xml:space="preserve"> </w:t>
            </w:r>
            <w:r w:rsidRPr="001D336A">
              <w:rPr>
                <w:rFonts w:ascii="Calibri" w:eastAsia="Times New Roman" w:hAnsi="Calibri" w:cs="Times New Roman CE"/>
                <w:color w:val="000000"/>
                <w:sz w:val="21"/>
                <w:szCs w:val="21"/>
                <w:lang w:eastAsia="cs-CZ"/>
              </w:rPr>
              <w:t>%</w:t>
            </w:r>
          </w:p>
        </w:tc>
        <w:tc>
          <w:tcPr>
            <w:tcW w:w="934" w:type="dxa"/>
            <w:tcBorders>
              <w:top w:val="nil"/>
              <w:left w:val="nil"/>
              <w:bottom w:val="nil"/>
              <w:right w:val="nil"/>
            </w:tcBorders>
            <w:shd w:val="clear" w:color="000000" w:fill="EEF3F8"/>
            <w:noWrap/>
            <w:vAlign w:val="center"/>
            <w:hideMark/>
          </w:tcPr>
          <w:p w14:paraId="0CF8D992" w14:textId="77777777" w:rsidR="003F3849" w:rsidRPr="0011274B" w:rsidRDefault="003F3849" w:rsidP="00E357E8">
            <w:pPr>
              <w:spacing w:after="0" w:line="240" w:lineRule="auto"/>
              <w:jc w:val="right"/>
              <w:rPr>
                <w:rFonts w:ascii="Calibri" w:eastAsia="Times New Roman" w:hAnsi="Calibri" w:cs="Times New Roman"/>
                <w:color w:val="000000"/>
                <w:sz w:val="21"/>
                <w:szCs w:val="21"/>
                <w:lang w:eastAsia="cs-CZ"/>
              </w:rPr>
            </w:pPr>
            <w:r w:rsidRPr="001D336A">
              <w:rPr>
                <w:rFonts w:ascii="Calibri" w:eastAsia="Times New Roman" w:hAnsi="Calibri" w:cs="Times New Roman CE"/>
                <w:color w:val="000000"/>
                <w:sz w:val="21"/>
                <w:szCs w:val="21"/>
                <w:lang w:eastAsia="cs-CZ"/>
              </w:rPr>
              <w:t>25,1</w:t>
            </w:r>
            <w:r w:rsidR="00DA7233">
              <w:rPr>
                <w:rFonts w:ascii="Calibri" w:eastAsia="Times New Roman" w:hAnsi="Calibri" w:cs="Times New Roman CE"/>
                <w:color w:val="000000"/>
                <w:sz w:val="21"/>
                <w:szCs w:val="21"/>
                <w:lang w:eastAsia="cs-CZ"/>
              </w:rPr>
              <w:t xml:space="preserve"> </w:t>
            </w:r>
            <w:r w:rsidRPr="001D336A">
              <w:rPr>
                <w:rFonts w:ascii="Calibri" w:eastAsia="Times New Roman" w:hAnsi="Calibri" w:cs="Times New Roman CE"/>
                <w:color w:val="000000"/>
                <w:sz w:val="21"/>
                <w:szCs w:val="21"/>
                <w:lang w:eastAsia="cs-CZ"/>
              </w:rPr>
              <w:t>%</w:t>
            </w:r>
          </w:p>
        </w:tc>
        <w:tc>
          <w:tcPr>
            <w:tcW w:w="1109" w:type="dxa"/>
            <w:tcBorders>
              <w:top w:val="nil"/>
              <w:left w:val="nil"/>
              <w:bottom w:val="nil"/>
              <w:right w:val="nil"/>
            </w:tcBorders>
            <w:shd w:val="clear" w:color="000000" w:fill="EEF3F8"/>
            <w:noWrap/>
            <w:vAlign w:val="center"/>
            <w:hideMark/>
          </w:tcPr>
          <w:p w14:paraId="41BF6E9C" w14:textId="77777777" w:rsidR="003F3849" w:rsidRPr="0011274B" w:rsidRDefault="003F3849" w:rsidP="00E357E8">
            <w:pPr>
              <w:spacing w:after="0" w:line="240" w:lineRule="auto"/>
              <w:jc w:val="right"/>
              <w:rPr>
                <w:rFonts w:ascii="Calibri" w:eastAsia="Times New Roman" w:hAnsi="Calibri" w:cs="Times New Roman"/>
                <w:color w:val="000000"/>
                <w:sz w:val="21"/>
                <w:szCs w:val="21"/>
                <w:lang w:eastAsia="cs-CZ"/>
              </w:rPr>
            </w:pPr>
            <w:r w:rsidRPr="001D336A">
              <w:rPr>
                <w:rFonts w:ascii="Calibri" w:eastAsia="Times New Roman" w:hAnsi="Calibri" w:cs="Times New Roman CE"/>
                <w:color w:val="000000"/>
                <w:sz w:val="21"/>
                <w:szCs w:val="21"/>
                <w:lang w:eastAsia="cs-CZ"/>
              </w:rPr>
              <w:t>23,6</w:t>
            </w:r>
            <w:r w:rsidR="00DA7233">
              <w:rPr>
                <w:rFonts w:ascii="Calibri" w:eastAsia="Times New Roman" w:hAnsi="Calibri" w:cs="Times New Roman CE"/>
                <w:color w:val="000000"/>
                <w:sz w:val="21"/>
                <w:szCs w:val="21"/>
                <w:lang w:eastAsia="cs-CZ"/>
              </w:rPr>
              <w:t xml:space="preserve"> </w:t>
            </w:r>
            <w:r w:rsidRPr="001D336A">
              <w:rPr>
                <w:rFonts w:ascii="Calibri" w:eastAsia="Times New Roman" w:hAnsi="Calibri" w:cs="Times New Roman CE"/>
                <w:color w:val="000000"/>
                <w:sz w:val="21"/>
                <w:szCs w:val="21"/>
                <w:lang w:eastAsia="cs-CZ"/>
              </w:rPr>
              <w:t>%</w:t>
            </w:r>
          </w:p>
        </w:tc>
        <w:tc>
          <w:tcPr>
            <w:tcW w:w="1017" w:type="dxa"/>
            <w:tcBorders>
              <w:top w:val="nil"/>
              <w:left w:val="nil"/>
              <w:bottom w:val="nil"/>
              <w:right w:val="nil"/>
            </w:tcBorders>
            <w:shd w:val="clear" w:color="000000" w:fill="EEF3F8"/>
            <w:noWrap/>
            <w:vAlign w:val="center"/>
            <w:hideMark/>
          </w:tcPr>
          <w:p w14:paraId="680335D4" w14:textId="77777777" w:rsidR="003F3849" w:rsidRPr="0011274B" w:rsidRDefault="003F3849" w:rsidP="00E357E8">
            <w:pPr>
              <w:spacing w:after="0" w:line="240" w:lineRule="auto"/>
              <w:jc w:val="right"/>
              <w:rPr>
                <w:rFonts w:ascii="Calibri" w:eastAsia="Times New Roman" w:hAnsi="Calibri" w:cs="Times New Roman"/>
                <w:color w:val="000000"/>
                <w:sz w:val="21"/>
                <w:szCs w:val="21"/>
                <w:lang w:eastAsia="cs-CZ"/>
              </w:rPr>
            </w:pPr>
            <w:r w:rsidRPr="001D336A">
              <w:rPr>
                <w:rFonts w:ascii="Calibri" w:eastAsia="Times New Roman" w:hAnsi="Calibri" w:cs="Times New Roman CE"/>
                <w:color w:val="000000"/>
                <w:sz w:val="21"/>
                <w:szCs w:val="21"/>
                <w:lang w:eastAsia="cs-CZ"/>
              </w:rPr>
              <w:t>18,5</w:t>
            </w:r>
            <w:r w:rsidR="00DA7233">
              <w:rPr>
                <w:rFonts w:ascii="Calibri" w:eastAsia="Times New Roman" w:hAnsi="Calibri" w:cs="Times New Roman CE"/>
                <w:color w:val="000000"/>
                <w:sz w:val="21"/>
                <w:szCs w:val="21"/>
                <w:lang w:eastAsia="cs-CZ"/>
              </w:rPr>
              <w:t xml:space="preserve"> </w:t>
            </w:r>
            <w:r w:rsidRPr="001D336A">
              <w:rPr>
                <w:rFonts w:ascii="Calibri" w:eastAsia="Times New Roman" w:hAnsi="Calibri" w:cs="Times New Roman CE"/>
                <w:color w:val="000000"/>
                <w:sz w:val="21"/>
                <w:szCs w:val="21"/>
                <w:lang w:eastAsia="cs-CZ"/>
              </w:rPr>
              <w:t>%</w:t>
            </w:r>
          </w:p>
        </w:tc>
        <w:tc>
          <w:tcPr>
            <w:tcW w:w="994" w:type="dxa"/>
            <w:tcBorders>
              <w:top w:val="nil"/>
              <w:left w:val="nil"/>
              <w:bottom w:val="nil"/>
              <w:right w:val="single" w:sz="12" w:space="0" w:color="4F81BD"/>
            </w:tcBorders>
            <w:shd w:val="clear" w:color="000000" w:fill="EEF3F8"/>
            <w:noWrap/>
            <w:vAlign w:val="center"/>
            <w:hideMark/>
          </w:tcPr>
          <w:p w14:paraId="5E34FA14" w14:textId="77777777" w:rsidR="003F3849" w:rsidRPr="0011274B" w:rsidRDefault="003F3849" w:rsidP="00E357E8">
            <w:pPr>
              <w:spacing w:after="0" w:line="240" w:lineRule="auto"/>
              <w:jc w:val="right"/>
              <w:rPr>
                <w:rFonts w:ascii="Calibri" w:eastAsia="Times New Roman" w:hAnsi="Calibri" w:cs="Times New Roman"/>
                <w:color w:val="000000"/>
                <w:sz w:val="21"/>
                <w:szCs w:val="21"/>
                <w:lang w:eastAsia="cs-CZ"/>
              </w:rPr>
            </w:pPr>
            <w:r w:rsidRPr="001D336A">
              <w:rPr>
                <w:rFonts w:ascii="Calibri" w:eastAsia="Times New Roman" w:hAnsi="Calibri" w:cs="Times New Roman CE"/>
                <w:color w:val="000000"/>
                <w:sz w:val="21"/>
                <w:szCs w:val="21"/>
                <w:lang w:eastAsia="cs-CZ"/>
              </w:rPr>
              <w:t>16,4</w:t>
            </w:r>
            <w:r w:rsidR="00DA7233">
              <w:rPr>
                <w:rFonts w:ascii="Calibri" w:eastAsia="Times New Roman" w:hAnsi="Calibri" w:cs="Times New Roman CE"/>
                <w:color w:val="000000"/>
                <w:sz w:val="21"/>
                <w:szCs w:val="21"/>
                <w:lang w:eastAsia="cs-CZ"/>
              </w:rPr>
              <w:t xml:space="preserve"> </w:t>
            </w:r>
            <w:r w:rsidRPr="001D336A">
              <w:rPr>
                <w:rFonts w:ascii="Calibri" w:eastAsia="Times New Roman" w:hAnsi="Calibri" w:cs="Times New Roman CE"/>
                <w:color w:val="000000"/>
                <w:sz w:val="21"/>
                <w:szCs w:val="21"/>
                <w:lang w:eastAsia="cs-CZ"/>
              </w:rPr>
              <w:t>%</w:t>
            </w:r>
          </w:p>
        </w:tc>
      </w:tr>
      <w:tr w:rsidR="00DA7233" w:rsidRPr="0011274B" w14:paraId="1C9880BE" w14:textId="77777777" w:rsidTr="00DA7233">
        <w:trPr>
          <w:trHeight w:val="300"/>
          <w:jc w:val="center"/>
        </w:trPr>
        <w:tc>
          <w:tcPr>
            <w:tcW w:w="1931" w:type="dxa"/>
            <w:tcBorders>
              <w:top w:val="nil"/>
              <w:left w:val="single" w:sz="12" w:space="0" w:color="4F81BD"/>
              <w:bottom w:val="nil"/>
              <w:right w:val="nil"/>
            </w:tcBorders>
            <w:shd w:val="clear" w:color="auto" w:fill="auto"/>
            <w:vAlign w:val="center"/>
            <w:hideMark/>
          </w:tcPr>
          <w:p w14:paraId="6646C48E" w14:textId="77777777" w:rsidR="003F3849" w:rsidRPr="0011274B" w:rsidRDefault="003F3849" w:rsidP="00E357E8">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ZPP 2018</w:t>
            </w:r>
          </w:p>
        </w:tc>
        <w:tc>
          <w:tcPr>
            <w:tcW w:w="992" w:type="dxa"/>
            <w:tcBorders>
              <w:top w:val="nil"/>
              <w:left w:val="nil"/>
              <w:bottom w:val="nil"/>
              <w:right w:val="nil"/>
            </w:tcBorders>
            <w:shd w:val="clear" w:color="000000" w:fill="DCE6F1"/>
            <w:noWrap/>
            <w:vAlign w:val="center"/>
            <w:hideMark/>
          </w:tcPr>
          <w:p w14:paraId="43EF59D9"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15 654</w:t>
            </w:r>
          </w:p>
        </w:tc>
        <w:tc>
          <w:tcPr>
            <w:tcW w:w="1134" w:type="dxa"/>
            <w:tcBorders>
              <w:top w:val="nil"/>
              <w:left w:val="nil"/>
              <w:bottom w:val="nil"/>
              <w:right w:val="nil"/>
            </w:tcBorders>
            <w:shd w:val="clear" w:color="auto" w:fill="auto"/>
            <w:noWrap/>
            <w:vAlign w:val="center"/>
            <w:hideMark/>
          </w:tcPr>
          <w:p w14:paraId="5056A0A3"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959</w:t>
            </w:r>
          </w:p>
        </w:tc>
        <w:tc>
          <w:tcPr>
            <w:tcW w:w="851" w:type="dxa"/>
            <w:tcBorders>
              <w:top w:val="nil"/>
              <w:left w:val="nil"/>
              <w:bottom w:val="nil"/>
              <w:right w:val="nil"/>
            </w:tcBorders>
            <w:shd w:val="clear" w:color="000000" w:fill="DCE6F1"/>
            <w:noWrap/>
            <w:vAlign w:val="center"/>
            <w:hideMark/>
          </w:tcPr>
          <w:p w14:paraId="265D8002"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3 202</w:t>
            </w:r>
          </w:p>
        </w:tc>
        <w:tc>
          <w:tcPr>
            <w:tcW w:w="934" w:type="dxa"/>
            <w:tcBorders>
              <w:top w:val="nil"/>
              <w:left w:val="nil"/>
              <w:bottom w:val="nil"/>
              <w:right w:val="nil"/>
            </w:tcBorders>
            <w:shd w:val="clear" w:color="auto" w:fill="auto"/>
            <w:noWrap/>
            <w:vAlign w:val="center"/>
            <w:hideMark/>
          </w:tcPr>
          <w:p w14:paraId="6C048AB1"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2 878</w:t>
            </w:r>
          </w:p>
        </w:tc>
        <w:tc>
          <w:tcPr>
            <w:tcW w:w="1109" w:type="dxa"/>
            <w:tcBorders>
              <w:top w:val="nil"/>
              <w:left w:val="nil"/>
              <w:bottom w:val="nil"/>
              <w:right w:val="nil"/>
            </w:tcBorders>
            <w:shd w:val="clear" w:color="000000" w:fill="DCE6F1"/>
            <w:noWrap/>
            <w:vAlign w:val="center"/>
            <w:hideMark/>
          </w:tcPr>
          <w:p w14:paraId="05498A76"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655</w:t>
            </w:r>
          </w:p>
        </w:tc>
        <w:tc>
          <w:tcPr>
            <w:tcW w:w="1017" w:type="dxa"/>
            <w:tcBorders>
              <w:top w:val="nil"/>
              <w:left w:val="nil"/>
              <w:bottom w:val="nil"/>
              <w:right w:val="nil"/>
            </w:tcBorders>
            <w:shd w:val="clear" w:color="auto" w:fill="auto"/>
            <w:noWrap/>
            <w:vAlign w:val="center"/>
            <w:hideMark/>
          </w:tcPr>
          <w:p w14:paraId="7151828B"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3 763</w:t>
            </w:r>
          </w:p>
        </w:tc>
        <w:tc>
          <w:tcPr>
            <w:tcW w:w="994" w:type="dxa"/>
            <w:tcBorders>
              <w:top w:val="nil"/>
              <w:left w:val="nil"/>
              <w:bottom w:val="nil"/>
              <w:right w:val="single" w:sz="12" w:space="0" w:color="4F81BD"/>
            </w:tcBorders>
            <w:shd w:val="clear" w:color="000000" w:fill="DCE6F1"/>
            <w:noWrap/>
            <w:vAlign w:val="center"/>
            <w:hideMark/>
          </w:tcPr>
          <w:p w14:paraId="5F09F8BE" w14:textId="77777777" w:rsidR="003F3849" w:rsidRPr="0011274B" w:rsidRDefault="003F3849" w:rsidP="00E357E8">
            <w:pPr>
              <w:spacing w:after="0" w:line="240" w:lineRule="auto"/>
              <w:jc w:val="right"/>
              <w:rPr>
                <w:rFonts w:ascii="Calibri" w:eastAsia="Times New Roman" w:hAnsi="Calibri" w:cs="Times New Roman"/>
                <w:b/>
                <w:bCs/>
                <w:color w:val="000000"/>
                <w:sz w:val="21"/>
                <w:szCs w:val="21"/>
                <w:lang w:eastAsia="cs-CZ"/>
              </w:rPr>
            </w:pPr>
            <w:r w:rsidRPr="001D336A">
              <w:rPr>
                <w:rFonts w:ascii="Calibri" w:eastAsia="Times New Roman" w:hAnsi="Calibri" w:cs="Times New Roman CE"/>
                <w:b/>
                <w:bCs/>
                <w:color w:val="000000"/>
                <w:sz w:val="21"/>
                <w:szCs w:val="21"/>
                <w:lang w:eastAsia="cs-CZ"/>
              </w:rPr>
              <w:t>1 434</w:t>
            </w:r>
          </w:p>
        </w:tc>
      </w:tr>
      <w:tr w:rsidR="00DA7233" w:rsidRPr="0011274B" w14:paraId="7CF1F567" w14:textId="77777777" w:rsidTr="00DA7233">
        <w:trPr>
          <w:trHeight w:val="585"/>
          <w:jc w:val="center"/>
        </w:trPr>
        <w:tc>
          <w:tcPr>
            <w:tcW w:w="1931" w:type="dxa"/>
            <w:tcBorders>
              <w:top w:val="nil"/>
              <w:left w:val="single" w:sz="12" w:space="0" w:color="4F81BD"/>
              <w:bottom w:val="single" w:sz="12" w:space="0" w:color="4F81BD"/>
              <w:right w:val="nil"/>
            </w:tcBorders>
            <w:shd w:val="clear" w:color="000000" w:fill="EEF3F8"/>
            <w:vAlign w:val="center"/>
            <w:hideMark/>
          </w:tcPr>
          <w:p w14:paraId="218FCC32" w14:textId="77777777" w:rsidR="003F3849" w:rsidRPr="0011274B" w:rsidRDefault="003F3849" w:rsidP="00E357E8">
            <w:pPr>
              <w:spacing w:after="0" w:line="240" w:lineRule="auto"/>
              <w:rPr>
                <w:rFonts w:ascii="Calibri" w:eastAsia="Times New Roman" w:hAnsi="Calibri" w:cs="Times New Roman"/>
                <w:color w:val="000000"/>
                <w:sz w:val="21"/>
                <w:szCs w:val="21"/>
                <w:lang w:eastAsia="cs-CZ"/>
              </w:rPr>
            </w:pPr>
            <w:r w:rsidRPr="0011274B">
              <w:rPr>
                <w:rFonts w:ascii="Calibri" w:eastAsia="Times New Roman" w:hAnsi="Calibri" w:cs="Times New Roman"/>
                <w:color w:val="000000"/>
                <w:sz w:val="21"/>
                <w:szCs w:val="21"/>
                <w:lang w:eastAsia="cs-CZ"/>
              </w:rPr>
              <w:t>Podíl zůstatků na celkových ročních výdajích</w:t>
            </w:r>
          </w:p>
        </w:tc>
        <w:tc>
          <w:tcPr>
            <w:tcW w:w="992" w:type="dxa"/>
            <w:tcBorders>
              <w:top w:val="nil"/>
              <w:left w:val="nil"/>
              <w:bottom w:val="single" w:sz="12" w:space="0" w:color="4F81BD"/>
              <w:right w:val="nil"/>
            </w:tcBorders>
            <w:shd w:val="clear" w:color="000000" w:fill="EEF3F8"/>
            <w:noWrap/>
            <w:vAlign w:val="center"/>
            <w:hideMark/>
          </w:tcPr>
          <w:p w14:paraId="24996578" w14:textId="77777777" w:rsidR="003F3849" w:rsidRPr="00174919" w:rsidRDefault="003F3849" w:rsidP="00E357E8">
            <w:pPr>
              <w:spacing w:after="0" w:line="240" w:lineRule="auto"/>
              <w:jc w:val="right"/>
              <w:rPr>
                <w:rFonts w:ascii="Calibri" w:eastAsia="Times New Roman" w:hAnsi="Calibri" w:cs="Times New Roman"/>
                <w:color w:val="000000"/>
                <w:sz w:val="21"/>
                <w:szCs w:val="21"/>
                <w:lang w:eastAsia="cs-CZ"/>
              </w:rPr>
            </w:pPr>
            <w:r w:rsidRPr="00174919">
              <w:rPr>
                <w:rFonts w:ascii="Calibri" w:eastAsia="Times New Roman" w:hAnsi="Calibri" w:cs="Times New Roman CE"/>
                <w:color w:val="000000"/>
                <w:sz w:val="21"/>
                <w:szCs w:val="21"/>
                <w:lang w:eastAsia="cs-CZ"/>
              </w:rPr>
              <w:t>8,8</w:t>
            </w:r>
            <w:r w:rsidR="00DA7233" w:rsidRPr="00174919">
              <w:rPr>
                <w:rFonts w:ascii="Calibri" w:eastAsia="Times New Roman" w:hAnsi="Calibri" w:cs="Times New Roman CE"/>
                <w:color w:val="000000"/>
                <w:sz w:val="21"/>
                <w:szCs w:val="21"/>
                <w:lang w:eastAsia="cs-CZ"/>
              </w:rPr>
              <w:t xml:space="preserve"> </w:t>
            </w:r>
            <w:r w:rsidRPr="00174919">
              <w:rPr>
                <w:rFonts w:ascii="Calibri" w:eastAsia="Times New Roman" w:hAnsi="Calibri" w:cs="Times New Roman CE"/>
                <w:color w:val="000000"/>
                <w:sz w:val="21"/>
                <w:szCs w:val="21"/>
                <w:lang w:eastAsia="cs-CZ"/>
              </w:rPr>
              <w:t>%</w:t>
            </w:r>
          </w:p>
        </w:tc>
        <w:tc>
          <w:tcPr>
            <w:tcW w:w="1134" w:type="dxa"/>
            <w:tcBorders>
              <w:top w:val="nil"/>
              <w:left w:val="nil"/>
              <w:bottom w:val="single" w:sz="12" w:space="0" w:color="4F81BD"/>
              <w:right w:val="nil"/>
            </w:tcBorders>
            <w:shd w:val="clear" w:color="000000" w:fill="EEF3F8"/>
            <w:noWrap/>
            <w:vAlign w:val="center"/>
            <w:hideMark/>
          </w:tcPr>
          <w:p w14:paraId="2BD67520" w14:textId="77777777" w:rsidR="003F3849" w:rsidRPr="00174919" w:rsidRDefault="003F3849" w:rsidP="00E357E8">
            <w:pPr>
              <w:spacing w:after="0" w:line="240" w:lineRule="auto"/>
              <w:jc w:val="right"/>
              <w:rPr>
                <w:rFonts w:ascii="Calibri" w:eastAsia="Times New Roman" w:hAnsi="Calibri" w:cs="Times New Roman"/>
                <w:color w:val="000000"/>
                <w:sz w:val="21"/>
                <w:szCs w:val="21"/>
                <w:lang w:eastAsia="cs-CZ"/>
              </w:rPr>
            </w:pPr>
            <w:r w:rsidRPr="00174919">
              <w:rPr>
                <w:rFonts w:ascii="Calibri" w:eastAsia="Times New Roman" w:hAnsi="Calibri" w:cs="Times New Roman CE"/>
                <w:color w:val="000000"/>
                <w:sz w:val="21"/>
                <w:szCs w:val="21"/>
                <w:lang w:eastAsia="cs-CZ"/>
              </w:rPr>
              <w:t>5,1</w:t>
            </w:r>
            <w:r w:rsidR="00DA7233" w:rsidRPr="00174919">
              <w:rPr>
                <w:rFonts w:ascii="Calibri" w:eastAsia="Times New Roman" w:hAnsi="Calibri" w:cs="Times New Roman CE"/>
                <w:color w:val="000000"/>
                <w:sz w:val="21"/>
                <w:szCs w:val="21"/>
                <w:lang w:eastAsia="cs-CZ"/>
              </w:rPr>
              <w:t xml:space="preserve"> </w:t>
            </w:r>
            <w:r w:rsidRPr="00174919">
              <w:rPr>
                <w:rFonts w:ascii="Calibri" w:eastAsia="Times New Roman" w:hAnsi="Calibri" w:cs="Times New Roman CE"/>
                <w:color w:val="000000"/>
                <w:sz w:val="21"/>
                <w:szCs w:val="21"/>
                <w:lang w:eastAsia="cs-CZ"/>
              </w:rPr>
              <w:t>%</w:t>
            </w:r>
          </w:p>
        </w:tc>
        <w:tc>
          <w:tcPr>
            <w:tcW w:w="851" w:type="dxa"/>
            <w:tcBorders>
              <w:top w:val="nil"/>
              <w:left w:val="nil"/>
              <w:bottom w:val="single" w:sz="12" w:space="0" w:color="4F81BD"/>
              <w:right w:val="nil"/>
            </w:tcBorders>
            <w:shd w:val="clear" w:color="000000" w:fill="EEF3F8"/>
            <w:noWrap/>
            <w:vAlign w:val="center"/>
            <w:hideMark/>
          </w:tcPr>
          <w:p w14:paraId="5D581FDE" w14:textId="77777777" w:rsidR="003F3849" w:rsidRPr="00174919" w:rsidRDefault="003F3849" w:rsidP="00E357E8">
            <w:pPr>
              <w:spacing w:after="0" w:line="240" w:lineRule="auto"/>
              <w:jc w:val="right"/>
              <w:rPr>
                <w:rFonts w:ascii="Calibri" w:eastAsia="Times New Roman" w:hAnsi="Calibri" w:cs="Times New Roman"/>
                <w:color w:val="000000"/>
                <w:sz w:val="21"/>
                <w:szCs w:val="21"/>
                <w:lang w:eastAsia="cs-CZ"/>
              </w:rPr>
            </w:pPr>
            <w:r w:rsidRPr="00174919">
              <w:rPr>
                <w:rFonts w:ascii="Calibri" w:eastAsia="Times New Roman" w:hAnsi="Calibri" w:cs="Times New Roman CE"/>
                <w:color w:val="000000"/>
                <w:sz w:val="21"/>
                <w:szCs w:val="21"/>
                <w:lang w:eastAsia="cs-CZ"/>
              </w:rPr>
              <w:t>10,1</w:t>
            </w:r>
            <w:r w:rsidR="00DA7233" w:rsidRPr="00174919">
              <w:rPr>
                <w:rFonts w:ascii="Calibri" w:eastAsia="Times New Roman" w:hAnsi="Calibri" w:cs="Times New Roman CE"/>
                <w:color w:val="000000"/>
                <w:sz w:val="21"/>
                <w:szCs w:val="21"/>
                <w:lang w:eastAsia="cs-CZ"/>
              </w:rPr>
              <w:t xml:space="preserve"> </w:t>
            </w:r>
            <w:r w:rsidRPr="00174919">
              <w:rPr>
                <w:rFonts w:ascii="Calibri" w:eastAsia="Times New Roman" w:hAnsi="Calibri" w:cs="Times New Roman CE"/>
                <w:color w:val="000000"/>
                <w:sz w:val="21"/>
                <w:szCs w:val="21"/>
                <w:lang w:eastAsia="cs-CZ"/>
              </w:rPr>
              <w:t>%</w:t>
            </w:r>
          </w:p>
        </w:tc>
        <w:tc>
          <w:tcPr>
            <w:tcW w:w="934" w:type="dxa"/>
            <w:tcBorders>
              <w:top w:val="nil"/>
              <w:left w:val="nil"/>
              <w:bottom w:val="single" w:sz="12" w:space="0" w:color="4F81BD"/>
              <w:right w:val="nil"/>
            </w:tcBorders>
            <w:shd w:val="clear" w:color="000000" w:fill="EEF3F8"/>
            <w:noWrap/>
            <w:vAlign w:val="center"/>
            <w:hideMark/>
          </w:tcPr>
          <w:p w14:paraId="18CB8049" w14:textId="77777777" w:rsidR="003F3849" w:rsidRPr="00174919" w:rsidRDefault="003F3849" w:rsidP="00E357E8">
            <w:pPr>
              <w:spacing w:after="0" w:line="240" w:lineRule="auto"/>
              <w:jc w:val="right"/>
              <w:rPr>
                <w:rFonts w:ascii="Calibri" w:eastAsia="Times New Roman" w:hAnsi="Calibri" w:cs="Times New Roman"/>
                <w:color w:val="000000"/>
                <w:sz w:val="21"/>
                <w:szCs w:val="21"/>
                <w:lang w:eastAsia="cs-CZ"/>
              </w:rPr>
            </w:pPr>
            <w:r w:rsidRPr="00174919">
              <w:rPr>
                <w:rFonts w:ascii="Calibri" w:eastAsia="Times New Roman" w:hAnsi="Calibri" w:cs="Times New Roman CE"/>
                <w:color w:val="000000"/>
                <w:sz w:val="21"/>
                <w:szCs w:val="21"/>
                <w:lang w:eastAsia="cs-CZ"/>
              </w:rPr>
              <w:t>15,6</w:t>
            </w:r>
            <w:r w:rsidR="00DA7233" w:rsidRPr="00174919">
              <w:rPr>
                <w:rFonts w:ascii="Calibri" w:eastAsia="Times New Roman" w:hAnsi="Calibri" w:cs="Times New Roman CE"/>
                <w:color w:val="000000"/>
                <w:sz w:val="21"/>
                <w:szCs w:val="21"/>
                <w:lang w:eastAsia="cs-CZ"/>
              </w:rPr>
              <w:t xml:space="preserve"> </w:t>
            </w:r>
            <w:r w:rsidRPr="00174919">
              <w:rPr>
                <w:rFonts w:ascii="Calibri" w:eastAsia="Times New Roman" w:hAnsi="Calibri" w:cs="Times New Roman CE"/>
                <w:color w:val="000000"/>
                <w:sz w:val="21"/>
                <w:szCs w:val="21"/>
                <w:lang w:eastAsia="cs-CZ"/>
              </w:rPr>
              <w:t>%</w:t>
            </w:r>
          </w:p>
        </w:tc>
        <w:tc>
          <w:tcPr>
            <w:tcW w:w="1109" w:type="dxa"/>
            <w:tcBorders>
              <w:top w:val="nil"/>
              <w:left w:val="nil"/>
              <w:bottom w:val="single" w:sz="12" w:space="0" w:color="4F81BD"/>
              <w:right w:val="nil"/>
            </w:tcBorders>
            <w:shd w:val="clear" w:color="000000" w:fill="EEF3F8"/>
            <w:noWrap/>
            <w:vAlign w:val="center"/>
            <w:hideMark/>
          </w:tcPr>
          <w:p w14:paraId="520534EE" w14:textId="77777777" w:rsidR="003F3849" w:rsidRPr="00174919" w:rsidRDefault="003F3849" w:rsidP="00E357E8">
            <w:pPr>
              <w:spacing w:after="0" w:line="240" w:lineRule="auto"/>
              <w:jc w:val="right"/>
              <w:rPr>
                <w:rFonts w:ascii="Calibri" w:eastAsia="Times New Roman" w:hAnsi="Calibri" w:cs="Times New Roman"/>
                <w:color w:val="000000"/>
                <w:sz w:val="21"/>
                <w:szCs w:val="21"/>
                <w:lang w:eastAsia="cs-CZ"/>
              </w:rPr>
            </w:pPr>
            <w:r w:rsidRPr="00174919">
              <w:rPr>
                <w:rFonts w:ascii="Calibri" w:eastAsia="Times New Roman" w:hAnsi="Calibri" w:cs="Times New Roman CE"/>
                <w:color w:val="000000"/>
                <w:sz w:val="21"/>
                <w:szCs w:val="21"/>
                <w:lang w:eastAsia="cs-CZ"/>
              </w:rPr>
              <w:t>16,6</w:t>
            </w:r>
            <w:r w:rsidR="00DA7233" w:rsidRPr="00174919">
              <w:rPr>
                <w:rFonts w:ascii="Calibri" w:eastAsia="Times New Roman" w:hAnsi="Calibri" w:cs="Times New Roman CE"/>
                <w:color w:val="000000"/>
                <w:sz w:val="21"/>
                <w:szCs w:val="21"/>
                <w:lang w:eastAsia="cs-CZ"/>
              </w:rPr>
              <w:t xml:space="preserve"> </w:t>
            </w:r>
            <w:r w:rsidRPr="00174919">
              <w:rPr>
                <w:rFonts w:ascii="Calibri" w:eastAsia="Times New Roman" w:hAnsi="Calibri" w:cs="Times New Roman CE"/>
                <w:color w:val="000000"/>
                <w:sz w:val="21"/>
                <w:szCs w:val="21"/>
                <w:lang w:eastAsia="cs-CZ"/>
              </w:rPr>
              <w:t>%</w:t>
            </w:r>
          </w:p>
        </w:tc>
        <w:tc>
          <w:tcPr>
            <w:tcW w:w="1017" w:type="dxa"/>
            <w:tcBorders>
              <w:top w:val="nil"/>
              <w:left w:val="nil"/>
              <w:bottom w:val="single" w:sz="12" w:space="0" w:color="4F81BD"/>
              <w:right w:val="nil"/>
            </w:tcBorders>
            <w:shd w:val="clear" w:color="000000" w:fill="EEF3F8"/>
            <w:noWrap/>
            <w:vAlign w:val="center"/>
            <w:hideMark/>
          </w:tcPr>
          <w:p w14:paraId="2CCC6215" w14:textId="77777777" w:rsidR="003F3849" w:rsidRPr="00174919" w:rsidRDefault="003F3849" w:rsidP="00E357E8">
            <w:pPr>
              <w:spacing w:after="0" w:line="240" w:lineRule="auto"/>
              <w:jc w:val="right"/>
              <w:rPr>
                <w:rFonts w:ascii="Calibri" w:eastAsia="Times New Roman" w:hAnsi="Calibri" w:cs="Times New Roman"/>
                <w:color w:val="000000"/>
                <w:sz w:val="21"/>
                <w:szCs w:val="21"/>
                <w:lang w:eastAsia="cs-CZ"/>
              </w:rPr>
            </w:pPr>
            <w:r w:rsidRPr="00174919">
              <w:rPr>
                <w:rFonts w:ascii="Calibri" w:eastAsia="Times New Roman" w:hAnsi="Calibri" w:cs="Times New Roman CE"/>
                <w:color w:val="000000"/>
                <w:sz w:val="21"/>
                <w:szCs w:val="21"/>
                <w:lang w:eastAsia="cs-CZ"/>
              </w:rPr>
              <w:t>11,0</w:t>
            </w:r>
            <w:r w:rsidR="00DA7233" w:rsidRPr="00174919">
              <w:rPr>
                <w:rFonts w:ascii="Calibri" w:eastAsia="Times New Roman" w:hAnsi="Calibri" w:cs="Times New Roman CE"/>
                <w:color w:val="000000"/>
                <w:sz w:val="21"/>
                <w:szCs w:val="21"/>
                <w:lang w:eastAsia="cs-CZ"/>
              </w:rPr>
              <w:t xml:space="preserve"> </w:t>
            </w:r>
            <w:r w:rsidRPr="00174919">
              <w:rPr>
                <w:rFonts w:ascii="Calibri" w:eastAsia="Times New Roman" w:hAnsi="Calibri" w:cs="Times New Roman CE"/>
                <w:color w:val="000000"/>
                <w:sz w:val="21"/>
                <w:szCs w:val="21"/>
                <w:lang w:eastAsia="cs-CZ"/>
              </w:rPr>
              <w:t>%</w:t>
            </w:r>
          </w:p>
        </w:tc>
        <w:tc>
          <w:tcPr>
            <w:tcW w:w="994" w:type="dxa"/>
            <w:tcBorders>
              <w:top w:val="nil"/>
              <w:left w:val="nil"/>
              <w:bottom w:val="single" w:sz="12" w:space="0" w:color="4F81BD"/>
              <w:right w:val="single" w:sz="12" w:space="0" w:color="4F81BD"/>
            </w:tcBorders>
            <w:shd w:val="clear" w:color="000000" w:fill="EEF3F8"/>
            <w:noWrap/>
            <w:vAlign w:val="center"/>
            <w:hideMark/>
          </w:tcPr>
          <w:p w14:paraId="37DB8E61" w14:textId="77777777" w:rsidR="003F3849" w:rsidRPr="00174919" w:rsidRDefault="003F3849" w:rsidP="00E357E8">
            <w:pPr>
              <w:spacing w:after="0" w:line="240" w:lineRule="auto"/>
              <w:jc w:val="right"/>
              <w:rPr>
                <w:rFonts w:ascii="Calibri" w:eastAsia="Times New Roman" w:hAnsi="Calibri" w:cs="Times New Roman"/>
                <w:color w:val="000000"/>
                <w:sz w:val="21"/>
                <w:szCs w:val="21"/>
                <w:lang w:eastAsia="cs-CZ"/>
              </w:rPr>
            </w:pPr>
            <w:r w:rsidRPr="00174919">
              <w:rPr>
                <w:rFonts w:ascii="Calibri" w:eastAsia="Times New Roman" w:hAnsi="Calibri" w:cs="Times New Roman CE"/>
                <w:color w:val="000000"/>
                <w:sz w:val="21"/>
                <w:szCs w:val="21"/>
                <w:lang w:eastAsia="cs-CZ"/>
              </w:rPr>
              <w:t>13,3</w:t>
            </w:r>
            <w:r w:rsidR="00DA7233" w:rsidRPr="00174919">
              <w:rPr>
                <w:rFonts w:ascii="Calibri" w:eastAsia="Times New Roman" w:hAnsi="Calibri" w:cs="Times New Roman CE"/>
                <w:color w:val="000000"/>
                <w:sz w:val="21"/>
                <w:szCs w:val="21"/>
                <w:lang w:eastAsia="cs-CZ"/>
              </w:rPr>
              <w:t xml:space="preserve"> </w:t>
            </w:r>
            <w:r w:rsidRPr="00174919">
              <w:rPr>
                <w:rFonts w:ascii="Calibri" w:eastAsia="Times New Roman" w:hAnsi="Calibri" w:cs="Times New Roman CE"/>
                <w:color w:val="000000"/>
                <w:sz w:val="21"/>
                <w:szCs w:val="21"/>
                <w:lang w:eastAsia="cs-CZ"/>
              </w:rPr>
              <w:t>%</w:t>
            </w:r>
          </w:p>
        </w:tc>
      </w:tr>
    </w:tbl>
    <w:p w14:paraId="69606C46" w14:textId="77777777" w:rsidR="00DA7233" w:rsidRDefault="00DA7233" w:rsidP="00B9182D">
      <w:pPr>
        <w:pStyle w:val="TEXT"/>
      </w:pPr>
    </w:p>
    <w:p w14:paraId="33269D03" w14:textId="77777777" w:rsidR="003F3849" w:rsidRPr="00B9182D" w:rsidRDefault="00DA7233" w:rsidP="00B9182D">
      <w:pPr>
        <w:pStyle w:val="TEXT"/>
      </w:pPr>
      <w:r w:rsidRPr="00DA7233">
        <w:t>P</w:t>
      </w:r>
      <w:r w:rsidR="003F3849" w:rsidRPr="00DA7233">
        <w:t xml:space="preserve">ři srovnání </w:t>
      </w:r>
      <w:r w:rsidR="008B1F6E" w:rsidRPr="00DA7233">
        <w:t xml:space="preserve">ZPP 2018 s VZ 2018 lze vidět výrazné navýšení zůstatků. Z dlouhodobého hlediska </w:t>
      </w:r>
      <w:r w:rsidR="008B1F6E" w:rsidRPr="00B9182D">
        <w:t>jsou zvyšující se zůstatky peněžních prostředků na bankovních účtech nutností pro případ ekonomického poklesu v budoucích letech.</w:t>
      </w:r>
    </w:p>
    <w:p w14:paraId="6B623EEC" w14:textId="77777777" w:rsidR="00902FD8" w:rsidRDefault="00902FD8" w:rsidP="006C7011">
      <w:pPr>
        <w:pStyle w:val="TABOBR"/>
        <w:spacing w:before="360" w:after="200"/>
        <w:rPr>
          <w:noProof/>
        </w:rPr>
      </w:pPr>
      <w:r>
        <w:rPr>
          <w:noProof/>
        </w:rPr>
        <w:t>Obr. 8: Stav peněžních prostředků na BÚ jednotlivých ZP k 31. 12. 201</w:t>
      </w:r>
      <w:r w:rsidR="003F3849">
        <w:rPr>
          <w:noProof/>
        </w:rPr>
        <w:t>8</w:t>
      </w:r>
    </w:p>
    <w:p w14:paraId="3314E4D6" w14:textId="2D30FEDD" w:rsidR="003F3849" w:rsidRDefault="00345B8D" w:rsidP="00DA7233">
      <w:pPr>
        <w:pStyle w:val="TABOBR"/>
        <w:spacing w:before="360" w:after="200"/>
        <w:jc w:val="center"/>
        <w:rPr>
          <w:noProof/>
        </w:rPr>
      </w:pPr>
      <w:r>
        <w:rPr>
          <w:noProof/>
        </w:rPr>
        <w:drawing>
          <wp:inline distT="0" distB="0" distL="0" distR="0" wp14:anchorId="4BAE2FAA" wp14:editId="74677342">
            <wp:extent cx="5273749" cy="2333512"/>
            <wp:effectExtent l="0" t="0" r="3175"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3695" cy="2333488"/>
                    </a:xfrm>
                    <a:prstGeom prst="rect">
                      <a:avLst/>
                    </a:prstGeom>
                    <a:noFill/>
                  </pic:spPr>
                </pic:pic>
              </a:graphicData>
            </a:graphic>
          </wp:inline>
        </w:drawing>
      </w:r>
    </w:p>
    <w:p w14:paraId="439BBE62" w14:textId="77777777" w:rsidR="00DA7233" w:rsidRDefault="00DA7233" w:rsidP="00DA7233">
      <w:pPr>
        <w:pStyle w:val="TEXT"/>
      </w:pPr>
    </w:p>
    <w:p w14:paraId="48E38ADF" w14:textId="77777777" w:rsidR="003F3849" w:rsidRDefault="00912300" w:rsidP="00DA7233">
      <w:pPr>
        <w:pStyle w:val="TEXT"/>
      </w:pPr>
      <w:r w:rsidRPr="00DA7233">
        <w:t>S významnými zůstatky VZP ČR souvisí i meziroční změna v rozložení peněžních prostředků na</w:t>
      </w:r>
      <w:r w:rsidR="00A9522C">
        <w:t> </w:t>
      </w:r>
      <w:r w:rsidRPr="00DA7233">
        <w:t>BÚ mezi jednotlivými ZP, kde se zastoupení VZP ČR zvýšilo z</w:t>
      </w:r>
      <w:r w:rsidR="00244101">
        <w:t>e</w:t>
      </w:r>
      <w:r w:rsidRPr="00DA7233">
        <w:t> 49 % v roce 2017 na 55 % v roce 2018.</w:t>
      </w:r>
    </w:p>
    <w:p w14:paraId="5C535B9C" w14:textId="77777777" w:rsidR="00DA7233" w:rsidRDefault="00DA7233" w:rsidP="00DA7233">
      <w:pPr>
        <w:pStyle w:val="TEXT"/>
      </w:pPr>
    </w:p>
    <w:p w14:paraId="04EE5E45" w14:textId="77777777" w:rsidR="00DA7233" w:rsidRDefault="00DA7233" w:rsidP="00DA7233">
      <w:pPr>
        <w:pStyle w:val="TEXT"/>
      </w:pPr>
    </w:p>
    <w:p w14:paraId="47A33470" w14:textId="77777777" w:rsidR="00902FD8" w:rsidRDefault="00902FD8" w:rsidP="006C7011">
      <w:pPr>
        <w:pStyle w:val="TABOBR"/>
        <w:spacing w:before="360" w:after="200"/>
        <w:rPr>
          <w:noProof/>
        </w:rPr>
      </w:pPr>
      <w:r>
        <w:rPr>
          <w:noProof/>
        </w:rPr>
        <w:lastRenderedPageBreak/>
        <w:t>Obr. 9: Rozložení peněžních prostředků na BÚ mezi jednotlivými ZP k 31. 12. 201</w:t>
      </w:r>
      <w:r w:rsidR="003F3849">
        <w:rPr>
          <w:noProof/>
        </w:rPr>
        <w:t>8</w:t>
      </w:r>
    </w:p>
    <w:p w14:paraId="5B1F8F71" w14:textId="0E190EAA" w:rsidR="003F3849" w:rsidRDefault="00345B8D" w:rsidP="003F3849">
      <w:pPr>
        <w:pStyle w:val="TEXTpodTABOBR"/>
      </w:pPr>
      <w:r>
        <w:rPr>
          <w:noProof/>
        </w:rPr>
        <w:drawing>
          <wp:inline distT="0" distB="0" distL="0" distR="0" wp14:anchorId="725439F1" wp14:editId="243FB682">
            <wp:extent cx="4933507" cy="2235691"/>
            <wp:effectExtent l="0" t="0" r="635"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37451" cy="2237478"/>
                    </a:xfrm>
                    <a:prstGeom prst="rect">
                      <a:avLst/>
                    </a:prstGeom>
                    <a:noFill/>
                  </pic:spPr>
                </pic:pic>
              </a:graphicData>
            </a:graphic>
          </wp:inline>
        </w:drawing>
      </w:r>
    </w:p>
    <w:p w14:paraId="64CECB53" w14:textId="4EC7C1CD" w:rsidR="00902FD8" w:rsidRPr="003F33E2" w:rsidRDefault="00902FD8" w:rsidP="00902FD8">
      <w:pPr>
        <w:pStyle w:val="TEXTpodTABOBR"/>
      </w:pPr>
      <w:r w:rsidRPr="00DD279A">
        <w:t xml:space="preserve">V tabulkové příloze </w:t>
      </w:r>
      <w:r w:rsidRPr="00CA6B33">
        <w:rPr>
          <w:i/>
        </w:rPr>
        <w:t>Tabulka č. 1b</w:t>
      </w:r>
      <w:r w:rsidRPr="00CA6B33">
        <w:t>, jsou uvedeny finanční zůstatky na BÚ ZFZP k 31. 12. 201</w:t>
      </w:r>
      <w:r w:rsidR="00912300" w:rsidRPr="00CA6B33">
        <w:t>8</w:t>
      </w:r>
      <w:r w:rsidRPr="00CA6B33">
        <w:t xml:space="preserve">. Dále pak jsou v tabulkové příloze </w:t>
      </w:r>
      <w:r w:rsidRPr="00CA6B33">
        <w:rPr>
          <w:i/>
        </w:rPr>
        <w:t>Tabulka č. 1d</w:t>
      </w:r>
      <w:r w:rsidRPr="00CA6B33">
        <w:t xml:space="preserve"> uvedeny finanční zůstatky na BÚ RF (rezervn</w:t>
      </w:r>
      <w:r w:rsidRPr="00C77C46">
        <w:t>í fond), kde lze vidět u </w:t>
      </w:r>
      <w:r w:rsidR="00DD279A" w:rsidRPr="00DA7233">
        <w:t>OZP</w:t>
      </w:r>
      <w:r w:rsidR="00DD279A" w:rsidRPr="00DD279A">
        <w:t xml:space="preserve"> </w:t>
      </w:r>
      <w:r w:rsidR="00DD279A" w:rsidRPr="00DA7233">
        <w:t>kladný</w:t>
      </w:r>
      <w:r w:rsidR="00DD279A" w:rsidRPr="00DD279A">
        <w:t xml:space="preserve"> </w:t>
      </w:r>
      <w:r w:rsidR="00DD279A" w:rsidRPr="00B141A9">
        <w:t>rozdíl</w:t>
      </w:r>
      <w:r w:rsidRPr="00DD279A">
        <w:t>, což souvisí se zákonnou povinností vyrovnání k 31. 3. následujícího roku.</w:t>
      </w:r>
      <w:r w:rsidRPr="003F33E2">
        <w:t xml:space="preserve"> </w:t>
      </w:r>
    </w:p>
    <w:p w14:paraId="6C5B10DB" w14:textId="465D139C" w:rsidR="00902FD8" w:rsidRDefault="00902FD8" w:rsidP="00902FD8">
      <w:pPr>
        <w:pStyle w:val="TEXT"/>
      </w:pPr>
      <w:r>
        <w:t>Graf (</w:t>
      </w:r>
      <w:r>
        <w:rPr>
          <w:i/>
        </w:rPr>
        <w:t>Obr. 10</w:t>
      </w:r>
      <w:r>
        <w:t>) sleduje v delším časovém horizontu vývoj podílu souhrnných zůstatků na fondech zdravotních pojišťoven k celkovým výdajům</w:t>
      </w:r>
      <w:r w:rsidR="00E21FC5">
        <w:t xml:space="preserve"> systému v.</w:t>
      </w:r>
      <w:r w:rsidR="004A7E39">
        <w:t xml:space="preserve"> </w:t>
      </w:r>
      <w:r w:rsidR="00E21FC5">
        <w:t>z.</w:t>
      </w:r>
      <w:r w:rsidR="004A7E39">
        <w:t xml:space="preserve"> </w:t>
      </w:r>
      <w:proofErr w:type="gramStart"/>
      <w:r w:rsidR="00E21FC5">
        <w:t>p.</w:t>
      </w:r>
      <w:r>
        <w:t>.</w:t>
      </w:r>
      <w:proofErr w:type="gramEnd"/>
      <w:r>
        <w:t xml:space="preserve"> Z vývoje </w:t>
      </w:r>
      <w:r w:rsidR="00E21FC5">
        <w:t xml:space="preserve">od roku </w:t>
      </w:r>
      <w:r>
        <w:t>2016 je patrný růst a</w:t>
      </w:r>
      <w:r w:rsidR="00A9522C">
        <w:t> </w:t>
      </w:r>
      <w:r>
        <w:t xml:space="preserve">zastavení stagnace tohoto ukazatele, avšak je zjevné, že </w:t>
      </w:r>
      <w:r w:rsidR="00E21FC5">
        <w:t xml:space="preserve">ani </w:t>
      </w:r>
      <w:r w:rsidR="007E5F61">
        <w:t>podíl</w:t>
      </w:r>
      <w:r w:rsidR="00E21FC5">
        <w:t xml:space="preserve"> 15,3 % v roce 2018</w:t>
      </w:r>
      <w:r>
        <w:t xml:space="preserve"> </w:t>
      </w:r>
      <w:r w:rsidR="00E21FC5">
        <w:t xml:space="preserve">zatím </w:t>
      </w:r>
      <w:r>
        <w:t>nedosahuj</w:t>
      </w:r>
      <w:r w:rsidR="007E5F61">
        <w:t>e</w:t>
      </w:r>
      <w:r>
        <w:t xml:space="preserve"> předkrizových hodnot.</w:t>
      </w:r>
      <w:r w:rsidR="00CA6B33">
        <w:rPr>
          <w:rStyle w:val="Znakapoznpodarou"/>
        </w:rPr>
        <w:footnoteReference w:id="6"/>
      </w:r>
    </w:p>
    <w:p w14:paraId="7CA29C5D" w14:textId="77777777" w:rsidR="00902FD8" w:rsidRDefault="00902FD8" w:rsidP="00902FD8">
      <w:pPr>
        <w:pStyle w:val="TABOBR"/>
        <w:spacing w:before="360" w:after="200"/>
        <w:rPr>
          <w:noProof/>
        </w:rPr>
      </w:pPr>
      <w:r>
        <w:rPr>
          <w:noProof/>
        </w:rPr>
        <w:t>Obr. 10: Vývoj zůstatků ZP a růstu HDP</w:t>
      </w:r>
    </w:p>
    <w:p w14:paraId="055590E7" w14:textId="77777777" w:rsidR="00E21FC5" w:rsidRDefault="00E21FC5" w:rsidP="00DA7233">
      <w:pPr>
        <w:pStyle w:val="TEXTpodTABOBR"/>
        <w:ind w:firstLine="0"/>
        <w:jc w:val="center"/>
      </w:pPr>
      <w:r>
        <w:rPr>
          <w:noProof/>
        </w:rPr>
        <w:drawing>
          <wp:inline distT="0" distB="0" distL="0" distR="0" wp14:anchorId="583DF99F" wp14:editId="5C9E1F87">
            <wp:extent cx="5770851" cy="2390775"/>
            <wp:effectExtent l="0" t="0" r="1905"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87918" cy="2397845"/>
                    </a:xfrm>
                    <a:prstGeom prst="rect">
                      <a:avLst/>
                    </a:prstGeom>
                    <a:noFill/>
                  </pic:spPr>
                </pic:pic>
              </a:graphicData>
            </a:graphic>
          </wp:inline>
        </w:drawing>
      </w:r>
    </w:p>
    <w:p w14:paraId="3EA49DCC" w14:textId="77777777" w:rsidR="00902FD8" w:rsidRDefault="00902FD8" w:rsidP="00902FD8">
      <w:pPr>
        <w:pStyle w:val="TEXTpodTABOBR"/>
        <w:jc w:val="center"/>
      </w:pPr>
      <w:r>
        <w:br w:type="page"/>
      </w:r>
    </w:p>
    <w:p w14:paraId="4C467792" w14:textId="77777777" w:rsidR="00902FD8" w:rsidRPr="00215E9F" w:rsidRDefault="00902FD8" w:rsidP="00215E9F">
      <w:pPr>
        <w:pStyle w:val="NADPIS"/>
        <w:spacing w:before="240" w:after="120"/>
        <w:rPr>
          <w:rFonts w:ascii="Arial" w:hAnsi="Arial"/>
        </w:rPr>
      </w:pPr>
      <w:r w:rsidRPr="00215E9F">
        <w:rPr>
          <w:rFonts w:ascii="Arial" w:hAnsi="Arial"/>
        </w:rPr>
        <w:lastRenderedPageBreak/>
        <w:t xml:space="preserve">Pojištěnci systému v. z. p. a jiná výdělečná činnost ZP </w:t>
      </w:r>
    </w:p>
    <w:p w14:paraId="4665FB6C" w14:textId="6062AAE4" w:rsidR="00157752" w:rsidRDefault="00902FD8" w:rsidP="00902FD8">
      <w:pPr>
        <w:pStyle w:val="TEXT"/>
      </w:pPr>
      <w:r>
        <w:t>K 31. 12. 201</w:t>
      </w:r>
      <w:r w:rsidR="00FC2743">
        <w:t>8</w:t>
      </w:r>
      <w:r>
        <w:t xml:space="preserve"> bylo evidováno </w:t>
      </w:r>
      <w:r>
        <w:rPr>
          <w:b/>
        </w:rPr>
        <w:t>10,5</w:t>
      </w:r>
      <w:r w:rsidR="00C77C46">
        <w:rPr>
          <w:b/>
        </w:rPr>
        <w:t>1</w:t>
      </w:r>
      <w:r>
        <w:rPr>
          <w:b/>
        </w:rPr>
        <w:t xml:space="preserve"> mil. pojištěnců</w:t>
      </w:r>
      <w:r>
        <w:t>, z toho VZP ČR registrovala 5,</w:t>
      </w:r>
      <w:r w:rsidR="00C77C46">
        <w:t>95</w:t>
      </w:r>
      <w:r w:rsidR="00B141A9">
        <w:t> </w:t>
      </w:r>
      <w:r>
        <w:t>mil.</w:t>
      </w:r>
      <w:r w:rsidR="00B141A9">
        <w:t> </w:t>
      </w:r>
      <w:r>
        <w:t>pojištěnců</w:t>
      </w:r>
      <w:r w:rsidR="007E5F61">
        <w:t>,</w:t>
      </w:r>
      <w:r>
        <w:t xml:space="preserve"> tj. 56,</w:t>
      </w:r>
      <w:r w:rsidR="00C77C46">
        <w:t xml:space="preserve">6 </w:t>
      </w:r>
      <w:r>
        <w:t>% pojištěnců systému v. z. p</w:t>
      </w:r>
      <w:r w:rsidR="00157752">
        <w:t xml:space="preserve">. </w:t>
      </w:r>
    </w:p>
    <w:p w14:paraId="516B40D7" w14:textId="77777777" w:rsidR="00157752" w:rsidRDefault="00157752" w:rsidP="00902FD8">
      <w:pPr>
        <w:pStyle w:val="TEXT"/>
      </w:pPr>
      <w:r>
        <w:t>Nejvýznamnější skupinou mezi pojištěnci systému byli tzv. státní pojištěnci, jejichž c</w:t>
      </w:r>
      <w:r w:rsidRPr="00157752">
        <w:t>elkový průměrný počet dosáhl 5,88 mil. osob</w:t>
      </w:r>
      <w:r>
        <w:t xml:space="preserve"> (tj. 55,9 % všech), oproti roku 2017 došlo k jejich </w:t>
      </w:r>
      <w:r w:rsidR="00F17159">
        <w:t>poklesu o 0,5 </w:t>
      </w:r>
      <w:r>
        <w:t>% (absolutně o přibližně 31 tis. osob</w:t>
      </w:r>
      <w:r w:rsidR="00F17159">
        <w:t xml:space="preserve">). </w:t>
      </w:r>
      <w:r>
        <w:t>Zastoupení této skupiny</w:t>
      </w:r>
      <w:r w:rsidR="00F17159">
        <w:t xml:space="preserve"> je ve všech zdravotních pojišťovnách přibližně shodné.</w:t>
      </w:r>
      <w:r>
        <w:t xml:space="preserve"> </w:t>
      </w:r>
    </w:p>
    <w:p w14:paraId="1AA35372" w14:textId="77777777" w:rsidR="00B27162" w:rsidRDefault="00B27162" w:rsidP="006C7011">
      <w:pPr>
        <w:pStyle w:val="TABOBR0"/>
        <w:spacing w:before="360" w:after="200"/>
      </w:pPr>
      <w:r w:rsidRPr="00D07F10">
        <w:t>Tab</w:t>
      </w:r>
      <w:r>
        <w:t>.</w:t>
      </w:r>
      <w:r w:rsidRPr="00D07F10">
        <w:t xml:space="preserve"> </w:t>
      </w:r>
      <w:r>
        <w:t>7</w:t>
      </w:r>
      <w:r w:rsidRPr="00D07F10">
        <w:t>: Pojištěnci a zaměstnanci systému v. z. p. 2018 dle zdravotních pojišťoven</w:t>
      </w:r>
    </w:p>
    <w:tbl>
      <w:tblPr>
        <w:tblW w:w="9504" w:type="dxa"/>
        <w:jc w:val="center"/>
        <w:tblCellMar>
          <w:left w:w="70" w:type="dxa"/>
          <w:right w:w="70" w:type="dxa"/>
        </w:tblCellMar>
        <w:tblLook w:val="04A0" w:firstRow="1" w:lastRow="0" w:firstColumn="1" w:lastColumn="0" w:noHBand="0" w:noVBand="1"/>
      </w:tblPr>
      <w:tblGrid>
        <w:gridCol w:w="2700"/>
        <w:gridCol w:w="1134"/>
        <w:gridCol w:w="992"/>
        <w:gridCol w:w="1079"/>
        <w:gridCol w:w="840"/>
        <w:gridCol w:w="840"/>
        <w:gridCol w:w="1068"/>
        <w:gridCol w:w="851"/>
      </w:tblGrid>
      <w:tr w:rsidR="00B141A9" w:rsidRPr="00B141A9" w14:paraId="3AAC561F" w14:textId="77777777" w:rsidTr="00B9182D">
        <w:trPr>
          <w:trHeight w:val="315"/>
          <w:jc w:val="center"/>
        </w:trPr>
        <w:tc>
          <w:tcPr>
            <w:tcW w:w="2700" w:type="dxa"/>
            <w:tcBorders>
              <w:top w:val="single" w:sz="12" w:space="0" w:color="4F81BD"/>
              <w:left w:val="single" w:sz="12" w:space="0" w:color="4F81BD"/>
              <w:bottom w:val="nil"/>
              <w:right w:val="nil"/>
            </w:tcBorders>
            <w:shd w:val="clear" w:color="000000" w:fill="4F81BD"/>
            <w:vAlign w:val="center"/>
            <w:hideMark/>
          </w:tcPr>
          <w:p w14:paraId="06C50001" w14:textId="77777777" w:rsidR="00B141A9" w:rsidRPr="00B141A9" w:rsidRDefault="00B141A9" w:rsidP="00B141A9">
            <w:pPr>
              <w:spacing w:after="0" w:line="240" w:lineRule="auto"/>
              <w:rPr>
                <w:rFonts w:ascii="Calibri" w:eastAsia="Times New Roman" w:hAnsi="Calibri" w:cs="Times New Roman CE"/>
                <w:lang w:eastAsia="cs-CZ"/>
              </w:rPr>
            </w:pPr>
            <w:r w:rsidRPr="00B141A9">
              <w:rPr>
                <w:rFonts w:ascii="Calibri" w:eastAsia="Times New Roman" w:hAnsi="Calibri" w:cs="Times New Roman CE"/>
                <w:lang w:eastAsia="cs-CZ"/>
              </w:rPr>
              <w:t> </w:t>
            </w:r>
          </w:p>
        </w:tc>
        <w:tc>
          <w:tcPr>
            <w:tcW w:w="1134" w:type="dxa"/>
            <w:vMerge w:val="restart"/>
            <w:tcBorders>
              <w:top w:val="single" w:sz="12" w:space="0" w:color="4F81BD"/>
              <w:left w:val="nil"/>
              <w:bottom w:val="nil"/>
              <w:right w:val="nil"/>
            </w:tcBorders>
            <w:shd w:val="clear" w:color="000000" w:fill="6691C6"/>
            <w:noWrap/>
            <w:vAlign w:val="center"/>
            <w:hideMark/>
          </w:tcPr>
          <w:p w14:paraId="4E9DD3B2" w14:textId="77777777" w:rsidR="00B141A9" w:rsidRPr="00B141A9" w:rsidRDefault="00B141A9" w:rsidP="00B141A9">
            <w:pPr>
              <w:spacing w:after="0" w:line="240" w:lineRule="auto"/>
              <w:jc w:val="center"/>
              <w:rPr>
                <w:rFonts w:ascii="Calibri" w:eastAsia="Times New Roman" w:hAnsi="Calibri" w:cs="Times New Roman CE"/>
                <w:b/>
                <w:bCs/>
                <w:color w:val="FFFFFF"/>
                <w:sz w:val="21"/>
                <w:szCs w:val="21"/>
                <w:lang w:eastAsia="cs-CZ"/>
              </w:rPr>
            </w:pPr>
            <w:r w:rsidRPr="00B141A9">
              <w:rPr>
                <w:rFonts w:ascii="Calibri" w:eastAsia="Times New Roman" w:hAnsi="Calibri" w:cs="Times New Roman CE"/>
                <w:b/>
                <w:bCs/>
                <w:color w:val="FFFFFF"/>
                <w:sz w:val="21"/>
                <w:szCs w:val="21"/>
                <w:lang w:eastAsia="cs-CZ"/>
              </w:rPr>
              <w:t>VZP ČR</w:t>
            </w:r>
          </w:p>
        </w:tc>
        <w:tc>
          <w:tcPr>
            <w:tcW w:w="992" w:type="dxa"/>
            <w:vMerge w:val="restart"/>
            <w:tcBorders>
              <w:top w:val="single" w:sz="12" w:space="0" w:color="4F81BD"/>
              <w:left w:val="nil"/>
              <w:bottom w:val="nil"/>
              <w:right w:val="nil"/>
            </w:tcBorders>
            <w:shd w:val="clear" w:color="000000" w:fill="4F81BD"/>
            <w:noWrap/>
            <w:vAlign w:val="center"/>
            <w:hideMark/>
          </w:tcPr>
          <w:p w14:paraId="17CF2963" w14:textId="77777777" w:rsidR="00B141A9" w:rsidRPr="00B141A9" w:rsidRDefault="00B141A9" w:rsidP="00B141A9">
            <w:pPr>
              <w:spacing w:after="0" w:line="240" w:lineRule="auto"/>
              <w:jc w:val="center"/>
              <w:rPr>
                <w:rFonts w:ascii="Calibri" w:eastAsia="Times New Roman" w:hAnsi="Calibri" w:cs="Times New Roman CE"/>
                <w:b/>
                <w:bCs/>
                <w:color w:val="FFFFFF"/>
                <w:sz w:val="21"/>
                <w:szCs w:val="21"/>
                <w:lang w:eastAsia="cs-CZ"/>
              </w:rPr>
            </w:pPr>
            <w:proofErr w:type="spellStart"/>
            <w:r w:rsidRPr="00B141A9">
              <w:rPr>
                <w:rFonts w:ascii="Calibri" w:eastAsia="Times New Roman" w:hAnsi="Calibri" w:cs="Times New Roman CE"/>
                <w:b/>
                <w:bCs/>
                <w:color w:val="FFFFFF"/>
                <w:sz w:val="21"/>
                <w:szCs w:val="21"/>
                <w:lang w:eastAsia="cs-CZ"/>
              </w:rPr>
              <w:t>VoZP</w:t>
            </w:r>
            <w:proofErr w:type="spellEnd"/>
            <w:r w:rsidRPr="00B141A9">
              <w:rPr>
                <w:rFonts w:ascii="Calibri" w:eastAsia="Times New Roman" w:hAnsi="Calibri" w:cs="Times New Roman CE"/>
                <w:b/>
                <w:bCs/>
                <w:color w:val="FFFFFF"/>
                <w:sz w:val="21"/>
                <w:szCs w:val="21"/>
                <w:lang w:eastAsia="cs-CZ"/>
              </w:rPr>
              <w:t xml:space="preserve"> ČR</w:t>
            </w:r>
          </w:p>
        </w:tc>
        <w:tc>
          <w:tcPr>
            <w:tcW w:w="1079" w:type="dxa"/>
            <w:vMerge w:val="restart"/>
            <w:tcBorders>
              <w:top w:val="single" w:sz="12" w:space="0" w:color="4F81BD"/>
              <w:left w:val="nil"/>
              <w:bottom w:val="nil"/>
              <w:right w:val="nil"/>
            </w:tcBorders>
            <w:shd w:val="clear" w:color="000000" w:fill="6691C6"/>
            <w:noWrap/>
            <w:vAlign w:val="center"/>
            <w:hideMark/>
          </w:tcPr>
          <w:p w14:paraId="017366A7" w14:textId="77777777" w:rsidR="00B141A9" w:rsidRPr="00B141A9" w:rsidRDefault="00B141A9" w:rsidP="00B141A9">
            <w:pPr>
              <w:spacing w:after="0" w:line="240" w:lineRule="auto"/>
              <w:jc w:val="center"/>
              <w:rPr>
                <w:rFonts w:ascii="Calibri" w:eastAsia="Times New Roman" w:hAnsi="Calibri" w:cs="Times New Roman CE"/>
                <w:b/>
                <w:bCs/>
                <w:color w:val="FFFFFF"/>
                <w:sz w:val="21"/>
                <w:szCs w:val="21"/>
                <w:lang w:eastAsia="cs-CZ"/>
              </w:rPr>
            </w:pPr>
            <w:r w:rsidRPr="00B141A9">
              <w:rPr>
                <w:rFonts w:ascii="Calibri" w:eastAsia="Times New Roman" w:hAnsi="Calibri" w:cs="Times New Roman CE"/>
                <w:b/>
                <w:bCs/>
                <w:color w:val="FFFFFF"/>
                <w:sz w:val="21"/>
                <w:szCs w:val="21"/>
                <w:lang w:eastAsia="cs-CZ"/>
              </w:rPr>
              <w:t>ČPZP</w:t>
            </w:r>
          </w:p>
        </w:tc>
        <w:tc>
          <w:tcPr>
            <w:tcW w:w="840" w:type="dxa"/>
            <w:vMerge w:val="restart"/>
            <w:tcBorders>
              <w:top w:val="single" w:sz="12" w:space="0" w:color="4F81BD"/>
              <w:left w:val="nil"/>
              <w:bottom w:val="nil"/>
              <w:right w:val="nil"/>
            </w:tcBorders>
            <w:shd w:val="clear" w:color="000000" w:fill="4F81BD"/>
            <w:vAlign w:val="center"/>
            <w:hideMark/>
          </w:tcPr>
          <w:p w14:paraId="4335C42C" w14:textId="77777777" w:rsidR="00B141A9" w:rsidRPr="00B141A9" w:rsidRDefault="00B141A9" w:rsidP="00B141A9">
            <w:pPr>
              <w:spacing w:after="0" w:line="240" w:lineRule="auto"/>
              <w:jc w:val="center"/>
              <w:rPr>
                <w:rFonts w:ascii="Calibri" w:eastAsia="Times New Roman" w:hAnsi="Calibri" w:cs="Times New Roman CE"/>
                <w:b/>
                <w:bCs/>
                <w:color w:val="FFFFFF"/>
                <w:sz w:val="21"/>
                <w:szCs w:val="21"/>
                <w:lang w:eastAsia="cs-CZ"/>
              </w:rPr>
            </w:pPr>
            <w:r w:rsidRPr="00B141A9">
              <w:rPr>
                <w:rFonts w:ascii="Calibri" w:eastAsia="Times New Roman" w:hAnsi="Calibri" w:cs="Times New Roman CE"/>
                <w:b/>
                <w:bCs/>
                <w:color w:val="FFFFFF"/>
                <w:sz w:val="21"/>
                <w:szCs w:val="21"/>
                <w:lang w:eastAsia="cs-CZ"/>
              </w:rPr>
              <w:t>OZP</w:t>
            </w:r>
          </w:p>
        </w:tc>
        <w:tc>
          <w:tcPr>
            <w:tcW w:w="840" w:type="dxa"/>
            <w:vMerge w:val="restart"/>
            <w:tcBorders>
              <w:top w:val="single" w:sz="12" w:space="0" w:color="4F81BD"/>
              <w:left w:val="nil"/>
              <w:bottom w:val="nil"/>
              <w:right w:val="nil"/>
            </w:tcBorders>
            <w:shd w:val="clear" w:color="000000" w:fill="6691C6"/>
            <w:vAlign w:val="center"/>
            <w:hideMark/>
          </w:tcPr>
          <w:p w14:paraId="00B3ABF9" w14:textId="77777777" w:rsidR="00B141A9" w:rsidRPr="00B141A9" w:rsidRDefault="00B141A9" w:rsidP="00B141A9">
            <w:pPr>
              <w:spacing w:after="0" w:line="240" w:lineRule="auto"/>
              <w:jc w:val="center"/>
              <w:rPr>
                <w:rFonts w:ascii="Calibri" w:eastAsia="Times New Roman" w:hAnsi="Calibri" w:cs="Times New Roman CE"/>
                <w:b/>
                <w:bCs/>
                <w:color w:val="FFFFFF"/>
                <w:sz w:val="21"/>
                <w:szCs w:val="21"/>
                <w:lang w:eastAsia="cs-CZ"/>
              </w:rPr>
            </w:pPr>
            <w:r w:rsidRPr="00B141A9">
              <w:rPr>
                <w:rFonts w:ascii="Calibri" w:eastAsia="Times New Roman" w:hAnsi="Calibri" w:cs="Times New Roman CE"/>
                <w:b/>
                <w:bCs/>
                <w:color w:val="FFFFFF"/>
                <w:sz w:val="21"/>
                <w:szCs w:val="21"/>
                <w:lang w:eastAsia="cs-CZ"/>
              </w:rPr>
              <w:t>ZPŠ</w:t>
            </w:r>
          </w:p>
        </w:tc>
        <w:tc>
          <w:tcPr>
            <w:tcW w:w="1068" w:type="dxa"/>
            <w:vMerge w:val="restart"/>
            <w:tcBorders>
              <w:top w:val="single" w:sz="12" w:space="0" w:color="4F81BD"/>
              <w:left w:val="nil"/>
              <w:bottom w:val="nil"/>
              <w:right w:val="nil"/>
            </w:tcBorders>
            <w:shd w:val="clear" w:color="000000" w:fill="4F81BD"/>
            <w:vAlign w:val="center"/>
            <w:hideMark/>
          </w:tcPr>
          <w:p w14:paraId="07D92230" w14:textId="13363065" w:rsidR="00B141A9" w:rsidRPr="00B141A9" w:rsidRDefault="00B141A9" w:rsidP="00B141A9">
            <w:pPr>
              <w:spacing w:after="0" w:line="240" w:lineRule="auto"/>
              <w:jc w:val="center"/>
              <w:rPr>
                <w:rFonts w:ascii="Calibri" w:eastAsia="Times New Roman" w:hAnsi="Calibri" w:cs="Times New Roman CE"/>
                <w:b/>
                <w:bCs/>
                <w:color w:val="FFFFFF"/>
                <w:sz w:val="21"/>
                <w:szCs w:val="21"/>
                <w:lang w:eastAsia="cs-CZ"/>
              </w:rPr>
            </w:pPr>
            <w:r w:rsidRPr="00B141A9">
              <w:rPr>
                <w:rFonts w:ascii="Calibri" w:eastAsia="Times New Roman" w:hAnsi="Calibri" w:cs="Times New Roman CE"/>
                <w:b/>
                <w:bCs/>
                <w:color w:val="FFFFFF"/>
                <w:sz w:val="21"/>
                <w:szCs w:val="21"/>
                <w:lang w:eastAsia="cs-CZ"/>
              </w:rPr>
              <w:t>ZP</w:t>
            </w:r>
            <w:r w:rsidR="003862B4">
              <w:rPr>
                <w:rFonts w:ascii="Calibri" w:eastAsia="Times New Roman" w:hAnsi="Calibri" w:cs="Times New Roman CE"/>
                <w:b/>
                <w:bCs/>
                <w:color w:val="FFFFFF"/>
                <w:sz w:val="21"/>
                <w:szCs w:val="21"/>
                <w:lang w:eastAsia="cs-CZ"/>
              </w:rPr>
              <w:t xml:space="preserve"> </w:t>
            </w:r>
            <w:r w:rsidRPr="00B141A9">
              <w:rPr>
                <w:rFonts w:ascii="Calibri" w:eastAsia="Times New Roman" w:hAnsi="Calibri" w:cs="Times New Roman CE"/>
                <w:b/>
                <w:bCs/>
                <w:color w:val="FFFFFF"/>
                <w:sz w:val="21"/>
                <w:szCs w:val="21"/>
                <w:lang w:eastAsia="cs-CZ"/>
              </w:rPr>
              <w:t>MV ČR</w:t>
            </w:r>
          </w:p>
        </w:tc>
        <w:tc>
          <w:tcPr>
            <w:tcW w:w="851" w:type="dxa"/>
            <w:vMerge w:val="restart"/>
            <w:tcBorders>
              <w:top w:val="single" w:sz="12" w:space="0" w:color="4F81BD"/>
              <w:left w:val="nil"/>
              <w:bottom w:val="nil"/>
              <w:right w:val="single" w:sz="12" w:space="0" w:color="4F81BD"/>
            </w:tcBorders>
            <w:shd w:val="clear" w:color="000000" w:fill="6691C6"/>
            <w:vAlign w:val="center"/>
            <w:hideMark/>
          </w:tcPr>
          <w:p w14:paraId="30013DCB" w14:textId="77777777" w:rsidR="00B141A9" w:rsidRPr="00B141A9" w:rsidRDefault="00B141A9" w:rsidP="00B141A9">
            <w:pPr>
              <w:spacing w:after="0" w:line="240" w:lineRule="auto"/>
              <w:jc w:val="center"/>
              <w:rPr>
                <w:rFonts w:ascii="Calibri" w:eastAsia="Times New Roman" w:hAnsi="Calibri" w:cs="Times New Roman CE"/>
                <w:b/>
                <w:bCs/>
                <w:color w:val="FFFFFF"/>
                <w:sz w:val="21"/>
                <w:szCs w:val="21"/>
                <w:lang w:eastAsia="cs-CZ"/>
              </w:rPr>
            </w:pPr>
            <w:r w:rsidRPr="00B141A9">
              <w:rPr>
                <w:rFonts w:ascii="Calibri" w:eastAsia="Times New Roman" w:hAnsi="Calibri" w:cs="Times New Roman CE"/>
                <w:b/>
                <w:bCs/>
                <w:color w:val="FFFFFF"/>
                <w:sz w:val="21"/>
                <w:szCs w:val="21"/>
                <w:lang w:eastAsia="cs-CZ"/>
              </w:rPr>
              <w:t>RBP</w:t>
            </w:r>
          </w:p>
        </w:tc>
      </w:tr>
      <w:tr w:rsidR="00B141A9" w:rsidRPr="00B141A9" w14:paraId="2FC030A0" w14:textId="77777777" w:rsidTr="00B9182D">
        <w:trPr>
          <w:trHeight w:val="855"/>
          <w:jc w:val="center"/>
        </w:trPr>
        <w:tc>
          <w:tcPr>
            <w:tcW w:w="2700" w:type="dxa"/>
            <w:tcBorders>
              <w:top w:val="nil"/>
              <w:left w:val="single" w:sz="12" w:space="0" w:color="4F81BD"/>
              <w:bottom w:val="nil"/>
              <w:right w:val="nil"/>
            </w:tcBorders>
            <w:shd w:val="clear" w:color="000000" w:fill="4F81BD"/>
            <w:vAlign w:val="center"/>
            <w:hideMark/>
          </w:tcPr>
          <w:p w14:paraId="0070BC65" w14:textId="77777777" w:rsidR="00B141A9" w:rsidRPr="00B141A9" w:rsidRDefault="00B141A9" w:rsidP="00B141A9">
            <w:pPr>
              <w:spacing w:after="0" w:line="240" w:lineRule="auto"/>
              <w:rPr>
                <w:rFonts w:ascii="Calibri" w:eastAsia="Times New Roman" w:hAnsi="Calibri" w:cs="Times New Roman CE"/>
                <w:b/>
                <w:bCs/>
                <w:i/>
                <w:iCs/>
                <w:color w:val="FFFFFF"/>
                <w:sz w:val="21"/>
                <w:szCs w:val="21"/>
                <w:lang w:eastAsia="cs-CZ"/>
              </w:rPr>
            </w:pPr>
            <w:r w:rsidRPr="00B141A9">
              <w:rPr>
                <w:rFonts w:ascii="Calibri" w:eastAsia="Times New Roman" w:hAnsi="Calibri" w:cs="Times New Roman CE"/>
                <w:b/>
                <w:bCs/>
                <w:i/>
                <w:iCs/>
                <w:color w:val="FFFFFF"/>
                <w:sz w:val="21"/>
                <w:szCs w:val="21"/>
                <w:lang w:eastAsia="cs-CZ"/>
              </w:rPr>
              <w:t xml:space="preserve">průměrný počet </w:t>
            </w:r>
          </w:p>
        </w:tc>
        <w:tc>
          <w:tcPr>
            <w:tcW w:w="1134" w:type="dxa"/>
            <w:vMerge/>
            <w:tcBorders>
              <w:top w:val="single" w:sz="12" w:space="0" w:color="4F81BD"/>
              <w:left w:val="nil"/>
              <w:bottom w:val="nil"/>
              <w:right w:val="nil"/>
            </w:tcBorders>
            <w:vAlign w:val="center"/>
            <w:hideMark/>
          </w:tcPr>
          <w:p w14:paraId="7FF8114E" w14:textId="77777777" w:rsidR="00B141A9" w:rsidRPr="00B141A9" w:rsidRDefault="00B141A9" w:rsidP="00B141A9">
            <w:pPr>
              <w:spacing w:after="0" w:line="240" w:lineRule="auto"/>
              <w:rPr>
                <w:rFonts w:ascii="Calibri" w:eastAsia="Times New Roman" w:hAnsi="Calibri" w:cs="Times New Roman CE"/>
                <w:b/>
                <w:bCs/>
                <w:color w:val="FFFFFF"/>
                <w:sz w:val="21"/>
                <w:szCs w:val="21"/>
                <w:lang w:eastAsia="cs-CZ"/>
              </w:rPr>
            </w:pPr>
          </w:p>
        </w:tc>
        <w:tc>
          <w:tcPr>
            <w:tcW w:w="992" w:type="dxa"/>
            <w:vMerge/>
            <w:tcBorders>
              <w:top w:val="single" w:sz="12" w:space="0" w:color="4F81BD"/>
              <w:left w:val="nil"/>
              <w:bottom w:val="nil"/>
              <w:right w:val="nil"/>
            </w:tcBorders>
            <w:vAlign w:val="center"/>
            <w:hideMark/>
          </w:tcPr>
          <w:p w14:paraId="6ABCDA64" w14:textId="77777777" w:rsidR="00B141A9" w:rsidRPr="00B141A9" w:rsidRDefault="00B141A9" w:rsidP="00B141A9">
            <w:pPr>
              <w:spacing w:after="0" w:line="240" w:lineRule="auto"/>
              <w:rPr>
                <w:rFonts w:ascii="Calibri" w:eastAsia="Times New Roman" w:hAnsi="Calibri" w:cs="Times New Roman CE"/>
                <w:b/>
                <w:bCs/>
                <w:color w:val="FFFFFF"/>
                <w:sz w:val="21"/>
                <w:szCs w:val="21"/>
                <w:lang w:eastAsia="cs-CZ"/>
              </w:rPr>
            </w:pPr>
          </w:p>
        </w:tc>
        <w:tc>
          <w:tcPr>
            <w:tcW w:w="1079" w:type="dxa"/>
            <w:vMerge/>
            <w:tcBorders>
              <w:top w:val="single" w:sz="12" w:space="0" w:color="4F81BD"/>
              <w:left w:val="nil"/>
              <w:bottom w:val="nil"/>
              <w:right w:val="nil"/>
            </w:tcBorders>
            <w:vAlign w:val="center"/>
            <w:hideMark/>
          </w:tcPr>
          <w:p w14:paraId="6A1319D9" w14:textId="77777777" w:rsidR="00B141A9" w:rsidRPr="00B141A9" w:rsidRDefault="00B141A9" w:rsidP="00B141A9">
            <w:pPr>
              <w:spacing w:after="0" w:line="240" w:lineRule="auto"/>
              <w:rPr>
                <w:rFonts w:ascii="Calibri" w:eastAsia="Times New Roman" w:hAnsi="Calibri" w:cs="Times New Roman CE"/>
                <w:b/>
                <w:bCs/>
                <w:color w:val="FFFFFF"/>
                <w:sz w:val="21"/>
                <w:szCs w:val="21"/>
                <w:lang w:eastAsia="cs-CZ"/>
              </w:rPr>
            </w:pPr>
          </w:p>
        </w:tc>
        <w:tc>
          <w:tcPr>
            <w:tcW w:w="840" w:type="dxa"/>
            <w:vMerge/>
            <w:tcBorders>
              <w:top w:val="single" w:sz="12" w:space="0" w:color="4F81BD"/>
              <w:left w:val="nil"/>
              <w:bottom w:val="nil"/>
              <w:right w:val="nil"/>
            </w:tcBorders>
            <w:vAlign w:val="center"/>
            <w:hideMark/>
          </w:tcPr>
          <w:p w14:paraId="79D38CC5" w14:textId="77777777" w:rsidR="00B141A9" w:rsidRPr="00B141A9" w:rsidRDefault="00B141A9" w:rsidP="00B141A9">
            <w:pPr>
              <w:spacing w:after="0" w:line="240" w:lineRule="auto"/>
              <w:rPr>
                <w:rFonts w:ascii="Calibri" w:eastAsia="Times New Roman" w:hAnsi="Calibri" w:cs="Times New Roman CE"/>
                <w:b/>
                <w:bCs/>
                <w:color w:val="FFFFFF"/>
                <w:sz w:val="21"/>
                <w:szCs w:val="21"/>
                <w:lang w:eastAsia="cs-CZ"/>
              </w:rPr>
            </w:pPr>
          </w:p>
        </w:tc>
        <w:tc>
          <w:tcPr>
            <w:tcW w:w="840" w:type="dxa"/>
            <w:vMerge/>
            <w:tcBorders>
              <w:top w:val="single" w:sz="12" w:space="0" w:color="4F81BD"/>
              <w:left w:val="nil"/>
              <w:bottom w:val="nil"/>
              <w:right w:val="nil"/>
            </w:tcBorders>
            <w:vAlign w:val="center"/>
            <w:hideMark/>
          </w:tcPr>
          <w:p w14:paraId="43CC53D5" w14:textId="77777777" w:rsidR="00B141A9" w:rsidRPr="00B141A9" w:rsidRDefault="00B141A9" w:rsidP="00B141A9">
            <w:pPr>
              <w:spacing w:after="0" w:line="240" w:lineRule="auto"/>
              <w:rPr>
                <w:rFonts w:ascii="Calibri" w:eastAsia="Times New Roman" w:hAnsi="Calibri" w:cs="Times New Roman CE"/>
                <w:b/>
                <w:bCs/>
                <w:color w:val="FFFFFF"/>
                <w:sz w:val="21"/>
                <w:szCs w:val="21"/>
                <w:lang w:eastAsia="cs-CZ"/>
              </w:rPr>
            </w:pPr>
          </w:p>
        </w:tc>
        <w:tc>
          <w:tcPr>
            <w:tcW w:w="1068" w:type="dxa"/>
            <w:vMerge/>
            <w:tcBorders>
              <w:top w:val="single" w:sz="12" w:space="0" w:color="4F81BD"/>
              <w:left w:val="nil"/>
              <w:bottom w:val="nil"/>
              <w:right w:val="nil"/>
            </w:tcBorders>
            <w:vAlign w:val="center"/>
            <w:hideMark/>
          </w:tcPr>
          <w:p w14:paraId="10B8EC5F" w14:textId="77777777" w:rsidR="00B141A9" w:rsidRPr="00B141A9" w:rsidRDefault="00B141A9" w:rsidP="00B141A9">
            <w:pPr>
              <w:spacing w:after="0" w:line="240" w:lineRule="auto"/>
              <w:rPr>
                <w:rFonts w:ascii="Calibri" w:eastAsia="Times New Roman" w:hAnsi="Calibri" w:cs="Times New Roman CE"/>
                <w:b/>
                <w:bCs/>
                <w:color w:val="FFFFFF"/>
                <w:sz w:val="21"/>
                <w:szCs w:val="21"/>
                <w:lang w:eastAsia="cs-CZ"/>
              </w:rPr>
            </w:pPr>
          </w:p>
        </w:tc>
        <w:tc>
          <w:tcPr>
            <w:tcW w:w="851" w:type="dxa"/>
            <w:vMerge/>
            <w:tcBorders>
              <w:top w:val="single" w:sz="12" w:space="0" w:color="4F81BD"/>
              <w:left w:val="nil"/>
              <w:bottom w:val="nil"/>
              <w:right w:val="single" w:sz="12" w:space="0" w:color="4F81BD"/>
            </w:tcBorders>
            <w:vAlign w:val="center"/>
            <w:hideMark/>
          </w:tcPr>
          <w:p w14:paraId="2150B1C2" w14:textId="77777777" w:rsidR="00B141A9" w:rsidRPr="00B141A9" w:rsidRDefault="00B141A9" w:rsidP="00B141A9">
            <w:pPr>
              <w:spacing w:after="0" w:line="240" w:lineRule="auto"/>
              <w:rPr>
                <w:rFonts w:ascii="Calibri" w:eastAsia="Times New Roman" w:hAnsi="Calibri" w:cs="Times New Roman CE"/>
                <w:b/>
                <w:bCs/>
                <w:color w:val="FFFFFF"/>
                <w:sz w:val="21"/>
                <w:szCs w:val="21"/>
                <w:lang w:eastAsia="cs-CZ"/>
              </w:rPr>
            </w:pPr>
          </w:p>
        </w:tc>
      </w:tr>
      <w:tr w:rsidR="00B141A9" w:rsidRPr="00B141A9" w14:paraId="58B9823B" w14:textId="77777777" w:rsidTr="00B9182D">
        <w:trPr>
          <w:trHeight w:val="285"/>
          <w:jc w:val="center"/>
        </w:trPr>
        <w:tc>
          <w:tcPr>
            <w:tcW w:w="2700" w:type="dxa"/>
            <w:tcBorders>
              <w:top w:val="nil"/>
              <w:left w:val="single" w:sz="12" w:space="0" w:color="4F81BD"/>
              <w:bottom w:val="nil"/>
              <w:right w:val="nil"/>
            </w:tcBorders>
            <w:shd w:val="clear" w:color="auto" w:fill="auto"/>
            <w:vAlign w:val="center"/>
            <w:hideMark/>
          </w:tcPr>
          <w:p w14:paraId="7B163919" w14:textId="77777777" w:rsidR="00B141A9" w:rsidRPr="00B141A9" w:rsidRDefault="00B141A9" w:rsidP="00B141A9">
            <w:pPr>
              <w:spacing w:after="0" w:line="240" w:lineRule="auto"/>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pojištěnců</w:t>
            </w:r>
          </w:p>
        </w:tc>
        <w:tc>
          <w:tcPr>
            <w:tcW w:w="1134" w:type="dxa"/>
            <w:tcBorders>
              <w:top w:val="nil"/>
              <w:left w:val="nil"/>
              <w:bottom w:val="nil"/>
              <w:right w:val="nil"/>
            </w:tcBorders>
            <w:shd w:val="clear" w:color="000000" w:fill="DCE6F1"/>
            <w:noWrap/>
            <w:vAlign w:val="center"/>
            <w:hideMark/>
          </w:tcPr>
          <w:p w14:paraId="1E995F28"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5 945 220</w:t>
            </w:r>
          </w:p>
        </w:tc>
        <w:tc>
          <w:tcPr>
            <w:tcW w:w="992" w:type="dxa"/>
            <w:tcBorders>
              <w:top w:val="nil"/>
              <w:left w:val="nil"/>
              <w:bottom w:val="nil"/>
              <w:right w:val="nil"/>
            </w:tcBorders>
            <w:shd w:val="clear" w:color="auto" w:fill="auto"/>
            <w:noWrap/>
            <w:vAlign w:val="center"/>
            <w:hideMark/>
          </w:tcPr>
          <w:p w14:paraId="7CE44ABC"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700 479</w:t>
            </w:r>
          </w:p>
        </w:tc>
        <w:tc>
          <w:tcPr>
            <w:tcW w:w="1079" w:type="dxa"/>
            <w:tcBorders>
              <w:top w:val="nil"/>
              <w:left w:val="nil"/>
              <w:bottom w:val="nil"/>
              <w:right w:val="nil"/>
            </w:tcBorders>
            <w:shd w:val="clear" w:color="000000" w:fill="DCE6F1"/>
            <w:noWrap/>
            <w:vAlign w:val="center"/>
            <w:hideMark/>
          </w:tcPr>
          <w:p w14:paraId="5D13F9E4"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1 251 035</w:t>
            </w:r>
          </w:p>
        </w:tc>
        <w:tc>
          <w:tcPr>
            <w:tcW w:w="840" w:type="dxa"/>
            <w:tcBorders>
              <w:top w:val="nil"/>
              <w:left w:val="nil"/>
              <w:bottom w:val="nil"/>
              <w:right w:val="nil"/>
            </w:tcBorders>
            <w:shd w:val="clear" w:color="auto" w:fill="auto"/>
            <w:noWrap/>
            <w:vAlign w:val="center"/>
            <w:hideMark/>
          </w:tcPr>
          <w:p w14:paraId="626699BC"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732 007</w:t>
            </w:r>
          </w:p>
        </w:tc>
        <w:tc>
          <w:tcPr>
            <w:tcW w:w="840" w:type="dxa"/>
            <w:tcBorders>
              <w:top w:val="nil"/>
              <w:left w:val="nil"/>
              <w:bottom w:val="nil"/>
              <w:right w:val="nil"/>
            </w:tcBorders>
            <w:shd w:val="clear" w:color="000000" w:fill="DCE6F1"/>
            <w:noWrap/>
            <w:vAlign w:val="center"/>
            <w:hideMark/>
          </w:tcPr>
          <w:p w14:paraId="1524AF72"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143 795</w:t>
            </w:r>
          </w:p>
        </w:tc>
        <w:tc>
          <w:tcPr>
            <w:tcW w:w="1068" w:type="dxa"/>
            <w:tcBorders>
              <w:top w:val="nil"/>
              <w:left w:val="nil"/>
              <w:bottom w:val="nil"/>
              <w:right w:val="nil"/>
            </w:tcBorders>
            <w:shd w:val="clear" w:color="auto" w:fill="auto"/>
            <w:noWrap/>
            <w:vAlign w:val="center"/>
            <w:hideMark/>
          </w:tcPr>
          <w:p w14:paraId="3B6B5C57"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1 307 667</w:t>
            </w:r>
          </w:p>
        </w:tc>
        <w:tc>
          <w:tcPr>
            <w:tcW w:w="851" w:type="dxa"/>
            <w:tcBorders>
              <w:top w:val="nil"/>
              <w:left w:val="nil"/>
              <w:bottom w:val="nil"/>
              <w:right w:val="single" w:sz="12" w:space="0" w:color="4F81BD"/>
            </w:tcBorders>
            <w:shd w:val="clear" w:color="000000" w:fill="DCE6F1"/>
            <w:noWrap/>
            <w:vAlign w:val="center"/>
            <w:hideMark/>
          </w:tcPr>
          <w:p w14:paraId="20C24ABA"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429 283</w:t>
            </w:r>
          </w:p>
        </w:tc>
      </w:tr>
      <w:tr w:rsidR="00B141A9" w:rsidRPr="00B141A9" w14:paraId="41CC4636" w14:textId="77777777" w:rsidTr="00B9182D">
        <w:trPr>
          <w:trHeight w:val="285"/>
          <w:jc w:val="center"/>
        </w:trPr>
        <w:tc>
          <w:tcPr>
            <w:tcW w:w="2700" w:type="dxa"/>
            <w:tcBorders>
              <w:top w:val="nil"/>
              <w:left w:val="single" w:sz="12" w:space="0" w:color="4F81BD"/>
              <w:bottom w:val="nil"/>
              <w:right w:val="nil"/>
            </w:tcBorders>
            <w:shd w:val="clear" w:color="000000" w:fill="EEF3F8"/>
            <w:vAlign w:val="center"/>
            <w:hideMark/>
          </w:tcPr>
          <w:p w14:paraId="5FC60845" w14:textId="77777777" w:rsidR="00B141A9" w:rsidRPr="00B141A9" w:rsidRDefault="00B141A9" w:rsidP="00B141A9">
            <w:pPr>
              <w:spacing w:after="0" w:line="240" w:lineRule="auto"/>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z toho státem hrazených</w:t>
            </w:r>
          </w:p>
        </w:tc>
        <w:tc>
          <w:tcPr>
            <w:tcW w:w="1134" w:type="dxa"/>
            <w:tcBorders>
              <w:top w:val="nil"/>
              <w:left w:val="nil"/>
              <w:bottom w:val="nil"/>
              <w:right w:val="nil"/>
            </w:tcBorders>
            <w:shd w:val="clear" w:color="000000" w:fill="EEF3F8"/>
            <w:noWrap/>
            <w:vAlign w:val="center"/>
            <w:hideMark/>
          </w:tcPr>
          <w:p w14:paraId="4B381C0D"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3 354 173</w:t>
            </w:r>
          </w:p>
        </w:tc>
        <w:tc>
          <w:tcPr>
            <w:tcW w:w="992" w:type="dxa"/>
            <w:tcBorders>
              <w:top w:val="nil"/>
              <w:left w:val="nil"/>
              <w:bottom w:val="nil"/>
              <w:right w:val="nil"/>
            </w:tcBorders>
            <w:shd w:val="clear" w:color="000000" w:fill="EEF3F8"/>
            <w:noWrap/>
            <w:vAlign w:val="center"/>
            <w:hideMark/>
          </w:tcPr>
          <w:p w14:paraId="42990886"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369 830</w:t>
            </w:r>
          </w:p>
        </w:tc>
        <w:tc>
          <w:tcPr>
            <w:tcW w:w="1079" w:type="dxa"/>
            <w:tcBorders>
              <w:top w:val="nil"/>
              <w:left w:val="nil"/>
              <w:bottom w:val="nil"/>
              <w:right w:val="nil"/>
            </w:tcBorders>
            <w:shd w:val="clear" w:color="000000" w:fill="EEF3F8"/>
            <w:noWrap/>
            <w:vAlign w:val="center"/>
            <w:hideMark/>
          </w:tcPr>
          <w:p w14:paraId="03E8C271"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709 557</w:t>
            </w:r>
          </w:p>
        </w:tc>
        <w:tc>
          <w:tcPr>
            <w:tcW w:w="840" w:type="dxa"/>
            <w:tcBorders>
              <w:top w:val="nil"/>
              <w:left w:val="nil"/>
              <w:bottom w:val="nil"/>
              <w:right w:val="nil"/>
            </w:tcBorders>
            <w:shd w:val="clear" w:color="000000" w:fill="EEF3F8"/>
            <w:noWrap/>
            <w:vAlign w:val="center"/>
            <w:hideMark/>
          </w:tcPr>
          <w:p w14:paraId="137820A7"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409 347</w:t>
            </w:r>
          </w:p>
        </w:tc>
        <w:tc>
          <w:tcPr>
            <w:tcW w:w="840" w:type="dxa"/>
            <w:tcBorders>
              <w:top w:val="nil"/>
              <w:left w:val="nil"/>
              <w:bottom w:val="nil"/>
              <w:right w:val="nil"/>
            </w:tcBorders>
            <w:shd w:val="clear" w:color="000000" w:fill="EEF3F8"/>
            <w:noWrap/>
            <w:vAlign w:val="center"/>
            <w:hideMark/>
          </w:tcPr>
          <w:p w14:paraId="0289519B"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79 238</w:t>
            </w:r>
          </w:p>
        </w:tc>
        <w:tc>
          <w:tcPr>
            <w:tcW w:w="1068" w:type="dxa"/>
            <w:tcBorders>
              <w:top w:val="nil"/>
              <w:left w:val="nil"/>
              <w:bottom w:val="nil"/>
              <w:right w:val="nil"/>
            </w:tcBorders>
            <w:shd w:val="clear" w:color="000000" w:fill="EEF3F8"/>
            <w:noWrap/>
            <w:vAlign w:val="center"/>
            <w:hideMark/>
          </w:tcPr>
          <w:p w14:paraId="690C5DDB"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711 032</w:t>
            </w:r>
          </w:p>
        </w:tc>
        <w:tc>
          <w:tcPr>
            <w:tcW w:w="851" w:type="dxa"/>
            <w:tcBorders>
              <w:top w:val="nil"/>
              <w:left w:val="nil"/>
              <w:bottom w:val="nil"/>
              <w:right w:val="single" w:sz="12" w:space="0" w:color="4F81BD"/>
            </w:tcBorders>
            <w:shd w:val="clear" w:color="000000" w:fill="EEF3F8"/>
            <w:noWrap/>
            <w:vAlign w:val="center"/>
            <w:hideMark/>
          </w:tcPr>
          <w:p w14:paraId="1A797D65"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246 702</w:t>
            </w:r>
          </w:p>
        </w:tc>
      </w:tr>
      <w:tr w:rsidR="00B141A9" w:rsidRPr="00B141A9" w14:paraId="7315F0EE" w14:textId="77777777" w:rsidTr="00B9182D">
        <w:trPr>
          <w:trHeight w:val="285"/>
          <w:jc w:val="center"/>
        </w:trPr>
        <w:tc>
          <w:tcPr>
            <w:tcW w:w="2700" w:type="dxa"/>
            <w:tcBorders>
              <w:top w:val="nil"/>
              <w:left w:val="single" w:sz="12" w:space="0" w:color="4F81BD"/>
              <w:bottom w:val="nil"/>
              <w:right w:val="nil"/>
            </w:tcBorders>
            <w:shd w:val="clear" w:color="auto" w:fill="auto"/>
            <w:vAlign w:val="center"/>
            <w:hideMark/>
          </w:tcPr>
          <w:p w14:paraId="54AE5A23" w14:textId="77777777" w:rsidR="00B141A9" w:rsidRPr="00B141A9" w:rsidRDefault="00B141A9" w:rsidP="00B141A9">
            <w:pPr>
              <w:spacing w:after="0" w:line="240" w:lineRule="auto"/>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podíl státem hrazených na celkovém počtu</w:t>
            </w:r>
          </w:p>
        </w:tc>
        <w:tc>
          <w:tcPr>
            <w:tcW w:w="1134" w:type="dxa"/>
            <w:tcBorders>
              <w:top w:val="nil"/>
              <w:left w:val="nil"/>
              <w:bottom w:val="nil"/>
              <w:right w:val="nil"/>
            </w:tcBorders>
            <w:shd w:val="clear" w:color="000000" w:fill="DCE6F1"/>
            <w:noWrap/>
            <w:vAlign w:val="center"/>
            <w:hideMark/>
          </w:tcPr>
          <w:p w14:paraId="3FC4C65C"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56</w:t>
            </w:r>
            <w:r>
              <w:rPr>
                <w:rFonts w:ascii="Calibri" w:eastAsia="Times New Roman" w:hAnsi="Calibri" w:cs="Times New Roman CE"/>
                <w:color w:val="000000"/>
                <w:sz w:val="21"/>
                <w:szCs w:val="21"/>
                <w:lang w:eastAsia="cs-CZ"/>
              </w:rPr>
              <w:t xml:space="preserve"> </w:t>
            </w:r>
            <w:r w:rsidRPr="00B141A9">
              <w:rPr>
                <w:rFonts w:ascii="Calibri" w:eastAsia="Times New Roman" w:hAnsi="Calibri" w:cs="Times New Roman CE"/>
                <w:color w:val="000000"/>
                <w:sz w:val="21"/>
                <w:szCs w:val="21"/>
                <w:lang w:eastAsia="cs-CZ"/>
              </w:rPr>
              <w:t>%</w:t>
            </w:r>
          </w:p>
        </w:tc>
        <w:tc>
          <w:tcPr>
            <w:tcW w:w="992" w:type="dxa"/>
            <w:tcBorders>
              <w:top w:val="nil"/>
              <w:left w:val="nil"/>
              <w:bottom w:val="nil"/>
              <w:right w:val="nil"/>
            </w:tcBorders>
            <w:shd w:val="clear" w:color="auto" w:fill="auto"/>
            <w:noWrap/>
            <w:vAlign w:val="center"/>
            <w:hideMark/>
          </w:tcPr>
          <w:p w14:paraId="7AFA827F"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53</w:t>
            </w:r>
            <w:r>
              <w:rPr>
                <w:rFonts w:ascii="Calibri" w:eastAsia="Times New Roman" w:hAnsi="Calibri" w:cs="Times New Roman CE"/>
                <w:color w:val="000000"/>
                <w:sz w:val="21"/>
                <w:szCs w:val="21"/>
                <w:lang w:eastAsia="cs-CZ"/>
              </w:rPr>
              <w:t xml:space="preserve"> </w:t>
            </w:r>
            <w:r w:rsidRPr="00B141A9">
              <w:rPr>
                <w:rFonts w:ascii="Calibri" w:eastAsia="Times New Roman" w:hAnsi="Calibri" w:cs="Times New Roman CE"/>
                <w:color w:val="000000"/>
                <w:sz w:val="21"/>
                <w:szCs w:val="21"/>
                <w:lang w:eastAsia="cs-CZ"/>
              </w:rPr>
              <w:t>%</w:t>
            </w:r>
          </w:p>
        </w:tc>
        <w:tc>
          <w:tcPr>
            <w:tcW w:w="1079" w:type="dxa"/>
            <w:tcBorders>
              <w:top w:val="nil"/>
              <w:left w:val="nil"/>
              <w:bottom w:val="nil"/>
              <w:right w:val="nil"/>
            </w:tcBorders>
            <w:shd w:val="clear" w:color="000000" w:fill="DCE6F1"/>
            <w:noWrap/>
            <w:vAlign w:val="center"/>
            <w:hideMark/>
          </w:tcPr>
          <w:p w14:paraId="776D427C"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57</w:t>
            </w:r>
            <w:r>
              <w:rPr>
                <w:rFonts w:ascii="Calibri" w:eastAsia="Times New Roman" w:hAnsi="Calibri" w:cs="Times New Roman CE"/>
                <w:color w:val="000000"/>
                <w:sz w:val="21"/>
                <w:szCs w:val="21"/>
                <w:lang w:eastAsia="cs-CZ"/>
              </w:rPr>
              <w:t xml:space="preserve"> </w:t>
            </w:r>
            <w:r w:rsidRPr="00B141A9">
              <w:rPr>
                <w:rFonts w:ascii="Calibri" w:eastAsia="Times New Roman" w:hAnsi="Calibri" w:cs="Times New Roman CE"/>
                <w:color w:val="000000"/>
                <w:sz w:val="21"/>
                <w:szCs w:val="21"/>
                <w:lang w:eastAsia="cs-CZ"/>
              </w:rPr>
              <w:t>%</w:t>
            </w:r>
          </w:p>
        </w:tc>
        <w:tc>
          <w:tcPr>
            <w:tcW w:w="840" w:type="dxa"/>
            <w:tcBorders>
              <w:top w:val="nil"/>
              <w:left w:val="nil"/>
              <w:bottom w:val="nil"/>
              <w:right w:val="nil"/>
            </w:tcBorders>
            <w:shd w:val="clear" w:color="auto" w:fill="auto"/>
            <w:noWrap/>
            <w:vAlign w:val="center"/>
            <w:hideMark/>
          </w:tcPr>
          <w:p w14:paraId="359C9518"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56</w:t>
            </w:r>
            <w:r>
              <w:rPr>
                <w:rFonts w:ascii="Calibri" w:eastAsia="Times New Roman" w:hAnsi="Calibri" w:cs="Times New Roman CE"/>
                <w:color w:val="000000"/>
                <w:sz w:val="21"/>
                <w:szCs w:val="21"/>
                <w:lang w:eastAsia="cs-CZ"/>
              </w:rPr>
              <w:t xml:space="preserve"> </w:t>
            </w:r>
            <w:r w:rsidRPr="00B141A9">
              <w:rPr>
                <w:rFonts w:ascii="Calibri" w:eastAsia="Times New Roman" w:hAnsi="Calibri" w:cs="Times New Roman CE"/>
                <w:color w:val="000000"/>
                <w:sz w:val="21"/>
                <w:szCs w:val="21"/>
                <w:lang w:eastAsia="cs-CZ"/>
              </w:rPr>
              <w:t>%</w:t>
            </w:r>
          </w:p>
        </w:tc>
        <w:tc>
          <w:tcPr>
            <w:tcW w:w="840" w:type="dxa"/>
            <w:tcBorders>
              <w:top w:val="nil"/>
              <w:left w:val="nil"/>
              <w:bottom w:val="nil"/>
              <w:right w:val="nil"/>
            </w:tcBorders>
            <w:shd w:val="clear" w:color="000000" w:fill="DCE6F1"/>
            <w:noWrap/>
            <w:vAlign w:val="center"/>
            <w:hideMark/>
          </w:tcPr>
          <w:p w14:paraId="531091E9"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55</w:t>
            </w:r>
            <w:r>
              <w:rPr>
                <w:rFonts w:ascii="Calibri" w:eastAsia="Times New Roman" w:hAnsi="Calibri" w:cs="Times New Roman CE"/>
                <w:color w:val="000000"/>
                <w:sz w:val="21"/>
                <w:szCs w:val="21"/>
                <w:lang w:eastAsia="cs-CZ"/>
              </w:rPr>
              <w:t xml:space="preserve"> </w:t>
            </w:r>
            <w:r w:rsidRPr="00B141A9">
              <w:rPr>
                <w:rFonts w:ascii="Calibri" w:eastAsia="Times New Roman" w:hAnsi="Calibri" w:cs="Times New Roman CE"/>
                <w:color w:val="000000"/>
                <w:sz w:val="21"/>
                <w:szCs w:val="21"/>
                <w:lang w:eastAsia="cs-CZ"/>
              </w:rPr>
              <w:t>%</w:t>
            </w:r>
          </w:p>
        </w:tc>
        <w:tc>
          <w:tcPr>
            <w:tcW w:w="1068" w:type="dxa"/>
            <w:tcBorders>
              <w:top w:val="nil"/>
              <w:left w:val="nil"/>
              <w:bottom w:val="nil"/>
              <w:right w:val="nil"/>
            </w:tcBorders>
            <w:shd w:val="clear" w:color="auto" w:fill="auto"/>
            <w:noWrap/>
            <w:vAlign w:val="center"/>
            <w:hideMark/>
          </w:tcPr>
          <w:p w14:paraId="3DBA6977"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54</w:t>
            </w:r>
            <w:r>
              <w:rPr>
                <w:rFonts w:ascii="Calibri" w:eastAsia="Times New Roman" w:hAnsi="Calibri" w:cs="Times New Roman CE"/>
                <w:color w:val="000000"/>
                <w:sz w:val="21"/>
                <w:szCs w:val="21"/>
                <w:lang w:eastAsia="cs-CZ"/>
              </w:rPr>
              <w:t xml:space="preserve"> </w:t>
            </w:r>
            <w:r w:rsidRPr="00B141A9">
              <w:rPr>
                <w:rFonts w:ascii="Calibri" w:eastAsia="Times New Roman" w:hAnsi="Calibri" w:cs="Times New Roman CE"/>
                <w:color w:val="000000"/>
                <w:sz w:val="21"/>
                <w:szCs w:val="21"/>
                <w:lang w:eastAsia="cs-CZ"/>
              </w:rPr>
              <w:t>%</w:t>
            </w:r>
          </w:p>
        </w:tc>
        <w:tc>
          <w:tcPr>
            <w:tcW w:w="851" w:type="dxa"/>
            <w:tcBorders>
              <w:top w:val="nil"/>
              <w:left w:val="nil"/>
              <w:bottom w:val="nil"/>
              <w:right w:val="single" w:sz="12" w:space="0" w:color="4F81BD"/>
            </w:tcBorders>
            <w:shd w:val="clear" w:color="000000" w:fill="DCE6F1"/>
            <w:noWrap/>
            <w:vAlign w:val="center"/>
            <w:hideMark/>
          </w:tcPr>
          <w:p w14:paraId="336CE18F"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57</w:t>
            </w:r>
            <w:r>
              <w:rPr>
                <w:rFonts w:ascii="Calibri" w:eastAsia="Times New Roman" w:hAnsi="Calibri" w:cs="Times New Roman CE"/>
                <w:color w:val="000000"/>
                <w:sz w:val="21"/>
                <w:szCs w:val="21"/>
                <w:lang w:eastAsia="cs-CZ"/>
              </w:rPr>
              <w:t xml:space="preserve"> </w:t>
            </w:r>
            <w:r w:rsidRPr="00B141A9">
              <w:rPr>
                <w:rFonts w:ascii="Calibri" w:eastAsia="Times New Roman" w:hAnsi="Calibri" w:cs="Times New Roman CE"/>
                <w:color w:val="000000"/>
                <w:sz w:val="21"/>
                <w:szCs w:val="21"/>
                <w:lang w:eastAsia="cs-CZ"/>
              </w:rPr>
              <w:t>%</w:t>
            </w:r>
          </w:p>
        </w:tc>
      </w:tr>
      <w:tr w:rsidR="00B141A9" w:rsidRPr="00B141A9" w14:paraId="6C063EA7" w14:textId="77777777" w:rsidTr="00B9182D">
        <w:trPr>
          <w:trHeight w:val="285"/>
          <w:jc w:val="center"/>
        </w:trPr>
        <w:tc>
          <w:tcPr>
            <w:tcW w:w="2700" w:type="dxa"/>
            <w:tcBorders>
              <w:top w:val="nil"/>
              <w:left w:val="single" w:sz="12" w:space="0" w:color="4F81BD"/>
              <w:bottom w:val="nil"/>
              <w:right w:val="nil"/>
            </w:tcBorders>
            <w:shd w:val="clear" w:color="000000" w:fill="EEF3F8"/>
            <w:vAlign w:val="center"/>
            <w:hideMark/>
          </w:tcPr>
          <w:p w14:paraId="2BC8CD54" w14:textId="77777777" w:rsidR="00B141A9" w:rsidRPr="00B141A9" w:rsidRDefault="00B141A9" w:rsidP="00B141A9">
            <w:pPr>
              <w:spacing w:after="0" w:line="240" w:lineRule="auto"/>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zaměstnanců</w:t>
            </w:r>
          </w:p>
        </w:tc>
        <w:tc>
          <w:tcPr>
            <w:tcW w:w="1134" w:type="dxa"/>
            <w:tcBorders>
              <w:top w:val="nil"/>
              <w:left w:val="nil"/>
              <w:bottom w:val="nil"/>
              <w:right w:val="nil"/>
            </w:tcBorders>
            <w:shd w:val="clear" w:color="000000" w:fill="EEF3F8"/>
            <w:noWrap/>
            <w:vAlign w:val="center"/>
            <w:hideMark/>
          </w:tcPr>
          <w:p w14:paraId="5179D486"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3 588</w:t>
            </w:r>
          </w:p>
        </w:tc>
        <w:tc>
          <w:tcPr>
            <w:tcW w:w="992" w:type="dxa"/>
            <w:tcBorders>
              <w:top w:val="nil"/>
              <w:left w:val="nil"/>
              <w:bottom w:val="nil"/>
              <w:right w:val="nil"/>
            </w:tcBorders>
            <w:shd w:val="clear" w:color="000000" w:fill="EEF3F8"/>
            <w:noWrap/>
            <w:vAlign w:val="center"/>
            <w:hideMark/>
          </w:tcPr>
          <w:p w14:paraId="49DAFDAF"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410</w:t>
            </w:r>
          </w:p>
        </w:tc>
        <w:tc>
          <w:tcPr>
            <w:tcW w:w="1079" w:type="dxa"/>
            <w:tcBorders>
              <w:top w:val="nil"/>
              <w:left w:val="nil"/>
              <w:bottom w:val="nil"/>
              <w:right w:val="nil"/>
            </w:tcBorders>
            <w:shd w:val="clear" w:color="000000" w:fill="EEF3F8"/>
            <w:noWrap/>
            <w:vAlign w:val="center"/>
            <w:hideMark/>
          </w:tcPr>
          <w:p w14:paraId="7142F6B7"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633</w:t>
            </w:r>
          </w:p>
        </w:tc>
        <w:tc>
          <w:tcPr>
            <w:tcW w:w="840" w:type="dxa"/>
            <w:tcBorders>
              <w:top w:val="nil"/>
              <w:left w:val="nil"/>
              <w:bottom w:val="nil"/>
              <w:right w:val="nil"/>
            </w:tcBorders>
            <w:shd w:val="clear" w:color="000000" w:fill="EEF3F8"/>
            <w:noWrap/>
            <w:vAlign w:val="center"/>
            <w:hideMark/>
          </w:tcPr>
          <w:p w14:paraId="30FFCA02"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380</w:t>
            </w:r>
          </w:p>
        </w:tc>
        <w:tc>
          <w:tcPr>
            <w:tcW w:w="840" w:type="dxa"/>
            <w:tcBorders>
              <w:top w:val="nil"/>
              <w:left w:val="nil"/>
              <w:bottom w:val="nil"/>
              <w:right w:val="nil"/>
            </w:tcBorders>
            <w:shd w:val="clear" w:color="000000" w:fill="EEF3F8"/>
            <w:noWrap/>
            <w:vAlign w:val="center"/>
            <w:hideMark/>
          </w:tcPr>
          <w:p w14:paraId="5FF58E8F"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77</w:t>
            </w:r>
          </w:p>
        </w:tc>
        <w:tc>
          <w:tcPr>
            <w:tcW w:w="1068" w:type="dxa"/>
            <w:tcBorders>
              <w:top w:val="nil"/>
              <w:left w:val="nil"/>
              <w:bottom w:val="nil"/>
              <w:right w:val="nil"/>
            </w:tcBorders>
            <w:shd w:val="clear" w:color="000000" w:fill="EEF3F8"/>
            <w:noWrap/>
            <w:vAlign w:val="center"/>
            <w:hideMark/>
          </w:tcPr>
          <w:p w14:paraId="6A6AEA00"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620</w:t>
            </w:r>
          </w:p>
        </w:tc>
        <w:tc>
          <w:tcPr>
            <w:tcW w:w="851" w:type="dxa"/>
            <w:tcBorders>
              <w:top w:val="nil"/>
              <w:left w:val="nil"/>
              <w:bottom w:val="nil"/>
              <w:right w:val="single" w:sz="12" w:space="0" w:color="4F81BD"/>
            </w:tcBorders>
            <w:shd w:val="clear" w:color="000000" w:fill="EEF3F8"/>
            <w:noWrap/>
            <w:vAlign w:val="center"/>
            <w:hideMark/>
          </w:tcPr>
          <w:p w14:paraId="229FEAFA" w14:textId="77777777" w:rsidR="00B141A9" w:rsidRPr="00B141A9" w:rsidRDefault="00B141A9" w:rsidP="00B141A9">
            <w:pPr>
              <w:spacing w:after="0" w:line="240" w:lineRule="auto"/>
              <w:jc w:val="right"/>
              <w:rPr>
                <w:rFonts w:ascii="Calibri" w:eastAsia="Times New Roman" w:hAnsi="Calibri" w:cs="Times New Roman CE"/>
                <w:b/>
                <w:bCs/>
                <w:color w:val="000000"/>
                <w:sz w:val="21"/>
                <w:szCs w:val="21"/>
                <w:lang w:eastAsia="cs-CZ"/>
              </w:rPr>
            </w:pPr>
            <w:r w:rsidRPr="00B141A9">
              <w:rPr>
                <w:rFonts w:ascii="Calibri" w:eastAsia="Times New Roman" w:hAnsi="Calibri" w:cs="Times New Roman CE"/>
                <w:b/>
                <w:bCs/>
                <w:color w:val="000000"/>
                <w:sz w:val="21"/>
                <w:szCs w:val="21"/>
                <w:lang w:eastAsia="cs-CZ"/>
              </w:rPr>
              <w:t>227</w:t>
            </w:r>
          </w:p>
        </w:tc>
      </w:tr>
      <w:tr w:rsidR="00B141A9" w:rsidRPr="00B141A9" w14:paraId="46BE4AB4" w14:textId="77777777" w:rsidTr="00B9182D">
        <w:trPr>
          <w:trHeight w:val="300"/>
          <w:jc w:val="center"/>
        </w:trPr>
        <w:tc>
          <w:tcPr>
            <w:tcW w:w="2700" w:type="dxa"/>
            <w:tcBorders>
              <w:top w:val="nil"/>
              <w:left w:val="single" w:sz="12" w:space="0" w:color="4F81BD"/>
              <w:bottom w:val="single" w:sz="12" w:space="0" w:color="4F81BD"/>
              <w:right w:val="nil"/>
            </w:tcBorders>
            <w:shd w:val="clear" w:color="000000" w:fill="EEF3F8"/>
            <w:vAlign w:val="center"/>
            <w:hideMark/>
          </w:tcPr>
          <w:p w14:paraId="469E7199" w14:textId="77777777" w:rsidR="00B141A9" w:rsidRPr="00B141A9" w:rsidRDefault="00B141A9" w:rsidP="00B141A9">
            <w:pPr>
              <w:spacing w:after="0" w:line="240" w:lineRule="auto"/>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pojištěnců na 1 zaměstnance</w:t>
            </w:r>
          </w:p>
        </w:tc>
        <w:tc>
          <w:tcPr>
            <w:tcW w:w="1134" w:type="dxa"/>
            <w:tcBorders>
              <w:top w:val="nil"/>
              <w:left w:val="nil"/>
              <w:bottom w:val="single" w:sz="12" w:space="0" w:color="4F81BD"/>
              <w:right w:val="nil"/>
            </w:tcBorders>
            <w:shd w:val="clear" w:color="000000" w:fill="DCE6F1"/>
            <w:noWrap/>
            <w:vAlign w:val="center"/>
            <w:hideMark/>
          </w:tcPr>
          <w:p w14:paraId="4778C7D5"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1 657</w:t>
            </w:r>
          </w:p>
        </w:tc>
        <w:tc>
          <w:tcPr>
            <w:tcW w:w="992" w:type="dxa"/>
            <w:tcBorders>
              <w:top w:val="nil"/>
              <w:left w:val="nil"/>
              <w:bottom w:val="single" w:sz="12" w:space="0" w:color="4F81BD"/>
              <w:right w:val="nil"/>
            </w:tcBorders>
            <w:shd w:val="clear" w:color="auto" w:fill="auto"/>
            <w:noWrap/>
            <w:vAlign w:val="center"/>
            <w:hideMark/>
          </w:tcPr>
          <w:p w14:paraId="7F971AA1"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1 708</w:t>
            </w:r>
          </w:p>
        </w:tc>
        <w:tc>
          <w:tcPr>
            <w:tcW w:w="1079" w:type="dxa"/>
            <w:tcBorders>
              <w:top w:val="nil"/>
              <w:left w:val="nil"/>
              <w:bottom w:val="single" w:sz="12" w:space="0" w:color="4F81BD"/>
              <w:right w:val="nil"/>
            </w:tcBorders>
            <w:shd w:val="clear" w:color="000000" w:fill="DCE6F1"/>
            <w:noWrap/>
            <w:vAlign w:val="center"/>
            <w:hideMark/>
          </w:tcPr>
          <w:p w14:paraId="62E5940A"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1 976</w:t>
            </w:r>
          </w:p>
        </w:tc>
        <w:tc>
          <w:tcPr>
            <w:tcW w:w="840" w:type="dxa"/>
            <w:tcBorders>
              <w:top w:val="nil"/>
              <w:left w:val="nil"/>
              <w:bottom w:val="single" w:sz="12" w:space="0" w:color="4F81BD"/>
              <w:right w:val="nil"/>
            </w:tcBorders>
            <w:shd w:val="clear" w:color="auto" w:fill="auto"/>
            <w:noWrap/>
            <w:vAlign w:val="center"/>
            <w:hideMark/>
          </w:tcPr>
          <w:p w14:paraId="1C6D1FB9"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1 926</w:t>
            </w:r>
          </w:p>
        </w:tc>
        <w:tc>
          <w:tcPr>
            <w:tcW w:w="840" w:type="dxa"/>
            <w:tcBorders>
              <w:top w:val="nil"/>
              <w:left w:val="nil"/>
              <w:bottom w:val="single" w:sz="12" w:space="0" w:color="4F81BD"/>
              <w:right w:val="nil"/>
            </w:tcBorders>
            <w:shd w:val="clear" w:color="000000" w:fill="DCE6F1"/>
            <w:noWrap/>
            <w:vAlign w:val="center"/>
            <w:hideMark/>
          </w:tcPr>
          <w:p w14:paraId="2166B8C0"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1 867</w:t>
            </w:r>
          </w:p>
        </w:tc>
        <w:tc>
          <w:tcPr>
            <w:tcW w:w="1068" w:type="dxa"/>
            <w:tcBorders>
              <w:top w:val="nil"/>
              <w:left w:val="nil"/>
              <w:bottom w:val="single" w:sz="12" w:space="0" w:color="4F81BD"/>
              <w:right w:val="nil"/>
            </w:tcBorders>
            <w:shd w:val="clear" w:color="auto" w:fill="auto"/>
            <w:noWrap/>
            <w:vAlign w:val="center"/>
            <w:hideMark/>
          </w:tcPr>
          <w:p w14:paraId="7CCA6E98"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2 109</w:t>
            </w:r>
          </w:p>
        </w:tc>
        <w:tc>
          <w:tcPr>
            <w:tcW w:w="851" w:type="dxa"/>
            <w:tcBorders>
              <w:top w:val="nil"/>
              <w:left w:val="nil"/>
              <w:bottom w:val="single" w:sz="12" w:space="0" w:color="4F81BD"/>
              <w:right w:val="single" w:sz="12" w:space="0" w:color="4F81BD"/>
            </w:tcBorders>
            <w:shd w:val="clear" w:color="000000" w:fill="DCE6F1"/>
            <w:noWrap/>
            <w:vAlign w:val="center"/>
            <w:hideMark/>
          </w:tcPr>
          <w:p w14:paraId="7D01BD0B" w14:textId="77777777" w:rsidR="00B141A9" w:rsidRPr="00B141A9" w:rsidRDefault="00B141A9" w:rsidP="00B141A9">
            <w:pPr>
              <w:spacing w:after="0" w:line="240" w:lineRule="auto"/>
              <w:jc w:val="right"/>
              <w:rPr>
                <w:rFonts w:ascii="Calibri" w:eastAsia="Times New Roman" w:hAnsi="Calibri" w:cs="Times New Roman CE"/>
                <w:color w:val="000000"/>
                <w:sz w:val="21"/>
                <w:szCs w:val="21"/>
                <w:lang w:eastAsia="cs-CZ"/>
              </w:rPr>
            </w:pPr>
            <w:r w:rsidRPr="00B141A9">
              <w:rPr>
                <w:rFonts w:ascii="Calibri" w:eastAsia="Times New Roman" w:hAnsi="Calibri" w:cs="Times New Roman CE"/>
                <w:color w:val="000000"/>
                <w:sz w:val="21"/>
                <w:szCs w:val="21"/>
                <w:lang w:eastAsia="cs-CZ"/>
              </w:rPr>
              <w:t>1 891</w:t>
            </w:r>
          </w:p>
        </w:tc>
      </w:tr>
    </w:tbl>
    <w:p w14:paraId="0D44B109" w14:textId="77777777" w:rsidR="00B141A9" w:rsidRDefault="00B141A9" w:rsidP="00157752">
      <w:pPr>
        <w:pStyle w:val="TEXT"/>
      </w:pPr>
    </w:p>
    <w:p w14:paraId="1F48715A" w14:textId="4442C95D" w:rsidR="00157752" w:rsidRDefault="00157752" w:rsidP="00157752">
      <w:pPr>
        <w:pStyle w:val="TEXT"/>
      </w:pPr>
      <w:r>
        <w:t>Provozování komerčního pojištění v systému v. z. p. účinné právní předpisy nepřipouštějí, a</w:t>
      </w:r>
      <w:r w:rsidR="00A85F09">
        <w:t> </w:t>
      </w:r>
      <w:r>
        <w:t>proto</w:t>
      </w:r>
      <w:r w:rsidR="00A85F09">
        <w:t> </w:t>
      </w:r>
      <w:r>
        <w:t xml:space="preserve">VZP ČR a OZP provozují tento druh pojištění odděleně ve stoprocentně vlastněných dceřiných společnostech. </w:t>
      </w:r>
    </w:p>
    <w:p w14:paraId="39313D52" w14:textId="5133DB23" w:rsidR="00902FD8" w:rsidRDefault="00902FD8" w:rsidP="00902FD8">
      <w:pPr>
        <w:pStyle w:val="TEXT"/>
      </w:pPr>
      <w:r>
        <w:t>V roce 201</w:t>
      </w:r>
      <w:r w:rsidR="00F14D93">
        <w:t>8</w:t>
      </w:r>
      <w:r>
        <w:t xml:space="preserve"> bylo</w:t>
      </w:r>
      <w:r>
        <w:rPr>
          <w:b/>
        </w:rPr>
        <w:t xml:space="preserve"> v průměru ve zdravotních pojišťovnách zaměstnáno </w:t>
      </w:r>
      <w:r w:rsidR="00F14D93">
        <w:rPr>
          <w:b/>
        </w:rPr>
        <w:t>5 935</w:t>
      </w:r>
      <w:r>
        <w:rPr>
          <w:b/>
        </w:rPr>
        <w:t xml:space="preserve"> osob (přepočtený počet) </w:t>
      </w:r>
      <w:r>
        <w:t>s meziročním růstem o </w:t>
      </w:r>
      <w:r w:rsidR="00F14D93">
        <w:t>22 </w:t>
      </w:r>
      <w:r>
        <w:t xml:space="preserve">zaměstnanců. </w:t>
      </w:r>
    </w:p>
    <w:p w14:paraId="310A5266" w14:textId="77777777" w:rsidR="00902FD8" w:rsidRDefault="00902FD8" w:rsidP="00902FD8">
      <w:pPr>
        <w:pStyle w:val="TEXT"/>
      </w:pPr>
      <w:r>
        <w:t>Mezi zdravotními pojišťovnami lze pozorovat významné rozdíly při srovnání podílu pojištěnců na</w:t>
      </w:r>
      <w:r w:rsidR="00A9522C">
        <w:t> </w:t>
      </w:r>
      <w:r>
        <w:t xml:space="preserve">jednoho zaměstnance, což je v případě VZP ČR, která vzhledem k počtu pojištěnců dosahovala nejnižší hodnoty, zapříčiněno největší sítí poboček, realizací řady servisních činností pro celý systém veřejného zdravotního pojištění (např. agenda přerozdělování pojistného) a strukturou kmene pojištěnců. </w:t>
      </w:r>
    </w:p>
    <w:p w14:paraId="7407E433" w14:textId="77777777" w:rsidR="00902FD8" w:rsidRDefault="00902FD8" w:rsidP="006C7011">
      <w:pPr>
        <w:pStyle w:val="TABOBR"/>
        <w:spacing w:before="360" w:after="200"/>
      </w:pPr>
      <w:r>
        <w:t>Obr. 11: Počet pojištěnců na 1 zaměstnance</w:t>
      </w:r>
    </w:p>
    <w:p w14:paraId="6DCA6DDD" w14:textId="1A0172F1" w:rsidR="00902FD8" w:rsidRDefault="00345B8D" w:rsidP="006C7011">
      <w:pPr>
        <w:pStyle w:val="TEXT"/>
        <w:ind w:firstLine="0"/>
        <w:jc w:val="center"/>
        <w:rPr>
          <w:rFonts w:asciiTheme="minorHAnsi" w:hAnsiTheme="minorHAnsi"/>
          <w:b/>
          <w:sz w:val="28"/>
          <w:szCs w:val="28"/>
        </w:rPr>
      </w:pPr>
      <w:r>
        <w:rPr>
          <w:b/>
          <w:noProof/>
          <w:sz w:val="28"/>
          <w:szCs w:val="28"/>
        </w:rPr>
        <w:drawing>
          <wp:inline distT="0" distB="0" distL="0" distR="0" wp14:anchorId="44A33E2C" wp14:editId="459507C8">
            <wp:extent cx="4698124" cy="1869807"/>
            <wp:effectExtent l="0" t="0" r="762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94903" cy="1868525"/>
                    </a:xfrm>
                    <a:prstGeom prst="rect">
                      <a:avLst/>
                    </a:prstGeom>
                    <a:noFill/>
                  </pic:spPr>
                </pic:pic>
              </a:graphicData>
            </a:graphic>
          </wp:inline>
        </w:drawing>
      </w:r>
      <w:r w:rsidR="00902FD8">
        <w:rPr>
          <w:b/>
          <w:sz w:val="28"/>
          <w:szCs w:val="28"/>
        </w:rPr>
        <w:br w:type="page"/>
      </w:r>
    </w:p>
    <w:p w14:paraId="09E5A283" w14:textId="77777777" w:rsidR="002F5961" w:rsidRPr="00215E9F" w:rsidRDefault="002F5961" w:rsidP="00215E9F">
      <w:pPr>
        <w:pStyle w:val="NADPIS"/>
        <w:spacing w:before="240" w:after="120"/>
        <w:rPr>
          <w:rFonts w:ascii="Arial" w:hAnsi="Arial"/>
          <w:b w:val="0"/>
        </w:rPr>
      </w:pPr>
      <w:r w:rsidRPr="00215E9F">
        <w:rPr>
          <w:rFonts w:ascii="Arial" w:hAnsi="Arial"/>
        </w:rPr>
        <w:lastRenderedPageBreak/>
        <w:t>Hospodaření ZZP v likvidaci a v konkurzu</w:t>
      </w:r>
    </w:p>
    <w:p w14:paraId="49982C5E" w14:textId="77777777" w:rsidR="002F5961" w:rsidRDefault="002F5961" w:rsidP="00A9522C">
      <w:pPr>
        <w:pStyle w:val="NADPIS"/>
        <w:spacing w:before="240" w:after="120"/>
      </w:pPr>
      <w:r w:rsidRPr="00B9182D">
        <w:t>MENDLOVA ZDRAVOTNÍ POJIŠŤOVNA „v likvidaci“ (</w:t>
      </w:r>
      <w:proofErr w:type="spellStart"/>
      <w:r w:rsidRPr="00B9182D">
        <w:t>MeZP</w:t>
      </w:r>
      <w:proofErr w:type="spellEnd"/>
      <w:r w:rsidRPr="00B9182D">
        <w:t>)</w:t>
      </w:r>
    </w:p>
    <w:p w14:paraId="6DEAF580" w14:textId="77777777" w:rsidR="002F5961" w:rsidRDefault="002F5961" w:rsidP="002F5961">
      <w:pPr>
        <w:pStyle w:val="TEXT"/>
      </w:pPr>
      <w:proofErr w:type="spellStart"/>
      <w:r>
        <w:t>MeZP</w:t>
      </w:r>
      <w:proofErr w:type="spellEnd"/>
      <w:r>
        <w:t xml:space="preserve"> (IČ: 607 11 744) byla zapsána do obchodního rejstříku dne 12. 7. 1994 a dne 7. 11. 1997 vstoupila do likvidace. Od této doby do současnosti </w:t>
      </w:r>
      <w:proofErr w:type="spellStart"/>
      <w:r>
        <w:t>MeZP</w:t>
      </w:r>
      <w:proofErr w:type="spellEnd"/>
      <w:r>
        <w:t xml:space="preserve"> neprovádí žádné činnosti uvedené ve svém předmětu podnikání, její činnost je zaměřena pouze na provádění likvidace v souladu s příslušnými ustanoveními zákona č. 280/1992 Sb., o resortních, oborových, podnikových a dalších zdravotních pojišťovnách, ve znění pozdějších předpisů (dále jen „zákon“). </w:t>
      </w:r>
    </w:p>
    <w:p w14:paraId="69D92A28" w14:textId="77777777" w:rsidR="002F5961" w:rsidRDefault="002F5961" w:rsidP="002F5961">
      <w:pPr>
        <w:pStyle w:val="TEXT"/>
      </w:pPr>
      <w:r>
        <w:t>V polovině roku 2014 odmítl likvidátor jmenování na další období, a pojišťovna tak byla od 1. 7. 2014 do 28. 8. 2014 bez statutárního orgánu. Od 28. 8. 2014 má pojišťovna nového likvidátora. Z titulu pochybností nad neúměrným prodlužováním ukončení likvidace a hospodařením se svěřeným majetkem byla zahájena společnou kontrolní skupinou MF a MZ veřejnosprávní kontrola pojišťovny.</w:t>
      </w:r>
    </w:p>
    <w:p w14:paraId="4B3327B5" w14:textId="77777777" w:rsidR="002F5961" w:rsidRDefault="002F5961" w:rsidP="002F5961">
      <w:pPr>
        <w:pStyle w:val="TEXT"/>
      </w:pPr>
      <w:r>
        <w:t>Kontrola v Mendlově zdravotní pojišťovně „v likvidaci“ proběhla v období od 5. 7. 2014 do 30. 9. 2015. Kontrola byla zaměřena na hospodaření zdravotní pojišťovny v období likvidace od</w:t>
      </w:r>
      <w:r w:rsidR="003332FA">
        <w:t> </w:t>
      </w:r>
      <w:r>
        <w:t xml:space="preserve">roku 2008, zejména na odůvodněnost využívání finančních prostředků ze strany bývalého likvidátora. Proti Protokolu o kontrole č. 1/2014 předaného </w:t>
      </w:r>
      <w:proofErr w:type="spellStart"/>
      <w:r>
        <w:t>MeZP</w:t>
      </w:r>
      <w:proofErr w:type="spellEnd"/>
      <w:r>
        <w:t xml:space="preserve"> dne 23. 10. 2015 podal její současný likvidátor v zákonném termínu dne 9. 11. 2015 námitky. Úkonem doručení vyřízení námitek kontrolované osobě ve smyslu § 18 zákona č. 255/2012 Sb., o kontrole, byla kontrola </w:t>
      </w:r>
      <w:proofErr w:type="spellStart"/>
      <w:r>
        <w:t>MeZP</w:t>
      </w:r>
      <w:proofErr w:type="spellEnd"/>
      <w:r>
        <w:t xml:space="preserve"> dne 7.</w:t>
      </w:r>
      <w:r w:rsidR="00A9522C">
        <w:t> </w:t>
      </w:r>
      <w:r>
        <w:t>1.</w:t>
      </w:r>
      <w:r w:rsidR="00A9522C">
        <w:t> </w:t>
      </w:r>
      <w:r>
        <w:t>2016 ukončena.</w:t>
      </w:r>
    </w:p>
    <w:p w14:paraId="0487292B" w14:textId="77777777" w:rsidR="002F5961" w:rsidRDefault="002F5961" w:rsidP="002F5961">
      <w:pPr>
        <w:pStyle w:val="TEXT"/>
      </w:pPr>
      <w:r>
        <w:t>Nedostatky byly zjištěny zejména v oblasti úhrady archivačních a skartačních služeb, sjednávání úvěrů u poskytovatelů finančních služeb i při proplácení některých dalších služeb. Vzhledem k tomu, že výsledkem provedené kontroly byla mimo jiné i velmi závažná zjištění o skutečnostech, které mohou zakládat podezření, že předchozí likvidátor postupoval v rozporu s právními předpisy, byl</w:t>
      </w:r>
      <w:r w:rsidR="003332FA">
        <w:t> </w:t>
      </w:r>
      <w:r>
        <w:t>v roce 2016 podán státnímu zastupitelství podnět týkající se podezření z možné hospodářské trestné činnosti. Současně byl podán předsedovi Kárné komise Komory auditorů ČR externí podnět na</w:t>
      </w:r>
      <w:r w:rsidR="003332FA">
        <w:t> </w:t>
      </w:r>
      <w:r>
        <w:t>činnost auditorského subjektu vykonávajícího v </w:t>
      </w:r>
      <w:proofErr w:type="spellStart"/>
      <w:r>
        <w:t>MeZP</w:t>
      </w:r>
      <w:proofErr w:type="spellEnd"/>
      <w:r>
        <w:t xml:space="preserve"> statutární audit, a dále v rámci součinnosti orgánů státní správy dle § 68 zákona č. 455/1991 Sb., o živnostenském podnikání, v platném znění, podnět na neoprávněné podnikání společnosti CZ </w:t>
      </w:r>
      <w:proofErr w:type="spellStart"/>
      <w:r>
        <w:t>Future</w:t>
      </w:r>
      <w:proofErr w:type="spellEnd"/>
      <w:r>
        <w:t xml:space="preserve">, s.r.o. (archivace dokumentů </w:t>
      </w:r>
      <w:proofErr w:type="spellStart"/>
      <w:r>
        <w:t>MeZP</w:t>
      </w:r>
      <w:proofErr w:type="spellEnd"/>
      <w:r>
        <w:t xml:space="preserve"> bez</w:t>
      </w:r>
      <w:r w:rsidR="003332FA">
        <w:t> </w:t>
      </w:r>
      <w:r>
        <w:t xml:space="preserve">koncesní listiny). </w:t>
      </w:r>
    </w:p>
    <w:p w14:paraId="50430500" w14:textId="77777777" w:rsidR="002F5961" w:rsidRDefault="002F5961" w:rsidP="002F5961">
      <w:pPr>
        <w:pStyle w:val="TEXT"/>
      </w:pPr>
      <w:r>
        <w:t>Žaloba na neoprávněné vyplácení služeb a sjednávání úvěrů u poskytovatelů finančních služeb</w:t>
      </w:r>
      <w:r w:rsidR="00C53F6B">
        <w:t>, která</w:t>
      </w:r>
      <w:r>
        <w:t xml:space="preserve"> byla podána dne 3. 10. 2016 na částku cca 1,23 mil. Kč</w:t>
      </w:r>
      <w:r w:rsidR="00C53F6B">
        <w:t>,</w:t>
      </w:r>
      <w:r>
        <w:t xml:space="preserve"> byla Městským soudem v Praze dne 25. 10. 2017 zamítnuta. S ohledem na odůvodnění rozhodnutí, neumožnění provedení některých navržených důkazů a vzhledem k tomu, že kontrolní orgány v protokolu o kontrole došly k odlišnému právnímu závěru z hlediska skutečností, které jsou předmětem žaloby, rozhodl likvidátor </w:t>
      </w:r>
      <w:proofErr w:type="spellStart"/>
      <w:r>
        <w:t>MeZP</w:t>
      </w:r>
      <w:proofErr w:type="spellEnd"/>
      <w:r>
        <w:t xml:space="preserve"> o podání odvolání. Datum dalšího projednání bylo stanoveno na 26. 6. 2019.</w:t>
      </w:r>
    </w:p>
    <w:p w14:paraId="3623BB8D" w14:textId="77777777" w:rsidR="002F5961" w:rsidRDefault="002F5961" w:rsidP="002F5961">
      <w:pPr>
        <w:pStyle w:val="TEXT"/>
      </w:pPr>
      <w:r>
        <w:t xml:space="preserve">Náhrada za škodu způsobenou v oblasti úhrady archivačních a skartačních služeb, odhadnutá znaleckým posudkem ve výši 2 mil. Kč, měla být původně vymáhána v rámci trestního řízení. S ohledem na průtahy byla na začátku roku 2017 podána rovněž civilní žaloba na náhradu škody. V současné době řízení dále probíhá. V souvislosti s tímto pochybením předchozího likvidátora </w:t>
      </w:r>
      <w:proofErr w:type="spellStart"/>
      <w:r>
        <w:t>MeZP</w:t>
      </w:r>
      <w:proofErr w:type="spellEnd"/>
      <w:r>
        <w:t xml:space="preserve"> bylo podáno trestní oznámení, které je v tuto chvíli ve stadiu jednání před soudem prvního stupně.</w:t>
      </w:r>
    </w:p>
    <w:p w14:paraId="13DECEF1" w14:textId="77777777" w:rsidR="002F5961" w:rsidRDefault="002F5961" w:rsidP="002F5961">
      <w:pPr>
        <w:pStyle w:val="TEXT"/>
      </w:pPr>
      <w:r>
        <w:t xml:space="preserve">S ohledem na výsledky kontroly, z nichž plyne, že došlo ke způsobení škody a bezdůvodného obohacení předchozím likvidátorem, je pro ukončení likvidace nezbytné domáhat se rovněž finančních prostředků, o něž </w:t>
      </w:r>
      <w:proofErr w:type="spellStart"/>
      <w:r>
        <w:t>MeZP</w:t>
      </w:r>
      <w:proofErr w:type="spellEnd"/>
      <w:r>
        <w:t xml:space="preserve"> tímto jednáním přišla. K tomu je příslušný její statutární orgán, kterým je současný likvidátor. Nyní lze pouze obtížně predikovat délku výše uvedených řízení, proto byly </w:t>
      </w:r>
      <w:r>
        <w:lastRenderedPageBreak/>
        <w:t xml:space="preserve">současným likvidátorem navrženy kroky, které vedly k omezení průběžného snižování zůstatku na účtech </w:t>
      </w:r>
      <w:proofErr w:type="spellStart"/>
      <w:r>
        <w:t>MeZP</w:t>
      </w:r>
      <w:proofErr w:type="spellEnd"/>
      <w:r>
        <w:t xml:space="preserve">. Zásadní úsporou bylo zrušení každoročního zpracování účetních závěrek (jejich ověření auditorem, s výjimkou závěrečné účetní závěrky) a změna odměňování likvidátora (s účinností od 1. 8. 2018), kdy byla paušální měsíční odměna nahrazena jednorázovou odměnou v případě úspěchu ve sporech o náhradu škody ve výši 10 % z vymožené částky. Vzhledem k postupnému navyšování úrokových sazeb až na současných 1,1 % dochází současně k postupnému navyšování jmění </w:t>
      </w:r>
      <w:proofErr w:type="spellStart"/>
      <w:r>
        <w:t>MeZP</w:t>
      </w:r>
      <w:proofErr w:type="spellEnd"/>
      <w:r>
        <w:t>.</w:t>
      </w:r>
      <w:r w:rsidRPr="002E29B1">
        <w:t xml:space="preserve"> </w:t>
      </w:r>
      <w:r>
        <w:t>Roční náklady likvidace v roce 2018 dosáhly 449 tis. Kč, byly tedy výrazně nižší než</w:t>
      </w:r>
      <w:r w:rsidR="003332FA">
        <w:t> </w:t>
      </w:r>
      <w:r>
        <w:t>v předchozích letech. Stav peněžních prostředků na běžném účtu k 31. 12. 2018 byl 36,6 mil. Kč.</w:t>
      </w:r>
    </w:p>
    <w:p w14:paraId="65B5A84C" w14:textId="77777777" w:rsidR="002F5961" w:rsidRDefault="002F5961" w:rsidP="00A9522C">
      <w:pPr>
        <w:pStyle w:val="NADPIS"/>
        <w:spacing w:before="240" w:after="120"/>
      </w:pPr>
      <w:r>
        <w:t>Hornická zaměstnanecká zdravotní pojišťovna v likvidaci (HZZP)</w:t>
      </w:r>
    </w:p>
    <w:p w14:paraId="05066705" w14:textId="77777777" w:rsidR="002F5961" w:rsidRDefault="002F5961" w:rsidP="002F5961">
      <w:pPr>
        <w:pStyle w:val="TEXT"/>
      </w:pPr>
      <w:r>
        <w:t xml:space="preserve">HZZP v likvidaci (IČ: 473 09 113), se sídlem Teplice, Masarykova 915/31, PSČ 415 02 byla zapsána do obchodního rejstříku dne 13. 11. 1992 a dne 22. 7. 1996 vstoupila do likvidace. Dne 9. 2. 1996 byl na HZZP prohlášen konkurs. </w:t>
      </w:r>
    </w:p>
    <w:p w14:paraId="61AAE482" w14:textId="77B3F6E6" w:rsidR="002F5961" w:rsidRDefault="002F5961" w:rsidP="002F5961">
      <w:pPr>
        <w:pStyle w:val="TEXT"/>
        <w:rPr>
          <w:rFonts w:cs="Times New Roman"/>
          <w:szCs w:val="22"/>
        </w:rPr>
      </w:pPr>
      <w:r>
        <w:t xml:space="preserve">Ministerstvo financí vystupovalo v uvedeném konkursním řízení v postavení věřitele s pohledávkou ve výši cca 1 140 mil. Kč. Podle rozvrhového usnesení č. j.: K 8/96-2998 ze dne 25. 5. 2009, připadlo na tuto pohledávku ze zpeněžené konkursní podstaty uspokojení ve výši necelých 478 mil. Kč. Ministerstvo bylo uspokojeno pouze částkou cca 325 mil. Kč. Důvodem je skutečnost, že bývalý správce konkursní podstaty svěřil z výtěžku konkursní podstaty částku ve výši 250 mil. Kč firmě </w:t>
      </w:r>
      <w:proofErr w:type="spellStart"/>
      <w:r>
        <w:t>Key</w:t>
      </w:r>
      <w:proofErr w:type="spellEnd"/>
      <w:r>
        <w:t xml:space="preserve"> </w:t>
      </w:r>
      <w:proofErr w:type="spellStart"/>
      <w:r>
        <w:t>Investments</w:t>
      </w:r>
      <w:proofErr w:type="spellEnd"/>
      <w:r>
        <w:t xml:space="preserve"> a.s. (nyní v insolvenčním řízení), která měla svěřené finanční prostředky zhodnotit. Cenné papíry nakoupené touto společností (dluhopisy firem Via </w:t>
      </w:r>
      <w:proofErr w:type="spellStart"/>
      <w:r>
        <w:t>Chem</w:t>
      </w:r>
      <w:proofErr w:type="spellEnd"/>
      <w:r>
        <w:t xml:space="preserve"> Group, a. s. a </w:t>
      </w:r>
      <w:proofErr w:type="spellStart"/>
      <w:r>
        <w:t>Borsay</w:t>
      </w:r>
      <w:proofErr w:type="spellEnd"/>
      <w:r>
        <w:t>, a. s.) mají v současné době nulovou hodnotu. V tuto chvíli jsou přihlášeny do</w:t>
      </w:r>
      <w:r w:rsidR="003332FA">
        <w:t> </w:t>
      </w:r>
      <w:r>
        <w:t xml:space="preserve">insolvenčních řízení pohledávky vůči uvedeným společnostem v celkové hodnotě přes 176 mil. Kč. Zbylý rozdíl činí pohledávky vůči </w:t>
      </w:r>
      <w:proofErr w:type="spellStart"/>
      <w:r>
        <w:t>Key</w:t>
      </w:r>
      <w:proofErr w:type="spellEnd"/>
      <w:r>
        <w:t xml:space="preserve"> </w:t>
      </w:r>
      <w:proofErr w:type="spellStart"/>
      <w:r>
        <w:t>Investments</w:t>
      </w:r>
      <w:proofErr w:type="spellEnd"/>
      <w:r>
        <w:t xml:space="preserve">, a. s., kde majetek dlužníka nepředstavuje hodnotu, z níž by mohl být uhrazen dluh vůči HZZP a JUDr. Janu </w:t>
      </w:r>
      <w:proofErr w:type="spellStart"/>
      <w:r>
        <w:t>Vankemu</w:t>
      </w:r>
      <w:proofErr w:type="spellEnd"/>
      <w:r>
        <w:t>, bývalému správci konkursní podstaty, který zemřel. Ve věci vymáhání této pohledávky soud zjistil pojištění profesní odpovědnosti za škodu bývalého správce konkurzní podstaty u Kooperativy pojišťovny a.s. a MF ve</w:t>
      </w:r>
      <w:r w:rsidR="003332FA">
        <w:t> </w:t>
      </w:r>
      <w:r>
        <w:t xml:space="preserve">spolupráci se současným správcem konkursní podstaty i příslušným soudem zjišťovalo možnosti uspokojení části pohledávky z uzavřeného pojištění. K podání žaloby </w:t>
      </w:r>
      <w:r>
        <w:rPr>
          <w:rFonts w:cs="Times New Roman"/>
          <w:szCs w:val="22"/>
        </w:rPr>
        <w:t xml:space="preserve">současným správcem konkursní podstaty Mgr. </w:t>
      </w:r>
      <w:proofErr w:type="spellStart"/>
      <w:r>
        <w:rPr>
          <w:rFonts w:cs="Times New Roman"/>
          <w:szCs w:val="22"/>
        </w:rPr>
        <w:t>Ubrem</w:t>
      </w:r>
      <w:proofErr w:type="spellEnd"/>
      <w:r>
        <w:rPr>
          <w:rFonts w:cs="Times New Roman"/>
          <w:szCs w:val="22"/>
        </w:rPr>
        <w:t xml:space="preserve"> nakonec nedošlo, neboť v době, kdy nastala událost, která by mohla být označována za pojistnou, již uplynulo pojistné období z uzavřených smluv. Další smlouvy uzavřeny nebyly a JUDr. </w:t>
      </w:r>
      <w:proofErr w:type="spellStart"/>
      <w:r>
        <w:rPr>
          <w:rFonts w:cs="Times New Roman"/>
          <w:szCs w:val="22"/>
        </w:rPr>
        <w:t>Vanke</w:t>
      </w:r>
      <w:proofErr w:type="spellEnd"/>
      <w:r>
        <w:rPr>
          <w:rFonts w:cs="Times New Roman"/>
          <w:szCs w:val="22"/>
        </w:rPr>
        <w:t xml:space="preserve"> tedy v tomto období pojištěn nebyl.</w:t>
      </w:r>
    </w:p>
    <w:p w14:paraId="740D4A2E" w14:textId="77777777" w:rsidR="00902FD8" w:rsidRDefault="002F5961" w:rsidP="00902FD8">
      <w:pPr>
        <w:pStyle w:val="TEXT"/>
        <w:rPr>
          <w:rFonts w:eastAsia="Times New Roman"/>
          <w:b/>
          <w:sz w:val="28"/>
          <w:szCs w:val="28"/>
        </w:rPr>
      </w:pPr>
      <w:r>
        <w:t xml:space="preserve">Vzhledem k tomu, že v pozici věřitele k uvedeným pohledávkám vystupuje v současné době HZZP, není možné ukončit proces její likvidace. HZZP sama již nedisponuje žádnými finančními prostředky s výjimkou těch, které byly na základě výše uvedeného rozvrhového usnesení určeny pro výlohy spojené s vymáháním pohledávek. Usnesením soudu v Ústí nad Labem č. j.: K 8/98-3429 ze dne 13. 3. 2015 byl udělen souhlas s vyplacením zálohy na konkurzní odměnu správci konkurzní podstaty ve výši 400 000 Kč. S ohledem na tyto skutečnosti a snahu o hospodárné využití zbývajících prostředků není od správce konkurzní podstaty vyžadováno zpracování účetních závěrek a jejich ověření auditorem, s výjimkou závěrečné účetní závěrky. Finanční prostředky z běžného účtu ve výši 243 tis. Kč byly převedeny na počátku roku 2017 na účet vedený u ČNB, kde jsou průběžně sledovány. Ukončení likvidace bude možné až po ukončení probíhajících konkurzních řízení, případně podaří-li se najít řešení převodu pohledávek pod MF. </w:t>
      </w:r>
      <w:r w:rsidR="00902FD8">
        <w:br w:type="page"/>
      </w:r>
    </w:p>
    <w:p w14:paraId="3CE3C9B0" w14:textId="77777777" w:rsidR="00902FD8" w:rsidRPr="00215E9F" w:rsidRDefault="00902FD8" w:rsidP="00215E9F">
      <w:pPr>
        <w:pStyle w:val="NADPIS"/>
        <w:spacing w:before="240" w:after="120"/>
        <w:rPr>
          <w:rFonts w:ascii="Arial" w:hAnsi="Arial"/>
        </w:rPr>
      </w:pPr>
      <w:r w:rsidRPr="00215E9F">
        <w:rPr>
          <w:rFonts w:ascii="Arial" w:hAnsi="Arial"/>
        </w:rPr>
        <w:lastRenderedPageBreak/>
        <w:t xml:space="preserve">Vlivy na systém veřejného zdravotního pojištění </w:t>
      </w:r>
    </w:p>
    <w:p w14:paraId="09BD2BE6" w14:textId="77777777" w:rsidR="00902FD8" w:rsidRDefault="00902FD8" w:rsidP="00902FD8">
      <w:pPr>
        <w:pStyle w:val="TEXT"/>
      </w:pPr>
      <w:r>
        <w:t xml:space="preserve">K nejvýznamnějším parametrům s vlivem na hospodaření zdravotních pojišťoven </w:t>
      </w:r>
      <w:r w:rsidR="00054132">
        <w:t xml:space="preserve">v roce 2018 </w:t>
      </w:r>
      <w:r>
        <w:t>patří:</w:t>
      </w:r>
    </w:p>
    <w:p w14:paraId="3949CA8E" w14:textId="77777777" w:rsidR="00902FD8" w:rsidRDefault="00902FD8" w:rsidP="00B9182D">
      <w:pPr>
        <w:pStyle w:val="TEXT"/>
        <w:numPr>
          <w:ilvl w:val="0"/>
          <w:numId w:val="19"/>
        </w:numPr>
        <w:ind w:left="426" w:hanging="426"/>
        <w:rPr>
          <w:rFonts w:cs="Times New Roman"/>
          <w:szCs w:val="22"/>
        </w:rPr>
      </w:pPr>
      <w:r>
        <w:rPr>
          <w:rFonts w:cs="Times New Roman"/>
          <w:szCs w:val="22"/>
        </w:rPr>
        <w:t xml:space="preserve">zvýšení minimální mzdy o 1 </w:t>
      </w:r>
      <w:r w:rsidR="00054132">
        <w:rPr>
          <w:rFonts w:cs="Times New Roman"/>
          <w:szCs w:val="22"/>
        </w:rPr>
        <w:t>2</w:t>
      </w:r>
      <w:r>
        <w:rPr>
          <w:rFonts w:cs="Times New Roman"/>
          <w:szCs w:val="22"/>
        </w:rPr>
        <w:t>00 Kč na částku 1</w:t>
      </w:r>
      <w:r w:rsidR="00054132">
        <w:rPr>
          <w:rFonts w:cs="Times New Roman"/>
          <w:szCs w:val="22"/>
        </w:rPr>
        <w:t>2</w:t>
      </w:r>
      <w:r>
        <w:rPr>
          <w:rFonts w:cs="Times New Roman"/>
          <w:szCs w:val="22"/>
        </w:rPr>
        <w:t xml:space="preserve"> </w:t>
      </w:r>
      <w:r w:rsidR="00054132">
        <w:rPr>
          <w:rFonts w:cs="Times New Roman"/>
          <w:szCs w:val="22"/>
        </w:rPr>
        <w:t>2</w:t>
      </w:r>
      <w:r>
        <w:rPr>
          <w:rFonts w:cs="Times New Roman"/>
          <w:szCs w:val="22"/>
        </w:rPr>
        <w:t>00 Kč od 1. 1. 201</w:t>
      </w:r>
      <w:r w:rsidR="00054132">
        <w:rPr>
          <w:rFonts w:cs="Times New Roman"/>
          <w:szCs w:val="22"/>
        </w:rPr>
        <w:t>8</w:t>
      </w:r>
      <w:r>
        <w:rPr>
          <w:rFonts w:cs="Times New Roman"/>
          <w:szCs w:val="22"/>
        </w:rPr>
        <w:t xml:space="preserve">, měsíční pojistné OBZP tak činilo 1 </w:t>
      </w:r>
      <w:r w:rsidR="00054132">
        <w:rPr>
          <w:rFonts w:cs="Times New Roman"/>
          <w:szCs w:val="22"/>
        </w:rPr>
        <w:t xml:space="preserve">647 </w:t>
      </w:r>
      <w:r>
        <w:rPr>
          <w:rFonts w:cs="Times New Roman"/>
          <w:szCs w:val="22"/>
        </w:rPr>
        <w:t xml:space="preserve">Kč (nařízení vlády č. </w:t>
      </w:r>
      <w:r w:rsidR="00054132" w:rsidRPr="00054132">
        <w:rPr>
          <w:rFonts w:cs="Times New Roman"/>
          <w:szCs w:val="22"/>
        </w:rPr>
        <w:t xml:space="preserve">286/2017 </w:t>
      </w:r>
      <w:r>
        <w:rPr>
          <w:rFonts w:cs="Times New Roman"/>
          <w:szCs w:val="22"/>
        </w:rPr>
        <w:t>Sb.), zvýšil se tím i minimální vyměřovací základ pro zaměstnance,</w:t>
      </w:r>
    </w:p>
    <w:p w14:paraId="5EEC85AC" w14:textId="77777777" w:rsidR="00902FD8" w:rsidRDefault="00902FD8" w:rsidP="00902FD8">
      <w:pPr>
        <w:pStyle w:val="TEXT"/>
        <w:numPr>
          <w:ilvl w:val="0"/>
          <w:numId w:val="19"/>
        </w:numPr>
        <w:ind w:left="426" w:hanging="426"/>
        <w:rPr>
          <w:rFonts w:cs="Times New Roman"/>
          <w:szCs w:val="22"/>
        </w:rPr>
      </w:pPr>
      <w:r>
        <w:rPr>
          <w:rFonts w:cs="Times New Roman"/>
          <w:szCs w:val="22"/>
        </w:rPr>
        <w:t>roční maximální vyměřovací základ pro osoby samostatně výdělečně činné a zaměstnance nebyl ani v roce 201</w:t>
      </w:r>
      <w:r w:rsidR="00054132">
        <w:rPr>
          <w:rFonts w:cs="Times New Roman"/>
          <w:szCs w:val="22"/>
        </w:rPr>
        <w:t>8</w:t>
      </w:r>
      <w:r>
        <w:rPr>
          <w:rFonts w:cs="Times New Roman"/>
          <w:szCs w:val="22"/>
        </w:rPr>
        <w:t xml:space="preserve"> </w:t>
      </w:r>
      <w:proofErr w:type="spellStart"/>
      <w:r>
        <w:rPr>
          <w:rFonts w:cs="Times New Roman"/>
          <w:szCs w:val="22"/>
        </w:rPr>
        <w:t>zastropován</w:t>
      </w:r>
      <w:proofErr w:type="spellEnd"/>
      <w:r>
        <w:rPr>
          <w:rFonts w:cs="Times New Roman"/>
          <w:szCs w:val="22"/>
        </w:rPr>
        <w:t>,</w:t>
      </w:r>
    </w:p>
    <w:p w14:paraId="32D0FA64" w14:textId="77777777" w:rsidR="00054132" w:rsidRDefault="00902FD8" w:rsidP="00054132">
      <w:pPr>
        <w:pStyle w:val="TEXT"/>
        <w:numPr>
          <w:ilvl w:val="0"/>
          <w:numId w:val="19"/>
        </w:numPr>
        <w:ind w:left="426" w:hanging="426"/>
      </w:pPr>
      <w:r>
        <w:rPr>
          <w:rFonts w:ascii="Arial" w:hAnsi="Arial"/>
          <w:color w:val="333333"/>
          <w:sz w:val="20"/>
          <w:szCs w:val="20"/>
        </w:rPr>
        <w:t>o</w:t>
      </w:r>
      <w:r>
        <w:t>d 1. 1. 201</w:t>
      </w:r>
      <w:r w:rsidR="00054132">
        <w:t>8</w:t>
      </w:r>
      <w:r>
        <w:t xml:space="preserve"> se zvýšila platba za pojištěnce, za které je plátcem pojistného stát, o </w:t>
      </w:r>
      <w:r w:rsidR="00054132">
        <w:t>49 </w:t>
      </w:r>
      <w:r>
        <w:t>Kč na </w:t>
      </w:r>
      <w:r w:rsidR="00054132">
        <w:t>969 </w:t>
      </w:r>
      <w:r>
        <w:t xml:space="preserve">Kč (nařízení vlády č. </w:t>
      </w:r>
      <w:r w:rsidR="00054132">
        <w:t xml:space="preserve">140/2017 </w:t>
      </w:r>
      <w:r>
        <w:t>Sb.) měsíčně. Tato výše platby byla platná po celý rok 201</w:t>
      </w:r>
      <w:r w:rsidR="00054132">
        <w:t>8</w:t>
      </w:r>
      <w:r>
        <w:t xml:space="preserve">. </w:t>
      </w:r>
      <w:r>
        <w:rPr>
          <w:noProof/>
        </w:rPr>
        <w:t>Platba ze státního rozpočtu do systému v. z. p. v poměru k HDP</w:t>
      </w:r>
      <w:r>
        <w:t xml:space="preserve"> je patrná z následujícího grafu, mírný pokles tohoto poměru je i přes absolutní nárůst platby státu způsoben vyšším růstem HDP (</w:t>
      </w:r>
      <w:r>
        <w:rPr>
          <w:i/>
        </w:rPr>
        <w:t>Obr. 12</w:t>
      </w:r>
      <w:r>
        <w:t>).</w:t>
      </w:r>
      <w:r w:rsidR="00B9182D">
        <w:rPr>
          <w:rStyle w:val="Znakapoznpodarou"/>
        </w:rPr>
        <w:footnoteReference w:id="7"/>
      </w:r>
    </w:p>
    <w:p w14:paraId="16229F2E" w14:textId="77777777" w:rsidR="00902FD8" w:rsidRDefault="00902FD8" w:rsidP="006C7011">
      <w:pPr>
        <w:pStyle w:val="TABOBR"/>
        <w:spacing w:before="360" w:after="200"/>
        <w:rPr>
          <w:noProof/>
        </w:rPr>
      </w:pPr>
      <w:r>
        <w:rPr>
          <w:noProof/>
        </w:rPr>
        <w:t>Obr. 12 – Platba ze státního rozpočtu do systému v. z. p. v poměru k</w:t>
      </w:r>
      <w:r w:rsidR="006C3FC5">
        <w:rPr>
          <w:noProof/>
        </w:rPr>
        <w:t> </w:t>
      </w:r>
      <w:r>
        <w:rPr>
          <w:noProof/>
        </w:rPr>
        <w:t>HDP</w:t>
      </w:r>
    </w:p>
    <w:p w14:paraId="49415AD0" w14:textId="77777777" w:rsidR="00B36743" w:rsidRDefault="00B36743" w:rsidP="00902FD8">
      <w:pPr>
        <w:jc w:val="center"/>
      </w:pPr>
      <w:r>
        <w:rPr>
          <w:noProof/>
          <w:lang w:eastAsia="cs-CZ"/>
        </w:rPr>
        <w:drawing>
          <wp:inline distT="0" distB="0" distL="0" distR="0" wp14:anchorId="6601604B" wp14:editId="5DD8065E">
            <wp:extent cx="5336274" cy="2805197"/>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29589" cy="2801683"/>
                    </a:xfrm>
                    <a:prstGeom prst="rect">
                      <a:avLst/>
                    </a:prstGeom>
                    <a:noFill/>
                  </pic:spPr>
                </pic:pic>
              </a:graphicData>
            </a:graphic>
          </wp:inline>
        </w:drawing>
      </w:r>
    </w:p>
    <w:p w14:paraId="6B45B2C1" w14:textId="77777777" w:rsidR="00902FD8" w:rsidRDefault="00902FD8" w:rsidP="00902FD8">
      <w:pPr>
        <w:rPr>
          <w:rFonts w:eastAsia="Times New Roman" w:cs="Arial"/>
          <w:b/>
          <w:sz w:val="28"/>
          <w:szCs w:val="28"/>
          <w:lang w:eastAsia="cs-CZ"/>
        </w:rPr>
      </w:pPr>
      <w:r>
        <w:br w:type="page"/>
      </w:r>
    </w:p>
    <w:p w14:paraId="6BE7841B" w14:textId="77777777" w:rsidR="00C158FF" w:rsidRPr="00215E9F" w:rsidRDefault="00C158FF" w:rsidP="00215E9F">
      <w:pPr>
        <w:pStyle w:val="NADPIS"/>
        <w:spacing w:before="240" w:after="120"/>
        <w:rPr>
          <w:rFonts w:ascii="Arial" w:hAnsi="Arial"/>
          <w:b w:val="0"/>
        </w:rPr>
      </w:pPr>
      <w:r w:rsidRPr="00215E9F">
        <w:rPr>
          <w:rFonts w:ascii="Arial" w:hAnsi="Arial"/>
        </w:rPr>
        <w:lastRenderedPageBreak/>
        <w:t xml:space="preserve">Celkové náklady na zdravotní služby </w:t>
      </w:r>
    </w:p>
    <w:p w14:paraId="2BC3F286" w14:textId="4D6AAC33" w:rsidR="00795F87" w:rsidRDefault="0058741F" w:rsidP="00795F87">
      <w:pPr>
        <w:pStyle w:val="TEXT"/>
      </w:pPr>
      <w:r w:rsidRPr="00795F87">
        <w:rPr>
          <w:rFonts w:eastAsia="Times New Roman"/>
          <w:b/>
        </w:rPr>
        <w:t xml:space="preserve">Celkové náklady na zdravotní služby </w:t>
      </w:r>
      <w:r w:rsidR="006832A5">
        <w:rPr>
          <w:rFonts w:eastAsia="Times New Roman"/>
          <w:b/>
        </w:rPr>
        <w:t xml:space="preserve">za všechny ZP činily </w:t>
      </w:r>
      <w:r w:rsidR="009601F0">
        <w:rPr>
          <w:rFonts w:eastAsia="Times New Roman"/>
          <w:b/>
        </w:rPr>
        <w:t>286,40</w:t>
      </w:r>
      <w:r w:rsidR="009601F0" w:rsidRPr="00497ADF">
        <w:rPr>
          <w:rFonts w:eastAsia="Times New Roman"/>
        </w:rPr>
        <w:t xml:space="preserve"> mld. Kč</w:t>
      </w:r>
      <w:r w:rsidR="009601F0">
        <w:t>. Z toho c</w:t>
      </w:r>
      <w:r w:rsidR="00795F87" w:rsidRPr="00795F87">
        <w:rPr>
          <w:rFonts w:eastAsia="Times New Roman"/>
          <w:b/>
        </w:rPr>
        <w:t>elkové náklady na zdravotní služby čerpané z oddílu A základního fondu zdravotního pojištění</w:t>
      </w:r>
      <w:r>
        <w:rPr>
          <w:rFonts w:eastAsia="Times New Roman"/>
          <w:b/>
        </w:rPr>
        <w:t xml:space="preserve"> (ZFZP)</w:t>
      </w:r>
      <w:r w:rsidR="00795F87" w:rsidRPr="00795F87">
        <w:rPr>
          <w:rFonts w:eastAsia="Times New Roman"/>
          <w:b/>
        </w:rPr>
        <w:t xml:space="preserve"> </w:t>
      </w:r>
      <w:r w:rsidR="00795F87" w:rsidRPr="00795F87">
        <w:t>jsou uvedeny včetně dohadných položek a finančních prostředků podle § 16b zákona č. 48/1997 Sb. (vratek při překročení limitu započitatelných doplatků na léčivé přípravky a potraviny pro zvláštní lékařské účely), a představovaly nárok</w:t>
      </w:r>
      <w:r w:rsidR="00385E97">
        <w:t>y</w:t>
      </w:r>
      <w:r w:rsidR="00795F87" w:rsidRPr="00795F87">
        <w:t xml:space="preserve"> PZS za poskytnuté zdravotní služby v roce 2018 ve </w:t>
      </w:r>
      <w:r w:rsidR="00795F87" w:rsidRPr="00497ADF">
        <w:t xml:space="preserve">výši </w:t>
      </w:r>
      <w:r w:rsidR="00795F87" w:rsidRPr="00497ADF">
        <w:rPr>
          <w:rFonts w:eastAsia="Times New Roman"/>
        </w:rPr>
        <w:t>2</w:t>
      </w:r>
      <w:r w:rsidR="00497ADF" w:rsidRPr="00497ADF">
        <w:rPr>
          <w:rFonts w:eastAsia="Times New Roman"/>
        </w:rPr>
        <w:t>85</w:t>
      </w:r>
      <w:r w:rsidR="00795F87" w:rsidRPr="00497ADF">
        <w:rPr>
          <w:rFonts w:eastAsia="Times New Roman"/>
        </w:rPr>
        <w:t>,</w:t>
      </w:r>
      <w:r w:rsidR="00497ADF" w:rsidRPr="00497ADF">
        <w:rPr>
          <w:rFonts w:eastAsia="Times New Roman"/>
        </w:rPr>
        <w:t>30</w:t>
      </w:r>
      <w:r w:rsidR="00030D99">
        <w:rPr>
          <w:rFonts w:eastAsia="Times New Roman"/>
        </w:rPr>
        <w:t> </w:t>
      </w:r>
      <w:r w:rsidR="00795F87" w:rsidRPr="00497ADF">
        <w:rPr>
          <w:rFonts w:eastAsia="Times New Roman"/>
        </w:rPr>
        <w:t>mld. Kč. Došlo k výraznějšímu m</w:t>
      </w:r>
      <w:r w:rsidR="00795F87" w:rsidRPr="00497ADF">
        <w:rPr>
          <w:rFonts w:eastAsia="SimSun"/>
        </w:rPr>
        <w:t>eziročn</w:t>
      </w:r>
      <w:r w:rsidR="00497ADF" w:rsidRPr="00497ADF">
        <w:rPr>
          <w:rFonts w:eastAsia="SimSun"/>
        </w:rPr>
        <w:t>ímu nárůstu celkových nákladů</w:t>
      </w:r>
      <w:r>
        <w:rPr>
          <w:rFonts w:eastAsia="SimSun"/>
        </w:rPr>
        <w:t xml:space="preserve"> ZFZP</w:t>
      </w:r>
      <w:r w:rsidR="00497ADF" w:rsidRPr="00497ADF">
        <w:rPr>
          <w:rFonts w:eastAsia="SimSun"/>
        </w:rPr>
        <w:t xml:space="preserve"> o </w:t>
      </w:r>
      <w:r w:rsidR="00795F87" w:rsidRPr="00497ADF">
        <w:rPr>
          <w:rFonts w:eastAsia="SimSun"/>
        </w:rPr>
        <w:t>1</w:t>
      </w:r>
      <w:r w:rsidR="00497ADF" w:rsidRPr="00497ADF">
        <w:rPr>
          <w:rFonts w:eastAsia="SimSun"/>
        </w:rPr>
        <w:t>8</w:t>
      </w:r>
      <w:r w:rsidR="00795F87" w:rsidRPr="00497ADF">
        <w:rPr>
          <w:rFonts w:eastAsia="SimSun"/>
        </w:rPr>
        <w:t>,</w:t>
      </w:r>
      <w:r w:rsidR="00497ADF" w:rsidRPr="00497ADF">
        <w:rPr>
          <w:rFonts w:eastAsia="SimSun"/>
        </w:rPr>
        <w:t>05 </w:t>
      </w:r>
      <w:r w:rsidR="00795F87" w:rsidRPr="00497ADF">
        <w:rPr>
          <w:rFonts w:eastAsia="SimSun"/>
        </w:rPr>
        <w:t>mld. Kč, tj. o </w:t>
      </w:r>
      <w:r w:rsidR="00497ADF" w:rsidRPr="00497ADF">
        <w:rPr>
          <w:rFonts w:eastAsia="SimSun"/>
        </w:rPr>
        <w:t>6</w:t>
      </w:r>
      <w:r w:rsidR="00795F87" w:rsidRPr="00497ADF">
        <w:rPr>
          <w:rFonts w:eastAsia="SimSun"/>
        </w:rPr>
        <w:t>,</w:t>
      </w:r>
      <w:r w:rsidR="00497ADF" w:rsidRPr="00497ADF">
        <w:rPr>
          <w:rFonts w:eastAsia="SimSun"/>
        </w:rPr>
        <w:t>8</w:t>
      </w:r>
      <w:r w:rsidR="00795F87" w:rsidRPr="00497ADF">
        <w:rPr>
          <w:rFonts w:eastAsia="SimSun"/>
        </w:rPr>
        <w:t xml:space="preserve"> %</w:t>
      </w:r>
      <w:r w:rsidR="00497ADF" w:rsidRPr="00497ADF">
        <w:rPr>
          <w:rFonts w:eastAsia="SimSun"/>
        </w:rPr>
        <w:t xml:space="preserve"> </w:t>
      </w:r>
      <w:r w:rsidR="00497ADF" w:rsidRPr="00497ADF">
        <w:t>(</w:t>
      </w:r>
      <w:r w:rsidR="00497ADF" w:rsidRPr="00497ADF">
        <w:rPr>
          <w:i/>
        </w:rPr>
        <w:t>Tabulka č. 8 a 9</w:t>
      </w:r>
      <w:r w:rsidR="00497ADF" w:rsidRPr="00497ADF">
        <w:t xml:space="preserve"> a Obr. 13)</w:t>
      </w:r>
      <w:r w:rsidR="00795F87" w:rsidRPr="00497ADF">
        <w:rPr>
          <w:rFonts w:eastAsia="SimSun"/>
        </w:rPr>
        <w:t>.</w:t>
      </w:r>
      <w:r w:rsidR="00795F87">
        <w:rPr>
          <w:rFonts w:eastAsia="SimSun"/>
        </w:rPr>
        <w:t xml:space="preserve"> Z výše uvedeného celkového nárůstu </w:t>
      </w:r>
      <w:r w:rsidR="009601F0" w:rsidRPr="00497ADF">
        <w:rPr>
          <w:rFonts w:eastAsia="SimSun"/>
        </w:rPr>
        <w:t>nákladů</w:t>
      </w:r>
      <w:r w:rsidR="009601F0">
        <w:rPr>
          <w:rFonts w:eastAsia="SimSun"/>
        </w:rPr>
        <w:t xml:space="preserve"> ZFZP</w:t>
      </w:r>
      <w:r w:rsidR="009601F0" w:rsidRPr="00497ADF">
        <w:rPr>
          <w:rFonts w:eastAsia="SimSun"/>
        </w:rPr>
        <w:t xml:space="preserve"> </w:t>
      </w:r>
      <w:r w:rsidR="00795F87">
        <w:rPr>
          <w:rFonts w:eastAsia="SimSun"/>
        </w:rPr>
        <w:t>připadalo na VZP ČR zvýšení nákladů na zdravotní služby o </w:t>
      </w:r>
      <w:r w:rsidR="004827DA">
        <w:rPr>
          <w:rFonts w:eastAsia="SimSun"/>
        </w:rPr>
        <w:t>10</w:t>
      </w:r>
      <w:r w:rsidR="00795F87">
        <w:rPr>
          <w:rFonts w:eastAsia="SimSun"/>
        </w:rPr>
        <w:t>,</w:t>
      </w:r>
      <w:r w:rsidR="004827DA">
        <w:rPr>
          <w:rFonts w:eastAsia="SimSun"/>
        </w:rPr>
        <w:t>46</w:t>
      </w:r>
      <w:r w:rsidR="00795F87">
        <w:rPr>
          <w:rFonts w:eastAsia="SimSun"/>
        </w:rPr>
        <w:t xml:space="preserve"> mld. Kč, u ZZP vzrostly náklady na zdravotní služby meziročně o </w:t>
      </w:r>
      <w:r w:rsidR="004827DA">
        <w:rPr>
          <w:rFonts w:eastAsia="SimSun"/>
        </w:rPr>
        <w:t>7,59</w:t>
      </w:r>
      <w:r w:rsidR="00795F87">
        <w:rPr>
          <w:rFonts w:eastAsia="SimSun"/>
        </w:rPr>
        <w:t xml:space="preserve"> mld. Kč. </w:t>
      </w:r>
      <w:r w:rsidR="00795F87">
        <w:t>Oproti ZPP 201</w:t>
      </w:r>
      <w:r w:rsidR="00885A01">
        <w:t>8</w:t>
      </w:r>
      <w:r w:rsidR="00795F87">
        <w:t xml:space="preserve"> pak celkové náklady</w:t>
      </w:r>
      <w:r w:rsidR="009601F0" w:rsidRPr="009601F0">
        <w:rPr>
          <w:rFonts w:eastAsia="SimSun"/>
        </w:rPr>
        <w:t xml:space="preserve"> </w:t>
      </w:r>
      <w:r w:rsidR="009601F0">
        <w:rPr>
          <w:rFonts w:eastAsia="SimSun"/>
        </w:rPr>
        <w:t>ZFZP</w:t>
      </w:r>
      <w:r w:rsidR="00795F87">
        <w:t xml:space="preserve"> </w:t>
      </w:r>
      <w:r w:rsidR="004827DA">
        <w:t>klesly</w:t>
      </w:r>
      <w:r w:rsidR="00795F87">
        <w:t xml:space="preserve"> o</w:t>
      </w:r>
      <w:r w:rsidR="00625C5F">
        <w:t> </w:t>
      </w:r>
      <w:r w:rsidR="00795F87">
        <w:t>0</w:t>
      </w:r>
      <w:r w:rsidR="00795F87">
        <w:rPr>
          <w:rFonts w:eastAsia="SimSun"/>
        </w:rPr>
        <w:t>,</w:t>
      </w:r>
      <w:r w:rsidR="004827DA">
        <w:rPr>
          <w:rFonts w:eastAsia="SimSun"/>
        </w:rPr>
        <w:t>21</w:t>
      </w:r>
      <w:r w:rsidR="00795F87">
        <w:rPr>
          <w:rFonts w:eastAsia="SimSun"/>
        </w:rPr>
        <w:t xml:space="preserve"> mld. Kč, tj. o</w:t>
      </w:r>
      <w:r w:rsidR="00795F87">
        <w:t xml:space="preserve"> 0,1 %.</w:t>
      </w:r>
      <w:r w:rsidR="00795F87">
        <w:rPr>
          <w:rFonts w:eastAsia="SimSun"/>
        </w:rPr>
        <w:t xml:space="preserve"> </w:t>
      </w:r>
      <w:r w:rsidR="00795F87">
        <w:t xml:space="preserve">Hlavní faktory zvyšující dlouhodobě náklady na zdravotní služby jsou především stárnutí populace a postupný nárůst vysoce nákladných zdravotních služeb, nové léčebné postupy a léky. </w:t>
      </w:r>
    </w:p>
    <w:p w14:paraId="173BDC1E" w14:textId="77777777" w:rsidR="008710DB" w:rsidRPr="00297584" w:rsidRDefault="008710DB" w:rsidP="008710DB">
      <w:pPr>
        <w:pStyle w:val="TEXT"/>
      </w:pPr>
      <w:r w:rsidRPr="00A61D57">
        <w:t xml:space="preserve">V objemově největším segmentu </w:t>
      </w:r>
      <w:r w:rsidRPr="00A61D57">
        <w:rPr>
          <w:b/>
        </w:rPr>
        <w:t>lůžkové zdravotní péče</w:t>
      </w:r>
      <w:r w:rsidRPr="00A61D57">
        <w:t xml:space="preserve"> </w:t>
      </w:r>
      <w:r w:rsidR="00734654">
        <w:t>byl</w:t>
      </w:r>
      <w:r w:rsidRPr="00A61D57">
        <w:t xml:space="preserve"> nárůst nákladů o </w:t>
      </w:r>
      <w:r w:rsidR="00734654">
        <w:t>8</w:t>
      </w:r>
      <w:r w:rsidRPr="00A61D57">
        <w:t>,</w:t>
      </w:r>
      <w:r w:rsidR="00734654">
        <w:t>9</w:t>
      </w:r>
      <w:r w:rsidRPr="00A61D57">
        <w:t> % (tj. o 1</w:t>
      </w:r>
      <w:r w:rsidR="00734654">
        <w:t>2</w:t>
      </w:r>
      <w:r w:rsidRPr="00A61D57">
        <w:t>,</w:t>
      </w:r>
      <w:r w:rsidR="00FC54ED">
        <w:t>75</w:t>
      </w:r>
      <w:r w:rsidRPr="00A61D57">
        <w:t> mld. Kč) oproti roku 201</w:t>
      </w:r>
      <w:r w:rsidR="00FC54ED">
        <w:t>7</w:t>
      </w:r>
      <w:r w:rsidRPr="00A61D57">
        <w:t>. U </w:t>
      </w:r>
      <w:r w:rsidRPr="00A61D57">
        <w:rPr>
          <w:b/>
        </w:rPr>
        <w:t>ambulantní péče</w:t>
      </w:r>
      <w:r w:rsidRPr="00A61D57">
        <w:t xml:space="preserve"> </w:t>
      </w:r>
      <w:r w:rsidR="00FC54ED">
        <w:t xml:space="preserve">došlo k </w:t>
      </w:r>
      <w:r w:rsidRPr="00A61D57">
        <w:t>navýšení nákladů celkem o </w:t>
      </w:r>
      <w:r w:rsidR="00FC54ED">
        <w:t>4</w:t>
      </w:r>
      <w:r w:rsidRPr="00A61D57">
        <w:t>,</w:t>
      </w:r>
      <w:r w:rsidR="00FC54ED">
        <w:t>0</w:t>
      </w:r>
      <w:r w:rsidRPr="00A61D57">
        <w:t xml:space="preserve"> % (tj. o </w:t>
      </w:r>
      <w:r w:rsidR="00FC54ED">
        <w:t>2</w:t>
      </w:r>
      <w:r w:rsidRPr="00A61D57">
        <w:t>,</w:t>
      </w:r>
      <w:r w:rsidR="00FC54ED">
        <w:t>92</w:t>
      </w:r>
      <w:r w:rsidRPr="00A61D57">
        <w:t xml:space="preserve"> mld. Kč). U </w:t>
      </w:r>
      <w:r w:rsidRPr="00A61D57">
        <w:rPr>
          <w:b/>
        </w:rPr>
        <w:t>ostatních nákladů</w:t>
      </w:r>
      <w:r w:rsidRPr="00A61D57">
        <w:t xml:space="preserve"> (náklady na lázeňskou léčebně rehabilitační péči, služby v ozdravovnách, přepravu, zdravotnickou záchrannou službu, léky vydané na recepty, zdravotnické prostředky vydané na poukazy, léčení v zahraničí, očkovací látky a finanční prostředky – vratky), </w:t>
      </w:r>
      <w:r w:rsidR="00FC54ED">
        <w:t xml:space="preserve">došlo k </w:t>
      </w:r>
      <w:r w:rsidRPr="00A61D57">
        <w:t>navýšení celkem o </w:t>
      </w:r>
      <w:r w:rsidR="00FC54ED">
        <w:t>4</w:t>
      </w:r>
      <w:r w:rsidRPr="00A61D57">
        <w:t>,</w:t>
      </w:r>
      <w:r w:rsidR="00FC54ED">
        <w:t>5</w:t>
      </w:r>
      <w:r w:rsidRPr="00A61D57">
        <w:t xml:space="preserve"> %, tj. o </w:t>
      </w:r>
      <w:r w:rsidR="00FC54ED">
        <w:t>2</w:t>
      </w:r>
      <w:r w:rsidRPr="00A61D57">
        <w:t>,</w:t>
      </w:r>
      <w:r w:rsidR="00FC54ED">
        <w:t>38</w:t>
      </w:r>
      <w:r w:rsidRPr="00A61D57">
        <w:t xml:space="preserve"> mld. Kč (</w:t>
      </w:r>
      <w:r w:rsidRPr="00A61D57">
        <w:rPr>
          <w:i/>
        </w:rPr>
        <w:t xml:space="preserve">Tabulka č. </w:t>
      </w:r>
      <w:r w:rsidR="00497ADF">
        <w:rPr>
          <w:i/>
        </w:rPr>
        <w:t>8</w:t>
      </w:r>
      <w:r w:rsidRPr="00A61D57">
        <w:t xml:space="preserve"> a </w:t>
      </w:r>
      <w:r w:rsidR="00497ADF">
        <w:t>9</w:t>
      </w:r>
      <w:r w:rsidRPr="00A61D57">
        <w:t xml:space="preserve"> a </w:t>
      </w:r>
      <w:r w:rsidR="00AA654D">
        <w:rPr>
          <w:i/>
        </w:rPr>
        <w:t>Obr.</w:t>
      </w:r>
      <w:r w:rsidR="00AA654D" w:rsidRPr="00A61D57">
        <w:rPr>
          <w:i/>
        </w:rPr>
        <w:t xml:space="preserve"> </w:t>
      </w:r>
      <w:r w:rsidRPr="00A61D57">
        <w:rPr>
          <w:i/>
        </w:rPr>
        <w:t>1</w:t>
      </w:r>
      <w:r w:rsidR="00497ADF">
        <w:rPr>
          <w:i/>
        </w:rPr>
        <w:t>4</w:t>
      </w:r>
      <w:r w:rsidRPr="00A61D57">
        <w:t>).</w:t>
      </w:r>
    </w:p>
    <w:p w14:paraId="6E7831C7" w14:textId="77777777" w:rsidR="000C5307" w:rsidRDefault="000C5307" w:rsidP="000C5307">
      <w:pPr>
        <w:pStyle w:val="TEXT"/>
      </w:pPr>
      <w:r>
        <w:t>Souhrnné hodnocení vývoje nákladů jednotlivých ZP včetně dohadných položek a jejich porovnání s rokem 201</w:t>
      </w:r>
      <w:r w:rsidR="004827DA">
        <w:t>7</w:t>
      </w:r>
      <w:r>
        <w:t xml:space="preserve"> a ZPP 201</w:t>
      </w:r>
      <w:r w:rsidR="004827DA">
        <w:t>8</w:t>
      </w:r>
      <w:r>
        <w:t xml:space="preserve"> poskytuje tabulková příloha </w:t>
      </w:r>
      <w:r>
        <w:rPr>
          <w:i/>
        </w:rPr>
        <w:t>Tabulka č. 3, 3a, 3b a 3c</w:t>
      </w:r>
      <w:r>
        <w:t xml:space="preserve">. </w:t>
      </w:r>
    </w:p>
    <w:p w14:paraId="141A990E" w14:textId="77777777" w:rsidR="00044940" w:rsidRPr="00044940" w:rsidRDefault="00044940" w:rsidP="00044940">
      <w:pPr>
        <w:pStyle w:val="TABOBR"/>
        <w:spacing w:after="60"/>
      </w:pPr>
      <w:r w:rsidRPr="00044940">
        <w:t xml:space="preserve">Tab. 8: Náklady na zdravotní služby </w:t>
      </w:r>
      <w:r w:rsidR="009601F0">
        <w:t xml:space="preserve">ze ZFZP </w:t>
      </w:r>
      <w:r w:rsidRPr="00044940">
        <w:t xml:space="preserve">podle segmentů </w:t>
      </w:r>
    </w:p>
    <w:tbl>
      <w:tblPr>
        <w:tblW w:w="908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635E8D" w:rsidRPr="00635E8D" w14:paraId="1B0CD29A" w14:textId="77777777" w:rsidTr="00635E8D">
        <w:trPr>
          <w:trHeight w:val="600"/>
        </w:trPr>
        <w:tc>
          <w:tcPr>
            <w:tcW w:w="2080" w:type="dxa"/>
            <w:shd w:val="clear" w:color="000000" w:fill="4F81BD"/>
            <w:hideMark/>
          </w:tcPr>
          <w:p w14:paraId="5B6E6801" w14:textId="77777777" w:rsidR="00635E8D" w:rsidRPr="00635E8D" w:rsidRDefault="00635E8D" w:rsidP="00635E8D">
            <w:pPr>
              <w:spacing w:after="0" w:line="240" w:lineRule="auto"/>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Ukazatel</w:t>
            </w:r>
            <w:r w:rsidRPr="00635E8D">
              <w:rPr>
                <w:rFonts w:ascii="Calibri" w:eastAsia="Times New Roman" w:hAnsi="Calibri" w:cs="Times New Roman"/>
                <w:b/>
                <w:bCs/>
                <w:color w:val="FFFFFF"/>
                <w:sz w:val="21"/>
                <w:szCs w:val="21"/>
                <w:lang w:eastAsia="cs-CZ"/>
              </w:rPr>
              <w:br/>
            </w:r>
            <w:r w:rsidRPr="00635E8D">
              <w:rPr>
                <w:rFonts w:ascii="Calibri" w:eastAsia="Times New Roman" w:hAnsi="Calibri" w:cs="Times New Roman"/>
                <w:color w:val="FFFFFF"/>
                <w:sz w:val="21"/>
                <w:szCs w:val="21"/>
                <w:lang w:eastAsia="cs-CZ"/>
              </w:rPr>
              <w:t>(v mil. Kč)</w:t>
            </w:r>
          </w:p>
        </w:tc>
        <w:tc>
          <w:tcPr>
            <w:tcW w:w="1000" w:type="dxa"/>
            <w:shd w:val="clear" w:color="000000" w:fill="6691C6"/>
            <w:noWrap/>
            <w:hideMark/>
          </w:tcPr>
          <w:p w14:paraId="3598D7DD"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2013</w:t>
            </w:r>
          </w:p>
        </w:tc>
        <w:tc>
          <w:tcPr>
            <w:tcW w:w="1000" w:type="dxa"/>
            <w:shd w:val="clear" w:color="000000" w:fill="4F81BD"/>
            <w:noWrap/>
            <w:hideMark/>
          </w:tcPr>
          <w:p w14:paraId="439E0989"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2014</w:t>
            </w:r>
          </w:p>
        </w:tc>
        <w:tc>
          <w:tcPr>
            <w:tcW w:w="1000" w:type="dxa"/>
            <w:shd w:val="clear" w:color="000000" w:fill="6691C6"/>
            <w:noWrap/>
            <w:hideMark/>
          </w:tcPr>
          <w:p w14:paraId="20E094DA"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2015</w:t>
            </w:r>
          </w:p>
        </w:tc>
        <w:tc>
          <w:tcPr>
            <w:tcW w:w="1000" w:type="dxa"/>
            <w:shd w:val="clear" w:color="000000" w:fill="4F81BD"/>
            <w:noWrap/>
            <w:hideMark/>
          </w:tcPr>
          <w:p w14:paraId="62BB3EFE"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2016</w:t>
            </w:r>
          </w:p>
        </w:tc>
        <w:tc>
          <w:tcPr>
            <w:tcW w:w="1000" w:type="dxa"/>
            <w:shd w:val="clear" w:color="000000" w:fill="6691C6"/>
            <w:noWrap/>
            <w:hideMark/>
          </w:tcPr>
          <w:p w14:paraId="446C8145"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2017</w:t>
            </w:r>
          </w:p>
        </w:tc>
        <w:tc>
          <w:tcPr>
            <w:tcW w:w="1000" w:type="dxa"/>
            <w:shd w:val="clear" w:color="000000" w:fill="4F81BD"/>
            <w:hideMark/>
          </w:tcPr>
          <w:p w14:paraId="11A81C98"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2018</w:t>
            </w:r>
            <w:r w:rsidRPr="00635E8D">
              <w:rPr>
                <w:rFonts w:ascii="Calibri" w:eastAsia="Times New Roman" w:hAnsi="Calibri" w:cs="Times New Roman"/>
                <w:b/>
                <w:bCs/>
                <w:color w:val="FFFFFF"/>
                <w:sz w:val="21"/>
                <w:szCs w:val="21"/>
                <w:lang w:eastAsia="cs-CZ"/>
              </w:rPr>
              <w:br/>
            </w:r>
            <w:r w:rsidRPr="00635E8D">
              <w:rPr>
                <w:rFonts w:ascii="Calibri" w:eastAsia="Times New Roman" w:hAnsi="Calibri" w:cs="Times New Roman"/>
                <w:color w:val="FFFFFF"/>
                <w:sz w:val="21"/>
                <w:szCs w:val="21"/>
                <w:lang w:eastAsia="cs-CZ"/>
              </w:rPr>
              <w:t>ZPP</w:t>
            </w:r>
          </w:p>
        </w:tc>
        <w:tc>
          <w:tcPr>
            <w:tcW w:w="1000" w:type="dxa"/>
            <w:shd w:val="clear" w:color="000000" w:fill="6691C6"/>
            <w:noWrap/>
            <w:hideMark/>
          </w:tcPr>
          <w:p w14:paraId="795DB59A"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2018</w:t>
            </w:r>
          </w:p>
        </w:tc>
      </w:tr>
      <w:tr w:rsidR="00635E8D" w:rsidRPr="00635E8D" w14:paraId="523EB5DD" w14:textId="77777777" w:rsidTr="00635E8D">
        <w:trPr>
          <w:trHeight w:val="559"/>
        </w:trPr>
        <w:tc>
          <w:tcPr>
            <w:tcW w:w="2080" w:type="dxa"/>
            <w:shd w:val="clear" w:color="auto" w:fill="auto"/>
            <w:vAlign w:val="bottom"/>
            <w:hideMark/>
          </w:tcPr>
          <w:p w14:paraId="55F828F3" w14:textId="77777777" w:rsidR="00635E8D" w:rsidRPr="00635E8D" w:rsidRDefault="00635E8D" w:rsidP="00635E8D">
            <w:pPr>
              <w:spacing w:after="0" w:line="240" w:lineRule="auto"/>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 xml:space="preserve">Náklady na </w:t>
            </w:r>
            <w:r w:rsidRPr="00635E8D">
              <w:rPr>
                <w:rFonts w:ascii="Calibri" w:eastAsia="Times New Roman" w:hAnsi="Calibri" w:cs="Times New Roman"/>
                <w:b/>
                <w:bCs/>
                <w:color w:val="000000"/>
                <w:sz w:val="21"/>
                <w:szCs w:val="21"/>
                <w:lang w:eastAsia="cs-CZ"/>
              </w:rPr>
              <w:br/>
              <w:t>ambulantní péči</w:t>
            </w:r>
          </w:p>
        </w:tc>
        <w:tc>
          <w:tcPr>
            <w:tcW w:w="1000" w:type="dxa"/>
            <w:shd w:val="clear" w:color="000000" w:fill="DCE6F1"/>
            <w:noWrap/>
            <w:vAlign w:val="bottom"/>
            <w:hideMark/>
          </w:tcPr>
          <w:p w14:paraId="2C47C54D"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60 059</w:t>
            </w:r>
          </w:p>
        </w:tc>
        <w:tc>
          <w:tcPr>
            <w:tcW w:w="1000" w:type="dxa"/>
            <w:shd w:val="clear" w:color="auto" w:fill="auto"/>
            <w:noWrap/>
            <w:vAlign w:val="bottom"/>
            <w:hideMark/>
          </w:tcPr>
          <w:p w14:paraId="5868D856"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62 669</w:t>
            </w:r>
          </w:p>
        </w:tc>
        <w:tc>
          <w:tcPr>
            <w:tcW w:w="1000" w:type="dxa"/>
            <w:shd w:val="clear" w:color="000000" w:fill="DCE6F1"/>
            <w:noWrap/>
            <w:vAlign w:val="bottom"/>
            <w:hideMark/>
          </w:tcPr>
          <w:p w14:paraId="49405261"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64 829</w:t>
            </w:r>
          </w:p>
        </w:tc>
        <w:tc>
          <w:tcPr>
            <w:tcW w:w="1000" w:type="dxa"/>
            <w:shd w:val="clear" w:color="auto" w:fill="auto"/>
            <w:noWrap/>
            <w:vAlign w:val="bottom"/>
            <w:hideMark/>
          </w:tcPr>
          <w:p w14:paraId="43A525BC"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69 248</w:t>
            </w:r>
          </w:p>
        </w:tc>
        <w:tc>
          <w:tcPr>
            <w:tcW w:w="1000" w:type="dxa"/>
            <w:shd w:val="clear" w:color="000000" w:fill="DCE6F1"/>
            <w:noWrap/>
            <w:vAlign w:val="bottom"/>
            <w:hideMark/>
          </w:tcPr>
          <w:p w14:paraId="31A5769D"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72 172</w:t>
            </w:r>
          </w:p>
        </w:tc>
        <w:tc>
          <w:tcPr>
            <w:tcW w:w="1000" w:type="dxa"/>
            <w:shd w:val="clear" w:color="auto" w:fill="auto"/>
            <w:noWrap/>
            <w:vAlign w:val="bottom"/>
            <w:hideMark/>
          </w:tcPr>
          <w:p w14:paraId="33C42C4B"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75 144</w:t>
            </w:r>
          </w:p>
        </w:tc>
        <w:tc>
          <w:tcPr>
            <w:tcW w:w="1000" w:type="dxa"/>
            <w:shd w:val="clear" w:color="000000" w:fill="DCE6F1"/>
            <w:noWrap/>
            <w:vAlign w:val="bottom"/>
            <w:hideMark/>
          </w:tcPr>
          <w:p w14:paraId="07E40920"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75 094</w:t>
            </w:r>
          </w:p>
        </w:tc>
      </w:tr>
      <w:tr w:rsidR="00635E8D" w:rsidRPr="00635E8D" w14:paraId="48B582DC" w14:textId="77777777" w:rsidTr="00635E8D">
        <w:trPr>
          <w:trHeight w:val="559"/>
        </w:trPr>
        <w:tc>
          <w:tcPr>
            <w:tcW w:w="2080" w:type="dxa"/>
            <w:shd w:val="clear" w:color="000000" w:fill="EEF3F8"/>
            <w:vAlign w:val="bottom"/>
            <w:hideMark/>
          </w:tcPr>
          <w:p w14:paraId="4AD3C3B0" w14:textId="77777777" w:rsidR="00635E8D" w:rsidRPr="00635E8D" w:rsidRDefault="00635E8D" w:rsidP="00635E8D">
            <w:pPr>
              <w:spacing w:after="0" w:line="240" w:lineRule="auto"/>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 xml:space="preserve">Náklady na </w:t>
            </w:r>
            <w:r w:rsidRPr="00635E8D">
              <w:rPr>
                <w:rFonts w:ascii="Calibri" w:eastAsia="Times New Roman" w:hAnsi="Calibri" w:cs="Times New Roman"/>
                <w:b/>
                <w:bCs/>
                <w:color w:val="000000"/>
                <w:sz w:val="21"/>
                <w:szCs w:val="21"/>
                <w:lang w:eastAsia="cs-CZ"/>
              </w:rPr>
              <w:br/>
              <w:t>lůžkovou péči</w:t>
            </w:r>
          </w:p>
        </w:tc>
        <w:tc>
          <w:tcPr>
            <w:tcW w:w="1000" w:type="dxa"/>
            <w:shd w:val="clear" w:color="000000" w:fill="EEF3F8"/>
            <w:noWrap/>
            <w:vAlign w:val="bottom"/>
            <w:hideMark/>
          </w:tcPr>
          <w:p w14:paraId="39072010"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112 742</w:t>
            </w:r>
          </w:p>
        </w:tc>
        <w:tc>
          <w:tcPr>
            <w:tcW w:w="1000" w:type="dxa"/>
            <w:shd w:val="clear" w:color="000000" w:fill="EEF3F8"/>
            <w:noWrap/>
            <w:vAlign w:val="bottom"/>
            <w:hideMark/>
          </w:tcPr>
          <w:p w14:paraId="6165D995"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122 547</w:t>
            </w:r>
          </w:p>
        </w:tc>
        <w:tc>
          <w:tcPr>
            <w:tcW w:w="1000" w:type="dxa"/>
            <w:shd w:val="clear" w:color="000000" w:fill="EEF3F8"/>
            <w:noWrap/>
            <w:vAlign w:val="bottom"/>
            <w:hideMark/>
          </w:tcPr>
          <w:p w14:paraId="1B5905D1"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127 454</w:t>
            </w:r>
          </w:p>
        </w:tc>
        <w:tc>
          <w:tcPr>
            <w:tcW w:w="1000" w:type="dxa"/>
            <w:shd w:val="clear" w:color="000000" w:fill="EEF3F8"/>
            <w:noWrap/>
            <w:vAlign w:val="bottom"/>
            <w:hideMark/>
          </w:tcPr>
          <w:p w14:paraId="4140F0DA"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132 958</w:t>
            </w:r>
          </w:p>
        </w:tc>
        <w:tc>
          <w:tcPr>
            <w:tcW w:w="1000" w:type="dxa"/>
            <w:shd w:val="clear" w:color="000000" w:fill="EEF3F8"/>
            <w:noWrap/>
            <w:vAlign w:val="bottom"/>
            <w:hideMark/>
          </w:tcPr>
          <w:p w14:paraId="7364B16F"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142 610</w:t>
            </w:r>
          </w:p>
        </w:tc>
        <w:tc>
          <w:tcPr>
            <w:tcW w:w="1000" w:type="dxa"/>
            <w:shd w:val="clear" w:color="000000" w:fill="EEF3F8"/>
            <w:noWrap/>
            <w:vAlign w:val="bottom"/>
            <w:hideMark/>
          </w:tcPr>
          <w:p w14:paraId="78F7F225"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155 650</w:t>
            </w:r>
          </w:p>
        </w:tc>
        <w:tc>
          <w:tcPr>
            <w:tcW w:w="1000" w:type="dxa"/>
            <w:shd w:val="clear" w:color="000000" w:fill="EEF3F8"/>
            <w:noWrap/>
            <w:vAlign w:val="bottom"/>
            <w:hideMark/>
          </w:tcPr>
          <w:p w14:paraId="5B117B56"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155 361</w:t>
            </w:r>
          </w:p>
        </w:tc>
      </w:tr>
      <w:tr w:rsidR="00635E8D" w:rsidRPr="00635E8D" w14:paraId="589F239C" w14:textId="77777777" w:rsidTr="00635E8D">
        <w:trPr>
          <w:trHeight w:val="300"/>
        </w:trPr>
        <w:tc>
          <w:tcPr>
            <w:tcW w:w="2080" w:type="dxa"/>
            <w:shd w:val="clear" w:color="auto" w:fill="auto"/>
            <w:vAlign w:val="bottom"/>
            <w:hideMark/>
          </w:tcPr>
          <w:p w14:paraId="766A0BFC" w14:textId="77777777" w:rsidR="00635E8D" w:rsidRPr="00635E8D" w:rsidRDefault="00635E8D" w:rsidP="00635E8D">
            <w:pPr>
              <w:spacing w:after="0" w:line="240" w:lineRule="auto"/>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Ostatní náklady</w:t>
            </w:r>
          </w:p>
        </w:tc>
        <w:tc>
          <w:tcPr>
            <w:tcW w:w="1000" w:type="dxa"/>
            <w:shd w:val="clear" w:color="000000" w:fill="DCE6F1"/>
            <w:noWrap/>
            <w:vAlign w:val="bottom"/>
            <w:hideMark/>
          </w:tcPr>
          <w:p w14:paraId="5D5AA91F"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47 841</w:t>
            </w:r>
          </w:p>
        </w:tc>
        <w:tc>
          <w:tcPr>
            <w:tcW w:w="1000" w:type="dxa"/>
            <w:shd w:val="clear" w:color="auto" w:fill="auto"/>
            <w:noWrap/>
            <w:vAlign w:val="bottom"/>
            <w:hideMark/>
          </w:tcPr>
          <w:p w14:paraId="7A16FDB9"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48 742</w:t>
            </w:r>
          </w:p>
        </w:tc>
        <w:tc>
          <w:tcPr>
            <w:tcW w:w="1000" w:type="dxa"/>
            <w:shd w:val="clear" w:color="000000" w:fill="DCE6F1"/>
            <w:noWrap/>
            <w:vAlign w:val="bottom"/>
            <w:hideMark/>
          </w:tcPr>
          <w:p w14:paraId="5F109EE3"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49 692</w:t>
            </w:r>
          </w:p>
        </w:tc>
        <w:tc>
          <w:tcPr>
            <w:tcW w:w="1000" w:type="dxa"/>
            <w:shd w:val="clear" w:color="auto" w:fill="auto"/>
            <w:noWrap/>
            <w:vAlign w:val="bottom"/>
            <w:hideMark/>
          </w:tcPr>
          <w:p w14:paraId="1BAC4DE6"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51 217</w:t>
            </w:r>
          </w:p>
        </w:tc>
        <w:tc>
          <w:tcPr>
            <w:tcW w:w="1000" w:type="dxa"/>
            <w:shd w:val="clear" w:color="000000" w:fill="DCE6F1"/>
            <w:noWrap/>
            <w:vAlign w:val="bottom"/>
            <w:hideMark/>
          </w:tcPr>
          <w:p w14:paraId="3C352574"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52 469</w:t>
            </w:r>
          </w:p>
        </w:tc>
        <w:tc>
          <w:tcPr>
            <w:tcW w:w="1000" w:type="dxa"/>
            <w:shd w:val="clear" w:color="auto" w:fill="auto"/>
            <w:noWrap/>
            <w:vAlign w:val="bottom"/>
            <w:hideMark/>
          </w:tcPr>
          <w:p w14:paraId="5DEAB61F"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54 716</w:t>
            </w:r>
          </w:p>
        </w:tc>
        <w:tc>
          <w:tcPr>
            <w:tcW w:w="1000" w:type="dxa"/>
            <w:shd w:val="clear" w:color="000000" w:fill="DCE6F1"/>
            <w:noWrap/>
            <w:vAlign w:val="bottom"/>
            <w:hideMark/>
          </w:tcPr>
          <w:p w14:paraId="10599B15"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54 847</w:t>
            </w:r>
          </w:p>
        </w:tc>
      </w:tr>
      <w:tr w:rsidR="00635E8D" w:rsidRPr="00635E8D" w14:paraId="579EC57D" w14:textId="77777777" w:rsidTr="00635E8D">
        <w:trPr>
          <w:trHeight w:val="300"/>
        </w:trPr>
        <w:tc>
          <w:tcPr>
            <w:tcW w:w="2080" w:type="dxa"/>
            <w:shd w:val="clear" w:color="000000" w:fill="EEF3F8"/>
            <w:vAlign w:val="bottom"/>
            <w:hideMark/>
          </w:tcPr>
          <w:p w14:paraId="6C25ED3D" w14:textId="77777777" w:rsidR="00635E8D" w:rsidRPr="00635E8D" w:rsidRDefault="00635E8D" w:rsidP="00635E8D">
            <w:pPr>
              <w:spacing w:after="0" w:line="240" w:lineRule="auto"/>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Celkové náklady</w:t>
            </w:r>
          </w:p>
        </w:tc>
        <w:tc>
          <w:tcPr>
            <w:tcW w:w="1000" w:type="dxa"/>
            <w:shd w:val="clear" w:color="000000" w:fill="EEF3F8"/>
            <w:noWrap/>
            <w:vAlign w:val="bottom"/>
            <w:hideMark/>
          </w:tcPr>
          <w:p w14:paraId="060B27A3"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220 642</w:t>
            </w:r>
          </w:p>
        </w:tc>
        <w:tc>
          <w:tcPr>
            <w:tcW w:w="1000" w:type="dxa"/>
            <w:shd w:val="clear" w:color="000000" w:fill="EEF3F8"/>
            <w:noWrap/>
            <w:vAlign w:val="bottom"/>
            <w:hideMark/>
          </w:tcPr>
          <w:p w14:paraId="74FC5009"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233 959</w:t>
            </w:r>
          </w:p>
        </w:tc>
        <w:tc>
          <w:tcPr>
            <w:tcW w:w="1000" w:type="dxa"/>
            <w:shd w:val="clear" w:color="000000" w:fill="EEF3F8"/>
            <w:noWrap/>
            <w:vAlign w:val="bottom"/>
            <w:hideMark/>
          </w:tcPr>
          <w:p w14:paraId="0E974F7A"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241 975</w:t>
            </w:r>
          </w:p>
        </w:tc>
        <w:tc>
          <w:tcPr>
            <w:tcW w:w="1000" w:type="dxa"/>
            <w:shd w:val="clear" w:color="000000" w:fill="EEF3F8"/>
            <w:noWrap/>
            <w:vAlign w:val="bottom"/>
            <w:hideMark/>
          </w:tcPr>
          <w:p w14:paraId="5DD0A581"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253 424</w:t>
            </w:r>
          </w:p>
        </w:tc>
        <w:tc>
          <w:tcPr>
            <w:tcW w:w="1000" w:type="dxa"/>
            <w:shd w:val="clear" w:color="000000" w:fill="EEF3F8"/>
            <w:noWrap/>
            <w:vAlign w:val="bottom"/>
            <w:hideMark/>
          </w:tcPr>
          <w:p w14:paraId="286A29D2"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267 250</w:t>
            </w:r>
          </w:p>
        </w:tc>
        <w:tc>
          <w:tcPr>
            <w:tcW w:w="1000" w:type="dxa"/>
            <w:shd w:val="clear" w:color="000000" w:fill="EEF3F8"/>
            <w:noWrap/>
            <w:vAlign w:val="bottom"/>
            <w:hideMark/>
          </w:tcPr>
          <w:p w14:paraId="0BD31C9B"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285 510</w:t>
            </w:r>
          </w:p>
        </w:tc>
        <w:tc>
          <w:tcPr>
            <w:tcW w:w="1000" w:type="dxa"/>
            <w:shd w:val="clear" w:color="000000" w:fill="EEF3F8"/>
            <w:noWrap/>
            <w:vAlign w:val="bottom"/>
            <w:hideMark/>
          </w:tcPr>
          <w:p w14:paraId="3CFD2C71"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285 302</w:t>
            </w:r>
          </w:p>
        </w:tc>
      </w:tr>
    </w:tbl>
    <w:p w14:paraId="010B2F78" w14:textId="77777777" w:rsidR="00044940" w:rsidRPr="00044940" w:rsidRDefault="00044940" w:rsidP="00044940">
      <w:pPr>
        <w:pStyle w:val="TABOBR"/>
        <w:spacing w:before="360" w:after="60"/>
      </w:pPr>
      <w:r w:rsidRPr="00044940">
        <w:t>Tab. 9: Vývoj nákladů na zdravotní služby</w:t>
      </w:r>
      <w:r w:rsidR="009601F0">
        <w:t xml:space="preserve"> ze ZFZP</w:t>
      </w:r>
      <w:r w:rsidRPr="00044940">
        <w:t xml:space="preserve"> podle segmentů </w:t>
      </w:r>
    </w:p>
    <w:tbl>
      <w:tblPr>
        <w:tblW w:w="908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635E8D" w:rsidRPr="00635E8D" w14:paraId="6B927812" w14:textId="77777777" w:rsidTr="00635E8D">
        <w:trPr>
          <w:trHeight w:val="600"/>
        </w:trPr>
        <w:tc>
          <w:tcPr>
            <w:tcW w:w="2080" w:type="dxa"/>
            <w:shd w:val="clear" w:color="000000" w:fill="4F81BD"/>
            <w:hideMark/>
          </w:tcPr>
          <w:p w14:paraId="2528C704" w14:textId="77777777" w:rsidR="00635E8D" w:rsidRPr="00635E8D" w:rsidRDefault="00635E8D" w:rsidP="00635E8D">
            <w:pPr>
              <w:spacing w:after="0" w:line="240" w:lineRule="auto"/>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Ukazatel</w:t>
            </w:r>
            <w:r w:rsidRPr="00635E8D">
              <w:rPr>
                <w:rFonts w:ascii="Calibri" w:eastAsia="Times New Roman" w:hAnsi="Calibri" w:cs="Times New Roman"/>
                <w:b/>
                <w:bCs/>
                <w:color w:val="FFFFFF"/>
                <w:sz w:val="21"/>
                <w:szCs w:val="21"/>
                <w:lang w:eastAsia="cs-CZ"/>
              </w:rPr>
              <w:br/>
            </w:r>
            <w:r w:rsidRPr="00635E8D">
              <w:rPr>
                <w:rFonts w:ascii="Calibri" w:eastAsia="Times New Roman" w:hAnsi="Calibri" w:cs="Times New Roman"/>
                <w:color w:val="FFFFFF"/>
                <w:sz w:val="21"/>
                <w:szCs w:val="21"/>
                <w:lang w:eastAsia="cs-CZ"/>
              </w:rPr>
              <w:t>(v %)</w:t>
            </w:r>
          </w:p>
        </w:tc>
        <w:tc>
          <w:tcPr>
            <w:tcW w:w="1000" w:type="dxa"/>
            <w:shd w:val="clear" w:color="000000" w:fill="6691C6"/>
            <w:vAlign w:val="center"/>
            <w:hideMark/>
          </w:tcPr>
          <w:p w14:paraId="2867B5AE"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2013/</w:t>
            </w:r>
            <w:r w:rsidRPr="00635E8D">
              <w:rPr>
                <w:rFonts w:ascii="Calibri" w:eastAsia="Times New Roman" w:hAnsi="Calibri" w:cs="Times New Roman"/>
                <w:b/>
                <w:bCs/>
                <w:color w:val="FFFFFF"/>
                <w:sz w:val="21"/>
                <w:szCs w:val="21"/>
                <w:lang w:eastAsia="cs-CZ"/>
              </w:rPr>
              <w:br/>
              <w:t>2012</w:t>
            </w:r>
          </w:p>
        </w:tc>
        <w:tc>
          <w:tcPr>
            <w:tcW w:w="1000" w:type="dxa"/>
            <w:shd w:val="clear" w:color="000000" w:fill="4F81BD"/>
            <w:vAlign w:val="center"/>
            <w:hideMark/>
          </w:tcPr>
          <w:p w14:paraId="2DB18F4B"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2014/</w:t>
            </w:r>
            <w:r w:rsidRPr="00635E8D">
              <w:rPr>
                <w:rFonts w:ascii="Calibri" w:eastAsia="Times New Roman" w:hAnsi="Calibri" w:cs="Times New Roman"/>
                <w:b/>
                <w:bCs/>
                <w:color w:val="FFFFFF"/>
                <w:sz w:val="21"/>
                <w:szCs w:val="21"/>
                <w:lang w:eastAsia="cs-CZ"/>
              </w:rPr>
              <w:br/>
              <w:t>2013</w:t>
            </w:r>
          </w:p>
        </w:tc>
        <w:tc>
          <w:tcPr>
            <w:tcW w:w="1000" w:type="dxa"/>
            <w:shd w:val="clear" w:color="000000" w:fill="6691C6"/>
            <w:vAlign w:val="center"/>
            <w:hideMark/>
          </w:tcPr>
          <w:p w14:paraId="0FD2FF7C"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2015/</w:t>
            </w:r>
            <w:r w:rsidRPr="00635E8D">
              <w:rPr>
                <w:rFonts w:ascii="Calibri" w:eastAsia="Times New Roman" w:hAnsi="Calibri" w:cs="Times New Roman"/>
                <w:b/>
                <w:bCs/>
                <w:color w:val="FFFFFF"/>
                <w:sz w:val="21"/>
                <w:szCs w:val="21"/>
                <w:lang w:eastAsia="cs-CZ"/>
              </w:rPr>
              <w:br/>
              <w:t>2014</w:t>
            </w:r>
          </w:p>
        </w:tc>
        <w:tc>
          <w:tcPr>
            <w:tcW w:w="1000" w:type="dxa"/>
            <w:shd w:val="clear" w:color="000000" w:fill="4F81BD"/>
            <w:vAlign w:val="center"/>
            <w:hideMark/>
          </w:tcPr>
          <w:p w14:paraId="2CA001F7"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2016/</w:t>
            </w:r>
            <w:r w:rsidRPr="00635E8D">
              <w:rPr>
                <w:rFonts w:ascii="Calibri" w:eastAsia="Times New Roman" w:hAnsi="Calibri" w:cs="Times New Roman"/>
                <w:b/>
                <w:bCs/>
                <w:color w:val="FFFFFF"/>
                <w:sz w:val="21"/>
                <w:szCs w:val="21"/>
                <w:lang w:eastAsia="cs-CZ"/>
              </w:rPr>
              <w:br/>
              <w:t>2015</w:t>
            </w:r>
          </w:p>
        </w:tc>
        <w:tc>
          <w:tcPr>
            <w:tcW w:w="1000" w:type="dxa"/>
            <w:shd w:val="clear" w:color="000000" w:fill="6691C6"/>
            <w:vAlign w:val="center"/>
            <w:hideMark/>
          </w:tcPr>
          <w:p w14:paraId="11782E9F"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2017/</w:t>
            </w:r>
            <w:r w:rsidRPr="00635E8D">
              <w:rPr>
                <w:rFonts w:ascii="Calibri" w:eastAsia="Times New Roman" w:hAnsi="Calibri" w:cs="Times New Roman"/>
                <w:b/>
                <w:bCs/>
                <w:color w:val="FFFFFF"/>
                <w:sz w:val="21"/>
                <w:szCs w:val="21"/>
                <w:lang w:eastAsia="cs-CZ"/>
              </w:rPr>
              <w:br/>
              <w:t>2016</w:t>
            </w:r>
          </w:p>
        </w:tc>
        <w:tc>
          <w:tcPr>
            <w:tcW w:w="1000" w:type="dxa"/>
            <w:shd w:val="clear" w:color="000000" w:fill="4F81BD"/>
            <w:vAlign w:val="center"/>
            <w:hideMark/>
          </w:tcPr>
          <w:p w14:paraId="4AA14957"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ZPP2018/</w:t>
            </w:r>
            <w:r w:rsidRPr="00635E8D">
              <w:rPr>
                <w:rFonts w:ascii="Calibri" w:eastAsia="Times New Roman" w:hAnsi="Calibri" w:cs="Times New Roman"/>
                <w:b/>
                <w:bCs/>
                <w:color w:val="FFFFFF"/>
                <w:sz w:val="21"/>
                <w:szCs w:val="21"/>
                <w:lang w:eastAsia="cs-CZ"/>
              </w:rPr>
              <w:br/>
              <w:t>2017</w:t>
            </w:r>
          </w:p>
        </w:tc>
        <w:tc>
          <w:tcPr>
            <w:tcW w:w="1000" w:type="dxa"/>
            <w:shd w:val="clear" w:color="000000" w:fill="6691C6"/>
            <w:vAlign w:val="center"/>
            <w:hideMark/>
          </w:tcPr>
          <w:p w14:paraId="288759F3" w14:textId="77777777" w:rsidR="00635E8D" w:rsidRPr="00635E8D" w:rsidRDefault="00635E8D" w:rsidP="00635E8D">
            <w:pPr>
              <w:spacing w:after="0" w:line="240" w:lineRule="auto"/>
              <w:jc w:val="center"/>
              <w:rPr>
                <w:rFonts w:ascii="Calibri" w:eastAsia="Times New Roman" w:hAnsi="Calibri" w:cs="Times New Roman"/>
                <w:b/>
                <w:bCs/>
                <w:color w:val="FFFFFF"/>
                <w:sz w:val="21"/>
                <w:szCs w:val="21"/>
                <w:lang w:eastAsia="cs-CZ"/>
              </w:rPr>
            </w:pPr>
            <w:r w:rsidRPr="00635E8D">
              <w:rPr>
                <w:rFonts w:ascii="Calibri" w:eastAsia="Times New Roman" w:hAnsi="Calibri" w:cs="Times New Roman"/>
                <w:b/>
                <w:bCs/>
                <w:color w:val="FFFFFF"/>
                <w:sz w:val="21"/>
                <w:szCs w:val="21"/>
                <w:lang w:eastAsia="cs-CZ"/>
              </w:rPr>
              <w:t>2018/</w:t>
            </w:r>
            <w:r w:rsidRPr="00635E8D">
              <w:rPr>
                <w:rFonts w:ascii="Calibri" w:eastAsia="Times New Roman" w:hAnsi="Calibri" w:cs="Times New Roman"/>
                <w:b/>
                <w:bCs/>
                <w:color w:val="FFFFFF"/>
                <w:sz w:val="21"/>
                <w:szCs w:val="21"/>
                <w:lang w:eastAsia="cs-CZ"/>
              </w:rPr>
              <w:br/>
              <w:t>2017</w:t>
            </w:r>
          </w:p>
        </w:tc>
      </w:tr>
      <w:tr w:rsidR="00635E8D" w:rsidRPr="00635E8D" w14:paraId="5C3467F2" w14:textId="77777777" w:rsidTr="00635E8D">
        <w:trPr>
          <w:trHeight w:val="559"/>
        </w:trPr>
        <w:tc>
          <w:tcPr>
            <w:tcW w:w="2080" w:type="dxa"/>
            <w:shd w:val="clear" w:color="auto" w:fill="auto"/>
            <w:vAlign w:val="bottom"/>
            <w:hideMark/>
          </w:tcPr>
          <w:p w14:paraId="6D153E9A" w14:textId="77777777" w:rsidR="00635E8D" w:rsidRPr="00635E8D" w:rsidRDefault="00635E8D" w:rsidP="00635E8D">
            <w:pPr>
              <w:spacing w:after="0" w:line="240" w:lineRule="auto"/>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 xml:space="preserve">Náklady na </w:t>
            </w:r>
            <w:r w:rsidRPr="00635E8D">
              <w:rPr>
                <w:rFonts w:ascii="Calibri" w:eastAsia="Times New Roman" w:hAnsi="Calibri" w:cs="Times New Roman"/>
                <w:b/>
                <w:bCs/>
                <w:color w:val="000000"/>
                <w:sz w:val="21"/>
                <w:szCs w:val="21"/>
                <w:lang w:eastAsia="cs-CZ"/>
              </w:rPr>
              <w:br/>
              <w:t>ambulantní péči</w:t>
            </w:r>
          </w:p>
        </w:tc>
        <w:tc>
          <w:tcPr>
            <w:tcW w:w="1000" w:type="dxa"/>
            <w:shd w:val="clear" w:color="000000" w:fill="DCE6F1"/>
            <w:noWrap/>
            <w:vAlign w:val="bottom"/>
            <w:hideMark/>
          </w:tcPr>
          <w:p w14:paraId="630F81B8"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102,2</w:t>
            </w:r>
          </w:p>
        </w:tc>
        <w:tc>
          <w:tcPr>
            <w:tcW w:w="1000" w:type="dxa"/>
            <w:shd w:val="clear" w:color="auto" w:fill="auto"/>
            <w:noWrap/>
            <w:vAlign w:val="bottom"/>
            <w:hideMark/>
          </w:tcPr>
          <w:p w14:paraId="64F05FB6"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104,3</w:t>
            </w:r>
          </w:p>
        </w:tc>
        <w:tc>
          <w:tcPr>
            <w:tcW w:w="1000" w:type="dxa"/>
            <w:shd w:val="clear" w:color="000000" w:fill="DCE6F1"/>
            <w:noWrap/>
            <w:vAlign w:val="bottom"/>
            <w:hideMark/>
          </w:tcPr>
          <w:p w14:paraId="7494AA39"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103,4</w:t>
            </w:r>
          </w:p>
        </w:tc>
        <w:tc>
          <w:tcPr>
            <w:tcW w:w="1000" w:type="dxa"/>
            <w:shd w:val="clear" w:color="auto" w:fill="auto"/>
            <w:noWrap/>
            <w:vAlign w:val="bottom"/>
            <w:hideMark/>
          </w:tcPr>
          <w:p w14:paraId="06533623"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106,8</w:t>
            </w:r>
          </w:p>
        </w:tc>
        <w:tc>
          <w:tcPr>
            <w:tcW w:w="1000" w:type="dxa"/>
            <w:shd w:val="clear" w:color="000000" w:fill="DCE6F1"/>
            <w:noWrap/>
            <w:vAlign w:val="bottom"/>
            <w:hideMark/>
          </w:tcPr>
          <w:p w14:paraId="41507FB5"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104,2</w:t>
            </w:r>
          </w:p>
        </w:tc>
        <w:tc>
          <w:tcPr>
            <w:tcW w:w="1000" w:type="dxa"/>
            <w:shd w:val="clear" w:color="auto" w:fill="auto"/>
            <w:noWrap/>
            <w:vAlign w:val="bottom"/>
            <w:hideMark/>
          </w:tcPr>
          <w:p w14:paraId="484015ED"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104,1</w:t>
            </w:r>
          </w:p>
        </w:tc>
        <w:tc>
          <w:tcPr>
            <w:tcW w:w="1000" w:type="dxa"/>
            <w:shd w:val="clear" w:color="000000" w:fill="DCE6F1"/>
            <w:noWrap/>
            <w:vAlign w:val="bottom"/>
            <w:hideMark/>
          </w:tcPr>
          <w:p w14:paraId="5D95F066"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104,0</w:t>
            </w:r>
          </w:p>
        </w:tc>
      </w:tr>
      <w:tr w:rsidR="00635E8D" w:rsidRPr="00635E8D" w14:paraId="182E3485" w14:textId="77777777" w:rsidTr="00635E8D">
        <w:trPr>
          <w:trHeight w:val="559"/>
        </w:trPr>
        <w:tc>
          <w:tcPr>
            <w:tcW w:w="2080" w:type="dxa"/>
            <w:shd w:val="clear" w:color="000000" w:fill="EEF3F8"/>
            <w:vAlign w:val="bottom"/>
            <w:hideMark/>
          </w:tcPr>
          <w:p w14:paraId="6184A885" w14:textId="77777777" w:rsidR="00635E8D" w:rsidRPr="00635E8D" w:rsidRDefault="00635E8D" w:rsidP="00635E8D">
            <w:pPr>
              <w:spacing w:after="0" w:line="240" w:lineRule="auto"/>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 xml:space="preserve">Náklady na </w:t>
            </w:r>
            <w:r w:rsidRPr="00635E8D">
              <w:rPr>
                <w:rFonts w:ascii="Calibri" w:eastAsia="Times New Roman" w:hAnsi="Calibri" w:cs="Times New Roman"/>
                <w:b/>
                <w:bCs/>
                <w:color w:val="000000"/>
                <w:sz w:val="21"/>
                <w:szCs w:val="21"/>
                <w:lang w:eastAsia="cs-CZ"/>
              </w:rPr>
              <w:br/>
              <w:t>lůžkovou péči</w:t>
            </w:r>
          </w:p>
        </w:tc>
        <w:tc>
          <w:tcPr>
            <w:tcW w:w="1000" w:type="dxa"/>
            <w:shd w:val="clear" w:color="000000" w:fill="EEF3F8"/>
            <w:noWrap/>
            <w:vAlign w:val="bottom"/>
            <w:hideMark/>
          </w:tcPr>
          <w:p w14:paraId="3941EEF4"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99,1</w:t>
            </w:r>
          </w:p>
        </w:tc>
        <w:tc>
          <w:tcPr>
            <w:tcW w:w="1000" w:type="dxa"/>
            <w:shd w:val="clear" w:color="000000" w:fill="EEF3F8"/>
            <w:noWrap/>
            <w:vAlign w:val="bottom"/>
            <w:hideMark/>
          </w:tcPr>
          <w:p w14:paraId="3178CB0D"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108,7</w:t>
            </w:r>
          </w:p>
        </w:tc>
        <w:tc>
          <w:tcPr>
            <w:tcW w:w="1000" w:type="dxa"/>
            <w:shd w:val="clear" w:color="000000" w:fill="EEF3F8"/>
            <w:noWrap/>
            <w:vAlign w:val="bottom"/>
            <w:hideMark/>
          </w:tcPr>
          <w:p w14:paraId="02128559"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104,0</w:t>
            </w:r>
          </w:p>
        </w:tc>
        <w:tc>
          <w:tcPr>
            <w:tcW w:w="1000" w:type="dxa"/>
            <w:shd w:val="clear" w:color="000000" w:fill="EEF3F8"/>
            <w:noWrap/>
            <w:vAlign w:val="bottom"/>
            <w:hideMark/>
          </w:tcPr>
          <w:p w14:paraId="1B924FB9"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104,3</w:t>
            </w:r>
          </w:p>
        </w:tc>
        <w:tc>
          <w:tcPr>
            <w:tcW w:w="1000" w:type="dxa"/>
            <w:shd w:val="clear" w:color="000000" w:fill="EEF3F8"/>
            <w:noWrap/>
            <w:vAlign w:val="bottom"/>
            <w:hideMark/>
          </w:tcPr>
          <w:p w14:paraId="57091C03"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107,3</w:t>
            </w:r>
          </w:p>
        </w:tc>
        <w:tc>
          <w:tcPr>
            <w:tcW w:w="1000" w:type="dxa"/>
            <w:shd w:val="clear" w:color="000000" w:fill="EEF3F8"/>
            <w:noWrap/>
            <w:vAlign w:val="bottom"/>
            <w:hideMark/>
          </w:tcPr>
          <w:p w14:paraId="13848B97"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109,1</w:t>
            </w:r>
          </w:p>
        </w:tc>
        <w:tc>
          <w:tcPr>
            <w:tcW w:w="1000" w:type="dxa"/>
            <w:shd w:val="clear" w:color="000000" w:fill="EEF3F8"/>
            <w:noWrap/>
            <w:vAlign w:val="bottom"/>
            <w:hideMark/>
          </w:tcPr>
          <w:p w14:paraId="5EEBD3EE"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108,9</w:t>
            </w:r>
          </w:p>
        </w:tc>
      </w:tr>
      <w:tr w:rsidR="00635E8D" w:rsidRPr="00635E8D" w14:paraId="1C096FC0" w14:textId="77777777" w:rsidTr="00635E8D">
        <w:trPr>
          <w:trHeight w:val="300"/>
        </w:trPr>
        <w:tc>
          <w:tcPr>
            <w:tcW w:w="2080" w:type="dxa"/>
            <w:shd w:val="clear" w:color="auto" w:fill="auto"/>
            <w:vAlign w:val="bottom"/>
            <w:hideMark/>
          </w:tcPr>
          <w:p w14:paraId="3FA18ABD" w14:textId="77777777" w:rsidR="00635E8D" w:rsidRPr="00635E8D" w:rsidRDefault="00635E8D" w:rsidP="00635E8D">
            <w:pPr>
              <w:spacing w:after="0" w:line="240" w:lineRule="auto"/>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Ostatní náklady</w:t>
            </w:r>
          </w:p>
        </w:tc>
        <w:tc>
          <w:tcPr>
            <w:tcW w:w="1000" w:type="dxa"/>
            <w:shd w:val="clear" w:color="000000" w:fill="DCE6F1"/>
            <w:noWrap/>
            <w:vAlign w:val="bottom"/>
            <w:hideMark/>
          </w:tcPr>
          <w:p w14:paraId="335445E2"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94,8</w:t>
            </w:r>
          </w:p>
        </w:tc>
        <w:tc>
          <w:tcPr>
            <w:tcW w:w="1000" w:type="dxa"/>
            <w:shd w:val="clear" w:color="auto" w:fill="auto"/>
            <w:noWrap/>
            <w:vAlign w:val="bottom"/>
            <w:hideMark/>
          </w:tcPr>
          <w:p w14:paraId="4309C50B"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101,9</w:t>
            </w:r>
          </w:p>
        </w:tc>
        <w:tc>
          <w:tcPr>
            <w:tcW w:w="1000" w:type="dxa"/>
            <w:shd w:val="clear" w:color="000000" w:fill="DCE6F1"/>
            <w:noWrap/>
            <w:vAlign w:val="bottom"/>
            <w:hideMark/>
          </w:tcPr>
          <w:p w14:paraId="68D91DF2"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101,9</w:t>
            </w:r>
          </w:p>
        </w:tc>
        <w:tc>
          <w:tcPr>
            <w:tcW w:w="1000" w:type="dxa"/>
            <w:shd w:val="clear" w:color="auto" w:fill="auto"/>
            <w:noWrap/>
            <w:vAlign w:val="bottom"/>
            <w:hideMark/>
          </w:tcPr>
          <w:p w14:paraId="6C5EBCC8"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103,1</w:t>
            </w:r>
          </w:p>
        </w:tc>
        <w:tc>
          <w:tcPr>
            <w:tcW w:w="1000" w:type="dxa"/>
            <w:shd w:val="clear" w:color="000000" w:fill="DCE6F1"/>
            <w:noWrap/>
            <w:vAlign w:val="bottom"/>
            <w:hideMark/>
          </w:tcPr>
          <w:p w14:paraId="097D25C4"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102,4</w:t>
            </w:r>
          </w:p>
        </w:tc>
        <w:tc>
          <w:tcPr>
            <w:tcW w:w="1000" w:type="dxa"/>
            <w:shd w:val="clear" w:color="auto" w:fill="auto"/>
            <w:noWrap/>
            <w:vAlign w:val="bottom"/>
            <w:hideMark/>
          </w:tcPr>
          <w:p w14:paraId="211E9344"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104,3</w:t>
            </w:r>
          </w:p>
        </w:tc>
        <w:tc>
          <w:tcPr>
            <w:tcW w:w="1000" w:type="dxa"/>
            <w:shd w:val="clear" w:color="000000" w:fill="DCE6F1"/>
            <w:noWrap/>
            <w:vAlign w:val="bottom"/>
            <w:hideMark/>
          </w:tcPr>
          <w:p w14:paraId="2D0460FC" w14:textId="77777777" w:rsidR="00635E8D" w:rsidRPr="00635E8D" w:rsidRDefault="00635E8D" w:rsidP="00635E8D">
            <w:pPr>
              <w:spacing w:after="0" w:line="240" w:lineRule="auto"/>
              <w:jc w:val="right"/>
              <w:rPr>
                <w:rFonts w:ascii="Calibri" w:eastAsia="Times New Roman" w:hAnsi="Calibri" w:cs="Times New Roman"/>
                <w:color w:val="000000"/>
                <w:sz w:val="21"/>
                <w:szCs w:val="21"/>
                <w:lang w:eastAsia="cs-CZ"/>
              </w:rPr>
            </w:pPr>
            <w:r w:rsidRPr="00635E8D">
              <w:rPr>
                <w:rFonts w:ascii="Calibri" w:eastAsia="Times New Roman" w:hAnsi="Calibri" w:cs="Times New Roman"/>
                <w:color w:val="000000"/>
                <w:sz w:val="21"/>
                <w:szCs w:val="21"/>
                <w:lang w:eastAsia="cs-CZ"/>
              </w:rPr>
              <w:t>104,5</w:t>
            </w:r>
          </w:p>
        </w:tc>
      </w:tr>
      <w:tr w:rsidR="00635E8D" w:rsidRPr="00635E8D" w14:paraId="12DE6BAE" w14:textId="77777777" w:rsidTr="00635E8D">
        <w:trPr>
          <w:trHeight w:val="300"/>
        </w:trPr>
        <w:tc>
          <w:tcPr>
            <w:tcW w:w="2080" w:type="dxa"/>
            <w:shd w:val="clear" w:color="000000" w:fill="EEF3F8"/>
            <w:vAlign w:val="bottom"/>
            <w:hideMark/>
          </w:tcPr>
          <w:p w14:paraId="3110E82D" w14:textId="77777777" w:rsidR="00635E8D" w:rsidRPr="00635E8D" w:rsidRDefault="00635E8D" w:rsidP="00635E8D">
            <w:pPr>
              <w:spacing w:after="0" w:line="240" w:lineRule="auto"/>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Celkové náklady</w:t>
            </w:r>
          </w:p>
        </w:tc>
        <w:tc>
          <w:tcPr>
            <w:tcW w:w="1000" w:type="dxa"/>
            <w:shd w:val="clear" w:color="000000" w:fill="EEF3F8"/>
            <w:noWrap/>
            <w:vAlign w:val="bottom"/>
            <w:hideMark/>
          </w:tcPr>
          <w:p w14:paraId="70A7CE80"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98,9</w:t>
            </w:r>
          </w:p>
        </w:tc>
        <w:tc>
          <w:tcPr>
            <w:tcW w:w="1000" w:type="dxa"/>
            <w:shd w:val="clear" w:color="000000" w:fill="EEF3F8"/>
            <w:noWrap/>
            <w:vAlign w:val="bottom"/>
            <w:hideMark/>
          </w:tcPr>
          <w:p w14:paraId="70AA01A1"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106,0</w:t>
            </w:r>
          </w:p>
        </w:tc>
        <w:tc>
          <w:tcPr>
            <w:tcW w:w="1000" w:type="dxa"/>
            <w:shd w:val="clear" w:color="000000" w:fill="EEF3F8"/>
            <w:noWrap/>
            <w:vAlign w:val="bottom"/>
            <w:hideMark/>
          </w:tcPr>
          <w:p w14:paraId="450D6484"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103,4</w:t>
            </w:r>
          </w:p>
        </w:tc>
        <w:tc>
          <w:tcPr>
            <w:tcW w:w="1000" w:type="dxa"/>
            <w:shd w:val="clear" w:color="000000" w:fill="EEF3F8"/>
            <w:noWrap/>
            <w:vAlign w:val="bottom"/>
            <w:hideMark/>
          </w:tcPr>
          <w:p w14:paraId="2DD5EC81"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104,7</w:t>
            </w:r>
          </w:p>
        </w:tc>
        <w:tc>
          <w:tcPr>
            <w:tcW w:w="1000" w:type="dxa"/>
            <w:shd w:val="clear" w:color="000000" w:fill="EEF3F8"/>
            <w:noWrap/>
            <w:vAlign w:val="bottom"/>
            <w:hideMark/>
          </w:tcPr>
          <w:p w14:paraId="02DECE75"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105,5</w:t>
            </w:r>
          </w:p>
        </w:tc>
        <w:tc>
          <w:tcPr>
            <w:tcW w:w="1000" w:type="dxa"/>
            <w:shd w:val="clear" w:color="000000" w:fill="EEF3F8"/>
            <w:noWrap/>
            <w:vAlign w:val="bottom"/>
            <w:hideMark/>
          </w:tcPr>
          <w:p w14:paraId="38A31DD2"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106,8</w:t>
            </w:r>
          </w:p>
        </w:tc>
        <w:tc>
          <w:tcPr>
            <w:tcW w:w="1000" w:type="dxa"/>
            <w:shd w:val="clear" w:color="000000" w:fill="EEF3F8"/>
            <w:noWrap/>
            <w:vAlign w:val="bottom"/>
            <w:hideMark/>
          </w:tcPr>
          <w:p w14:paraId="64BBC76C" w14:textId="77777777" w:rsidR="00635E8D" w:rsidRPr="00635E8D" w:rsidRDefault="00635E8D" w:rsidP="00635E8D">
            <w:pPr>
              <w:spacing w:after="0" w:line="240" w:lineRule="auto"/>
              <w:jc w:val="right"/>
              <w:rPr>
                <w:rFonts w:ascii="Calibri" w:eastAsia="Times New Roman" w:hAnsi="Calibri" w:cs="Times New Roman"/>
                <w:b/>
                <w:bCs/>
                <w:color w:val="000000"/>
                <w:sz w:val="21"/>
                <w:szCs w:val="21"/>
                <w:lang w:eastAsia="cs-CZ"/>
              </w:rPr>
            </w:pPr>
            <w:r w:rsidRPr="00635E8D">
              <w:rPr>
                <w:rFonts w:ascii="Calibri" w:eastAsia="Times New Roman" w:hAnsi="Calibri" w:cs="Times New Roman"/>
                <w:b/>
                <w:bCs/>
                <w:color w:val="000000"/>
                <w:sz w:val="21"/>
                <w:szCs w:val="21"/>
                <w:lang w:eastAsia="cs-CZ"/>
              </w:rPr>
              <w:t>106,8</w:t>
            </w:r>
          </w:p>
        </w:tc>
      </w:tr>
    </w:tbl>
    <w:p w14:paraId="79D5A5D5" w14:textId="77777777" w:rsidR="008710DB" w:rsidRDefault="008710DB" w:rsidP="008710DB">
      <w:pPr>
        <w:rPr>
          <w:rFonts w:cs="Arial"/>
          <w:b/>
          <w:lang w:eastAsia="cs-CZ"/>
        </w:rPr>
      </w:pPr>
    </w:p>
    <w:p w14:paraId="1447E25B" w14:textId="14BD6A96" w:rsidR="00286FE0" w:rsidRDefault="00286FE0" w:rsidP="008710DB">
      <w:pPr>
        <w:rPr>
          <w:rFonts w:cs="Arial"/>
          <w:b/>
          <w:lang w:eastAsia="cs-CZ"/>
        </w:rPr>
      </w:pPr>
    </w:p>
    <w:p w14:paraId="41AEAA80" w14:textId="77777777" w:rsidR="000E44EE" w:rsidRPr="00044940" w:rsidRDefault="000E44EE" w:rsidP="008710DB">
      <w:pPr>
        <w:rPr>
          <w:rFonts w:cs="Arial"/>
          <w:b/>
          <w:lang w:eastAsia="cs-CZ"/>
        </w:rPr>
      </w:pPr>
    </w:p>
    <w:p w14:paraId="24C367D8" w14:textId="77777777" w:rsidR="00044940" w:rsidRDefault="00044940" w:rsidP="00044940">
      <w:pPr>
        <w:pStyle w:val="TABOBR"/>
        <w:spacing w:after="60"/>
      </w:pPr>
      <w:r>
        <w:lastRenderedPageBreak/>
        <w:t>Obr. 13: Celkové náklady na zdravotní služby</w:t>
      </w:r>
      <w:r w:rsidR="009601F0">
        <w:t xml:space="preserve"> ze ZFZP</w:t>
      </w:r>
    </w:p>
    <w:p w14:paraId="77739871" w14:textId="77777777" w:rsidR="00044940" w:rsidRDefault="000579A2" w:rsidP="00044940">
      <w:r>
        <w:rPr>
          <w:noProof/>
          <w:lang w:eastAsia="cs-CZ"/>
        </w:rPr>
        <w:drawing>
          <wp:inline distT="0" distB="0" distL="0" distR="0" wp14:anchorId="43793E48" wp14:editId="1D572CD8">
            <wp:extent cx="5759450" cy="2819249"/>
            <wp:effectExtent l="0" t="0" r="0" b="635"/>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8AC1220" w14:textId="77777777" w:rsidR="00044940" w:rsidRDefault="00044940" w:rsidP="00044940">
      <w:pPr>
        <w:pStyle w:val="TABOBR"/>
        <w:spacing w:before="360" w:after="60"/>
      </w:pPr>
      <w:r>
        <w:t xml:space="preserve">Obr. 14: Náklady na zdravotní služby </w:t>
      </w:r>
      <w:r w:rsidR="009601F0">
        <w:t xml:space="preserve">ze ZFZP </w:t>
      </w:r>
      <w:r>
        <w:t>podle segmentů</w:t>
      </w:r>
    </w:p>
    <w:p w14:paraId="6C401ED4" w14:textId="77777777" w:rsidR="00044940" w:rsidRDefault="000579A2" w:rsidP="00044940">
      <w:r>
        <w:rPr>
          <w:noProof/>
          <w:lang w:eastAsia="cs-CZ"/>
        </w:rPr>
        <w:drawing>
          <wp:inline distT="0" distB="0" distL="0" distR="0" wp14:anchorId="34602865" wp14:editId="67FA80EF">
            <wp:extent cx="5759450" cy="2814816"/>
            <wp:effectExtent l="0" t="0" r="0" b="508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71DAEFB" w14:textId="77777777" w:rsidR="008710DB" w:rsidRPr="00A61D57" w:rsidRDefault="008710DB" w:rsidP="008710DB">
      <w:pPr>
        <w:pStyle w:val="TEXT"/>
      </w:pPr>
      <w:r w:rsidRPr="003147F7">
        <w:t>Z detailních podkladů jednotlivých ZP vyplývá</w:t>
      </w:r>
      <w:r w:rsidR="00982EFD">
        <w:t xml:space="preserve">, </w:t>
      </w:r>
      <w:r w:rsidRPr="003147F7">
        <w:t xml:space="preserve">že </w:t>
      </w:r>
      <w:r w:rsidR="00982EFD">
        <w:t xml:space="preserve">u </w:t>
      </w:r>
      <w:r w:rsidRPr="003147F7">
        <w:t xml:space="preserve">všech </w:t>
      </w:r>
      <w:r w:rsidR="00982EFD">
        <w:t>došlo k</w:t>
      </w:r>
      <w:r w:rsidRPr="003147F7">
        <w:t xml:space="preserve"> meziroční</w:t>
      </w:r>
      <w:r w:rsidR="00982EFD">
        <w:t>mu</w:t>
      </w:r>
      <w:r w:rsidRPr="003147F7">
        <w:t xml:space="preserve"> zvýšení nákladů na zdravotní </w:t>
      </w:r>
      <w:r w:rsidRPr="00F9019F">
        <w:t>služby</w:t>
      </w:r>
      <w:r w:rsidRPr="00A61D57">
        <w:t xml:space="preserve">: </w:t>
      </w:r>
      <w:r w:rsidR="00982EFD">
        <w:t xml:space="preserve">u </w:t>
      </w:r>
      <w:r w:rsidRPr="00A61D57">
        <w:t>VZP ČR o </w:t>
      </w:r>
      <w:r w:rsidR="00982EFD">
        <w:t>6</w:t>
      </w:r>
      <w:r w:rsidRPr="00A61D57">
        <w:t>,</w:t>
      </w:r>
      <w:r w:rsidR="00982EFD">
        <w:t>5</w:t>
      </w:r>
      <w:r w:rsidRPr="00A61D57">
        <w:t xml:space="preserve"> %, </w:t>
      </w:r>
      <w:proofErr w:type="spellStart"/>
      <w:r w:rsidRPr="00A61D57">
        <w:rPr>
          <w:spacing w:val="-10"/>
        </w:rPr>
        <w:t>VoZP</w:t>
      </w:r>
      <w:proofErr w:type="spellEnd"/>
      <w:r w:rsidRPr="00A61D57">
        <w:rPr>
          <w:spacing w:val="-10"/>
        </w:rPr>
        <w:t xml:space="preserve"> ČR o</w:t>
      </w:r>
      <w:r w:rsidRPr="00F9019F">
        <w:rPr>
          <w:spacing w:val="-10"/>
        </w:rPr>
        <w:t> </w:t>
      </w:r>
      <w:r w:rsidR="00982EFD">
        <w:rPr>
          <w:spacing w:val="-10"/>
        </w:rPr>
        <w:t>3</w:t>
      </w:r>
      <w:r w:rsidRPr="00F9019F">
        <w:rPr>
          <w:spacing w:val="-10"/>
        </w:rPr>
        <w:t>,</w:t>
      </w:r>
      <w:r w:rsidR="00982EFD">
        <w:rPr>
          <w:spacing w:val="-10"/>
        </w:rPr>
        <w:t>4</w:t>
      </w:r>
      <w:r w:rsidRPr="00A61D57">
        <w:rPr>
          <w:spacing w:val="-10"/>
        </w:rPr>
        <w:t> %, ČPZP o </w:t>
      </w:r>
      <w:r w:rsidR="00982EFD">
        <w:rPr>
          <w:spacing w:val="-10"/>
        </w:rPr>
        <w:t>7</w:t>
      </w:r>
      <w:r w:rsidRPr="00A61D57">
        <w:rPr>
          <w:spacing w:val="-10"/>
        </w:rPr>
        <w:t>,</w:t>
      </w:r>
      <w:r w:rsidR="00982EFD">
        <w:rPr>
          <w:spacing w:val="-10"/>
        </w:rPr>
        <w:t>3</w:t>
      </w:r>
      <w:r w:rsidRPr="00A61D57">
        <w:rPr>
          <w:spacing w:val="-10"/>
        </w:rPr>
        <w:t> %, OZP o </w:t>
      </w:r>
      <w:r w:rsidR="00982EFD">
        <w:rPr>
          <w:spacing w:val="-10"/>
        </w:rPr>
        <w:t>7</w:t>
      </w:r>
      <w:r w:rsidRPr="00A61D57">
        <w:rPr>
          <w:spacing w:val="-10"/>
        </w:rPr>
        <w:t>,</w:t>
      </w:r>
      <w:r w:rsidRPr="00F9019F">
        <w:rPr>
          <w:spacing w:val="-10"/>
        </w:rPr>
        <w:t>2</w:t>
      </w:r>
      <w:r w:rsidRPr="00A61D57">
        <w:rPr>
          <w:spacing w:val="-10"/>
        </w:rPr>
        <w:t> %, ZPŠ o </w:t>
      </w:r>
      <w:r w:rsidR="00982EFD">
        <w:rPr>
          <w:spacing w:val="-10"/>
        </w:rPr>
        <w:t>4</w:t>
      </w:r>
      <w:r w:rsidRPr="00A61D57">
        <w:rPr>
          <w:spacing w:val="-10"/>
        </w:rPr>
        <w:t>,</w:t>
      </w:r>
      <w:r w:rsidR="00982EFD">
        <w:rPr>
          <w:spacing w:val="-10"/>
        </w:rPr>
        <w:t>2</w:t>
      </w:r>
      <w:r w:rsidRPr="00A61D57">
        <w:rPr>
          <w:spacing w:val="-10"/>
        </w:rPr>
        <w:t> %, ZP</w:t>
      </w:r>
      <w:r w:rsidR="00982EFD">
        <w:rPr>
          <w:spacing w:val="-10"/>
        </w:rPr>
        <w:t> </w:t>
      </w:r>
      <w:r w:rsidRPr="00A61D57">
        <w:rPr>
          <w:spacing w:val="-10"/>
        </w:rPr>
        <w:t>MV</w:t>
      </w:r>
      <w:r w:rsidR="00982EFD">
        <w:rPr>
          <w:spacing w:val="-10"/>
        </w:rPr>
        <w:t> </w:t>
      </w:r>
      <w:r w:rsidRPr="00A61D57">
        <w:rPr>
          <w:spacing w:val="-10"/>
        </w:rPr>
        <w:t>ČR o </w:t>
      </w:r>
      <w:r w:rsidR="00982EFD">
        <w:rPr>
          <w:spacing w:val="-10"/>
        </w:rPr>
        <w:t>9</w:t>
      </w:r>
      <w:r w:rsidRPr="00A61D57">
        <w:rPr>
          <w:spacing w:val="-10"/>
        </w:rPr>
        <w:t>,</w:t>
      </w:r>
      <w:r w:rsidR="00982EFD">
        <w:rPr>
          <w:spacing w:val="-10"/>
        </w:rPr>
        <w:t>5</w:t>
      </w:r>
      <w:r w:rsidRPr="00A61D57">
        <w:rPr>
          <w:spacing w:val="-10"/>
        </w:rPr>
        <w:t> % a RBP o </w:t>
      </w:r>
      <w:r w:rsidR="00982EFD">
        <w:rPr>
          <w:spacing w:val="-10"/>
        </w:rPr>
        <w:t>6</w:t>
      </w:r>
      <w:r w:rsidRPr="00A61D57">
        <w:rPr>
          <w:spacing w:val="-10"/>
        </w:rPr>
        <w:t>,</w:t>
      </w:r>
      <w:r w:rsidR="00982EFD">
        <w:rPr>
          <w:spacing w:val="-10"/>
        </w:rPr>
        <w:t>8</w:t>
      </w:r>
      <w:r w:rsidRPr="00A61D57">
        <w:t> % (</w:t>
      </w:r>
      <w:r w:rsidRPr="00BE74FD">
        <w:rPr>
          <w:i/>
        </w:rPr>
        <w:t>Tabulka č. 1</w:t>
      </w:r>
      <w:r w:rsidR="00982EFD">
        <w:rPr>
          <w:i/>
        </w:rPr>
        <w:t>0</w:t>
      </w:r>
      <w:r w:rsidRPr="00A61D57">
        <w:t>).</w:t>
      </w:r>
    </w:p>
    <w:p w14:paraId="28CEC886" w14:textId="77777777" w:rsidR="00625C5F" w:rsidRDefault="00625C5F">
      <w:pPr>
        <w:rPr>
          <w:rFonts w:eastAsia="Times New Roman" w:cs="Arial"/>
          <w:b/>
          <w:szCs w:val="24"/>
          <w:lang w:eastAsia="cs-CZ"/>
        </w:rPr>
      </w:pPr>
      <w:r>
        <w:br w:type="page"/>
      </w:r>
    </w:p>
    <w:p w14:paraId="1FEF8164" w14:textId="77777777" w:rsidR="00597155" w:rsidRDefault="00597155" w:rsidP="00597155">
      <w:pPr>
        <w:pStyle w:val="TABOBR"/>
        <w:spacing w:after="60"/>
      </w:pPr>
      <w:r>
        <w:lastRenderedPageBreak/>
        <w:t>Tab. 10: Náklady na zdravotní služby podle segmentů a zdravotních pojišťoven v roce 2018</w:t>
      </w:r>
    </w:p>
    <w:tbl>
      <w:tblPr>
        <w:tblW w:w="908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4B1410" w:rsidRPr="004B1410" w14:paraId="7FD18D8C" w14:textId="77777777" w:rsidTr="004B1410">
        <w:trPr>
          <w:trHeight w:val="600"/>
        </w:trPr>
        <w:tc>
          <w:tcPr>
            <w:tcW w:w="2080" w:type="dxa"/>
            <w:shd w:val="clear" w:color="000000" w:fill="4F81BD"/>
            <w:hideMark/>
          </w:tcPr>
          <w:p w14:paraId="4243A275" w14:textId="77777777" w:rsidR="004B1410" w:rsidRPr="004B1410" w:rsidRDefault="004B1410" w:rsidP="004B1410">
            <w:pPr>
              <w:spacing w:after="0" w:line="240" w:lineRule="auto"/>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Ukazatel</w:t>
            </w:r>
            <w:r w:rsidRPr="004B1410">
              <w:rPr>
                <w:rFonts w:ascii="Calibri" w:eastAsia="Times New Roman" w:hAnsi="Calibri" w:cs="Times New Roman"/>
                <w:b/>
                <w:bCs/>
                <w:color w:val="FFFFFF"/>
                <w:sz w:val="21"/>
                <w:szCs w:val="21"/>
                <w:lang w:eastAsia="cs-CZ"/>
              </w:rPr>
              <w:br/>
            </w:r>
            <w:r w:rsidRPr="004B1410">
              <w:rPr>
                <w:rFonts w:ascii="Calibri" w:eastAsia="Times New Roman" w:hAnsi="Calibri" w:cs="Times New Roman"/>
                <w:color w:val="FFFFFF"/>
                <w:sz w:val="21"/>
                <w:szCs w:val="21"/>
                <w:lang w:eastAsia="cs-CZ"/>
              </w:rPr>
              <w:t>(v mil. Kč)</w:t>
            </w:r>
          </w:p>
        </w:tc>
        <w:tc>
          <w:tcPr>
            <w:tcW w:w="1000" w:type="dxa"/>
            <w:shd w:val="clear" w:color="000000" w:fill="6691C6"/>
            <w:noWrap/>
            <w:vAlign w:val="center"/>
            <w:hideMark/>
          </w:tcPr>
          <w:p w14:paraId="37BC4722"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VZP ČR</w:t>
            </w:r>
          </w:p>
        </w:tc>
        <w:tc>
          <w:tcPr>
            <w:tcW w:w="1000" w:type="dxa"/>
            <w:shd w:val="clear" w:color="000000" w:fill="4F81BD"/>
            <w:noWrap/>
            <w:vAlign w:val="center"/>
            <w:hideMark/>
          </w:tcPr>
          <w:p w14:paraId="4D01BB04"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proofErr w:type="spellStart"/>
            <w:r w:rsidRPr="004B1410">
              <w:rPr>
                <w:rFonts w:ascii="Calibri" w:eastAsia="Times New Roman" w:hAnsi="Calibri" w:cs="Times New Roman"/>
                <w:b/>
                <w:bCs/>
                <w:color w:val="FFFFFF"/>
                <w:sz w:val="21"/>
                <w:szCs w:val="21"/>
                <w:lang w:eastAsia="cs-CZ"/>
              </w:rPr>
              <w:t>VoZP</w:t>
            </w:r>
            <w:proofErr w:type="spellEnd"/>
            <w:r w:rsidRPr="004B1410">
              <w:rPr>
                <w:rFonts w:ascii="Calibri" w:eastAsia="Times New Roman" w:hAnsi="Calibri" w:cs="Times New Roman"/>
                <w:b/>
                <w:bCs/>
                <w:color w:val="FFFFFF"/>
                <w:sz w:val="21"/>
                <w:szCs w:val="21"/>
                <w:lang w:eastAsia="cs-CZ"/>
              </w:rPr>
              <w:t xml:space="preserve"> ČR</w:t>
            </w:r>
          </w:p>
        </w:tc>
        <w:tc>
          <w:tcPr>
            <w:tcW w:w="1000" w:type="dxa"/>
            <w:shd w:val="clear" w:color="000000" w:fill="6691C6"/>
            <w:noWrap/>
            <w:vAlign w:val="center"/>
            <w:hideMark/>
          </w:tcPr>
          <w:p w14:paraId="56707639"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ČPZP</w:t>
            </w:r>
          </w:p>
        </w:tc>
        <w:tc>
          <w:tcPr>
            <w:tcW w:w="1000" w:type="dxa"/>
            <w:shd w:val="clear" w:color="000000" w:fill="4F81BD"/>
            <w:noWrap/>
            <w:vAlign w:val="center"/>
            <w:hideMark/>
          </w:tcPr>
          <w:p w14:paraId="33744685"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OZP</w:t>
            </w:r>
          </w:p>
        </w:tc>
        <w:tc>
          <w:tcPr>
            <w:tcW w:w="1000" w:type="dxa"/>
            <w:shd w:val="clear" w:color="000000" w:fill="6691C6"/>
            <w:noWrap/>
            <w:vAlign w:val="center"/>
            <w:hideMark/>
          </w:tcPr>
          <w:p w14:paraId="0EC21FAE"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ZPŠ</w:t>
            </w:r>
          </w:p>
        </w:tc>
        <w:tc>
          <w:tcPr>
            <w:tcW w:w="1000" w:type="dxa"/>
            <w:shd w:val="clear" w:color="000000" w:fill="4F81BD"/>
            <w:noWrap/>
            <w:vAlign w:val="center"/>
            <w:hideMark/>
          </w:tcPr>
          <w:p w14:paraId="48461500"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ZP MV ČR</w:t>
            </w:r>
          </w:p>
        </w:tc>
        <w:tc>
          <w:tcPr>
            <w:tcW w:w="1000" w:type="dxa"/>
            <w:shd w:val="clear" w:color="000000" w:fill="6691C6"/>
            <w:noWrap/>
            <w:vAlign w:val="center"/>
            <w:hideMark/>
          </w:tcPr>
          <w:p w14:paraId="43A08315"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RBP</w:t>
            </w:r>
          </w:p>
        </w:tc>
      </w:tr>
      <w:tr w:rsidR="004B1410" w:rsidRPr="004B1410" w14:paraId="31D7AD9F" w14:textId="77777777" w:rsidTr="004B1410">
        <w:trPr>
          <w:trHeight w:val="559"/>
        </w:trPr>
        <w:tc>
          <w:tcPr>
            <w:tcW w:w="2080" w:type="dxa"/>
            <w:shd w:val="clear" w:color="auto" w:fill="auto"/>
            <w:vAlign w:val="bottom"/>
            <w:hideMark/>
          </w:tcPr>
          <w:p w14:paraId="25303AA8" w14:textId="77777777" w:rsidR="004B1410" w:rsidRPr="004B1410" w:rsidRDefault="004B1410" w:rsidP="004B1410">
            <w:pPr>
              <w:spacing w:after="0" w:line="240" w:lineRule="auto"/>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 xml:space="preserve">Náklady na </w:t>
            </w:r>
            <w:r w:rsidRPr="004B1410">
              <w:rPr>
                <w:rFonts w:ascii="Calibri" w:eastAsia="Times New Roman" w:hAnsi="Calibri" w:cs="Times New Roman"/>
                <w:b/>
                <w:bCs/>
                <w:color w:val="000000"/>
                <w:sz w:val="21"/>
                <w:szCs w:val="21"/>
                <w:lang w:eastAsia="cs-CZ"/>
              </w:rPr>
              <w:br/>
              <w:t>ambulantní péči</w:t>
            </w:r>
          </w:p>
        </w:tc>
        <w:tc>
          <w:tcPr>
            <w:tcW w:w="1000" w:type="dxa"/>
            <w:shd w:val="clear" w:color="000000" w:fill="DCE6F1"/>
            <w:noWrap/>
            <w:vAlign w:val="bottom"/>
            <w:hideMark/>
          </w:tcPr>
          <w:p w14:paraId="4647102E"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41 875</w:t>
            </w:r>
          </w:p>
        </w:tc>
        <w:tc>
          <w:tcPr>
            <w:tcW w:w="1000" w:type="dxa"/>
            <w:shd w:val="clear" w:color="auto" w:fill="auto"/>
            <w:noWrap/>
            <w:vAlign w:val="bottom"/>
            <w:hideMark/>
          </w:tcPr>
          <w:p w14:paraId="2F4483B0"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5 142</w:t>
            </w:r>
          </w:p>
        </w:tc>
        <w:tc>
          <w:tcPr>
            <w:tcW w:w="1000" w:type="dxa"/>
            <w:shd w:val="clear" w:color="000000" w:fill="DCE6F1"/>
            <w:noWrap/>
            <w:vAlign w:val="bottom"/>
            <w:hideMark/>
          </w:tcPr>
          <w:p w14:paraId="727CBBA5"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9 347</w:t>
            </w:r>
          </w:p>
        </w:tc>
        <w:tc>
          <w:tcPr>
            <w:tcW w:w="1000" w:type="dxa"/>
            <w:shd w:val="clear" w:color="auto" w:fill="auto"/>
            <w:noWrap/>
            <w:vAlign w:val="bottom"/>
            <w:hideMark/>
          </w:tcPr>
          <w:p w14:paraId="36379870"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5 334</w:t>
            </w:r>
          </w:p>
        </w:tc>
        <w:tc>
          <w:tcPr>
            <w:tcW w:w="1000" w:type="dxa"/>
            <w:shd w:val="clear" w:color="000000" w:fill="DCE6F1"/>
            <w:noWrap/>
            <w:vAlign w:val="bottom"/>
            <w:hideMark/>
          </w:tcPr>
          <w:p w14:paraId="0DDFBEF5"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911</w:t>
            </w:r>
          </w:p>
        </w:tc>
        <w:tc>
          <w:tcPr>
            <w:tcW w:w="1000" w:type="dxa"/>
            <w:shd w:val="clear" w:color="auto" w:fill="auto"/>
            <w:noWrap/>
            <w:vAlign w:val="bottom"/>
            <w:hideMark/>
          </w:tcPr>
          <w:p w14:paraId="5BAD6E4E"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9 307</w:t>
            </w:r>
          </w:p>
        </w:tc>
        <w:tc>
          <w:tcPr>
            <w:tcW w:w="1000" w:type="dxa"/>
            <w:shd w:val="clear" w:color="000000" w:fill="DCE6F1"/>
            <w:noWrap/>
            <w:vAlign w:val="bottom"/>
            <w:hideMark/>
          </w:tcPr>
          <w:p w14:paraId="276D941C"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3 178</w:t>
            </w:r>
          </w:p>
        </w:tc>
      </w:tr>
      <w:tr w:rsidR="004B1410" w:rsidRPr="004B1410" w14:paraId="7A4A0FED" w14:textId="77777777" w:rsidTr="004B1410">
        <w:trPr>
          <w:trHeight w:val="559"/>
        </w:trPr>
        <w:tc>
          <w:tcPr>
            <w:tcW w:w="2080" w:type="dxa"/>
            <w:shd w:val="clear" w:color="000000" w:fill="EEF3F8"/>
            <w:vAlign w:val="bottom"/>
            <w:hideMark/>
          </w:tcPr>
          <w:p w14:paraId="3A2C701F" w14:textId="77777777" w:rsidR="004B1410" w:rsidRPr="004B1410" w:rsidRDefault="004B1410" w:rsidP="004B1410">
            <w:pPr>
              <w:spacing w:after="0" w:line="240" w:lineRule="auto"/>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 xml:space="preserve">Náklady na </w:t>
            </w:r>
            <w:r w:rsidRPr="004B1410">
              <w:rPr>
                <w:rFonts w:ascii="Calibri" w:eastAsia="Times New Roman" w:hAnsi="Calibri" w:cs="Times New Roman"/>
                <w:b/>
                <w:bCs/>
                <w:color w:val="000000"/>
                <w:sz w:val="21"/>
                <w:szCs w:val="21"/>
                <w:lang w:eastAsia="cs-CZ"/>
              </w:rPr>
              <w:br/>
              <w:t>lůžkovou péči</w:t>
            </w:r>
          </w:p>
        </w:tc>
        <w:tc>
          <w:tcPr>
            <w:tcW w:w="1000" w:type="dxa"/>
            <w:shd w:val="clear" w:color="000000" w:fill="EEF3F8"/>
            <w:noWrap/>
            <w:vAlign w:val="bottom"/>
            <w:hideMark/>
          </w:tcPr>
          <w:p w14:paraId="55D63A6A"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95 997</w:t>
            </w:r>
          </w:p>
        </w:tc>
        <w:tc>
          <w:tcPr>
            <w:tcW w:w="1000" w:type="dxa"/>
            <w:shd w:val="clear" w:color="000000" w:fill="EEF3F8"/>
            <w:noWrap/>
            <w:vAlign w:val="bottom"/>
            <w:hideMark/>
          </w:tcPr>
          <w:p w14:paraId="168BD698"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9 440</w:t>
            </w:r>
          </w:p>
        </w:tc>
        <w:tc>
          <w:tcPr>
            <w:tcW w:w="1000" w:type="dxa"/>
            <w:shd w:val="clear" w:color="000000" w:fill="EEF3F8"/>
            <w:noWrap/>
            <w:vAlign w:val="bottom"/>
            <w:hideMark/>
          </w:tcPr>
          <w:p w14:paraId="0DB42FC8"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15 440</w:t>
            </w:r>
          </w:p>
        </w:tc>
        <w:tc>
          <w:tcPr>
            <w:tcW w:w="1000" w:type="dxa"/>
            <w:shd w:val="clear" w:color="000000" w:fill="EEF3F8"/>
            <w:noWrap/>
            <w:vAlign w:val="bottom"/>
            <w:hideMark/>
          </w:tcPr>
          <w:p w14:paraId="5499C5BA"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9 070</w:t>
            </w:r>
          </w:p>
        </w:tc>
        <w:tc>
          <w:tcPr>
            <w:tcW w:w="1000" w:type="dxa"/>
            <w:shd w:val="clear" w:color="000000" w:fill="EEF3F8"/>
            <w:noWrap/>
            <w:vAlign w:val="bottom"/>
            <w:hideMark/>
          </w:tcPr>
          <w:p w14:paraId="2A4341A5"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2 092</w:t>
            </w:r>
          </w:p>
        </w:tc>
        <w:tc>
          <w:tcPr>
            <w:tcW w:w="1000" w:type="dxa"/>
            <w:shd w:val="clear" w:color="000000" w:fill="EEF3F8"/>
            <w:noWrap/>
            <w:vAlign w:val="bottom"/>
            <w:hideMark/>
          </w:tcPr>
          <w:p w14:paraId="713A1EF2"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17 923</w:t>
            </w:r>
          </w:p>
        </w:tc>
        <w:tc>
          <w:tcPr>
            <w:tcW w:w="1000" w:type="dxa"/>
            <w:shd w:val="clear" w:color="000000" w:fill="EEF3F8"/>
            <w:noWrap/>
            <w:vAlign w:val="bottom"/>
            <w:hideMark/>
          </w:tcPr>
          <w:p w14:paraId="5DC2191B"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5 399</w:t>
            </w:r>
          </w:p>
        </w:tc>
      </w:tr>
      <w:tr w:rsidR="004B1410" w:rsidRPr="004B1410" w14:paraId="66A878AB" w14:textId="77777777" w:rsidTr="004B1410">
        <w:trPr>
          <w:trHeight w:val="300"/>
        </w:trPr>
        <w:tc>
          <w:tcPr>
            <w:tcW w:w="2080" w:type="dxa"/>
            <w:shd w:val="clear" w:color="auto" w:fill="auto"/>
            <w:vAlign w:val="bottom"/>
            <w:hideMark/>
          </w:tcPr>
          <w:p w14:paraId="0651DF40" w14:textId="77777777" w:rsidR="004B1410" w:rsidRPr="004B1410" w:rsidRDefault="004B1410" w:rsidP="004B1410">
            <w:pPr>
              <w:spacing w:after="0" w:line="240" w:lineRule="auto"/>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Ostatní náklady</w:t>
            </w:r>
          </w:p>
        </w:tc>
        <w:tc>
          <w:tcPr>
            <w:tcW w:w="1000" w:type="dxa"/>
            <w:shd w:val="clear" w:color="000000" w:fill="DCE6F1"/>
            <w:noWrap/>
            <w:vAlign w:val="bottom"/>
            <w:hideMark/>
          </w:tcPr>
          <w:p w14:paraId="0DEE6050"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33 083</w:t>
            </w:r>
          </w:p>
        </w:tc>
        <w:tc>
          <w:tcPr>
            <w:tcW w:w="1000" w:type="dxa"/>
            <w:shd w:val="clear" w:color="auto" w:fill="auto"/>
            <w:noWrap/>
            <w:vAlign w:val="bottom"/>
            <w:hideMark/>
          </w:tcPr>
          <w:p w14:paraId="0CF18A2C"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3 457</w:t>
            </w:r>
          </w:p>
        </w:tc>
        <w:tc>
          <w:tcPr>
            <w:tcW w:w="1000" w:type="dxa"/>
            <w:shd w:val="clear" w:color="000000" w:fill="DCE6F1"/>
            <w:noWrap/>
            <w:vAlign w:val="bottom"/>
            <w:hideMark/>
          </w:tcPr>
          <w:p w14:paraId="294E7ACD"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5 727</w:t>
            </w:r>
          </w:p>
        </w:tc>
        <w:tc>
          <w:tcPr>
            <w:tcW w:w="1000" w:type="dxa"/>
            <w:shd w:val="clear" w:color="auto" w:fill="auto"/>
            <w:noWrap/>
            <w:vAlign w:val="bottom"/>
            <w:hideMark/>
          </w:tcPr>
          <w:p w14:paraId="42C9C285"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3 146</w:t>
            </w:r>
          </w:p>
        </w:tc>
        <w:tc>
          <w:tcPr>
            <w:tcW w:w="1000" w:type="dxa"/>
            <w:shd w:val="clear" w:color="000000" w:fill="DCE6F1"/>
            <w:noWrap/>
            <w:vAlign w:val="bottom"/>
            <w:hideMark/>
          </w:tcPr>
          <w:p w14:paraId="51383D0F"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755</w:t>
            </w:r>
          </w:p>
        </w:tc>
        <w:tc>
          <w:tcPr>
            <w:tcW w:w="1000" w:type="dxa"/>
            <w:shd w:val="clear" w:color="auto" w:fill="auto"/>
            <w:noWrap/>
            <w:vAlign w:val="bottom"/>
            <w:hideMark/>
          </w:tcPr>
          <w:p w14:paraId="758B52FF"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6 614</w:t>
            </w:r>
          </w:p>
        </w:tc>
        <w:tc>
          <w:tcPr>
            <w:tcW w:w="1000" w:type="dxa"/>
            <w:shd w:val="clear" w:color="000000" w:fill="DCE6F1"/>
            <w:noWrap/>
            <w:vAlign w:val="bottom"/>
            <w:hideMark/>
          </w:tcPr>
          <w:p w14:paraId="7CFBE5B6"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2 066</w:t>
            </w:r>
          </w:p>
        </w:tc>
      </w:tr>
      <w:tr w:rsidR="004B1410" w:rsidRPr="004B1410" w14:paraId="565CDE46" w14:textId="77777777" w:rsidTr="004B1410">
        <w:trPr>
          <w:trHeight w:val="300"/>
        </w:trPr>
        <w:tc>
          <w:tcPr>
            <w:tcW w:w="2080" w:type="dxa"/>
            <w:shd w:val="clear" w:color="000000" w:fill="EEF3F8"/>
            <w:vAlign w:val="bottom"/>
            <w:hideMark/>
          </w:tcPr>
          <w:p w14:paraId="682A1435" w14:textId="77777777" w:rsidR="004B1410" w:rsidRPr="004B1410" w:rsidRDefault="004B1410" w:rsidP="004B1410">
            <w:pPr>
              <w:spacing w:after="0" w:line="240" w:lineRule="auto"/>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Celkové náklady</w:t>
            </w:r>
          </w:p>
        </w:tc>
        <w:tc>
          <w:tcPr>
            <w:tcW w:w="1000" w:type="dxa"/>
            <w:shd w:val="clear" w:color="000000" w:fill="EEF3F8"/>
            <w:noWrap/>
            <w:vAlign w:val="bottom"/>
            <w:hideMark/>
          </w:tcPr>
          <w:p w14:paraId="31561829"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170 955</w:t>
            </w:r>
          </w:p>
        </w:tc>
        <w:tc>
          <w:tcPr>
            <w:tcW w:w="1000" w:type="dxa"/>
            <w:shd w:val="clear" w:color="000000" w:fill="EEF3F8"/>
            <w:noWrap/>
            <w:vAlign w:val="bottom"/>
            <w:hideMark/>
          </w:tcPr>
          <w:p w14:paraId="4EE9ADBE"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18 040</w:t>
            </w:r>
          </w:p>
        </w:tc>
        <w:tc>
          <w:tcPr>
            <w:tcW w:w="1000" w:type="dxa"/>
            <w:shd w:val="clear" w:color="000000" w:fill="EEF3F8"/>
            <w:noWrap/>
            <w:vAlign w:val="bottom"/>
            <w:hideMark/>
          </w:tcPr>
          <w:p w14:paraId="75BB2B7C"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30 514</w:t>
            </w:r>
          </w:p>
        </w:tc>
        <w:tc>
          <w:tcPr>
            <w:tcW w:w="1000" w:type="dxa"/>
            <w:shd w:val="clear" w:color="000000" w:fill="EEF3F8"/>
            <w:noWrap/>
            <w:vAlign w:val="bottom"/>
            <w:hideMark/>
          </w:tcPr>
          <w:p w14:paraId="28802F9B"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17 551</w:t>
            </w:r>
          </w:p>
        </w:tc>
        <w:tc>
          <w:tcPr>
            <w:tcW w:w="1000" w:type="dxa"/>
            <w:shd w:val="clear" w:color="000000" w:fill="EEF3F8"/>
            <w:noWrap/>
            <w:vAlign w:val="bottom"/>
            <w:hideMark/>
          </w:tcPr>
          <w:p w14:paraId="58AF1504"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3 758</w:t>
            </w:r>
          </w:p>
        </w:tc>
        <w:tc>
          <w:tcPr>
            <w:tcW w:w="1000" w:type="dxa"/>
            <w:shd w:val="clear" w:color="000000" w:fill="EEF3F8"/>
            <w:noWrap/>
            <w:vAlign w:val="bottom"/>
            <w:hideMark/>
          </w:tcPr>
          <w:p w14:paraId="4FC60DC6"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33 843</w:t>
            </w:r>
          </w:p>
        </w:tc>
        <w:tc>
          <w:tcPr>
            <w:tcW w:w="1000" w:type="dxa"/>
            <w:shd w:val="clear" w:color="000000" w:fill="EEF3F8"/>
            <w:noWrap/>
            <w:vAlign w:val="bottom"/>
            <w:hideMark/>
          </w:tcPr>
          <w:p w14:paraId="7C0B3E2A"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10 642</w:t>
            </w:r>
          </w:p>
        </w:tc>
      </w:tr>
    </w:tbl>
    <w:p w14:paraId="43C7F793" w14:textId="4E13C785" w:rsidR="006278A3" w:rsidRPr="00D75E5B" w:rsidRDefault="00DA54FD" w:rsidP="006278A3">
      <w:pPr>
        <w:pStyle w:val="TEXTpodTABOBR"/>
        <w:spacing w:before="120"/>
      </w:pPr>
      <w:r w:rsidRPr="006F6A91">
        <w:rPr>
          <w:b/>
        </w:rPr>
        <w:t xml:space="preserve">Přesnější údaj o meziročním vývoji jednoznačně představují náklady na zdravotní </w:t>
      </w:r>
      <w:r w:rsidRPr="006F6A91">
        <w:rPr>
          <w:rFonts w:eastAsia="Times New Roman"/>
          <w:b/>
        </w:rPr>
        <w:t>služby</w:t>
      </w:r>
      <w:r w:rsidRPr="00DA54FD">
        <w:rPr>
          <w:spacing w:val="-4"/>
        </w:rPr>
        <w:t xml:space="preserve"> </w:t>
      </w:r>
      <w:r w:rsidRPr="006F6A91">
        <w:rPr>
          <w:spacing w:val="-4"/>
        </w:rPr>
        <w:t>všech ZP</w:t>
      </w:r>
      <w:r w:rsidRPr="006F6A91">
        <w:rPr>
          <w:rFonts w:eastAsia="Times New Roman"/>
          <w:b/>
        </w:rPr>
        <w:t xml:space="preserve"> </w:t>
      </w:r>
      <w:r w:rsidRPr="006F6A91">
        <w:rPr>
          <w:b/>
        </w:rPr>
        <w:t>v přepočtu na jednoho pojištěnce</w:t>
      </w:r>
      <w:r>
        <w:rPr>
          <w:b/>
        </w:rPr>
        <w:t>, které činily</w:t>
      </w:r>
      <w:r w:rsidRPr="006F6A91">
        <w:rPr>
          <w:b/>
        </w:rPr>
        <w:t xml:space="preserve"> </w:t>
      </w:r>
      <w:r w:rsidR="007F1BFC">
        <w:rPr>
          <w:b/>
        </w:rPr>
        <w:t>27 251</w:t>
      </w:r>
      <w:r>
        <w:rPr>
          <w:b/>
        </w:rPr>
        <w:t xml:space="preserve"> Kč. Z toho </w:t>
      </w:r>
      <w:r w:rsidR="000C5307" w:rsidRPr="006F6A91">
        <w:rPr>
          <w:b/>
        </w:rPr>
        <w:t xml:space="preserve">náklady na zdravotní </w:t>
      </w:r>
      <w:r w:rsidR="000C5307" w:rsidRPr="006F6A91">
        <w:rPr>
          <w:rFonts w:eastAsia="Times New Roman"/>
          <w:b/>
        </w:rPr>
        <w:t>služby čerpané z oddílu A základního fondu zdravotního pojištění</w:t>
      </w:r>
      <w:r w:rsidR="000C5307" w:rsidRPr="006F6A91">
        <w:rPr>
          <w:b/>
        </w:rPr>
        <w:t xml:space="preserve"> v přepočtu na jednoho pojištěnce</w:t>
      </w:r>
      <w:r>
        <w:rPr>
          <w:b/>
        </w:rPr>
        <w:t xml:space="preserve"> v</w:t>
      </w:r>
      <w:r w:rsidR="000C5307" w:rsidRPr="006F6A91">
        <w:t> roce 201</w:t>
      </w:r>
      <w:r w:rsidR="002542E5">
        <w:t>8</w:t>
      </w:r>
      <w:r w:rsidR="000C5307" w:rsidRPr="006F6A91">
        <w:t xml:space="preserve"> </w:t>
      </w:r>
      <w:r>
        <w:rPr>
          <w:spacing w:val="-4"/>
        </w:rPr>
        <w:t>dosáhly</w:t>
      </w:r>
      <w:r w:rsidR="000C5307" w:rsidRPr="006F6A91">
        <w:rPr>
          <w:spacing w:val="-4"/>
        </w:rPr>
        <w:t xml:space="preserve"> v průměru </w:t>
      </w:r>
      <w:r>
        <w:rPr>
          <w:spacing w:val="-4"/>
        </w:rPr>
        <w:t xml:space="preserve">výše </w:t>
      </w:r>
      <w:r w:rsidR="000C5307" w:rsidRPr="006A5789">
        <w:rPr>
          <w:spacing w:val="-4"/>
        </w:rPr>
        <w:t>2</w:t>
      </w:r>
      <w:r w:rsidR="00E36C3F" w:rsidRPr="006A5789">
        <w:rPr>
          <w:spacing w:val="-4"/>
        </w:rPr>
        <w:t>7</w:t>
      </w:r>
      <w:r w:rsidR="000C5307" w:rsidRPr="006A5789">
        <w:rPr>
          <w:spacing w:val="-4"/>
        </w:rPr>
        <w:t> </w:t>
      </w:r>
      <w:r w:rsidR="00E36C3F" w:rsidRPr="006A5789">
        <w:rPr>
          <w:spacing w:val="-4"/>
        </w:rPr>
        <w:t>147</w:t>
      </w:r>
      <w:r w:rsidR="000C5307" w:rsidRPr="006A5789">
        <w:t> Kč, což představuje meziroční zvýšení o</w:t>
      </w:r>
      <w:r w:rsidR="00625C5F">
        <w:t> </w:t>
      </w:r>
      <w:r w:rsidR="000C5307" w:rsidRPr="006A5789">
        <w:t>1 </w:t>
      </w:r>
      <w:r w:rsidR="00E36C3F" w:rsidRPr="006A5789">
        <w:t>621</w:t>
      </w:r>
      <w:r w:rsidR="000C5307" w:rsidRPr="006A5789">
        <w:t> Kč na 1 pojištěnce, tj. o </w:t>
      </w:r>
      <w:r w:rsidR="00E36C3F" w:rsidRPr="006A5789">
        <w:t>6</w:t>
      </w:r>
      <w:r w:rsidR="000C5307" w:rsidRPr="006A5789">
        <w:t>,</w:t>
      </w:r>
      <w:r w:rsidR="00E36C3F" w:rsidRPr="006A5789">
        <w:t>3</w:t>
      </w:r>
      <w:r w:rsidR="000C5307" w:rsidRPr="006A5789">
        <w:t xml:space="preserve"> % a </w:t>
      </w:r>
      <w:r w:rsidR="00E36C3F" w:rsidRPr="006A5789">
        <w:t xml:space="preserve">oproti </w:t>
      </w:r>
      <w:r w:rsidR="000C5307" w:rsidRPr="006A5789">
        <w:t>předpokladu ZPP 201</w:t>
      </w:r>
      <w:r w:rsidR="00E36C3F" w:rsidRPr="006A5789">
        <w:t>8 pak klesly o 96</w:t>
      </w:r>
      <w:r w:rsidR="00E36C3F" w:rsidRPr="006A5789">
        <w:rPr>
          <w:rFonts w:eastAsia="SimSun"/>
        </w:rPr>
        <w:t xml:space="preserve"> Kč, tj. o</w:t>
      </w:r>
      <w:r w:rsidR="00625C5F">
        <w:t> 0,4 </w:t>
      </w:r>
      <w:r w:rsidR="00E36C3F" w:rsidRPr="006A5789">
        <w:t>%</w:t>
      </w:r>
      <w:r w:rsidR="00030D99">
        <w:t xml:space="preserve"> </w:t>
      </w:r>
      <w:r w:rsidR="00AD4F28" w:rsidRPr="00497ADF">
        <w:t>(</w:t>
      </w:r>
      <w:r w:rsidR="00AD4F28" w:rsidRPr="00497ADF">
        <w:rPr>
          <w:i/>
        </w:rPr>
        <w:t xml:space="preserve">Tabulka č. </w:t>
      </w:r>
      <w:r w:rsidR="00AD4F28">
        <w:rPr>
          <w:i/>
        </w:rPr>
        <w:t>11</w:t>
      </w:r>
      <w:r w:rsidR="00AD4F28" w:rsidRPr="00497ADF">
        <w:t xml:space="preserve"> a </w:t>
      </w:r>
      <w:r w:rsidR="00AD4F28" w:rsidRPr="001C211E">
        <w:rPr>
          <w:i/>
        </w:rPr>
        <w:t>Obr. 15</w:t>
      </w:r>
      <w:r w:rsidR="00AD4F28" w:rsidRPr="00497ADF">
        <w:t>)</w:t>
      </w:r>
      <w:r w:rsidR="00AD4F28" w:rsidRPr="00497ADF">
        <w:rPr>
          <w:rFonts w:eastAsia="SimSun"/>
        </w:rPr>
        <w:t>.</w:t>
      </w:r>
      <w:r w:rsidR="000C5307" w:rsidRPr="006A5789">
        <w:t xml:space="preserve"> </w:t>
      </w:r>
      <w:r w:rsidR="000C5307" w:rsidRPr="006A5789">
        <w:rPr>
          <w:rFonts w:eastAsia="SimSun"/>
        </w:rPr>
        <w:t>Nejvyšších průměrných nákladů na 1</w:t>
      </w:r>
      <w:r w:rsidR="00E36C3F" w:rsidRPr="006A5789">
        <w:rPr>
          <w:rFonts w:eastAsia="SimSun"/>
        </w:rPr>
        <w:t> </w:t>
      </w:r>
      <w:r w:rsidR="000C5307" w:rsidRPr="006A5789">
        <w:rPr>
          <w:rFonts w:eastAsia="SimSun"/>
        </w:rPr>
        <w:t xml:space="preserve">pojištěnce dosáhla </w:t>
      </w:r>
      <w:r w:rsidR="000C5307" w:rsidRPr="006A5789">
        <w:t xml:space="preserve">VZP ČR ve výši </w:t>
      </w:r>
      <w:r w:rsidR="000C5307" w:rsidRPr="00E24F41">
        <w:t>2</w:t>
      </w:r>
      <w:r w:rsidR="006A5789">
        <w:t>8</w:t>
      </w:r>
      <w:r w:rsidR="000C5307" w:rsidRPr="00E24F41">
        <w:t> </w:t>
      </w:r>
      <w:r w:rsidR="00F85B0B">
        <w:t xml:space="preserve">755 </w:t>
      </w:r>
      <w:r w:rsidR="000C5307" w:rsidRPr="00E24F41">
        <w:t>Kč, s meziročním nárůstem o 1 </w:t>
      </w:r>
      <w:r w:rsidR="006A5789">
        <w:t>655</w:t>
      </w:r>
      <w:r w:rsidR="000C5307" w:rsidRPr="00E24F41">
        <w:t> Kč na 1 pojištěnce, tj. o </w:t>
      </w:r>
      <w:r w:rsidR="006A5789">
        <w:t>6</w:t>
      </w:r>
      <w:r w:rsidR="000C5307" w:rsidRPr="00E24F41">
        <w:t>,</w:t>
      </w:r>
      <w:r w:rsidR="006A5789">
        <w:t>1</w:t>
      </w:r>
      <w:r w:rsidR="000C5307" w:rsidRPr="00E24F41">
        <w:t xml:space="preserve"> %. Z hlediska absolutní výše těchto nákladů tak nadále zůstává na 1. místě. </w:t>
      </w:r>
      <w:r w:rsidR="000C5307" w:rsidRPr="00E24F41">
        <w:rPr>
          <w:rFonts w:eastAsia="SimSun"/>
        </w:rPr>
        <w:t>ZZP dosáhly hodnoty průměrných nákladů ve výši 2</w:t>
      </w:r>
      <w:r w:rsidR="006A5789">
        <w:rPr>
          <w:rFonts w:eastAsia="SimSun"/>
        </w:rPr>
        <w:t>5</w:t>
      </w:r>
      <w:r w:rsidR="000C5307" w:rsidRPr="00E24F41">
        <w:rPr>
          <w:rFonts w:eastAsia="SimSun"/>
        </w:rPr>
        <w:t> </w:t>
      </w:r>
      <w:r w:rsidR="006A5789">
        <w:rPr>
          <w:rFonts w:eastAsia="SimSun"/>
        </w:rPr>
        <w:t>053</w:t>
      </w:r>
      <w:r w:rsidR="000C5307" w:rsidRPr="00E24F41">
        <w:rPr>
          <w:rFonts w:eastAsia="SimSun"/>
        </w:rPr>
        <w:t> Kč, což je o 1 </w:t>
      </w:r>
      <w:r w:rsidR="006A5789">
        <w:rPr>
          <w:rFonts w:eastAsia="SimSun"/>
        </w:rPr>
        <w:t>576</w:t>
      </w:r>
      <w:r w:rsidR="000C5307" w:rsidRPr="00E24F41">
        <w:rPr>
          <w:rFonts w:eastAsia="SimSun"/>
        </w:rPr>
        <w:t xml:space="preserve"> Kč na 1 pojištěnce více než v roce 201</w:t>
      </w:r>
      <w:r w:rsidR="006A5789">
        <w:rPr>
          <w:rFonts w:eastAsia="SimSun"/>
        </w:rPr>
        <w:t>7</w:t>
      </w:r>
      <w:r w:rsidR="000C5307" w:rsidRPr="00E24F41">
        <w:rPr>
          <w:rFonts w:eastAsia="SimSun"/>
        </w:rPr>
        <w:t xml:space="preserve">, </w:t>
      </w:r>
      <w:r w:rsidR="000C5307" w:rsidRPr="00E24F41">
        <w:t>tj. o </w:t>
      </w:r>
      <w:r w:rsidR="006A5789">
        <w:t>6</w:t>
      </w:r>
      <w:r w:rsidR="000C5307" w:rsidRPr="00E24F41">
        <w:t>,</w:t>
      </w:r>
      <w:r w:rsidR="006A5789">
        <w:t>7</w:t>
      </w:r>
      <w:r w:rsidR="000C5307" w:rsidRPr="00E24F41">
        <w:t xml:space="preserve"> %.</w:t>
      </w:r>
      <w:r w:rsidR="000C5307">
        <w:t xml:space="preserve"> </w:t>
      </w:r>
      <w:r w:rsidR="006278A3" w:rsidRPr="00797FF1">
        <w:t xml:space="preserve">Ze srovnání jednotlivých ZZP vyplývá, že </w:t>
      </w:r>
      <w:r w:rsidR="006E1C12">
        <w:t xml:space="preserve">u </w:t>
      </w:r>
      <w:r w:rsidR="006278A3" w:rsidRPr="00797FF1">
        <w:t xml:space="preserve">všech </w:t>
      </w:r>
      <w:r w:rsidR="006278A3" w:rsidRPr="00D75E5B">
        <w:t xml:space="preserve">ZP </w:t>
      </w:r>
      <w:r w:rsidR="006E1C12">
        <w:t xml:space="preserve">došlo k </w:t>
      </w:r>
      <w:r w:rsidR="006E1C12" w:rsidRPr="00797FF1">
        <w:t>růst</w:t>
      </w:r>
      <w:r w:rsidR="006E1C12">
        <w:t>u</w:t>
      </w:r>
      <w:r w:rsidR="006E1C12" w:rsidRPr="00797FF1">
        <w:t xml:space="preserve"> těchto nákladů </w:t>
      </w:r>
      <w:r w:rsidR="006278A3">
        <w:t xml:space="preserve">- </w:t>
      </w:r>
      <w:proofErr w:type="spellStart"/>
      <w:r w:rsidR="006278A3" w:rsidRPr="00D75E5B">
        <w:t>VoZP</w:t>
      </w:r>
      <w:proofErr w:type="spellEnd"/>
      <w:r w:rsidR="006278A3" w:rsidRPr="00D75E5B">
        <w:t> ČR o </w:t>
      </w:r>
      <w:r w:rsidR="006278A3">
        <w:t>3</w:t>
      </w:r>
      <w:r w:rsidR="006278A3" w:rsidRPr="00D75E5B">
        <w:t>,</w:t>
      </w:r>
      <w:r w:rsidR="006278A3">
        <w:t>0</w:t>
      </w:r>
      <w:r w:rsidR="006278A3" w:rsidRPr="00D75E5B">
        <w:t> %, ČPZP o </w:t>
      </w:r>
      <w:r w:rsidR="006278A3">
        <w:t>6</w:t>
      </w:r>
      <w:r w:rsidR="006278A3" w:rsidRPr="00D75E5B">
        <w:t>,</w:t>
      </w:r>
      <w:r w:rsidR="006278A3">
        <w:t>6</w:t>
      </w:r>
      <w:r w:rsidR="006278A3" w:rsidRPr="00D75E5B">
        <w:t> %, OZP o </w:t>
      </w:r>
      <w:r w:rsidR="006278A3">
        <w:t>6</w:t>
      </w:r>
      <w:r w:rsidR="006278A3" w:rsidRPr="00D75E5B">
        <w:t>,</w:t>
      </w:r>
      <w:r w:rsidR="006278A3">
        <w:t>8</w:t>
      </w:r>
      <w:r w:rsidR="006278A3" w:rsidRPr="00D75E5B">
        <w:t> %, ZPŠ o </w:t>
      </w:r>
      <w:r w:rsidR="006278A3">
        <w:t>3</w:t>
      </w:r>
      <w:r w:rsidR="006278A3" w:rsidRPr="00D75E5B">
        <w:t>,</w:t>
      </w:r>
      <w:r w:rsidR="006278A3">
        <w:t>5</w:t>
      </w:r>
      <w:r w:rsidR="006278A3" w:rsidRPr="00D75E5B">
        <w:t> %, ZP MV ČR o </w:t>
      </w:r>
      <w:r w:rsidR="006278A3">
        <w:t>9</w:t>
      </w:r>
      <w:r w:rsidR="006278A3" w:rsidRPr="00D75E5B">
        <w:t>,1 % a RBP o </w:t>
      </w:r>
      <w:r w:rsidR="006278A3">
        <w:t>7</w:t>
      </w:r>
      <w:r w:rsidR="006278A3" w:rsidRPr="00D75E5B">
        <w:t>,</w:t>
      </w:r>
      <w:r w:rsidR="006278A3">
        <w:t>3</w:t>
      </w:r>
      <w:r w:rsidR="006278A3" w:rsidRPr="00D75E5B">
        <w:t> %</w:t>
      </w:r>
      <w:r w:rsidR="006278A3">
        <w:t xml:space="preserve"> </w:t>
      </w:r>
      <w:r w:rsidR="006278A3" w:rsidRPr="00A61D57">
        <w:t>(</w:t>
      </w:r>
      <w:r w:rsidR="006278A3" w:rsidRPr="00BE74FD">
        <w:rPr>
          <w:i/>
        </w:rPr>
        <w:t xml:space="preserve">Tabulka č. </w:t>
      </w:r>
      <w:r w:rsidR="006278A3">
        <w:rPr>
          <w:i/>
        </w:rPr>
        <w:t>12</w:t>
      </w:r>
      <w:r w:rsidR="006278A3" w:rsidRPr="00BE74FD">
        <w:rPr>
          <w:i/>
        </w:rPr>
        <w:t>).</w:t>
      </w:r>
    </w:p>
    <w:p w14:paraId="69719B91" w14:textId="77777777" w:rsidR="000C5307" w:rsidRPr="0002628B" w:rsidRDefault="000C5307" w:rsidP="000C5307">
      <w:pPr>
        <w:pStyle w:val="TEXT"/>
      </w:pPr>
      <w:r w:rsidRPr="0002628B">
        <w:t xml:space="preserve">Zároveň je nutné uvést, že VZP </w:t>
      </w:r>
      <w:r>
        <w:t xml:space="preserve">ČR </w:t>
      </w:r>
      <w:r w:rsidRPr="0002628B">
        <w:t xml:space="preserve">má i nejvyšší příjmy na 1 pojištěnce z pojistného v. z. p. včetně vlivu přerozdělování ve výši </w:t>
      </w:r>
      <w:r w:rsidR="00C361C2" w:rsidRPr="00C361C2">
        <w:t>31</w:t>
      </w:r>
      <w:r w:rsidR="00C361C2">
        <w:t> </w:t>
      </w:r>
      <w:r w:rsidR="00C361C2" w:rsidRPr="00C361C2">
        <w:t>034</w:t>
      </w:r>
      <w:r w:rsidR="00C361C2">
        <w:t xml:space="preserve"> </w:t>
      </w:r>
      <w:r w:rsidRPr="0002628B">
        <w:t xml:space="preserve">Kč. Příjmy na 1 pojištěnce ZZP </w:t>
      </w:r>
      <w:r>
        <w:t>jsou v průměru</w:t>
      </w:r>
      <w:r w:rsidRPr="0002628B">
        <w:t xml:space="preserve"> </w:t>
      </w:r>
      <w:r w:rsidR="00C361C2" w:rsidRPr="00C361C2">
        <w:t>26</w:t>
      </w:r>
      <w:r w:rsidR="00C361C2">
        <w:t> </w:t>
      </w:r>
      <w:r w:rsidR="00C361C2" w:rsidRPr="00C361C2">
        <w:t>661</w:t>
      </w:r>
      <w:r w:rsidR="00C361C2">
        <w:t xml:space="preserve"> </w:t>
      </w:r>
      <w:r w:rsidRPr="0002628B">
        <w:t>Kč.</w:t>
      </w:r>
    </w:p>
    <w:p w14:paraId="4669E95C" w14:textId="77777777" w:rsidR="008710DB" w:rsidRPr="00416227" w:rsidRDefault="008710DB" w:rsidP="008710DB">
      <w:pPr>
        <w:pStyle w:val="TEXT"/>
      </w:pPr>
      <w:r w:rsidRPr="00797FF1">
        <w:t>V </w:t>
      </w:r>
      <w:r w:rsidRPr="00C20D40">
        <w:t xml:space="preserve">objemově největším segmentu </w:t>
      </w:r>
      <w:r w:rsidRPr="00C20D40">
        <w:rPr>
          <w:b/>
        </w:rPr>
        <w:t>lůžkové zdravotní péče</w:t>
      </w:r>
      <w:r w:rsidRPr="00C20D40">
        <w:t xml:space="preserve"> </w:t>
      </w:r>
      <w:r w:rsidR="006278A3">
        <w:t>byl</w:t>
      </w:r>
      <w:r w:rsidRPr="00C20D40">
        <w:t xml:space="preserve"> nárůst nákladů v přepočtu na 1</w:t>
      </w:r>
      <w:r w:rsidR="006278A3">
        <w:t> </w:t>
      </w:r>
      <w:r w:rsidRPr="00C20D40">
        <w:t>pojištěnce o </w:t>
      </w:r>
      <w:r w:rsidR="00D24B93">
        <w:t>8</w:t>
      </w:r>
      <w:r w:rsidRPr="00C20D40">
        <w:t>,</w:t>
      </w:r>
      <w:r w:rsidR="00D24B93">
        <w:t>5</w:t>
      </w:r>
      <w:r w:rsidRPr="00C20D40">
        <w:t> % (tj. o 1 </w:t>
      </w:r>
      <w:r w:rsidR="00D24B93">
        <w:t>162</w:t>
      </w:r>
      <w:r w:rsidRPr="00C20D40">
        <w:t> Kč) oproti roku 201</w:t>
      </w:r>
      <w:r w:rsidR="00D24B93">
        <w:t>7</w:t>
      </w:r>
      <w:r w:rsidRPr="00C20D40">
        <w:t xml:space="preserve">. </w:t>
      </w:r>
      <w:r w:rsidR="00B360AE" w:rsidRPr="00A61D57">
        <w:t>U </w:t>
      </w:r>
      <w:r w:rsidR="00B360AE" w:rsidRPr="00A61D57">
        <w:rPr>
          <w:b/>
        </w:rPr>
        <w:t>ambulantní péče</w:t>
      </w:r>
      <w:r w:rsidR="00B360AE" w:rsidRPr="00A61D57">
        <w:t xml:space="preserve"> </w:t>
      </w:r>
      <w:r w:rsidR="00B360AE">
        <w:t xml:space="preserve">došlo k </w:t>
      </w:r>
      <w:r w:rsidR="00B360AE" w:rsidRPr="00A61D57">
        <w:t>navýšení nákladů celkem o </w:t>
      </w:r>
      <w:r w:rsidR="00B360AE">
        <w:t>3</w:t>
      </w:r>
      <w:r w:rsidR="00B360AE" w:rsidRPr="00A61D57">
        <w:t>,</w:t>
      </w:r>
      <w:r w:rsidR="00B360AE">
        <w:t>7</w:t>
      </w:r>
      <w:r w:rsidR="00B360AE" w:rsidRPr="00A61D57">
        <w:t xml:space="preserve"> % (tj. o </w:t>
      </w:r>
      <w:r w:rsidR="00B360AE">
        <w:t>252</w:t>
      </w:r>
      <w:r w:rsidR="00B360AE" w:rsidRPr="00A61D57">
        <w:t xml:space="preserve"> Kč). U </w:t>
      </w:r>
      <w:r w:rsidR="00B360AE" w:rsidRPr="00A61D57">
        <w:rPr>
          <w:b/>
        </w:rPr>
        <w:t>ostatních nákladů</w:t>
      </w:r>
      <w:r w:rsidR="00B360AE" w:rsidRPr="00A61D57">
        <w:t xml:space="preserve"> </w:t>
      </w:r>
      <w:r w:rsidR="00B360AE">
        <w:t xml:space="preserve">došlo k </w:t>
      </w:r>
      <w:r w:rsidR="00B360AE" w:rsidRPr="00A61D57">
        <w:t>navýšení celkem o </w:t>
      </w:r>
      <w:r w:rsidR="00B360AE">
        <w:t>4</w:t>
      </w:r>
      <w:r w:rsidR="00B360AE" w:rsidRPr="00A61D57">
        <w:t>,</w:t>
      </w:r>
      <w:r w:rsidR="00B360AE">
        <w:t>1</w:t>
      </w:r>
      <w:r w:rsidR="00B360AE" w:rsidRPr="00A61D57">
        <w:t xml:space="preserve"> %, tj. o </w:t>
      </w:r>
      <w:r w:rsidR="00B360AE">
        <w:t>207</w:t>
      </w:r>
      <w:r w:rsidR="00B360AE" w:rsidRPr="00A61D57">
        <w:t xml:space="preserve"> Kč (</w:t>
      </w:r>
      <w:r w:rsidR="00B360AE" w:rsidRPr="00A61D57">
        <w:rPr>
          <w:i/>
        </w:rPr>
        <w:t xml:space="preserve">Tabulka č. </w:t>
      </w:r>
      <w:r w:rsidR="00B360AE">
        <w:rPr>
          <w:i/>
        </w:rPr>
        <w:t>11</w:t>
      </w:r>
      <w:r w:rsidR="00B360AE" w:rsidRPr="00A61D57">
        <w:t xml:space="preserve"> a </w:t>
      </w:r>
      <w:r w:rsidR="00AA654D">
        <w:rPr>
          <w:i/>
        </w:rPr>
        <w:t>Obr.</w:t>
      </w:r>
      <w:r w:rsidR="00B360AE" w:rsidRPr="00A61D57">
        <w:rPr>
          <w:i/>
        </w:rPr>
        <w:t xml:space="preserve"> 1</w:t>
      </w:r>
      <w:r w:rsidR="00B360AE">
        <w:rPr>
          <w:i/>
        </w:rPr>
        <w:t>6</w:t>
      </w:r>
      <w:r w:rsidR="00B360AE" w:rsidRPr="00A61D57">
        <w:t>).</w:t>
      </w:r>
    </w:p>
    <w:p w14:paraId="682A4689" w14:textId="77777777" w:rsidR="00597155" w:rsidRDefault="00597155" w:rsidP="00597155">
      <w:pPr>
        <w:pStyle w:val="TABOBR"/>
        <w:spacing w:after="60"/>
        <w:rPr>
          <w:rFonts w:eastAsia="SimSun"/>
        </w:rPr>
      </w:pPr>
      <w:r>
        <w:rPr>
          <w:rFonts w:eastAsia="SimSun"/>
        </w:rPr>
        <w:t>Tab. 11: Vývoj nákladů na zdravotní služby podle segmentů v přepočtu na pojištěnce</w:t>
      </w:r>
    </w:p>
    <w:tbl>
      <w:tblPr>
        <w:tblW w:w="908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4B1410" w:rsidRPr="004B1410" w14:paraId="0199DA3E" w14:textId="77777777" w:rsidTr="004B1410">
        <w:trPr>
          <w:trHeight w:val="600"/>
        </w:trPr>
        <w:tc>
          <w:tcPr>
            <w:tcW w:w="2080" w:type="dxa"/>
            <w:shd w:val="clear" w:color="000000" w:fill="4F81BD"/>
            <w:hideMark/>
          </w:tcPr>
          <w:p w14:paraId="38E0E6FD" w14:textId="77777777" w:rsidR="004B1410" w:rsidRPr="004B1410" w:rsidRDefault="004B1410" w:rsidP="004B1410">
            <w:pPr>
              <w:spacing w:after="0" w:line="240" w:lineRule="auto"/>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Ukazatel</w:t>
            </w:r>
            <w:r w:rsidRPr="004B1410">
              <w:rPr>
                <w:rFonts w:ascii="Calibri" w:eastAsia="Times New Roman" w:hAnsi="Calibri" w:cs="Times New Roman"/>
                <w:b/>
                <w:bCs/>
                <w:color w:val="FFFFFF"/>
                <w:sz w:val="21"/>
                <w:szCs w:val="21"/>
                <w:lang w:eastAsia="cs-CZ"/>
              </w:rPr>
              <w:br/>
            </w:r>
            <w:r w:rsidRPr="004B1410">
              <w:rPr>
                <w:rFonts w:ascii="Calibri" w:eastAsia="Times New Roman" w:hAnsi="Calibri" w:cs="Times New Roman"/>
                <w:color w:val="FFFFFF"/>
                <w:sz w:val="21"/>
                <w:szCs w:val="21"/>
                <w:lang w:eastAsia="cs-CZ"/>
              </w:rPr>
              <w:t>(v Kč)</w:t>
            </w:r>
          </w:p>
        </w:tc>
        <w:tc>
          <w:tcPr>
            <w:tcW w:w="1000" w:type="dxa"/>
            <w:shd w:val="clear" w:color="000000" w:fill="6691C6"/>
            <w:noWrap/>
            <w:hideMark/>
          </w:tcPr>
          <w:p w14:paraId="270A3CFF"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2013</w:t>
            </w:r>
          </w:p>
        </w:tc>
        <w:tc>
          <w:tcPr>
            <w:tcW w:w="1000" w:type="dxa"/>
            <w:shd w:val="clear" w:color="000000" w:fill="4F81BD"/>
            <w:noWrap/>
            <w:hideMark/>
          </w:tcPr>
          <w:p w14:paraId="4ED2C83F"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2014</w:t>
            </w:r>
          </w:p>
        </w:tc>
        <w:tc>
          <w:tcPr>
            <w:tcW w:w="1000" w:type="dxa"/>
            <w:shd w:val="clear" w:color="000000" w:fill="6691C6"/>
            <w:noWrap/>
            <w:hideMark/>
          </w:tcPr>
          <w:p w14:paraId="0758E8EA"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2015</w:t>
            </w:r>
          </w:p>
        </w:tc>
        <w:tc>
          <w:tcPr>
            <w:tcW w:w="1000" w:type="dxa"/>
            <w:shd w:val="clear" w:color="000000" w:fill="4F81BD"/>
            <w:noWrap/>
            <w:hideMark/>
          </w:tcPr>
          <w:p w14:paraId="78EC0C2E"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2016</w:t>
            </w:r>
          </w:p>
        </w:tc>
        <w:tc>
          <w:tcPr>
            <w:tcW w:w="1000" w:type="dxa"/>
            <w:shd w:val="clear" w:color="000000" w:fill="6691C6"/>
            <w:noWrap/>
            <w:hideMark/>
          </w:tcPr>
          <w:p w14:paraId="129C433D"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2017</w:t>
            </w:r>
          </w:p>
        </w:tc>
        <w:tc>
          <w:tcPr>
            <w:tcW w:w="1000" w:type="dxa"/>
            <w:shd w:val="clear" w:color="000000" w:fill="4F81BD"/>
            <w:hideMark/>
          </w:tcPr>
          <w:p w14:paraId="0FCC3ED3"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2018</w:t>
            </w:r>
            <w:r w:rsidRPr="004B1410">
              <w:rPr>
                <w:rFonts w:ascii="Calibri" w:eastAsia="Times New Roman" w:hAnsi="Calibri" w:cs="Times New Roman"/>
                <w:b/>
                <w:bCs/>
                <w:color w:val="FFFFFF"/>
                <w:sz w:val="21"/>
                <w:szCs w:val="21"/>
                <w:lang w:eastAsia="cs-CZ"/>
              </w:rPr>
              <w:br/>
            </w:r>
            <w:r w:rsidRPr="004B1410">
              <w:rPr>
                <w:rFonts w:ascii="Calibri" w:eastAsia="Times New Roman" w:hAnsi="Calibri" w:cs="Times New Roman"/>
                <w:color w:val="FFFFFF"/>
                <w:sz w:val="21"/>
                <w:szCs w:val="21"/>
                <w:lang w:eastAsia="cs-CZ"/>
              </w:rPr>
              <w:t>ZPP</w:t>
            </w:r>
          </w:p>
        </w:tc>
        <w:tc>
          <w:tcPr>
            <w:tcW w:w="1000" w:type="dxa"/>
            <w:shd w:val="clear" w:color="000000" w:fill="6691C6"/>
            <w:noWrap/>
            <w:hideMark/>
          </w:tcPr>
          <w:p w14:paraId="2992D8F4" w14:textId="77777777" w:rsidR="004B1410" w:rsidRPr="004B1410" w:rsidRDefault="004B1410" w:rsidP="004B1410">
            <w:pPr>
              <w:spacing w:after="0" w:line="240" w:lineRule="auto"/>
              <w:jc w:val="center"/>
              <w:rPr>
                <w:rFonts w:ascii="Calibri" w:eastAsia="Times New Roman" w:hAnsi="Calibri" w:cs="Times New Roman"/>
                <w:b/>
                <w:bCs/>
                <w:color w:val="FFFFFF"/>
                <w:sz w:val="21"/>
                <w:szCs w:val="21"/>
                <w:lang w:eastAsia="cs-CZ"/>
              </w:rPr>
            </w:pPr>
            <w:r w:rsidRPr="004B1410">
              <w:rPr>
                <w:rFonts w:ascii="Calibri" w:eastAsia="Times New Roman" w:hAnsi="Calibri" w:cs="Times New Roman"/>
                <w:b/>
                <w:bCs/>
                <w:color w:val="FFFFFF"/>
                <w:sz w:val="21"/>
                <w:szCs w:val="21"/>
                <w:lang w:eastAsia="cs-CZ"/>
              </w:rPr>
              <w:t>2018</w:t>
            </w:r>
          </w:p>
        </w:tc>
      </w:tr>
      <w:tr w:rsidR="004B1410" w:rsidRPr="004B1410" w14:paraId="11EFDDF5" w14:textId="77777777" w:rsidTr="004B1410">
        <w:trPr>
          <w:trHeight w:val="559"/>
        </w:trPr>
        <w:tc>
          <w:tcPr>
            <w:tcW w:w="2080" w:type="dxa"/>
            <w:shd w:val="clear" w:color="auto" w:fill="auto"/>
            <w:vAlign w:val="bottom"/>
            <w:hideMark/>
          </w:tcPr>
          <w:p w14:paraId="06562896" w14:textId="77777777" w:rsidR="004B1410" w:rsidRPr="004B1410" w:rsidRDefault="004B1410" w:rsidP="004B1410">
            <w:pPr>
              <w:spacing w:after="0" w:line="240" w:lineRule="auto"/>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 xml:space="preserve">Náklady na </w:t>
            </w:r>
            <w:r w:rsidRPr="004B1410">
              <w:rPr>
                <w:rFonts w:ascii="Calibri" w:eastAsia="Times New Roman" w:hAnsi="Calibri" w:cs="Times New Roman"/>
                <w:b/>
                <w:bCs/>
                <w:color w:val="000000"/>
                <w:sz w:val="21"/>
                <w:szCs w:val="21"/>
                <w:lang w:eastAsia="cs-CZ"/>
              </w:rPr>
              <w:br/>
              <w:t>ambulantní péči</w:t>
            </w:r>
          </w:p>
        </w:tc>
        <w:tc>
          <w:tcPr>
            <w:tcW w:w="1000" w:type="dxa"/>
            <w:shd w:val="clear" w:color="000000" w:fill="DCE6F1"/>
            <w:noWrap/>
            <w:vAlign w:val="bottom"/>
            <w:hideMark/>
          </w:tcPr>
          <w:p w14:paraId="325FAE7A"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5 772</w:t>
            </w:r>
          </w:p>
        </w:tc>
        <w:tc>
          <w:tcPr>
            <w:tcW w:w="1000" w:type="dxa"/>
            <w:shd w:val="clear" w:color="auto" w:fill="auto"/>
            <w:noWrap/>
            <w:vAlign w:val="bottom"/>
            <w:hideMark/>
          </w:tcPr>
          <w:p w14:paraId="1BB55533"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6 018</w:t>
            </w:r>
          </w:p>
        </w:tc>
        <w:tc>
          <w:tcPr>
            <w:tcW w:w="1000" w:type="dxa"/>
            <w:shd w:val="clear" w:color="000000" w:fill="DCE6F1"/>
            <w:noWrap/>
            <w:vAlign w:val="bottom"/>
            <w:hideMark/>
          </w:tcPr>
          <w:p w14:paraId="169235AC"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6 220</w:t>
            </w:r>
          </w:p>
        </w:tc>
        <w:tc>
          <w:tcPr>
            <w:tcW w:w="1000" w:type="dxa"/>
            <w:shd w:val="clear" w:color="auto" w:fill="auto"/>
            <w:noWrap/>
            <w:vAlign w:val="bottom"/>
            <w:hideMark/>
          </w:tcPr>
          <w:p w14:paraId="0221C2CB"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6 631</w:t>
            </w:r>
          </w:p>
        </w:tc>
        <w:tc>
          <w:tcPr>
            <w:tcW w:w="1000" w:type="dxa"/>
            <w:shd w:val="clear" w:color="000000" w:fill="DCE6F1"/>
            <w:noWrap/>
            <w:vAlign w:val="bottom"/>
            <w:hideMark/>
          </w:tcPr>
          <w:p w14:paraId="643AA386"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6 893</w:t>
            </w:r>
          </w:p>
        </w:tc>
        <w:tc>
          <w:tcPr>
            <w:tcW w:w="1000" w:type="dxa"/>
            <w:shd w:val="clear" w:color="auto" w:fill="auto"/>
            <w:noWrap/>
            <w:vAlign w:val="bottom"/>
            <w:hideMark/>
          </w:tcPr>
          <w:p w14:paraId="38A02F9A"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7 170</w:t>
            </w:r>
          </w:p>
        </w:tc>
        <w:tc>
          <w:tcPr>
            <w:tcW w:w="1000" w:type="dxa"/>
            <w:shd w:val="clear" w:color="000000" w:fill="DCE6F1"/>
            <w:noWrap/>
            <w:vAlign w:val="bottom"/>
            <w:hideMark/>
          </w:tcPr>
          <w:p w14:paraId="744EE68E"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7 145</w:t>
            </w:r>
          </w:p>
        </w:tc>
      </w:tr>
      <w:tr w:rsidR="004B1410" w:rsidRPr="004B1410" w14:paraId="1CEDB821" w14:textId="77777777" w:rsidTr="004B1410">
        <w:trPr>
          <w:trHeight w:val="559"/>
        </w:trPr>
        <w:tc>
          <w:tcPr>
            <w:tcW w:w="2080" w:type="dxa"/>
            <w:shd w:val="clear" w:color="000000" w:fill="EEF3F8"/>
            <w:vAlign w:val="bottom"/>
            <w:hideMark/>
          </w:tcPr>
          <w:p w14:paraId="3A22C9F5" w14:textId="77777777" w:rsidR="004B1410" w:rsidRPr="004B1410" w:rsidRDefault="004B1410" w:rsidP="004B1410">
            <w:pPr>
              <w:spacing w:after="0" w:line="240" w:lineRule="auto"/>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 xml:space="preserve">Náklady na </w:t>
            </w:r>
            <w:r w:rsidRPr="004B1410">
              <w:rPr>
                <w:rFonts w:ascii="Calibri" w:eastAsia="Times New Roman" w:hAnsi="Calibri" w:cs="Times New Roman"/>
                <w:b/>
                <w:bCs/>
                <w:color w:val="000000"/>
                <w:sz w:val="21"/>
                <w:szCs w:val="21"/>
                <w:lang w:eastAsia="cs-CZ"/>
              </w:rPr>
              <w:br/>
              <w:t>lůžkovou péči</w:t>
            </w:r>
          </w:p>
        </w:tc>
        <w:tc>
          <w:tcPr>
            <w:tcW w:w="1000" w:type="dxa"/>
            <w:shd w:val="clear" w:color="000000" w:fill="EEF3F8"/>
            <w:noWrap/>
            <w:vAlign w:val="bottom"/>
            <w:hideMark/>
          </w:tcPr>
          <w:p w14:paraId="63AAA08E"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10 835</w:t>
            </w:r>
          </w:p>
        </w:tc>
        <w:tc>
          <w:tcPr>
            <w:tcW w:w="1000" w:type="dxa"/>
            <w:shd w:val="clear" w:color="000000" w:fill="EEF3F8"/>
            <w:noWrap/>
            <w:vAlign w:val="bottom"/>
            <w:hideMark/>
          </w:tcPr>
          <w:p w14:paraId="23DE5EA6"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11 768</w:t>
            </w:r>
          </w:p>
        </w:tc>
        <w:tc>
          <w:tcPr>
            <w:tcW w:w="1000" w:type="dxa"/>
            <w:shd w:val="clear" w:color="000000" w:fill="EEF3F8"/>
            <w:noWrap/>
            <w:vAlign w:val="bottom"/>
            <w:hideMark/>
          </w:tcPr>
          <w:p w14:paraId="24E1D1D6"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12 229</w:t>
            </w:r>
          </w:p>
        </w:tc>
        <w:tc>
          <w:tcPr>
            <w:tcW w:w="1000" w:type="dxa"/>
            <w:shd w:val="clear" w:color="000000" w:fill="EEF3F8"/>
            <w:noWrap/>
            <w:vAlign w:val="bottom"/>
            <w:hideMark/>
          </w:tcPr>
          <w:p w14:paraId="063BB5D1"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12 731</w:t>
            </w:r>
          </w:p>
        </w:tc>
        <w:tc>
          <w:tcPr>
            <w:tcW w:w="1000" w:type="dxa"/>
            <w:shd w:val="clear" w:color="000000" w:fill="EEF3F8"/>
            <w:noWrap/>
            <w:vAlign w:val="bottom"/>
            <w:hideMark/>
          </w:tcPr>
          <w:p w14:paraId="3BBAD9CF"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13 621</w:t>
            </w:r>
          </w:p>
        </w:tc>
        <w:tc>
          <w:tcPr>
            <w:tcW w:w="1000" w:type="dxa"/>
            <w:shd w:val="clear" w:color="000000" w:fill="EEF3F8"/>
            <w:noWrap/>
            <w:vAlign w:val="bottom"/>
            <w:hideMark/>
          </w:tcPr>
          <w:p w14:paraId="0A42AD99"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14 852</w:t>
            </w:r>
          </w:p>
        </w:tc>
        <w:tc>
          <w:tcPr>
            <w:tcW w:w="1000" w:type="dxa"/>
            <w:shd w:val="clear" w:color="000000" w:fill="EEF3F8"/>
            <w:noWrap/>
            <w:vAlign w:val="bottom"/>
            <w:hideMark/>
          </w:tcPr>
          <w:p w14:paraId="3B0A806D"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14 783</w:t>
            </w:r>
          </w:p>
        </w:tc>
      </w:tr>
      <w:tr w:rsidR="004B1410" w:rsidRPr="004B1410" w14:paraId="4260FCE1" w14:textId="77777777" w:rsidTr="004B1410">
        <w:trPr>
          <w:trHeight w:val="300"/>
        </w:trPr>
        <w:tc>
          <w:tcPr>
            <w:tcW w:w="2080" w:type="dxa"/>
            <w:shd w:val="clear" w:color="auto" w:fill="auto"/>
            <w:vAlign w:val="bottom"/>
            <w:hideMark/>
          </w:tcPr>
          <w:p w14:paraId="66BD9E5B" w14:textId="77777777" w:rsidR="004B1410" w:rsidRPr="004B1410" w:rsidRDefault="004B1410" w:rsidP="004B1410">
            <w:pPr>
              <w:spacing w:after="0" w:line="240" w:lineRule="auto"/>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Ostatní náklady</w:t>
            </w:r>
          </w:p>
        </w:tc>
        <w:tc>
          <w:tcPr>
            <w:tcW w:w="1000" w:type="dxa"/>
            <w:shd w:val="clear" w:color="000000" w:fill="DCE6F1"/>
            <w:noWrap/>
            <w:vAlign w:val="bottom"/>
            <w:hideMark/>
          </w:tcPr>
          <w:p w14:paraId="1370F722"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4 598</w:t>
            </w:r>
          </w:p>
        </w:tc>
        <w:tc>
          <w:tcPr>
            <w:tcW w:w="1000" w:type="dxa"/>
            <w:shd w:val="clear" w:color="auto" w:fill="auto"/>
            <w:noWrap/>
            <w:vAlign w:val="bottom"/>
            <w:hideMark/>
          </w:tcPr>
          <w:p w14:paraId="6FC5804E"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4 681</w:t>
            </w:r>
          </w:p>
        </w:tc>
        <w:tc>
          <w:tcPr>
            <w:tcW w:w="1000" w:type="dxa"/>
            <w:shd w:val="clear" w:color="000000" w:fill="DCE6F1"/>
            <w:noWrap/>
            <w:vAlign w:val="bottom"/>
            <w:hideMark/>
          </w:tcPr>
          <w:p w14:paraId="06D82FF1"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4 768</w:t>
            </w:r>
          </w:p>
        </w:tc>
        <w:tc>
          <w:tcPr>
            <w:tcW w:w="1000" w:type="dxa"/>
            <w:shd w:val="clear" w:color="auto" w:fill="auto"/>
            <w:noWrap/>
            <w:vAlign w:val="bottom"/>
            <w:hideMark/>
          </w:tcPr>
          <w:p w14:paraId="2EB3F0EA"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4 904</w:t>
            </w:r>
          </w:p>
        </w:tc>
        <w:tc>
          <w:tcPr>
            <w:tcW w:w="1000" w:type="dxa"/>
            <w:shd w:val="clear" w:color="000000" w:fill="DCE6F1"/>
            <w:noWrap/>
            <w:vAlign w:val="bottom"/>
            <w:hideMark/>
          </w:tcPr>
          <w:p w14:paraId="482E1BF8"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5 012</w:t>
            </w:r>
          </w:p>
        </w:tc>
        <w:tc>
          <w:tcPr>
            <w:tcW w:w="1000" w:type="dxa"/>
            <w:shd w:val="clear" w:color="auto" w:fill="auto"/>
            <w:noWrap/>
            <w:vAlign w:val="bottom"/>
            <w:hideMark/>
          </w:tcPr>
          <w:p w14:paraId="2BF3E691"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5 221</w:t>
            </w:r>
          </w:p>
        </w:tc>
        <w:tc>
          <w:tcPr>
            <w:tcW w:w="1000" w:type="dxa"/>
            <w:shd w:val="clear" w:color="000000" w:fill="DCE6F1"/>
            <w:noWrap/>
            <w:vAlign w:val="bottom"/>
            <w:hideMark/>
          </w:tcPr>
          <w:p w14:paraId="46E10A9D" w14:textId="77777777" w:rsidR="004B1410" w:rsidRPr="004B1410" w:rsidRDefault="004B1410" w:rsidP="004B1410">
            <w:pPr>
              <w:spacing w:after="0" w:line="240" w:lineRule="auto"/>
              <w:jc w:val="right"/>
              <w:rPr>
                <w:rFonts w:ascii="Calibri" w:eastAsia="Times New Roman" w:hAnsi="Calibri" w:cs="Times New Roman"/>
                <w:color w:val="000000"/>
                <w:sz w:val="21"/>
                <w:szCs w:val="21"/>
                <w:lang w:eastAsia="cs-CZ"/>
              </w:rPr>
            </w:pPr>
            <w:r w:rsidRPr="004B1410">
              <w:rPr>
                <w:rFonts w:ascii="Calibri" w:eastAsia="Times New Roman" w:hAnsi="Calibri" w:cs="Times New Roman"/>
                <w:color w:val="000000"/>
                <w:sz w:val="21"/>
                <w:szCs w:val="21"/>
                <w:lang w:eastAsia="cs-CZ"/>
              </w:rPr>
              <w:t>5 219</w:t>
            </w:r>
          </w:p>
        </w:tc>
      </w:tr>
      <w:tr w:rsidR="004B1410" w:rsidRPr="004B1410" w14:paraId="2421E186" w14:textId="77777777" w:rsidTr="004B1410">
        <w:trPr>
          <w:trHeight w:val="300"/>
        </w:trPr>
        <w:tc>
          <w:tcPr>
            <w:tcW w:w="2080" w:type="dxa"/>
            <w:shd w:val="clear" w:color="000000" w:fill="EEF3F8"/>
            <w:vAlign w:val="bottom"/>
            <w:hideMark/>
          </w:tcPr>
          <w:p w14:paraId="1DD22765" w14:textId="77777777" w:rsidR="004B1410" w:rsidRPr="004B1410" w:rsidRDefault="004B1410" w:rsidP="004B1410">
            <w:pPr>
              <w:spacing w:after="0" w:line="240" w:lineRule="auto"/>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Celkové náklady</w:t>
            </w:r>
          </w:p>
        </w:tc>
        <w:tc>
          <w:tcPr>
            <w:tcW w:w="1000" w:type="dxa"/>
            <w:shd w:val="clear" w:color="000000" w:fill="EEF3F8"/>
            <w:noWrap/>
            <w:vAlign w:val="bottom"/>
            <w:hideMark/>
          </w:tcPr>
          <w:p w14:paraId="223E177F"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21 204</w:t>
            </w:r>
          </w:p>
        </w:tc>
        <w:tc>
          <w:tcPr>
            <w:tcW w:w="1000" w:type="dxa"/>
            <w:shd w:val="clear" w:color="000000" w:fill="EEF3F8"/>
            <w:noWrap/>
            <w:vAlign w:val="bottom"/>
            <w:hideMark/>
          </w:tcPr>
          <w:p w14:paraId="431839C1"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22 468</w:t>
            </w:r>
          </w:p>
        </w:tc>
        <w:tc>
          <w:tcPr>
            <w:tcW w:w="1000" w:type="dxa"/>
            <w:shd w:val="clear" w:color="000000" w:fill="EEF3F8"/>
            <w:noWrap/>
            <w:vAlign w:val="bottom"/>
            <w:hideMark/>
          </w:tcPr>
          <w:p w14:paraId="136C7A0E"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23 217</w:t>
            </w:r>
          </w:p>
        </w:tc>
        <w:tc>
          <w:tcPr>
            <w:tcW w:w="1000" w:type="dxa"/>
            <w:shd w:val="clear" w:color="000000" w:fill="EEF3F8"/>
            <w:noWrap/>
            <w:vAlign w:val="bottom"/>
            <w:hideMark/>
          </w:tcPr>
          <w:p w14:paraId="439335DD"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24 266</w:t>
            </w:r>
          </w:p>
        </w:tc>
        <w:tc>
          <w:tcPr>
            <w:tcW w:w="1000" w:type="dxa"/>
            <w:shd w:val="clear" w:color="000000" w:fill="EEF3F8"/>
            <w:noWrap/>
            <w:vAlign w:val="bottom"/>
            <w:hideMark/>
          </w:tcPr>
          <w:p w14:paraId="018643C5"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25 526</w:t>
            </w:r>
          </w:p>
        </w:tc>
        <w:tc>
          <w:tcPr>
            <w:tcW w:w="1000" w:type="dxa"/>
            <w:shd w:val="clear" w:color="000000" w:fill="EEF3F8"/>
            <w:noWrap/>
            <w:vAlign w:val="bottom"/>
            <w:hideMark/>
          </w:tcPr>
          <w:p w14:paraId="16E27FEF"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27 243</w:t>
            </w:r>
          </w:p>
        </w:tc>
        <w:tc>
          <w:tcPr>
            <w:tcW w:w="1000" w:type="dxa"/>
            <w:shd w:val="clear" w:color="000000" w:fill="EEF3F8"/>
            <w:noWrap/>
            <w:vAlign w:val="bottom"/>
            <w:hideMark/>
          </w:tcPr>
          <w:p w14:paraId="0A52C37A" w14:textId="77777777" w:rsidR="004B1410" w:rsidRPr="004B1410" w:rsidRDefault="004B1410" w:rsidP="004B1410">
            <w:pPr>
              <w:spacing w:after="0" w:line="240" w:lineRule="auto"/>
              <w:jc w:val="right"/>
              <w:rPr>
                <w:rFonts w:ascii="Calibri" w:eastAsia="Times New Roman" w:hAnsi="Calibri" w:cs="Times New Roman"/>
                <w:b/>
                <w:bCs/>
                <w:color w:val="000000"/>
                <w:sz w:val="21"/>
                <w:szCs w:val="21"/>
                <w:lang w:eastAsia="cs-CZ"/>
              </w:rPr>
            </w:pPr>
            <w:r w:rsidRPr="004B1410">
              <w:rPr>
                <w:rFonts w:ascii="Calibri" w:eastAsia="Times New Roman" w:hAnsi="Calibri" w:cs="Times New Roman"/>
                <w:b/>
                <w:bCs/>
                <w:color w:val="000000"/>
                <w:sz w:val="21"/>
                <w:szCs w:val="21"/>
                <w:lang w:eastAsia="cs-CZ"/>
              </w:rPr>
              <w:t>27 147</w:t>
            </w:r>
          </w:p>
        </w:tc>
      </w:tr>
    </w:tbl>
    <w:p w14:paraId="42D5845E" w14:textId="77777777" w:rsidR="00625C5F" w:rsidRDefault="00625C5F" w:rsidP="00B7257B">
      <w:pPr>
        <w:pStyle w:val="TABOBR"/>
        <w:spacing w:after="60"/>
      </w:pPr>
    </w:p>
    <w:p w14:paraId="1443F290" w14:textId="77777777" w:rsidR="00625C5F" w:rsidRDefault="00625C5F">
      <w:pPr>
        <w:rPr>
          <w:rFonts w:eastAsia="Times New Roman" w:cs="Arial"/>
          <w:b/>
          <w:szCs w:val="24"/>
          <w:lang w:eastAsia="cs-CZ"/>
        </w:rPr>
      </w:pPr>
      <w:r>
        <w:br w:type="page"/>
      </w:r>
    </w:p>
    <w:p w14:paraId="0DBD4965" w14:textId="77777777" w:rsidR="00B7257B" w:rsidRDefault="00B7257B" w:rsidP="00B7257B">
      <w:pPr>
        <w:pStyle w:val="TABOBR"/>
        <w:spacing w:after="60"/>
      </w:pPr>
      <w:r>
        <w:lastRenderedPageBreak/>
        <w:t>Obr. 15: Celkové náklady na zdravotní služby v přepočtu na pojištěnce</w:t>
      </w:r>
    </w:p>
    <w:p w14:paraId="31B55B51" w14:textId="77777777" w:rsidR="00B7257B" w:rsidRDefault="000579A2" w:rsidP="00B7257B">
      <w:r>
        <w:rPr>
          <w:noProof/>
          <w:lang w:eastAsia="cs-CZ"/>
        </w:rPr>
        <w:drawing>
          <wp:inline distT="0" distB="0" distL="0" distR="0" wp14:anchorId="10312D4A" wp14:editId="49A328E7">
            <wp:extent cx="5759450" cy="2819249"/>
            <wp:effectExtent l="0" t="0" r="0" b="635"/>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57D120A" w14:textId="77777777" w:rsidR="00B7257B" w:rsidRDefault="00B7257B" w:rsidP="00B7257B">
      <w:pPr>
        <w:pStyle w:val="TABOBR"/>
        <w:spacing w:after="60"/>
      </w:pPr>
      <w:r>
        <w:t>Obr. 16: Náklady na zdravotní služby podle segmentů v přepočtu na pojištěnce</w:t>
      </w:r>
    </w:p>
    <w:p w14:paraId="7A29B46A" w14:textId="77777777" w:rsidR="00B7257B" w:rsidRDefault="000579A2" w:rsidP="00B7257B">
      <w:r>
        <w:rPr>
          <w:noProof/>
          <w:lang w:eastAsia="cs-CZ"/>
        </w:rPr>
        <w:drawing>
          <wp:inline distT="0" distB="0" distL="0" distR="0" wp14:anchorId="13650887" wp14:editId="2604D805">
            <wp:extent cx="5759450" cy="2814816"/>
            <wp:effectExtent l="0" t="0" r="0" b="508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CFB3BD9" w14:textId="77777777" w:rsidR="002C0F83" w:rsidRDefault="002C0F83" w:rsidP="002C0F83">
      <w:pPr>
        <w:pStyle w:val="TABOBR"/>
        <w:spacing w:after="60"/>
        <w:ind w:left="794" w:hanging="794"/>
        <w:jc w:val="left"/>
      </w:pPr>
      <w:r>
        <w:t>Tab. 12: Náklady na zdravotní služby podle segmentů a zdravotních pojišťoven v roce 2018 v přepočtu na pojištěnce</w:t>
      </w:r>
    </w:p>
    <w:tbl>
      <w:tblPr>
        <w:tblW w:w="908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2C0F83" w14:paraId="53A53668" w14:textId="77777777" w:rsidTr="002C0F83">
        <w:trPr>
          <w:trHeight w:val="600"/>
        </w:trPr>
        <w:tc>
          <w:tcPr>
            <w:tcW w:w="2080" w:type="dxa"/>
            <w:tcBorders>
              <w:top w:val="single" w:sz="12" w:space="0" w:color="4F81BD"/>
              <w:left w:val="single" w:sz="12" w:space="0" w:color="4F81BD"/>
              <w:bottom w:val="nil"/>
              <w:right w:val="nil"/>
            </w:tcBorders>
            <w:shd w:val="clear" w:color="auto" w:fill="4F81BD"/>
            <w:hideMark/>
          </w:tcPr>
          <w:p w14:paraId="3D33B8B1" w14:textId="77777777" w:rsidR="002C0F83" w:rsidRDefault="002C0F83">
            <w:pPr>
              <w:spacing w:after="0" w:line="240" w:lineRule="auto"/>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Ukazatel</w:t>
            </w:r>
            <w:r>
              <w:rPr>
                <w:rFonts w:ascii="Calibri" w:eastAsia="Times New Roman" w:hAnsi="Calibri" w:cs="Times New Roman"/>
                <w:b/>
                <w:bCs/>
                <w:color w:val="FFFFFF"/>
                <w:sz w:val="21"/>
                <w:szCs w:val="21"/>
                <w:lang w:eastAsia="cs-CZ"/>
              </w:rPr>
              <w:br/>
            </w:r>
            <w:r>
              <w:rPr>
                <w:rFonts w:ascii="Calibri" w:eastAsia="Times New Roman" w:hAnsi="Calibri" w:cs="Times New Roman"/>
                <w:color w:val="FFFFFF"/>
                <w:sz w:val="21"/>
                <w:szCs w:val="21"/>
                <w:lang w:eastAsia="cs-CZ"/>
              </w:rPr>
              <w:t>(v Kč)</w:t>
            </w:r>
          </w:p>
        </w:tc>
        <w:tc>
          <w:tcPr>
            <w:tcW w:w="1000" w:type="dxa"/>
            <w:tcBorders>
              <w:top w:val="single" w:sz="12" w:space="0" w:color="4F81BD"/>
              <w:left w:val="nil"/>
              <w:bottom w:val="nil"/>
              <w:right w:val="nil"/>
            </w:tcBorders>
            <w:shd w:val="clear" w:color="auto" w:fill="6691C6"/>
            <w:noWrap/>
            <w:vAlign w:val="center"/>
            <w:hideMark/>
          </w:tcPr>
          <w:p w14:paraId="0441355F" w14:textId="77777777" w:rsidR="002C0F83" w:rsidRDefault="002C0F83">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VZP ČR</w:t>
            </w:r>
          </w:p>
        </w:tc>
        <w:tc>
          <w:tcPr>
            <w:tcW w:w="1000" w:type="dxa"/>
            <w:tcBorders>
              <w:top w:val="single" w:sz="12" w:space="0" w:color="4F81BD"/>
              <w:left w:val="nil"/>
              <w:bottom w:val="nil"/>
              <w:right w:val="nil"/>
            </w:tcBorders>
            <w:shd w:val="clear" w:color="auto" w:fill="4F81BD"/>
            <w:noWrap/>
            <w:vAlign w:val="center"/>
            <w:hideMark/>
          </w:tcPr>
          <w:p w14:paraId="54A93389" w14:textId="77777777" w:rsidR="002C0F83" w:rsidRDefault="002C0F83">
            <w:pPr>
              <w:spacing w:after="0" w:line="240" w:lineRule="auto"/>
              <w:jc w:val="center"/>
              <w:rPr>
                <w:rFonts w:ascii="Calibri" w:eastAsia="Times New Roman" w:hAnsi="Calibri" w:cs="Times New Roman"/>
                <w:b/>
                <w:bCs/>
                <w:color w:val="FFFFFF"/>
                <w:sz w:val="21"/>
                <w:szCs w:val="21"/>
                <w:lang w:eastAsia="cs-CZ"/>
              </w:rPr>
            </w:pPr>
            <w:proofErr w:type="spellStart"/>
            <w:r>
              <w:rPr>
                <w:rFonts w:ascii="Calibri" w:eastAsia="Times New Roman" w:hAnsi="Calibri" w:cs="Times New Roman"/>
                <w:b/>
                <w:bCs/>
                <w:color w:val="FFFFFF"/>
                <w:sz w:val="21"/>
                <w:szCs w:val="21"/>
                <w:lang w:eastAsia="cs-CZ"/>
              </w:rPr>
              <w:t>VoZP</w:t>
            </w:r>
            <w:proofErr w:type="spellEnd"/>
            <w:r>
              <w:rPr>
                <w:rFonts w:ascii="Calibri" w:eastAsia="Times New Roman" w:hAnsi="Calibri" w:cs="Times New Roman"/>
                <w:b/>
                <w:bCs/>
                <w:color w:val="FFFFFF"/>
                <w:sz w:val="21"/>
                <w:szCs w:val="21"/>
                <w:lang w:eastAsia="cs-CZ"/>
              </w:rPr>
              <w:t xml:space="preserve"> ČR</w:t>
            </w:r>
          </w:p>
        </w:tc>
        <w:tc>
          <w:tcPr>
            <w:tcW w:w="1000" w:type="dxa"/>
            <w:tcBorders>
              <w:top w:val="single" w:sz="12" w:space="0" w:color="4F81BD"/>
              <w:left w:val="nil"/>
              <w:bottom w:val="nil"/>
              <w:right w:val="nil"/>
            </w:tcBorders>
            <w:shd w:val="clear" w:color="auto" w:fill="6691C6"/>
            <w:noWrap/>
            <w:vAlign w:val="center"/>
            <w:hideMark/>
          </w:tcPr>
          <w:p w14:paraId="7A2AE72F" w14:textId="77777777" w:rsidR="002C0F83" w:rsidRDefault="002C0F83">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ČPZP</w:t>
            </w:r>
          </w:p>
        </w:tc>
        <w:tc>
          <w:tcPr>
            <w:tcW w:w="1000" w:type="dxa"/>
            <w:tcBorders>
              <w:top w:val="single" w:sz="12" w:space="0" w:color="4F81BD"/>
              <w:left w:val="nil"/>
              <w:bottom w:val="nil"/>
              <w:right w:val="nil"/>
            </w:tcBorders>
            <w:shd w:val="clear" w:color="auto" w:fill="4F81BD"/>
            <w:noWrap/>
            <w:vAlign w:val="center"/>
            <w:hideMark/>
          </w:tcPr>
          <w:p w14:paraId="5AF3DCCD" w14:textId="77777777" w:rsidR="002C0F83" w:rsidRDefault="002C0F83">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OZP</w:t>
            </w:r>
          </w:p>
        </w:tc>
        <w:tc>
          <w:tcPr>
            <w:tcW w:w="1000" w:type="dxa"/>
            <w:tcBorders>
              <w:top w:val="single" w:sz="12" w:space="0" w:color="4F81BD"/>
              <w:left w:val="nil"/>
              <w:bottom w:val="nil"/>
              <w:right w:val="nil"/>
            </w:tcBorders>
            <w:shd w:val="clear" w:color="auto" w:fill="6691C6"/>
            <w:noWrap/>
            <w:vAlign w:val="center"/>
            <w:hideMark/>
          </w:tcPr>
          <w:p w14:paraId="586A7F82" w14:textId="77777777" w:rsidR="002C0F83" w:rsidRDefault="002C0F83">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ZPŠ</w:t>
            </w:r>
          </w:p>
        </w:tc>
        <w:tc>
          <w:tcPr>
            <w:tcW w:w="1000" w:type="dxa"/>
            <w:tcBorders>
              <w:top w:val="single" w:sz="12" w:space="0" w:color="4F81BD"/>
              <w:left w:val="nil"/>
              <w:bottom w:val="nil"/>
              <w:right w:val="nil"/>
            </w:tcBorders>
            <w:shd w:val="clear" w:color="auto" w:fill="4F81BD"/>
            <w:noWrap/>
            <w:vAlign w:val="center"/>
            <w:hideMark/>
          </w:tcPr>
          <w:p w14:paraId="08AA92AB" w14:textId="77777777" w:rsidR="002C0F83" w:rsidRDefault="002C0F83">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ZP MV ČR</w:t>
            </w:r>
          </w:p>
        </w:tc>
        <w:tc>
          <w:tcPr>
            <w:tcW w:w="1000" w:type="dxa"/>
            <w:tcBorders>
              <w:top w:val="single" w:sz="12" w:space="0" w:color="4F81BD"/>
              <w:left w:val="nil"/>
              <w:bottom w:val="nil"/>
              <w:right w:val="single" w:sz="12" w:space="0" w:color="4F81BD"/>
            </w:tcBorders>
            <w:shd w:val="clear" w:color="auto" w:fill="6691C6"/>
            <w:noWrap/>
            <w:vAlign w:val="center"/>
            <w:hideMark/>
          </w:tcPr>
          <w:p w14:paraId="12C967F1" w14:textId="77777777" w:rsidR="002C0F83" w:rsidRDefault="002C0F83">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RBP</w:t>
            </w:r>
          </w:p>
        </w:tc>
      </w:tr>
      <w:tr w:rsidR="002C0F83" w14:paraId="4C0B5CBC" w14:textId="77777777" w:rsidTr="002C0F83">
        <w:trPr>
          <w:trHeight w:val="559"/>
        </w:trPr>
        <w:tc>
          <w:tcPr>
            <w:tcW w:w="2080" w:type="dxa"/>
            <w:tcBorders>
              <w:top w:val="nil"/>
              <w:left w:val="single" w:sz="12" w:space="0" w:color="4F81BD"/>
              <w:bottom w:val="nil"/>
              <w:right w:val="nil"/>
            </w:tcBorders>
            <w:vAlign w:val="bottom"/>
            <w:hideMark/>
          </w:tcPr>
          <w:p w14:paraId="042513EB" w14:textId="77777777" w:rsidR="002C0F83" w:rsidRDefault="002C0F83">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 xml:space="preserve">Náklady na </w:t>
            </w:r>
            <w:r>
              <w:rPr>
                <w:rFonts w:ascii="Calibri" w:eastAsia="Times New Roman" w:hAnsi="Calibri" w:cs="Times New Roman"/>
                <w:b/>
                <w:bCs/>
                <w:color w:val="000000"/>
                <w:sz w:val="21"/>
                <w:szCs w:val="21"/>
                <w:lang w:eastAsia="cs-CZ"/>
              </w:rPr>
              <w:br/>
              <w:t>ambulantní péči</w:t>
            </w:r>
          </w:p>
        </w:tc>
        <w:tc>
          <w:tcPr>
            <w:tcW w:w="1000" w:type="dxa"/>
            <w:tcBorders>
              <w:top w:val="nil"/>
              <w:left w:val="nil"/>
              <w:bottom w:val="nil"/>
              <w:right w:val="nil"/>
            </w:tcBorders>
            <w:shd w:val="clear" w:color="auto" w:fill="DCE6F1"/>
            <w:noWrap/>
            <w:vAlign w:val="bottom"/>
            <w:hideMark/>
          </w:tcPr>
          <w:p w14:paraId="1D79D393"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7 044</w:t>
            </w:r>
          </w:p>
        </w:tc>
        <w:tc>
          <w:tcPr>
            <w:tcW w:w="1000" w:type="dxa"/>
            <w:tcBorders>
              <w:top w:val="nil"/>
              <w:left w:val="nil"/>
              <w:bottom w:val="nil"/>
              <w:right w:val="nil"/>
            </w:tcBorders>
            <w:noWrap/>
            <w:vAlign w:val="bottom"/>
            <w:hideMark/>
          </w:tcPr>
          <w:p w14:paraId="65B66087"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7 341</w:t>
            </w:r>
          </w:p>
        </w:tc>
        <w:tc>
          <w:tcPr>
            <w:tcW w:w="1000" w:type="dxa"/>
            <w:tcBorders>
              <w:top w:val="nil"/>
              <w:left w:val="nil"/>
              <w:bottom w:val="nil"/>
              <w:right w:val="nil"/>
            </w:tcBorders>
            <w:shd w:val="clear" w:color="auto" w:fill="DCE6F1"/>
            <w:noWrap/>
            <w:vAlign w:val="bottom"/>
            <w:hideMark/>
          </w:tcPr>
          <w:p w14:paraId="20A208BD"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7 471</w:t>
            </w:r>
          </w:p>
        </w:tc>
        <w:tc>
          <w:tcPr>
            <w:tcW w:w="1000" w:type="dxa"/>
            <w:tcBorders>
              <w:top w:val="nil"/>
              <w:left w:val="nil"/>
              <w:bottom w:val="nil"/>
              <w:right w:val="nil"/>
            </w:tcBorders>
            <w:noWrap/>
            <w:vAlign w:val="bottom"/>
            <w:hideMark/>
          </w:tcPr>
          <w:p w14:paraId="03361182"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7 287</w:t>
            </w:r>
          </w:p>
        </w:tc>
        <w:tc>
          <w:tcPr>
            <w:tcW w:w="1000" w:type="dxa"/>
            <w:tcBorders>
              <w:top w:val="nil"/>
              <w:left w:val="nil"/>
              <w:bottom w:val="nil"/>
              <w:right w:val="nil"/>
            </w:tcBorders>
            <w:shd w:val="clear" w:color="auto" w:fill="DCE6F1"/>
            <w:noWrap/>
            <w:vAlign w:val="bottom"/>
            <w:hideMark/>
          </w:tcPr>
          <w:p w14:paraId="4C4A4958"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6 337</w:t>
            </w:r>
          </w:p>
        </w:tc>
        <w:tc>
          <w:tcPr>
            <w:tcW w:w="1000" w:type="dxa"/>
            <w:tcBorders>
              <w:top w:val="nil"/>
              <w:left w:val="nil"/>
              <w:bottom w:val="nil"/>
              <w:right w:val="nil"/>
            </w:tcBorders>
            <w:noWrap/>
            <w:vAlign w:val="bottom"/>
            <w:hideMark/>
          </w:tcPr>
          <w:p w14:paraId="58EC99C0"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7 117</w:t>
            </w:r>
          </w:p>
        </w:tc>
        <w:tc>
          <w:tcPr>
            <w:tcW w:w="1000" w:type="dxa"/>
            <w:tcBorders>
              <w:top w:val="nil"/>
              <w:left w:val="nil"/>
              <w:bottom w:val="nil"/>
              <w:right w:val="single" w:sz="12" w:space="0" w:color="4F81BD"/>
            </w:tcBorders>
            <w:shd w:val="clear" w:color="auto" w:fill="DCE6F1"/>
            <w:noWrap/>
            <w:vAlign w:val="bottom"/>
            <w:hideMark/>
          </w:tcPr>
          <w:p w14:paraId="07D330FF"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7 403</w:t>
            </w:r>
          </w:p>
        </w:tc>
      </w:tr>
      <w:tr w:rsidR="002C0F83" w14:paraId="5E368179" w14:textId="77777777" w:rsidTr="002C0F83">
        <w:trPr>
          <w:trHeight w:val="559"/>
        </w:trPr>
        <w:tc>
          <w:tcPr>
            <w:tcW w:w="2080" w:type="dxa"/>
            <w:tcBorders>
              <w:top w:val="nil"/>
              <w:left w:val="single" w:sz="12" w:space="0" w:color="4F81BD"/>
              <w:bottom w:val="nil"/>
              <w:right w:val="nil"/>
            </w:tcBorders>
            <w:shd w:val="clear" w:color="auto" w:fill="EEF3F8"/>
            <w:vAlign w:val="bottom"/>
            <w:hideMark/>
          </w:tcPr>
          <w:p w14:paraId="6AF177AE" w14:textId="77777777" w:rsidR="002C0F83" w:rsidRDefault="002C0F83">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 xml:space="preserve">Náklady na </w:t>
            </w:r>
            <w:r>
              <w:rPr>
                <w:rFonts w:ascii="Calibri" w:eastAsia="Times New Roman" w:hAnsi="Calibri" w:cs="Times New Roman"/>
                <w:b/>
                <w:bCs/>
                <w:color w:val="000000"/>
                <w:sz w:val="21"/>
                <w:szCs w:val="21"/>
                <w:lang w:eastAsia="cs-CZ"/>
              </w:rPr>
              <w:br/>
              <w:t>lůžkovou péči</w:t>
            </w:r>
          </w:p>
        </w:tc>
        <w:tc>
          <w:tcPr>
            <w:tcW w:w="1000" w:type="dxa"/>
            <w:tcBorders>
              <w:top w:val="nil"/>
              <w:left w:val="nil"/>
              <w:bottom w:val="nil"/>
              <w:right w:val="nil"/>
            </w:tcBorders>
            <w:shd w:val="clear" w:color="auto" w:fill="EEF3F8"/>
            <w:noWrap/>
            <w:vAlign w:val="bottom"/>
            <w:hideMark/>
          </w:tcPr>
          <w:p w14:paraId="4C8930D1"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16 147</w:t>
            </w:r>
          </w:p>
        </w:tc>
        <w:tc>
          <w:tcPr>
            <w:tcW w:w="1000" w:type="dxa"/>
            <w:tcBorders>
              <w:top w:val="nil"/>
              <w:left w:val="nil"/>
              <w:bottom w:val="nil"/>
              <w:right w:val="nil"/>
            </w:tcBorders>
            <w:shd w:val="clear" w:color="auto" w:fill="EEF3F8"/>
            <w:noWrap/>
            <w:vAlign w:val="bottom"/>
            <w:hideMark/>
          </w:tcPr>
          <w:p w14:paraId="46229D43"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13 477</w:t>
            </w:r>
          </w:p>
        </w:tc>
        <w:tc>
          <w:tcPr>
            <w:tcW w:w="1000" w:type="dxa"/>
            <w:tcBorders>
              <w:top w:val="nil"/>
              <w:left w:val="nil"/>
              <w:bottom w:val="nil"/>
              <w:right w:val="nil"/>
            </w:tcBorders>
            <w:shd w:val="clear" w:color="auto" w:fill="EEF3F8"/>
            <w:noWrap/>
            <w:vAlign w:val="bottom"/>
            <w:hideMark/>
          </w:tcPr>
          <w:p w14:paraId="38F7FD4A"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12 342</w:t>
            </w:r>
          </w:p>
        </w:tc>
        <w:tc>
          <w:tcPr>
            <w:tcW w:w="1000" w:type="dxa"/>
            <w:tcBorders>
              <w:top w:val="nil"/>
              <w:left w:val="nil"/>
              <w:bottom w:val="nil"/>
              <w:right w:val="nil"/>
            </w:tcBorders>
            <w:shd w:val="clear" w:color="auto" w:fill="EEF3F8"/>
            <w:noWrap/>
            <w:vAlign w:val="bottom"/>
            <w:hideMark/>
          </w:tcPr>
          <w:p w14:paraId="1CBCD395"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12 391</w:t>
            </w:r>
          </w:p>
        </w:tc>
        <w:tc>
          <w:tcPr>
            <w:tcW w:w="1000" w:type="dxa"/>
            <w:tcBorders>
              <w:top w:val="nil"/>
              <w:left w:val="nil"/>
              <w:bottom w:val="nil"/>
              <w:right w:val="nil"/>
            </w:tcBorders>
            <w:shd w:val="clear" w:color="auto" w:fill="EEF3F8"/>
            <w:noWrap/>
            <w:vAlign w:val="bottom"/>
            <w:hideMark/>
          </w:tcPr>
          <w:p w14:paraId="130DAA7D"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14 547</w:t>
            </w:r>
          </w:p>
        </w:tc>
        <w:tc>
          <w:tcPr>
            <w:tcW w:w="1000" w:type="dxa"/>
            <w:tcBorders>
              <w:top w:val="nil"/>
              <w:left w:val="nil"/>
              <w:bottom w:val="nil"/>
              <w:right w:val="nil"/>
            </w:tcBorders>
            <w:shd w:val="clear" w:color="auto" w:fill="EEF3F8"/>
            <w:noWrap/>
            <w:vAlign w:val="bottom"/>
            <w:hideMark/>
          </w:tcPr>
          <w:p w14:paraId="0E522919"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13 706</w:t>
            </w:r>
          </w:p>
        </w:tc>
        <w:tc>
          <w:tcPr>
            <w:tcW w:w="1000" w:type="dxa"/>
            <w:tcBorders>
              <w:top w:val="nil"/>
              <w:left w:val="nil"/>
              <w:bottom w:val="nil"/>
              <w:right w:val="single" w:sz="12" w:space="0" w:color="4F81BD"/>
            </w:tcBorders>
            <w:shd w:val="clear" w:color="auto" w:fill="EEF3F8"/>
            <w:noWrap/>
            <w:vAlign w:val="bottom"/>
            <w:hideMark/>
          </w:tcPr>
          <w:p w14:paraId="00FF5397"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12 576</w:t>
            </w:r>
          </w:p>
        </w:tc>
      </w:tr>
      <w:tr w:rsidR="002C0F83" w14:paraId="27618C23" w14:textId="77777777" w:rsidTr="002C0F83">
        <w:trPr>
          <w:trHeight w:val="300"/>
        </w:trPr>
        <w:tc>
          <w:tcPr>
            <w:tcW w:w="2080" w:type="dxa"/>
            <w:tcBorders>
              <w:top w:val="nil"/>
              <w:left w:val="single" w:sz="12" w:space="0" w:color="4F81BD"/>
              <w:bottom w:val="nil"/>
              <w:right w:val="nil"/>
            </w:tcBorders>
            <w:vAlign w:val="bottom"/>
            <w:hideMark/>
          </w:tcPr>
          <w:p w14:paraId="6C11F2F2" w14:textId="77777777" w:rsidR="002C0F83" w:rsidRDefault="002C0F83">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Ostatní náklady</w:t>
            </w:r>
          </w:p>
        </w:tc>
        <w:tc>
          <w:tcPr>
            <w:tcW w:w="1000" w:type="dxa"/>
            <w:tcBorders>
              <w:top w:val="nil"/>
              <w:left w:val="nil"/>
              <w:bottom w:val="nil"/>
              <w:right w:val="nil"/>
            </w:tcBorders>
            <w:shd w:val="clear" w:color="auto" w:fill="DCE6F1"/>
            <w:noWrap/>
            <w:vAlign w:val="bottom"/>
            <w:hideMark/>
          </w:tcPr>
          <w:p w14:paraId="07A21A1D"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5 565</w:t>
            </w:r>
          </w:p>
        </w:tc>
        <w:tc>
          <w:tcPr>
            <w:tcW w:w="1000" w:type="dxa"/>
            <w:tcBorders>
              <w:top w:val="nil"/>
              <w:left w:val="nil"/>
              <w:bottom w:val="nil"/>
              <w:right w:val="nil"/>
            </w:tcBorders>
            <w:noWrap/>
            <w:vAlign w:val="bottom"/>
            <w:hideMark/>
          </w:tcPr>
          <w:p w14:paraId="70D08919"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4 935</w:t>
            </w:r>
          </w:p>
        </w:tc>
        <w:tc>
          <w:tcPr>
            <w:tcW w:w="1000" w:type="dxa"/>
            <w:tcBorders>
              <w:top w:val="nil"/>
              <w:left w:val="nil"/>
              <w:bottom w:val="nil"/>
              <w:right w:val="nil"/>
            </w:tcBorders>
            <w:shd w:val="clear" w:color="auto" w:fill="DCE6F1"/>
            <w:noWrap/>
            <w:vAlign w:val="bottom"/>
            <w:hideMark/>
          </w:tcPr>
          <w:p w14:paraId="0B2877A0"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4 578</w:t>
            </w:r>
          </w:p>
        </w:tc>
        <w:tc>
          <w:tcPr>
            <w:tcW w:w="1000" w:type="dxa"/>
            <w:tcBorders>
              <w:top w:val="nil"/>
              <w:left w:val="nil"/>
              <w:bottom w:val="nil"/>
              <w:right w:val="nil"/>
            </w:tcBorders>
            <w:noWrap/>
            <w:vAlign w:val="bottom"/>
            <w:hideMark/>
          </w:tcPr>
          <w:p w14:paraId="2A81EC33"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4 298</w:t>
            </w:r>
          </w:p>
        </w:tc>
        <w:tc>
          <w:tcPr>
            <w:tcW w:w="1000" w:type="dxa"/>
            <w:tcBorders>
              <w:top w:val="nil"/>
              <w:left w:val="nil"/>
              <w:bottom w:val="nil"/>
              <w:right w:val="nil"/>
            </w:tcBorders>
            <w:shd w:val="clear" w:color="auto" w:fill="DCE6F1"/>
            <w:noWrap/>
            <w:vAlign w:val="bottom"/>
            <w:hideMark/>
          </w:tcPr>
          <w:p w14:paraId="554F2769"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5 248</w:t>
            </w:r>
          </w:p>
        </w:tc>
        <w:tc>
          <w:tcPr>
            <w:tcW w:w="1000" w:type="dxa"/>
            <w:tcBorders>
              <w:top w:val="nil"/>
              <w:left w:val="nil"/>
              <w:bottom w:val="nil"/>
              <w:right w:val="nil"/>
            </w:tcBorders>
            <w:noWrap/>
            <w:vAlign w:val="bottom"/>
            <w:hideMark/>
          </w:tcPr>
          <w:p w14:paraId="58A7BA8A"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5 058</w:t>
            </w:r>
          </w:p>
        </w:tc>
        <w:tc>
          <w:tcPr>
            <w:tcW w:w="1000" w:type="dxa"/>
            <w:tcBorders>
              <w:top w:val="nil"/>
              <w:left w:val="nil"/>
              <w:bottom w:val="nil"/>
              <w:right w:val="single" w:sz="12" w:space="0" w:color="4F81BD"/>
            </w:tcBorders>
            <w:shd w:val="clear" w:color="auto" w:fill="DCE6F1"/>
            <w:noWrap/>
            <w:vAlign w:val="bottom"/>
            <w:hideMark/>
          </w:tcPr>
          <w:p w14:paraId="35AC2057" w14:textId="77777777" w:rsidR="002C0F83" w:rsidRDefault="002C0F83">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4 812</w:t>
            </w:r>
          </w:p>
        </w:tc>
      </w:tr>
      <w:tr w:rsidR="002C0F83" w14:paraId="3266B1DC" w14:textId="77777777" w:rsidTr="002C0F83">
        <w:trPr>
          <w:trHeight w:val="300"/>
        </w:trPr>
        <w:tc>
          <w:tcPr>
            <w:tcW w:w="2080" w:type="dxa"/>
            <w:tcBorders>
              <w:top w:val="nil"/>
              <w:left w:val="single" w:sz="12" w:space="0" w:color="4F81BD"/>
              <w:bottom w:val="single" w:sz="12" w:space="0" w:color="4F81BD"/>
              <w:right w:val="nil"/>
            </w:tcBorders>
            <w:shd w:val="clear" w:color="auto" w:fill="EEF3F8"/>
            <w:vAlign w:val="bottom"/>
            <w:hideMark/>
          </w:tcPr>
          <w:p w14:paraId="6449EF15" w14:textId="77777777" w:rsidR="002C0F83" w:rsidRDefault="002C0F83">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Celkové náklady</w:t>
            </w:r>
          </w:p>
        </w:tc>
        <w:tc>
          <w:tcPr>
            <w:tcW w:w="1000" w:type="dxa"/>
            <w:tcBorders>
              <w:top w:val="nil"/>
              <w:left w:val="nil"/>
              <w:bottom w:val="single" w:sz="12" w:space="0" w:color="4F81BD"/>
              <w:right w:val="nil"/>
            </w:tcBorders>
            <w:shd w:val="clear" w:color="auto" w:fill="EEF3F8"/>
            <w:noWrap/>
            <w:vAlign w:val="bottom"/>
            <w:hideMark/>
          </w:tcPr>
          <w:p w14:paraId="0365E6B4" w14:textId="77777777" w:rsidR="002C0F83" w:rsidRDefault="002C0F83">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28 755</w:t>
            </w:r>
          </w:p>
        </w:tc>
        <w:tc>
          <w:tcPr>
            <w:tcW w:w="1000" w:type="dxa"/>
            <w:tcBorders>
              <w:top w:val="nil"/>
              <w:left w:val="nil"/>
              <w:bottom w:val="single" w:sz="12" w:space="0" w:color="4F81BD"/>
              <w:right w:val="nil"/>
            </w:tcBorders>
            <w:shd w:val="clear" w:color="auto" w:fill="EEF3F8"/>
            <w:noWrap/>
            <w:vAlign w:val="bottom"/>
            <w:hideMark/>
          </w:tcPr>
          <w:p w14:paraId="77503458" w14:textId="77777777" w:rsidR="002C0F83" w:rsidRDefault="002C0F83">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25 753</w:t>
            </w:r>
          </w:p>
        </w:tc>
        <w:tc>
          <w:tcPr>
            <w:tcW w:w="1000" w:type="dxa"/>
            <w:tcBorders>
              <w:top w:val="nil"/>
              <w:left w:val="nil"/>
              <w:bottom w:val="single" w:sz="12" w:space="0" w:color="4F81BD"/>
              <w:right w:val="nil"/>
            </w:tcBorders>
            <w:shd w:val="clear" w:color="auto" w:fill="EEF3F8"/>
            <w:noWrap/>
            <w:vAlign w:val="bottom"/>
            <w:hideMark/>
          </w:tcPr>
          <w:p w14:paraId="5AF51392" w14:textId="77777777" w:rsidR="002C0F83" w:rsidRDefault="002C0F83">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24 391</w:t>
            </w:r>
          </w:p>
        </w:tc>
        <w:tc>
          <w:tcPr>
            <w:tcW w:w="1000" w:type="dxa"/>
            <w:tcBorders>
              <w:top w:val="nil"/>
              <w:left w:val="nil"/>
              <w:bottom w:val="single" w:sz="12" w:space="0" w:color="4F81BD"/>
              <w:right w:val="nil"/>
            </w:tcBorders>
            <w:shd w:val="clear" w:color="auto" w:fill="EEF3F8"/>
            <w:noWrap/>
            <w:vAlign w:val="bottom"/>
            <w:hideMark/>
          </w:tcPr>
          <w:p w14:paraId="06FCAEC5" w14:textId="77777777" w:rsidR="002C0F83" w:rsidRDefault="002C0F83">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23 976</w:t>
            </w:r>
          </w:p>
        </w:tc>
        <w:tc>
          <w:tcPr>
            <w:tcW w:w="1000" w:type="dxa"/>
            <w:tcBorders>
              <w:top w:val="nil"/>
              <w:left w:val="nil"/>
              <w:bottom w:val="single" w:sz="12" w:space="0" w:color="4F81BD"/>
              <w:right w:val="nil"/>
            </w:tcBorders>
            <w:shd w:val="clear" w:color="auto" w:fill="EEF3F8"/>
            <w:noWrap/>
            <w:vAlign w:val="bottom"/>
            <w:hideMark/>
          </w:tcPr>
          <w:p w14:paraId="26C9702B" w14:textId="77777777" w:rsidR="002C0F83" w:rsidRDefault="002C0F83">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26 132</w:t>
            </w:r>
          </w:p>
        </w:tc>
        <w:tc>
          <w:tcPr>
            <w:tcW w:w="1000" w:type="dxa"/>
            <w:tcBorders>
              <w:top w:val="nil"/>
              <w:left w:val="nil"/>
              <w:bottom w:val="single" w:sz="12" w:space="0" w:color="4F81BD"/>
              <w:right w:val="nil"/>
            </w:tcBorders>
            <w:shd w:val="clear" w:color="auto" w:fill="EEF3F8"/>
            <w:noWrap/>
            <w:vAlign w:val="bottom"/>
            <w:hideMark/>
          </w:tcPr>
          <w:p w14:paraId="18E0E8BB" w14:textId="77777777" w:rsidR="002C0F83" w:rsidRDefault="002C0F83">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25 881</w:t>
            </w:r>
          </w:p>
        </w:tc>
        <w:tc>
          <w:tcPr>
            <w:tcW w:w="1000" w:type="dxa"/>
            <w:tcBorders>
              <w:top w:val="nil"/>
              <w:left w:val="nil"/>
              <w:bottom w:val="single" w:sz="12" w:space="0" w:color="4F81BD"/>
              <w:right w:val="single" w:sz="12" w:space="0" w:color="4F81BD"/>
            </w:tcBorders>
            <w:shd w:val="clear" w:color="auto" w:fill="EEF3F8"/>
            <w:noWrap/>
            <w:vAlign w:val="bottom"/>
            <w:hideMark/>
          </w:tcPr>
          <w:p w14:paraId="074D0FE0" w14:textId="77777777" w:rsidR="002C0F83" w:rsidRDefault="002C0F83">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24 791</w:t>
            </w:r>
          </w:p>
        </w:tc>
      </w:tr>
    </w:tbl>
    <w:p w14:paraId="28C20237" w14:textId="77777777" w:rsidR="0023295F" w:rsidRPr="006574E8" w:rsidRDefault="0023295F" w:rsidP="0023295F">
      <w:pPr>
        <w:pStyle w:val="TEXTpodTABOBR"/>
      </w:pPr>
      <w:r w:rsidRPr="006574E8">
        <w:lastRenderedPageBreak/>
        <w:t>Celková částka, kterou uhradili pojištěnci všech činných ZP za regulační poplatky a započitatelné doplatky na léčivé přípravky a potraviny pro zvláštní lékařské účely, činila celkem 2,</w:t>
      </w:r>
      <w:r w:rsidR="006574E8" w:rsidRPr="006574E8">
        <w:t xml:space="preserve">77 </w:t>
      </w:r>
      <w:r w:rsidRPr="006574E8">
        <w:t xml:space="preserve">mld. Kč (podobně jako v roce </w:t>
      </w:r>
      <w:r w:rsidR="006574E8" w:rsidRPr="006574E8">
        <w:t>2017</w:t>
      </w:r>
      <w:r w:rsidRPr="006574E8">
        <w:t>). Z této částky bylo za regulační poplatky vybráno 0,</w:t>
      </w:r>
      <w:r w:rsidR="006574E8" w:rsidRPr="006574E8">
        <w:t xml:space="preserve">20 </w:t>
      </w:r>
      <w:r w:rsidRPr="006574E8">
        <w:t>mld. Kč a za započitatelné doplatky na léčivé přípravky a potraviny pro zvláštní lékařské účely 2,5</w:t>
      </w:r>
      <w:r w:rsidR="006574E8" w:rsidRPr="006574E8">
        <w:t>7</w:t>
      </w:r>
      <w:r w:rsidRPr="006574E8">
        <w:t xml:space="preserve"> mld. Kč. </w:t>
      </w:r>
      <w:r w:rsidRPr="006574E8">
        <w:rPr>
          <w:rFonts w:eastAsia="SimSun"/>
        </w:rPr>
        <w:t>Tyto prostředky získali jednotliví PZS.</w:t>
      </w:r>
    </w:p>
    <w:p w14:paraId="35DBC1C9" w14:textId="5A459696" w:rsidR="0023295F" w:rsidRPr="0068642A" w:rsidRDefault="0023295F" w:rsidP="0023295F">
      <w:pPr>
        <w:pStyle w:val="TEXT"/>
        <w:rPr>
          <w:rFonts w:eastAsia="SimSun"/>
        </w:rPr>
      </w:pPr>
      <w:r w:rsidRPr="0068642A">
        <w:rPr>
          <w:b/>
        </w:rPr>
        <w:t xml:space="preserve">Objem finančních prostředků (vratek), </w:t>
      </w:r>
      <w:r w:rsidRPr="0068642A">
        <w:t xml:space="preserve">který podle § 16b zákona č. 48/1997 Sb. ZP vrátily </w:t>
      </w:r>
      <w:r w:rsidR="00B543E0" w:rsidRPr="0068642A">
        <w:t>924</w:t>
      </w:r>
      <w:r w:rsidRPr="0068642A">
        <w:t> </w:t>
      </w:r>
      <w:r w:rsidR="00B543E0" w:rsidRPr="0068642A">
        <w:t>144</w:t>
      </w:r>
      <w:r w:rsidRPr="0068642A">
        <w:t xml:space="preserve"> pojištěncům, činil </w:t>
      </w:r>
      <w:r w:rsidR="00B543E0" w:rsidRPr="0068642A">
        <w:t>0,6</w:t>
      </w:r>
      <w:r w:rsidR="00794CA8">
        <w:t>5</w:t>
      </w:r>
      <w:r w:rsidR="00B543E0" w:rsidRPr="0068642A">
        <w:t>7 mld</w:t>
      </w:r>
      <w:r w:rsidRPr="0068642A">
        <w:t xml:space="preserve">. Kč, </w:t>
      </w:r>
      <w:r w:rsidRPr="0068642A">
        <w:rPr>
          <w:rFonts w:eastAsia="SimSun"/>
        </w:rPr>
        <w:t xml:space="preserve">což představuje v průměru </w:t>
      </w:r>
      <w:r w:rsidR="00B543E0" w:rsidRPr="0068642A">
        <w:rPr>
          <w:rFonts w:eastAsia="SimSun"/>
        </w:rPr>
        <w:t>711</w:t>
      </w:r>
      <w:r w:rsidRPr="0068642A">
        <w:rPr>
          <w:rFonts w:eastAsia="SimSun"/>
        </w:rPr>
        <w:t> Kč na 1 vratku pro pojištěnce</w:t>
      </w:r>
      <w:r w:rsidRPr="0068642A">
        <w:t xml:space="preserve">. Jednalo se o pojištěnce, kteří v daném období překročili zákonný limit 5 000 Kč, resp. </w:t>
      </w:r>
      <w:r w:rsidR="0068642A" w:rsidRPr="0068642A">
        <w:t>1</w:t>
      </w:r>
      <w:r w:rsidRPr="0068642A">
        <w:rPr>
          <w:szCs w:val="22"/>
        </w:rPr>
        <w:t> </w:t>
      </w:r>
      <w:r w:rsidR="0068642A" w:rsidRPr="0068642A">
        <w:rPr>
          <w:szCs w:val="22"/>
        </w:rPr>
        <w:t>0</w:t>
      </w:r>
      <w:r w:rsidRPr="0068642A">
        <w:rPr>
          <w:szCs w:val="22"/>
        </w:rPr>
        <w:t>00 Kč u dětí mladších 18 let a u pojištěnců starších 65 let</w:t>
      </w:r>
      <w:r w:rsidR="0068642A" w:rsidRPr="0068642A">
        <w:rPr>
          <w:szCs w:val="22"/>
        </w:rPr>
        <w:t xml:space="preserve"> a 500 Kč u pojištěnců starších 70 let</w:t>
      </w:r>
      <w:r w:rsidRPr="0068642A">
        <w:t xml:space="preserve"> </w:t>
      </w:r>
      <w:r w:rsidR="0068642A">
        <w:t>(v</w:t>
      </w:r>
      <w:r w:rsidR="00625C5F">
        <w:t> </w:t>
      </w:r>
      <w:r w:rsidR="0068642A" w:rsidRPr="006F74DD">
        <w:t xml:space="preserve">roce 2018 </w:t>
      </w:r>
      <w:r w:rsidR="0068642A">
        <w:t xml:space="preserve">došlo ke </w:t>
      </w:r>
      <w:r w:rsidR="0068642A" w:rsidRPr="006F74DD">
        <w:t>snížen</w:t>
      </w:r>
      <w:r w:rsidR="0068642A">
        <w:t>í</w:t>
      </w:r>
      <w:r w:rsidR="0068642A" w:rsidRPr="006F74DD">
        <w:t xml:space="preserve"> ochrann</w:t>
      </w:r>
      <w:r w:rsidR="0068642A">
        <w:t>ého</w:t>
      </w:r>
      <w:r w:rsidR="0068642A" w:rsidRPr="006F74DD">
        <w:t xml:space="preserve"> roční</w:t>
      </w:r>
      <w:r w:rsidR="0068642A">
        <w:t>ho</w:t>
      </w:r>
      <w:r w:rsidR="0068642A" w:rsidRPr="006F74DD">
        <w:t xml:space="preserve"> limit</w:t>
      </w:r>
      <w:r w:rsidR="0068642A">
        <w:t>u</w:t>
      </w:r>
      <w:r w:rsidR="0068642A" w:rsidRPr="006F74DD">
        <w:t xml:space="preserve"> pro dopla</w:t>
      </w:r>
      <w:r w:rsidR="0068642A">
        <w:t>tky na léky pro děti a </w:t>
      </w:r>
      <w:r w:rsidR="0068642A" w:rsidRPr="006F74DD">
        <w:t>seniory</w:t>
      </w:r>
      <w:r w:rsidR="00794CA8">
        <w:t>,</w:t>
      </w:r>
      <w:r w:rsidR="00F5243C">
        <w:t xml:space="preserve"> a </w:t>
      </w:r>
      <w:r w:rsidR="003724CA">
        <w:t>proto došlo k tak výraznému meziročnímu nárůstu</w:t>
      </w:r>
      <w:r w:rsidR="0068642A">
        <w:t>)</w:t>
      </w:r>
      <w:r w:rsidR="0068642A" w:rsidRPr="006F74DD">
        <w:t>.</w:t>
      </w:r>
    </w:p>
    <w:p w14:paraId="4AA612A3" w14:textId="77777777" w:rsidR="0023295F" w:rsidRDefault="0023295F" w:rsidP="0023295F">
      <w:pPr>
        <w:pStyle w:val="TABOBR"/>
      </w:pPr>
      <w:r w:rsidRPr="00420CC2">
        <w:t>Tab</w:t>
      </w:r>
      <w:r w:rsidR="00726657">
        <w:t>.</w:t>
      </w:r>
      <w:r w:rsidRPr="00420CC2">
        <w:t xml:space="preserve"> </w:t>
      </w:r>
      <w:r w:rsidR="00726657">
        <w:t>13</w:t>
      </w:r>
      <w:r w:rsidRPr="00420CC2">
        <w:t>: Překročení zákonného limitu</w:t>
      </w:r>
    </w:p>
    <w:tbl>
      <w:tblPr>
        <w:tblW w:w="9080" w:type="dxa"/>
        <w:tblInd w:w="55" w:type="dxa"/>
        <w:tblCellMar>
          <w:left w:w="70" w:type="dxa"/>
          <w:right w:w="70" w:type="dxa"/>
        </w:tblCellMar>
        <w:tblLook w:val="04A0" w:firstRow="1" w:lastRow="0" w:firstColumn="1" w:lastColumn="0" w:noHBand="0" w:noVBand="1"/>
      </w:tblPr>
      <w:tblGrid>
        <w:gridCol w:w="3080"/>
        <w:gridCol w:w="1000"/>
        <w:gridCol w:w="1000"/>
        <w:gridCol w:w="1000"/>
        <w:gridCol w:w="1000"/>
        <w:gridCol w:w="1000"/>
        <w:gridCol w:w="1000"/>
      </w:tblGrid>
      <w:tr w:rsidR="0009181B" w:rsidRPr="0009181B" w14:paraId="28D74A38" w14:textId="77777777" w:rsidTr="0009181B">
        <w:trPr>
          <w:trHeight w:val="600"/>
        </w:trPr>
        <w:tc>
          <w:tcPr>
            <w:tcW w:w="3080" w:type="dxa"/>
            <w:tcBorders>
              <w:top w:val="single" w:sz="8" w:space="0" w:color="4F81BD"/>
              <w:left w:val="single" w:sz="8" w:space="0" w:color="4F81BD"/>
              <w:bottom w:val="nil"/>
              <w:right w:val="nil"/>
            </w:tcBorders>
            <w:shd w:val="clear" w:color="000000" w:fill="4F81BD"/>
            <w:hideMark/>
          </w:tcPr>
          <w:p w14:paraId="6025D027" w14:textId="77777777" w:rsidR="0009181B" w:rsidRPr="0009181B" w:rsidRDefault="0009181B" w:rsidP="0009181B">
            <w:pPr>
              <w:spacing w:after="0" w:line="240" w:lineRule="auto"/>
              <w:rPr>
                <w:rFonts w:ascii="Calibri" w:eastAsia="Times New Roman" w:hAnsi="Calibri" w:cs="Times New Roman"/>
                <w:b/>
                <w:bCs/>
                <w:color w:val="FFFFFF"/>
                <w:sz w:val="21"/>
                <w:szCs w:val="21"/>
                <w:lang w:eastAsia="cs-CZ"/>
              </w:rPr>
            </w:pPr>
            <w:r w:rsidRPr="0009181B">
              <w:rPr>
                <w:rFonts w:ascii="Calibri" w:eastAsia="Times New Roman" w:hAnsi="Calibri" w:cs="Times New Roman"/>
                <w:b/>
                <w:bCs/>
                <w:color w:val="FFFFFF"/>
                <w:sz w:val="21"/>
                <w:szCs w:val="21"/>
                <w:lang w:eastAsia="cs-CZ"/>
              </w:rPr>
              <w:t>Ukazatel</w:t>
            </w:r>
          </w:p>
        </w:tc>
        <w:tc>
          <w:tcPr>
            <w:tcW w:w="1000" w:type="dxa"/>
            <w:tcBorders>
              <w:top w:val="single" w:sz="8" w:space="0" w:color="4F81BD"/>
              <w:left w:val="nil"/>
              <w:bottom w:val="nil"/>
              <w:right w:val="nil"/>
            </w:tcBorders>
            <w:shd w:val="clear" w:color="000000" w:fill="6691C6"/>
            <w:noWrap/>
            <w:hideMark/>
          </w:tcPr>
          <w:p w14:paraId="25AF5950" w14:textId="77777777" w:rsidR="0009181B" w:rsidRPr="0009181B" w:rsidRDefault="0009181B" w:rsidP="0009181B">
            <w:pPr>
              <w:spacing w:after="0" w:line="240" w:lineRule="auto"/>
              <w:jc w:val="center"/>
              <w:rPr>
                <w:rFonts w:ascii="Calibri" w:eastAsia="Times New Roman" w:hAnsi="Calibri" w:cs="Times New Roman"/>
                <w:b/>
                <w:bCs/>
                <w:color w:val="FFFFFF"/>
                <w:sz w:val="21"/>
                <w:szCs w:val="21"/>
                <w:lang w:eastAsia="cs-CZ"/>
              </w:rPr>
            </w:pPr>
            <w:r w:rsidRPr="0009181B">
              <w:rPr>
                <w:rFonts w:ascii="Calibri" w:eastAsia="Times New Roman" w:hAnsi="Calibri" w:cs="Times New Roman"/>
                <w:b/>
                <w:bCs/>
                <w:color w:val="FFFFFF"/>
                <w:sz w:val="21"/>
                <w:szCs w:val="21"/>
                <w:lang w:eastAsia="cs-CZ"/>
              </w:rPr>
              <w:t>2013</w:t>
            </w:r>
          </w:p>
        </w:tc>
        <w:tc>
          <w:tcPr>
            <w:tcW w:w="1000" w:type="dxa"/>
            <w:tcBorders>
              <w:top w:val="single" w:sz="8" w:space="0" w:color="4F81BD"/>
              <w:left w:val="nil"/>
              <w:bottom w:val="nil"/>
              <w:right w:val="nil"/>
            </w:tcBorders>
            <w:shd w:val="clear" w:color="000000" w:fill="4F81BD"/>
            <w:noWrap/>
            <w:hideMark/>
          </w:tcPr>
          <w:p w14:paraId="5302102D" w14:textId="77777777" w:rsidR="0009181B" w:rsidRPr="0009181B" w:rsidRDefault="0009181B" w:rsidP="0009181B">
            <w:pPr>
              <w:spacing w:after="0" w:line="240" w:lineRule="auto"/>
              <w:jc w:val="center"/>
              <w:rPr>
                <w:rFonts w:ascii="Calibri" w:eastAsia="Times New Roman" w:hAnsi="Calibri" w:cs="Times New Roman"/>
                <w:b/>
                <w:bCs/>
                <w:color w:val="FFFFFF"/>
                <w:sz w:val="21"/>
                <w:szCs w:val="21"/>
                <w:lang w:eastAsia="cs-CZ"/>
              </w:rPr>
            </w:pPr>
            <w:r w:rsidRPr="0009181B">
              <w:rPr>
                <w:rFonts w:ascii="Calibri" w:eastAsia="Times New Roman" w:hAnsi="Calibri" w:cs="Times New Roman"/>
                <w:b/>
                <w:bCs/>
                <w:color w:val="FFFFFF"/>
                <w:sz w:val="21"/>
                <w:szCs w:val="21"/>
                <w:lang w:eastAsia="cs-CZ"/>
              </w:rPr>
              <w:t>2014</w:t>
            </w:r>
          </w:p>
        </w:tc>
        <w:tc>
          <w:tcPr>
            <w:tcW w:w="1000" w:type="dxa"/>
            <w:tcBorders>
              <w:top w:val="single" w:sz="8" w:space="0" w:color="4F81BD"/>
              <w:left w:val="nil"/>
              <w:bottom w:val="nil"/>
              <w:right w:val="nil"/>
            </w:tcBorders>
            <w:shd w:val="clear" w:color="000000" w:fill="6691C6"/>
            <w:noWrap/>
            <w:hideMark/>
          </w:tcPr>
          <w:p w14:paraId="11337E72" w14:textId="77777777" w:rsidR="0009181B" w:rsidRPr="0009181B" w:rsidRDefault="0009181B" w:rsidP="0009181B">
            <w:pPr>
              <w:spacing w:after="0" w:line="240" w:lineRule="auto"/>
              <w:jc w:val="center"/>
              <w:rPr>
                <w:rFonts w:ascii="Calibri" w:eastAsia="Times New Roman" w:hAnsi="Calibri" w:cs="Times New Roman"/>
                <w:b/>
                <w:bCs/>
                <w:color w:val="FFFFFF"/>
                <w:sz w:val="21"/>
                <w:szCs w:val="21"/>
                <w:lang w:eastAsia="cs-CZ"/>
              </w:rPr>
            </w:pPr>
            <w:r w:rsidRPr="0009181B">
              <w:rPr>
                <w:rFonts w:ascii="Calibri" w:eastAsia="Times New Roman" w:hAnsi="Calibri" w:cs="Times New Roman"/>
                <w:b/>
                <w:bCs/>
                <w:color w:val="FFFFFF"/>
                <w:sz w:val="21"/>
                <w:szCs w:val="21"/>
                <w:lang w:eastAsia="cs-CZ"/>
              </w:rPr>
              <w:t>2015</w:t>
            </w:r>
          </w:p>
        </w:tc>
        <w:tc>
          <w:tcPr>
            <w:tcW w:w="1000" w:type="dxa"/>
            <w:tcBorders>
              <w:top w:val="single" w:sz="8" w:space="0" w:color="4F81BD"/>
              <w:left w:val="nil"/>
              <w:bottom w:val="nil"/>
              <w:right w:val="nil"/>
            </w:tcBorders>
            <w:shd w:val="clear" w:color="000000" w:fill="4F81BD"/>
            <w:hideMark/>
          </w:tcPr>
          <w:p w14:paraId="7F8684B2" w14:textId="77777777" w:rsidR="0009181B" w:rsidRPr="0009181B" w:rsidRDefault="0009181B" w:rsidP="0009181B">
            <w:pPr>
              <w:spacing w:after="0" w:line="240" w:lineRule="auto"/>
              <w:jc w:val="center"/>
              <w:rPr>
                <w:rFonts w:ascii="Calibri" w:eastAsia="Times New Roman" w:hAnsi="Calibri" w:cs="Times New Roman"/>
                <w:b/>
                <w:bCs/>
                <w:color w:val="FFFFFF"/>
                <w:sz w:val="21"/>
                <w:szCs w:val="21"/>
                <w:lang w:eastAsia="cs-CZ"/>
              </w:rPr>
            </w:pPr>
            <w:r w:rsidRPr="0009181B">
              <w:rPr>
                <w:rFonts w:ascii="Calibri" w:eastAsia="Times New Roman" w:hAnsi="Calibri" w:cs="Times New Roman"/>
                <w:b/>
                <w:bCs/>
                <w:color w:val="FFFFFF"/>
                <w:sz w:val="21"/>
                <w:szCs w:val="21"/>
                <w:lang w:eastAsia="cs-CZ"/>
              </w:rPr>
              <w:t>2016</w:t>
            </w:r>
          </w:p>
        </w:tc>
        <w:tc>
          <w:tcPr>
            <w:tcW w:w="1000" w:type="dxa"/>
            <w:tcBorders>
              <w:top w:val="single" w:sz="8" w:space="0" w:color="4F81BD"/>
              <w:left w:val="nil"/>
              <w:bottom w:val="nil"/>
              <w:right w:val="nil"/>
            </w:tcBorders>
            <w:shd w:val="clear" w:color="000000" w:fill="6691C6"/>
            <w:noWrap/>
            <w:hideMark/>
          </w:tcPr>
          <w:p w14:paraId="669DA416" w14:textId="77777777" w:rsidR="0009181B" w:rsidRPr="0009181B" w:rsidRDefault="0009181B" w:rsidP="0009181B">
            <w:pPr>
              <w:spacing w:after="0" w:line="240" w:lineRule="auto"/>
              <w:jc w:val="center"/>
              <w:rPr>
                <w:rFonts w:ascii="Calibri" w:eastAsia="Times New Roman" w:hAnsi="Calibri" w:cs="Times New Roman"/>
                <w:b/>
                <w:bCs/>
                <w:color w:val="FFFFFF"/>
                <w:sz w:val="21"/>
                <w:szCs w:val="21"/>
                <w:lang w:eastAsia="cs-CZ"/>
              </w:rPr>
            </w:pPr>
            <w:r w:rsidRPr="0009181B">
              <w:rPr>
                <w:rFonts w:ascii="Calibri" w:eastAsia="Times New Roman" w:hAnsi="Calibri" w:cs="Times New Roman"/>
                <w:b/>
                <w:bCs/>
                <w:color w:val="FFFFFF"/>
                <w:sz w:val="21"/>
                <w:szCs w:val="21"/>
                <w:lang w:eastAsia="cs-CZ"/>
              </w:rPr>
              <w:t>2017</w:t>
            </w:r>
          </w:p>
        </w:tc>
        <w:tc>
          <w:tcPr>
            <w:tcW w:w="1000" w:type="dxa"/>
            <w:tcBorders>
              <w:top w:val="single" w:sz="8" w:space="0" w:color="4F81BD"/>
              <w:left w:val="nil"/>
              <w:bottom w:val="nil"/>
              <w:right w:val="single" w:sz="8" w:space="0" w:color="4F81BD"/>
            </w:tcBorders>
            <w:shd w:val="clear" w:color="000000" w:fill="4F81BD"/>
            <w:hideMark/>
          </w:tcPr>
          <w:p w14:paraId="48ACD0E9" w14:textId="77777777" w:rsidR="0009181B" w:rsidRPr="0009181B" w:rsidRDefault="0009181B" w:rsidP="0009181B">
            <w:pPr>
              <w:spacing w:after="0" w:line="240" w:lineRule="auto"/>
              <w:jc w:val="center"/>
              <w:rPr>
                <w:rFonts w:ascii="Calibri" w:eastAsia="Times New Roman" w:hAnsi="Calibri" w:cs="Times New Roman"/>
                <w:b/>
                <w:bCs/>
                <w:color w:val="FFFFFF"/>
                <w:sz w:val="21"/>
                <w:szCs w:val="21"/>
                <w:lang w:eastAsia="cs-CZ"/>
              </w:rPr>
            </w:pPr>
            <w:r w:rsidRPr="0009181B">
              <w:rPr>
                <w:rFonts w:ascii="Calibri" w:eastAsia="Times New Roman" w:hAnsi="Calibri" w:cs="Times New Roman"/>
                <w:b/>
                <w:bCs/>
                <w:color w:val="FFFFFF"/>
                <w:sz w:val="21"/>
                <w:szCs w:val="21"/>
                <w:lang w:eastAsia="cs-CZ"/>
              </w:rPr>
              <w:t>2018</w:t>
            </w:r>
          </w:p>
        </w:tc>
      </w:tr>
      <w:tr w:rsidR="0009181B" w:rsidRPr="0009181B" w14:paraId="146DD5F2" w14:textId="77777777" w:rsidTr="0009181B">
        <w:trPr>
          <w:trHeight w:val="559"/>
        </w:trPr>
        <w:tc>
          <w:tcPr>
            <w:tcW w:w="3080" w:type="dxa"/>
            <w:tcBorders>
              <w:top w:val="nil"/>
              <w:left w:val="single" w:sz="8" w:space="0" w:color="4F81BD"/>
              <w:bottom w:val="nil"/>
              <w:right w:val="nil"/>
            </w:tcBorders>
            <w:shd w:val="clear" w:color="auto" w:fill="auto"/>
            <w:vAlign w:val="bottom"/>
            <w:hideMark/>
          </w:tcPr>
          <w:p w14:paraId="66471C6F" w14:textId="77777777" w:rsidR="0009181B" w:rsidRPr="0009181B" w:rsidRDefault="0009181B" w:rsidP="0009181B">
            <w:pPr>
              <w:spacing w:after="0" w:line="240" w:lineRule="auto"/>
              <w:rPr>
                <w:rFonts w:ascii="Calibri" w:eastAsia="Times New Roman" w:hAnsi="Calibri" w:cs="Times New Roman"/>
                <w:b/>
                <w:bCs/>
                <w:color w:val="000000"/>
                <w:sz w:val="21"/>
                <w:szCs w:val="21"/>
                <w:lang w:eastAsia="cs-CZ"/>
              </w:rPr>
            </w:pPr>
            <w:r w:rsidRPr="0009181B">
              <w:rPr>
                <w:rFonts w:ascii="Calibri" w:eastAsia="Times New Roman" w:hAnsi="Calibri" w:cs="Times New Roman"/>
                <w:b/>
                <w:bCs/>
                <w:color w:val="000000"/>
                <w:sz w:val="21"/>
                <w:szCs w:val="21"/>
                <w:lang w:eastAsia="cs-CZ"/>
              </w:rPr>
              <w:t>Počet pojištěnců, kteří překročili zákonný limit</w:t>
            </w:r>
          </w:p>
        </w:tc>
        <w:tc>
          <w:tcPr>
            <w:tcW w:w="1000" w:type="dxa"/>
            <w:tcBorders>
              <w:top w:val="nil"/>
              <w:left w:val="nil"/>
              <w:bottom w:val="nil"/>
              <w:right w:val="nil"/>
            </w:tcBorders>
            <w:shd w:val="clear" w:color="000000" w:fill="DCE6F1"/>
            <w:noWrap/>
            <w:vAlign w:val="bottom"/>
            <w:hideMark/>
          </w:tcPr>
          <w:p w14:paraId="511AC336"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226 677</w:t>
            </w:r>
          </w:p>
        </w:tc>
        <w:tc>
          <w:tcPr>
            <w:tcW w:w="1000" w:type="dxa"/>
            <w:tcBorders>
              <w:top w:val="nil"/>
              <w:left w:val="nil"/>
              <w:bottom w:val="nil"/>
              <w:right w:val="nil"/>
            </w:tcBorders>
            <w:shd w:val="clear" w:color="auto" w:fill="auto"/>
            <w:noWrap/>
            <w:vAlign w:val="bottom"/>
            <w:hideMark/>
          </w:tcPr>
          <w:p w14:paraId="0ABFD63F"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265 364</w:t>
            </w:r>
          </w:p>
        </w:tc>
        <w:tc>
          <w:tcPr>
            <w:tcW w:w="1000" w:type="dxa"/>
            <w:tcBorders>
              <w:top w:val="nil"/>
              <w:left w:val="nil"/>
              <w:bottom w:val="nil"/>
              <w:right w:val="nil"/>
            </w:tcBorders>
            <w:shd w:val="clear" w:color="000000" w:fill="DCE6F1"/>
            <w:noWrap/>
            <w:vAlign w:val="bottom"/>
            <w:hideMark/>
          </w:tcPr>
          <w:p w14:paraId="7C8AEA60"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83 173</w:t>
            </w:r>
          </w:p>
        </w:tc>
        <w:tc>
          <w:tcPr>
            <w:tcW w:w="1000" w:type="dxa"/>
            <w:tcBorders>
              <w:top w:val="nil"/>
              <w:left w:val="nil"/>
              <w:bottom w:val="nil"/>
              <w:right w:val="nil"/>
            </w:tcBorders>
            <w:shd w:val="clear" w:color="auto" w:fill="auto"/>
            <w:noWrap/>
            <w:vAlign w:val="bottom"/>
            <w:hideMark/>
          </w:tcPr>
          <w:p w14:paraId="784E6D9E"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87 678</w:t>
            </w:r>
          </w:p>
        </w:tc>
        <w:tc>
          <w:tcPr>
            <w:tcW w:w="1000" w:type="dxa"/>
            <w:tcBorders>
              <w:top w:val="nil"/>
              <w:left w:val="nil"/>
              <w:bottom w:val="nil"/>
              <w:right w:val="nil"/>
            </w:tcBorders>
            <w:shd w:val="clear" w:color="000000" w:fill="DCE6F1"/>
            <w:noWrap/>
            <w:vAlign w:val="bottom"/>
            <w:hideMark/>
          </w:tcPr>
          <w:p w14:paraId="73D03344"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104 495</w:t>
            </w:r>
          </w:p>
        </w:tc>
        <w:tc>
          <w:tcPr>
            <w:tcW w:w="1000" w:type="dxa"/>
            <w:tcBorders>
              <w:top w:val="nil"/>
              <w:left w:val="nil"/>
              <w:bottom w:val="nil"/>
              <w:right w:val="single" w:sz="8" w:space="0" w:color="4F81BD"/>
            </w:tcBorders>
            <w:shd w:val="clear" w:color="auto" w:fill="auto"/>
            <w:noWrap/>
            <w:vAlign w:val="bottom"/>
            <w:hideMark/>
          </w:tcPr>
          <w:p w14:paraId="154BB510"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924 144</w:t>
            </w:r>
          </w:p>
        </w:tc>
      </w:tr>
      <w:tr w:rsidR="0009181B" w:rsidRPr="0009181B" w14:paraId="4BFD6CB0" w14:textId="77777777" w:rsidTr="0009181B">
        <w:trPr>
          <w:trHeight w:val="559"/>
        </w:trPr>
        <w:tc>
          <w:tcPr>
            <w:tcW w:w="3080" w:type="dxa"/>
            <w:tcBorders>
              <w:top w:val="nil"/>
              <w:left w:val="single" w:sz="8" w:space="0" w:color="4F81BD"/>
              <w:bottom w:val="nil"/>
              <w:right w:val="nil"/>
            </w:tcBorders>
            <w:shd w:val="clear" w:color="000000" w:fill="EEF3F8"/>
            <w:vAlign w:val="bottom"/>
            <w:hideMark/>
          </w:tcPr>
          <w:p w14:paraId="54B5620E" w14:textId="77777777" w:rsidR="0009181B" w:rsidRPr="0009181B" w:rsidRDefault="0009181B" w:rsidP="0009181B">
            <w:pPr>
              <w:spacing w:after="0" w:line="240" w:lineRule="auto"/>
              <w:rPr>
                <w:rFonts w:ascii="Calibri" w:eastAsia="Times New Roman" w:hAnsi="Calibri" w:cs="Times New Roman"/>
                <w:b/>
                <w:bCs/>
                <w:color w:val="000000"/>
                <w:sz w:val="21"/>
                <w:szCs w:val="21"/>
                <w:lang w:eastAsia="cs-CZ"/>
              </w:rPr>
            </w:pPr>
            <w:r w:rsidRPr="0009181B">
              <w:rPr>
                <w:rFonts w:ascii="Calibri" w:eastAsia="Times New Roman" w:hAnsi="Calibri" w:cs="Times New Roman"/>
                <w:b/>
                <w:bCs/>
                <w:color w:val="000000"/>
                <w:sz w:val="21"/>
                <w:szCs w:val="21"/>
                <w:lang w:eastAsia="cs-CZ"/>
              </w:rPr>
              <w:t xml:space="preserve">Částka, o kterou byl překročen zákonný limit </w:t>
            </w:r>
            <w:r w:rsidRPr="0009181B">
              <w:rPr>
                <w:rFonts w:ascii="Calibri" w:eastAsia="Times New Roman" w:hAnsi="Calibri" w:cs="Times New Roman"/>
                <w:color w:val="000000"/>
                <w:sz w:val="21"/>
                <w:szCs w:val="21"/>
                <w:lang w:eastAsia="cs-CZ"/>
              </w:rPr>
              <w:t>(v mil. Kč)</w:t>
            </w:r>
          </w:p>
        </w:tc>
        <w:tc>
          <w:tcPr>
            <w:tcW w:w="1000" w:type="dxa"/>
            <w:tcBorders>
              <w:top w:val="nil"/>
              <w:left w:val="nil"/>
              <w:bottom w:val="nil"/>
              <w:right w:val="nil"/>
            </w:tcBorders>
            <w:shd w:val="clear" w:color="000000" w:fill="EEF3F8"/>
            <w:noWrap/>
            <w:vAlign w:val="bottom"/>
            <w:hideMark/>
          </w:tcPr>
          <w:p w14:paraId="4D7F9551"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242</w:t>
            </w:r>
          </w:p>
        </w:tc>
        <w:tc>
          <w:tcPr>
            <w:tcW w:w="1000" w:type="dxa"/>
            <w:tcBorders>
              <w:top w:val="nil"/>
              <w:left w:val="nil"/>
              <w:bottom w:val="nil"/>
              <w:right w:val="nil"/>
            </w:tcBorders>
            <w:shd w:val="clear" w:color="000000" w:fill="EEF3F8"/>
            <w:noWrap/>
            <w:vAlign w:val="bottom"/>
            <w:hideMark/>
          </w:tcPr>
          <w:p w14:paraId="32902349"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290</w:t>
            </w:r>
          </w:p>
        </w:tc>
        <w:tc>
          <w:tcPr>
            <w:tcW w:w="1000" w:type="dxa"/>
            <w:tcBorders>
              <w:top w:val="nil"/>
              <w:left w:val="nil"/>
              <w:bottom w:val="nil"/>
              <w:right w:val="nil"/>
            </w:tcBorders>
            <w:shd w:val="clear" w:color="000000" w:fill="EEF3F8"/>
            <w:noWrap/>
            <w:vAlign w:val="bottom"/>
            <w:hideMark/>
          </w:tcPr>
          <w:p w14:paraId="5EA67FB5"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92</w:t>
            </w:r>
          </w:p>
        </w:tc>
        <w:tc>
          <w:tcPr>
            <w:tcW w:w="1000" w:type="dxa"/>
            <w:tcBorders>
              <w:top w:val="nil"/>
              <w:left w:val="nil"/>
              <w:bottom w:val="nil"/>
              <w:right w:val="nil"/>
            </w:tcBorders>
            <w:shd w:val="clear" w:color="000000" w:fill="EEF3F8"/>
            <w:noWrap/>
            <w:vAlign w:val="bottom"/>
            <w:hideMark/>
          </w:tcPr>
          <w:p w14:paraId="347E3AF1"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94</w:t>
            </w:r>
          </w:p>
        </w:tc>
        <w:tc>
          <w:tcPr>
            <w:tcW w:w="1000" w:type="dxa"/>
            <w:tcBorders>
              <w:top w:val="nil"/>
              <w:left w:val="nil"/>
              <w:bottom w:val="nil"/>
              <w:right w:val="nil"/>
            </w:tcBorders>
            <w:shd w:val="clear" w:color="000000" w:fill="EEF3F8"/>
            <w:noWrap/>
            <w:vAlign w:val="bottom"/>
            <w:hideMark/>
          </w:tcPr>
          <w:p w14:paraId="69A7F083"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117</w:t>
            </w:r>
          </w:p>
        </w:tc>
        <w:tc>
          <w:tcPr>
            <w:tcW w:w="1000" w:type="dxa"/>
            <w:tcBorders>
              <w:top w:val="nil"/>
              <w:left w:val="nil"/>
              <w:bottom w:val="nil"/>
              <w:right w:val="single" w:sz="8" w:space="0" w:color="4F81BD"/>
            </w:tcBorders>
            <w:shd w:val="clear" w:color="000000" w:fill="EEF3F8"/>
            <w:noWrap/>
            <w:vAlign w:val="bottom"/>
            <w:hideMark/>
          </w:tcPr>
          <w:p w14:paraId="6AC2BDEF"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657</w:t>
            </w:r>
          </w:p>
        </w:tc>
      </w:tr>
      <w:tr w:rsidR="0009181B" w:rsidRPr="0009181B" w14:paraId="5DD45CE8" w14:textId="77777777" w:rsidTr="0009181B">
        <w:trPr>
          <w:trHeight w:val="559"/>
        </w:trPr>
        <w:tc>
          <w:tcPr>
            <w:tcW w:w="3080" w:type="dxa"/>
            <w:tcBorders>
              <w:top w:val="nil"/>
              <w:left w:val="single" w:sz="8" w:space="0" w:color="4F81BD"/>
              <w:bottom w:val="single" w:sz="8" w:space="0" w:color="4F81BD"/>
              <w:right w:val="nil"/>
            </w:tcBorders>
            <w:shd w:val="clear" w:color="auto" w:fill="auto"/>
            <w:vAlign w:val="bottom"/>
            <w:hideMark/>
          </w:tcPr>
          <w:p w14:paraId="543F873C" w14:textId="77777777" w:rsidR="0009181B" w:rsidRPr="0009181B" w:rsidRDefault="0009181B" w:rsidP="0009181B">
            <w:pPr>
              <w:spacing w:after="0" w:line="240" w:lineRule="auto"/>
              <w:rPr>
                <w:rFonts w:ascii="Calibri" w:eastAsia="Times New Roman" w:hAnsi="Calibri" w:cs="Times New Roman"/>
                <w:b/>
                <w:bCs/>
                <w:color w:val="000000"/>
                <w:sz w:val="21"/>
                <w:szCs w:val="21"/>
                <w:lang w:eastAsia="cs-CZ"/>
              </w:rPr>
            </w:pPr>
            <w:r w:rsidRPr="0009181B">
              <w:rPr>
                <w:rFonts w:ascii="Calibri" w:eastAsia="Times New Roman" w:hAnsi="Calibri" w:cs="Times New Roman"/>
                <w:b/>
                <w:bCs/>
                <w:color w:val="000000"/>
                <w:sz w:val="21"/>
                <w:szCs w:val="21"/>
                <w:lang w:eastAsia="cs-CZ"/>
              </w:rPr>
              <w:t xml:space="preserve">Částka v přepočtu na pojištěnce, který překročil zákon. limit </w:t>
            </w:r>
            <w:r w:rsidRPr="0009181B">
              <w:rPr>
                <w:rFonts w:ascii="Calibri" w:eastAsia="Times New Roman" w:hAnsi="Calibri" w:cs="Times New Roman"/>
                <w:color w:val="000000"/>
                <w:sz w:val="21"/>
                <w:szCs w:val="21"/>
                <w:lang w:eastAsia="cs-CZ"/>
              </w:rPr>
              <w:t>(v Kč)</w:t>
            </w:r>
          </w:p>
        </w:tc>
        <w:tc>
          <w:tcPr>
            <w:tcW w:w="1000" w:type="dxa"/>
            <w:tcBorders>
              <w:top w:val="nil"/>
              <w:left w:val="nil"/>
              <w:bottom w:val="single" w:sz="8" w:space="0" w:color="4F81BD"/>
              <w:right w:val="nil"/>
            </w:tcBorders>
            <w:shd w:val="clear" w:color="000000" w:fill="DCE6F1"/>
            <w:noWrap/>
            <w:vAlign w:val="bottom"/>
            <w:hideMark/>
          </w:tcPr>
          <w:p w14:paraId="2433E6D5"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1 069</w:t>
            </w:r>
          </w:p>
        </w:tc>
        <w:tc>
          <w:tcPr>
            <w:tcW w:w="1000" w:type="dxa"/>
            <w:tcBorders>
              <w:top w:val="nil"/>
              <w:left w:val="nil"/>
              <w:bottom w:val="single" w:sz="8" w:space="0" w:color="4F81BD"/>
              <w:right w:val="nil"/>
            </w:tcBorders>
            <w:shd w:val="clear" w:color="auto" w:fill="auto"/>
            <w:noWrap/>
            <w:vAlign w:val="bottom"/>
            <w:hideMark/>
          </w:tcPr>
          <w:p w14:paraId="762B51A4"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1 095</w:t>
            </w:r>
          </w:p>
        </w:tc>
        <w:tc>
          <w:tcPr>
            <w:tcW w:w="1000" w:type="dxa"/>
            <w:tcBorders>
              <w:top w:val="nil"/>
              <w:left w:val="nil"/>
              <w:bottom w:val="single" w:sz="8" w:space="0" w:color="4F81BD"/>
              <w:right w:val="nil"/>
            </w:tcBorders>
            <w:shd w:val="clear" w:color="000000" w:fill="DCE6F1"/>
            <w:noWrap/>
            <w:vAlign w:val="bottom"/>
            <w:hideMark/>
          </w:tcPr>
          <w:p w14:paraId="76E7FFBA"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1 109</w:t>
            </w:r>
          </w:p>
        </w:tc>
        <w:tc>
          <w:tcPr>
            <w:tcW w:w="1000" w:type="dxa"/>
            <w:tcBorders>
              <w:top w:val="nil"/>
              <w:left w:val="nil"/>
              <w:bottom w:val="single" w:sz="8" w:space="0" w:color="4F81BD"/>
              <w:right w:val="nil"/>
            </w:tcBorders>
            <w:shd w:val="clear" w:color="auto" w:fill="auto"/>
            <w:noWrap/>
            <w:vAlign w:val="bottom"/>
            <w:hideMark/>
          </w:tcPr>
          <w:p w14:paraId="3D4A8C37"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1 068</w:t>
            </w:r>
          </w:p>
        </w:tc>
        <w:tc>
          <w:tcPr>
            <w:tcW w:w="1000" w:type="dxa"/>
            <w:tcBorders>
              <w:top w:val="nil"/>
              <w:left w:val="nil"/>
              <w:bottom w:val="single" w:sz="8" w:space="0" w:color="4F81BD"/>
              <w:right w:val="nil"/>
            </w:tcBorders>
            <w:shd w:val="clear" w:color="000000" w:fill="DCE6F1"/>
            <w:noWrap/>
            <w:vAlign w:val="bottom"/>
            <w:hideMark/>
          </w:tcPr>
          <w:p w14:paraId="6FF1E761"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1 120</w:t>
            </w:r>
          </w:p>
        </w:tc>
        <w:tc>
          <w:tcPr>
            <w:tcW w:w="1000" w:type="dxa"/>
            <w:tcBorders>
              <w:top w:val="nil"/>
              <w:left w:val="nil"/>
              <w:bottom w:val="single" w:sz="8" w:space="0" w:color="4F81BD"/>
              <w:right w:val="single" w:sz="8" w:space="0" w:color="4F81BD"/>
            </w:tcBorders>
            <w:shd w:val="clear" w:color="auto" w:fill="auto"/>
            <w:noWrap/>
            <w:vAlign w:val="bottom"/>
            <w:hideMark/>
          </w:tcPr>
          <w:p w14:paraId="2E46666E" w14:textId="77777777" w:rsidR="0009181B" w:rsidRPr="0009181B" w:rsidRDefault="0009181B" w:rsidP="0009181B">
            <w:pPr>
              <w:spacing w:after="0" w:line="240" w:lineRule="auto"/>
              <w:jc w:val="right"/>
              <w:rPr>
                <w:rFonts w:ascii="Calibri" w:eastAsia="Times New Roman" w:hAnsi="Calibri" w:cs="Times New Roman"/>
                <w:color w:val="000000"/>
                <w:sz w:val="21"/>
                <w:szCs w:val="21"/>
                <w:lang w:eastAsia="cs-CZ"/>
              </w:rPr>
            </w:pPr>
            <w:r w:rsidRPr="0009181B">
              <w:rPr>
                <w:rFonts w:ascii="Calibri" w:eastAsia="Times New Roman" w:hAnsi="Calibri" w:cs="Times New Roman"/>
                <w:color w:val="000000"/>
                <w:sz w:val="21"/>
                <w:szCs w:val="21"/>
                <w:lang w:eastAsia="cs-CZ"/>
              </w:rPr>
              <w:t>711</w:t>
            </w:r>
          </w:p>
        </w:tc>
      </w:tr>
    </w:tbl>
    <w:p w14:paraId="36FD0D0B" w14:textId="61856481" w:rsidR="004612E9" w:rsidRPr="006574E8" w:rsidRDefault="004612E9" w:rsidP="000F4D93">
      <w:pPr>
        <w:pStyle w:val="TEXTpodTABOBR"/>
        <w:rPr>
          <w:rFonts w:cs="Times New Roman"/>
        </w:rPr>
      </w:pPr>
      <w:r w:rsidRPr="000F4D93">
        <w:rPr>
          <w:rFonts w:cs="Times New Roman"/>
          <w:b/>
        </w:rPr>
        <w:t xml:space="preserve">Zvláštní kategorii nákladů tvoří náklady na léčení pojištěnců jiných členských států EU, EHP, Švýcarské konfederace, popřípadě dalších států, se kterými ČR uzavřela mezinárodní smlouvu o sociálním zabezpečení v ČR </w:t>
      </w:r>
      <w:r w:rsidRPr="000F4D93">
        <w:rPr>
          <w:rFonts w:cs="Times New Roman"/>
        </w:rPr>
        <w:t xml:space="preserve">(dále jen </w:t>
      </w:r>
      <w:r w:rsidR="00966E84" w:rsidRPr="000C2CB7">
        <w:rPr>
          <w:rFonts w:cs="Times New Roman"/>
        </w:rPr>
        <w:t>zahraniční pojištěnci</w:t>
      </w:r>
      <w:r w:rsidRPr="0045450A">
        <w:rPr>
          <w:rFonts w:cs="Times New Roman"/>
        </w:rPr>
        <w:t>)</w:t>
      </w:r>
      <w:r w:rsidRPr="0058741F">
        <w:rPr>
          <w:rFonts w:cs="Times New Roman"/>
        </w:rPr>
        <w:t>.</w:t>
      </w:r>
      <w:r w:rsidRPr="00D703DE">
        <w:rPr>
          <w:rFonts w:cs="Times New Roman"/>
          <w:b/>
        </w:rPr>
        <w:t xml:space="preserve"> </w:t>
      </w:r>
      <w:r w:rsidRPr="00D703DE">
        <w:rPr>
          <w:rFonts w:cs="Times New Roman"/>
        </w:rPr>
        <w:t xml:space="preserve">Jedná se o náklady za </w:t>
      </w:r>
      <w:r w:rsidRPr="00B543E0">
        <w:rPr>
          <w:rFonts w:cs="Times New Roman"/>
        </w:rPr>
        <w:t xml:space="preserve">ošetření </w:t>
      </w:r>
      <w:r w:rsidR="00966E84" w:rsidRPr="00B543E0">
        <w:rPr>
          <w:rFonts w:cs="Times New Roman"/>
        </w:rPr>
        <w:t>zahraničních pojištěnců</w:t>
      </w:r>
      <w:r w:rsidRPr="00B543E0">
        <w:rPr>
          <w:rFonts w:cs="Times New Roman"/>
        </w:rPr>
        <w:t xml:space="preserve"> na našem území, kteří si v souladu se zákonem č. 48/1997 Sb. zvo</w:t>
      </w:r>
      <w:r w:rsidR="00966E84" w:rsidRPr="00B543E0">
        <w:rPr>
          <w:rFonts w:cs="Times New Roman"/>
        </w:rPr>
        <w:t>lili některou ze sedmi ZP jako </w:t>
      </w:r>
      <w:r w:rsidR="0045450A">
        <w:rPr>
          <w:rFonts w:cs="Times New Roman"/>
        </w:rPr>
        <w:t>„</w:t>
      </w:r>
      <w:r w:rsidRPr="0068642A">
        <w:rPr>
          <w:rFonts w:cs="Times New Roman"/>
        </w:rPr>
        <w:t xml:space="preserve">výpomocnou ZP“. Náklady na léčení </w:t>
      </w:r>
      <w:r w:rsidR="00966E84" w:rsidRPr="0068642A">
        <w:rPr>
          <w:rFonts w:cs="Times New Roman"/>
        </w:rPr>
        <w:t>zahraničních pojištěnců</w:t>
      </w:r>
      <w:r w:rsidRPr="0068642A">
        <w:rPr>
          <w:rFonts w:cs="Times New Roman"/>
        </w:rPr>
        <w:t xml:space="preserve"> činily</w:t>
      </w:r>
      <w:r w:rsidR="00D617CD" w:rsidRPr="0068642A">
        <w:rPr>
          <w:rFonts w:cs="Times New Roman"/>
        </w:rPr>
        <w:t xml:space="preserve"> </w:t>
      </w:r>
      <w:r w:rsidRPr="0068642A">
        <w:rPr>
          <w:rFonts w:cs="Times New Roman"/>
        </w:rPr>
        <w:t>1</w:t>
      </w:r>
      <w:r w:rsidR="00596234" w:rsidRPr="0068642A">
        <w:rPr>
          <w:rFonts w:cs="Times New Roman"/>
        </w:rPr>
        <w:t>,</w:t>
      </w:r>
      <w:r w:rsidR="00D617CD" w:rsidRPr="0068642A">
        <w:rPr>
          <w:rFonts w:cs="Times New Roman"/>
        </w:rPr>
        <w:t>494</w:t>
      </w:r>
      <w:r w:rsidR="00625C5F">
        <w:rPr>
          <w:rFonts w:cs="Times New Roman"/>
        </w:rPr>
        <w:t> </w:t>
      </w:r>
      <w:r w:rsidR="00596234" w:rsidRPr="006574E8">
        <w:rPr>
          <w:rFonts w:cs="Times New Roman"/>
        </w:rPr>
        <w:t>mld</w:t>
      </w:r>
      <w:r w:rsidRPr="006574E8">
        <w:rPr>
          <w:rFonts w:cs="Times New Roman"/>
        </w:rPr>
        <w:t>. Kč a oproti loňskému roku se jedná o nárůst o 1</w:t>
      </w:r>
      <w:r w:rsidR="00D617CD" w:rsidRPr="006574E8">
        <w:rPr>
          <w:rFonts w:cs="Times New Roman"/>
        </w:rPr>
        <w:t>6</w:t>
      </w:r>
      <w:r w:rsidRPr="006574E8">
        <w:rPr>
          <w:rFonts w:cs="Times New Roman"/>
        </w:rPr>
        <w:t>,</w:t>
      </w:r>
      <w:r w:rsidR="00D617CD" w:rsidRPr="006574E8">
        <w:rPr>
          <w:rFonts w:cs="Times New Roman"/>
        </w:rPr>
        <w:t>4</w:t>
      </w:r>
      <w:r w:rsidRPr="006574E8">
        <w:rPr>
          <w:rFonts w:cs="Times New Roman"/>
        </w:rPr>
        <w:t xml:space="preserve"> %. Při zvýšení počtu ošetřených cizinců o 1</w:t>
      </w:r>
      <w:r w:rsidR="00D617CD" w:rsidRPr="006574E8">
        <w:rPr>
          <w:rFonts w:cs="Times New Roman"/>
        </w:rPr>
        <w:t>4</w:t>
      </w:r>
      <w:r w:rsidRPr="006574E8">
        <w:rPr>
          <w:rFonts w:cs="Times New Roman"/>
        </w:rPr>
        <w:t>,0 % je průměrný náklad na jednoho ošetřeného cizince ve výši 6 </w:t>
      </w:r>
      <w:r w:rsidR="00D617CD" w:rsidRPr="006574E8">
        <w:rPr>
          <w:rFonts w:cs="Times New Roman"/>
        </w:rPr>
        <w:t>414</w:t>
      </w:r>
      <w:r w:rsidRPr="006574E8">
        <w:rPr>
          <w:rFonts w:cs="Times New Roman"/>
        </w:rPr>
        <w:t xml:space="preserve"> Kč s meziročním nárůstem o </w:t>
      </w:r>
      <w:r w:rsidR="00D617CD" w:rsidRPr="006574E8">
        <w:rPr>
          <w:rFonts w:cs="Times New Roman"/>
        </w:rPr>
        <w:t>2</w:t>
      </w:r>
      <w:r w:rsidRPr="006574E8">
        <w:rPr>
          <w:rFonts w:cs="Times New Roman"/>
        </w:rPr>
        <w:t>,1 %, tj. o </w:t>
      </w:r>
      <w:r w:rsidR="00D617CD" w:rsidRPr="006574E8">
        <w:rPr>
          <w:rFonts w:cs="Times New Roman"/>
        </w:rPr>
        <w:t>1</w:t>
      </w:r>
      <w:r w:rsidRPr="006574E8">
        <w:rPr>
          <w:rFonts w:cs="Times New Roman"/>
        </w:rPr>
        <w:t>30 Kč. Oproti ZPP 201</w:t>
      </w:r>
      <w:r w:rsidR="00D617CD" w:rsidRPr="006574E8">
        <w:rPr>
          <w:rFonts w:cs="Times New Roman"/>
        </w:rPr>
        <w:t>8</w:t>
      </w:r>
      <w:r w:rsidRPr="006574E8">
        <w:rPr>
          <w:rFonts w:cs="Times New Roman"/>
        </w:rPr>
        <w:t xml:space="preserve"> pak náklady na léčení cizinců vzrostly </w:t>
      </w:r>
      <w:r w:rsidRPr="006574E8">
        <w:rPr>
          <w:rFonts w:eastAsia="SimSun" w:cs="Times New Roman"/>
        </w:rPr>
        <w:t>o</w:t>
      </w:r>
      <w:r w:rsidRPr="006574E8">
        <w:rPr>
          <w:rFonts w:cs="Times New Roman"/>
        </w:rPr>
        <w:t xml:space="preserve"> 1</w:t>
      </w:r>
      <w:r w:rsidR="00D617CD" w:rsidRPr="006574E8">
        <w:rPr>
          <w:rFonts w:cs="Times New Roman"/>
        </w:rPr>
        <w:t>0</w:t>
      </w:r>
      <w:r w:rsidRPr="006574E8">
        <w:rPr>
          <w:rFonts w:cs="Times New Roman"/>
        </w:rPr>
        <w:t>,</w:t>
      </w:r>
      <w:r w:rsidR="00D617CD" w:rsidRPr="006574E8">
        <w:rPr>
          <w:rFonts w:cs="Times New Roman"/>
        </w:rPr>
        <w:t>7</w:t>
      </w:r>
      <w:r w:rsidRPr="006574E8">
        <w:rPr>
          <w:rFonts w:cs="Times New Roman"/>
        </w:rPr>
        <w:t xml:space="preserve"> %.</w:t>
      </w:r>
    </w:p>
    <w:p w14:paraId="24EA33E4" w14:textId="77777777" w:rsidR="008710DB" w:rsidRPr="006574E8" w:rsidRDefault="008710DB" w:rsidP="000C2CB7">
      <w:pPr>
        <w:pStyle w:val="TEXT"/>
        <w:rPr>
          <w:rFonts w:cs="Times New Roman"/>
        </w:rPr>
      </w:pPr>
      <w:r w:rsidRPr="006574E8">
        <w:rPr>
          <w:rFonts w:cs="Times New Roman"/>
        </w:rPr>
        <w:t>Jednotlivé ZP uhrad</w:t>
      </w:r>
      <w:r w:rsidR="00966E84" w:rsidRPr="006574E8">
        <w:rPr>
          <w:rFonts w:cs="Times New Roman"/>
        </w:rPr>
        <w:t>ily</w:t>
      </w:r>
      <w:r w:rsidRPr="006574E8">
        <w:rPr>
          <w:rFonts w:cs="Times New Roman"/>
        </w:rPr>
        <w:t xml:space="preserve"> závazky za zahraniční pojištěnce z BÚ ZFZP a částky za poskytnutou zdravotní péči si </w:t>
      </w:r>
      <w:r w:rsidR="00966E84" w:rsidRPr="006574E8">
        <w:rPr>
          <w:rFonts w:cs="Times New Roman"/>
        </w:rPr>
        <w:t xml:space="preserve">nárokovaly </w:t>
      </w:r>
      <w:r w:rsidRPr="006574E8">
        <w:rPr>
          <w:rFonts w:cs="Times New Roman"/>
        </w:rPr>
        <w:t xml:space="preserve">prostřednictvím Kanceláře </w:t>
      </w:r>
      <w:r w:rsidR="00D617CD" w:rsidRPr="006574E8">
        <w:rPr>
          <w:rFonts w:eastAsia="SimSun" w:cs="Times New Roman"/>
        </w:rPr>
        <w:t>zdravotního pojištění</w:t>
      </w:r>
      <w:r w:rsidRPr="006574E8">
        <w:rPr>
          <w:rFonts w:cs="Times New Roman"/>
        </w:rPr>
        <w:t xml:space="preserve"> (dříve </w:t>
      </w:r>
      <w:r w:rsidR="00625C5F" w:rsidRPr="00625C5F">
        <w:rPr>
          <w:rFonts w:cs="Times New Roman"/>
        </w:rPr>
        <w:t>Centrum mezistátních úhrad</w:t>
      </w:r>
      <w:r w:rsidRPr="006574E8">
        <w:rPr>
          <w:rFonts w:cs="Times New Roman"/>
        </w:rPr>
        <w:t xml:space="preserve">) u zahraničních zdravotních pojišťoven, které </w:t>
      </w:r>
      <w:r w:rsidR="00966E84" w:rsidRPr="006574E8">
        <w:rPr>
          <w:rFonts w:cs="Times New Roman"/>
        </w:rPr>
        <w:t xml:space="preserve">provedly </w:t>
      </w:r>
      <w:r w:rsidRPr="006574E8">
        <w:rPr>
          <w:rFonts w:cs="Times New Roman"/>
        </w:rPr>
        <w:t xml:space="preserve">příslušnou úhradu. </w:t>
      </w:r>
      <w:r w:rsidRPr="006574E8">
        <w:rPr>
          <w:rFonts w:eastAsia="Calibri" w:cs="Times New Roman"/>
          <w:lang w:eastAsia="en-US"/>
        </w:rPr>
        <w:t>P</w:t>
      </w:r>
      <w:r w:rsidRPr="006574E8">
        <w:rPr>
          <w:rFonts w:cs="Times New Roman"/>
        </w:rPr>
        <w:t>růměrné náklady na jednoho ošetřeného cizince zůstávají dlouhodobě na srovnatelné úrovni (</w:t>
      </w:r>
      <w:r w:rsidRPr="006574E8">
        <w:rPr>
          <w:rFonts w:cs="Times New Roman"/>
          <w:i/>
        </w:rPr>
        <w:t>Tabulka č. 1</w:t>
      </w:r>
      <w:r w:rsidR="001C211E">
        <w:rPr>
          <w:rFonts w:cs="Times New Roman"/>
          <w:i/>
        </w:rPr>
        <w:t>4</w:t>
      </w:r>
      <w:r w:rsidRPr="006574E8">
        <w:rPr>
          <w:rFonts w:cs="Times New Roman"/>
        </w:rPr>
        <w:t xml:space="preserve">). </w:t>
      </w:r>
    </w:p>
    <w:p w14:paraId="47D583F3" w14:textId="77777777" w:rsidR="00A524CF" w:rsidRPr="00B543E0" w:rsidRDefault="00D617CD" w:rsidP="000C2CB7">
      <w:pPr>
        <w:pStyle w:val="TEXT"/>
        <w:rPr>
          <w:rFonts w:eastAsia="SimSun" w:cs="Times New Roman"/>
        </w:rPr>
      </w:pPr>
      <w:r w:rsidRPr="006574E8">
        <w:rPr>
          <w:rFonts w:cs="Times New Roman"/>
        </w:rPr>
        <w:t>Na ZFZP bylo přijato od zahraničních pojišťoven za léčení cizinců (včetně plateb vypořádaných tzv. paušálem) 1</w:t>
      </w:r>
      <w:r w:rsidR="00596234" w:rsidRPr="006574E8">
        <w:rPr>
          <w:rFonts w:cs="Times New Roman"/>
        </w:rPr>
        <w:t>,193 mld</w:t>
      </w:r>
      <w:r w:rsidRPr="006574E8">
        <w:rPr>
          <w:rFonts w:cs="Times New Roman"/>
        </w:rPr>
        <w:t>. Kč,</w:t>
      </w:r>
      <w:r w:rsidRPr="006574E8">
        <w:rPr>
          <w:rFonts w:cs="Times New Roman"/>
          <w:smallCaps/>
        </w:rPr>
        <w:t xml:space="preserve"> </w:t>
      </w:r>
      <w:r w:rsidRPr="006574E8">
        <w:rPr>
          <w:rFonts w:cs="Times New Roman"/>
        </w:rPr>
        <w:t>a z prostředků ZFZP uhrazeno PZS za léčení cizinců 1</w:t>
      </w:r>
      <w:r w:rsidR="00596234" w:rsidRPr="006574E8">
        <w:rPr>
          <w:rFonts w:cs="Times New Roman"/>
        </w:rPr>
        <w:t>,494 mld</w:t>
      </w:r>
      <w:r w:rsidRPr="006574E8">
        <w:rPr>
          <w:rFonts w:cs="Times New Roman"/>
        </w:rPr>
        <w:t xml:space="preserve">. Kč, což znamená rozdíl mezi těmito příjmy a výdaji ve výši </w:t>
      </w:r>
      <w:r w:rsidRPr="000F4D93">
        <w:rPr>
          <w:rFonts w:cs="Times New Roman"/>
        </w:rPr>
        <w:t>−</w:t>
      </w:r>
      <w:r w:rsidR="00596234" w:rsidRPr="000F4D93">
        <w:rPr>
          <w:rFonts w:cs="Times New Roman"/>
        </w:rPr>
        <w:t>0,301 mld</w:t>
      </w:r>
      <w:r w:rsidRPr="000F4D93">
        <w:rPr>
          <w:rFonts w:cs="Times New Roman"/>
        </w:rPr>
        <w:t xml:space="preserve">. Kč. </w:t>
      </w:r>
      <w:r w:rsidR="008710DB" w:rsidRPr="000F4D93">
        <w:rPr>
          <w:rFonts w:cs="Times New Roman"/>
        </w:rPr>
        <w:t xml:space="preserve">Časové převisy výdajů za ošetření cizinců nad příjmy od zahraničních pojišťoven </w:t>
      </w:r>
      <w:r w:rsidR="00A524CF" w:rsidRPr="000F4D93">
        <w:rPr>
          <w:rFonts w:cs="Times New Roman"/>
        </w:rPr>
        <w:t>byly hrazeny</w:t>
      </w:r>
      <w:r w:rsidR="008710DB" w:rsidRPr="000F4D93">
        <w:rPr>
          <w:rFonts w:cs="Times New Roman"/>
        </w:rPr>
        <w:t xml:space="preserve"> z prostředků ZFZP.</w:t>
      </w:r>
      <w:r w:rsidR="008710DB" w:rsidRPr="000C2CB7">
        <w:rPr>
          <w:rFonts w:cs="Times New Roman"/>
        </w:rPr>
        <w:t xml:space="preserve"> </w:t>
      </w:r>
      <w:r w:rsidR="00A524CF" w:rsidRPr="000C2CB7">
        <w:rPr>
          <w:rFonts w:cs="Times New Roman"/>
        </w:rPr>
        <w:t xml:space="preserve">Tato částka snižuje konečný zůstatek ZFZP. </w:t>
      </w:r>
      <w:r w:rsidR="00A524CF" w:rsidRPr="00B543E0">
        <w:rPr>
          <w:rFonts w:cs="Times New Roman"/>
        </w:rPr>
        <w:t xml:space="preserve"> </w:t>
      </w:r>
    </w:p>
    <w:p w14:paraId="6533DE1D" w14:textId="77777777" w:rsidR="0023295F" w:rsidRPr="000F4D93" w:rsidRDefault="0023295F" w:rsidP="000F4D93">
      <w:pPr>
        <w:pStyle w:val="TABOBR0"/>
        <w:spacing w:before="120" w:after="60" w:line="288" w:lineRule="auto"/>
        <w:ind w:firstLine="426"/>
        <w:rPr>
          <w:rFonts w:ascii="Times New Roman" w:hAnsi="Times New Roman" w:cs="Times New Roman"/>
          <w:b w:val="0"/>
        </w:rPr>
      </w:pPr>
      <w:r w:rsidRPr="000F4D93">
        <w:rPr>
          <w:rFonts w:ascii="Times New Roman" w:eastAsia="Calibri" w:hAnsi="Times New Roman" w:cs="Times New Roman"/>
          <w:b w:val="0"/>
          <w:lang w:eastAsia="en-US"/>
        </w:rPr>
        <w:t xml:space="preserve">Objemy úhrad na léčení </w:t>
      </w:r>
      <w:r w:rsidRPr="000F4D93">
        <w:rPr>
          <w:rFonts w:ascii="Times New Roman" w:hAnsi="Times New Roman" w:cs="Times New Roman"/>
          <w:b w:val="0"/>
        </w:rPr>
        <w:t xml:space="preserve">zahraničních pojištěnců </w:t>
      </w:r>
      <w:r w:rsidR="00A524CF" w:rsidRPr="000F4D93">
        <w:rPr>
          <w:rFonts w:ascii="Times New Roman" w:eastAsia="Calibri" w:hAnsi="Times New Roman" w:cs="Times New Roman"/>
          <w:b w:val="0"/>
          <w:lang w:eastAsia="en-US"/>
        </w:rPr>
        <w:t>má</w:t>
      </w:r>
      <w:r w:rsidRPr="000F4D93">
        <w:rPr>
          <w:rFonts w:ascii="Times New Roman" w:hAnsi="Times New Roman" w:cs="Times New Roman"/>
          <w:b w:val="0"/>
        </w:rPr>
        <w:t xml:space="preserve"> i nadále pokračující trend nárůstu nákladů s ohledem na zvyšující se počet migrujících občanů jiných členských států EU, EHP, Švýcarské konfederace a dalších smluvních států, kterým byly v ČR poskytnuty zdravotní služby.</w:t>
      </w:r>
    </w:p>
    <w:p w14:paraId="11DCDA66" w14:textId="77777777" w:rsidR="0023295F" w:rsidRPr="000F4D93" w:rsidRDefault="0023295F" w:rsidP="008710DB">
      <w:pPr>
        <w:pStyle w:val="TEXT"/>
        <w:rPr>
          <w:rFonts w:cs="Times New Roman"/>
        </w:rPr>
      </w:pPr>
    </w:p>
    <w:p w14:paraId="60B3490E" w14:textId="77777777" w:rsidR="002C0F83" w:rsidRDefault="002C0F83" w:rsidP="002C0F83">
      <w:pPr>
        <w:spacing w:before="240" w:after="60" w:line="240" w:lineRule="auto"/>
        <w:rPr>
          <w:rFonts w:eastAsia="SimSun" w:cs="Arial"/>
          <w:b/>
          <w:szCs w:val="24"/>
          <w:lang w:eastAsia="cs-CZ"/>
        </w:rPr>
      </w:pPr>
      <w:r>
        <w:rPr>
          <w:rFonts w:eastAsia="SimSun"/>
          <w:b/>
        </w:rPr>
        <w:lastRenderedPageBreak/>
        <w:t>Tab. 1</w:t>
      </w:r>
      <w:r w:rsidR="00726657">
        <w:rPr>
          <w:rFonts w:eastAsia="SimSun"/>
          <w:b/>
        </w:rPr>
        <w:t>4</w:t>
      </w:r>
      <w:r>
        <w:rPr>
          <w:rFonts w:eastAsia="SimSun"/>
          <w:b/>
        </w:rPr>
        <w:t>: Vývoj nákladů na léčení zahraničních pojištěnců v České republice</w:t>
      </w:r>
    </w:p>
    <w:tbl>
      <w:tblPr>
        <w:tblW w:w="908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8A3469" w:rsidRPr="008A3469" w14:paraId="13A9449F" w14:textId="77777777" w:rsidTr="008A3469">
        <w:trPr>
          <w:trHeight w:val="600"/>
        </w:trPr>
        <w:tc>
          <w:tcPr>
            <w:tcW w:w="2080" w:type="dxa"/>
            <w:shd w:val="clear" w:color="000000" w:fill="4F81BD"/>
            <w:hideMark/>
          </w:tcPr>
          <w:p w14:paraId="59067B4C" w14:textId="77777777" w:rsidR="008A3469" w:rsidRPr="008A3469" w:rsidRDefault="008A3469" w:rsidP="008A3469">
            <w:pPr>
              <w:spacing w:after="0" w:line="240" w:lineRule="auto"/>
              <w:rPr>
                <w:rFonts w:ascii="Calibri" w:eastAsia="Times New Roman" w:hAnsi="Calibri" w:cs="Times New Roman"/>
                <w:b/>
                <w:bCs/>
                <w:color w:val="FFFFFF"/>
                <w:sz w:val="21"/>
                <w:szCs w:val="21"/>
                <w:lang w:eastAsia="cs-CZ"/>
              </w:rPr>
            </w:pPr>
            <w:r w:rsidRPr="008A3469">
              <w:rPr>
                <w:rFonts w:ascii="Calibri" w:eastAsia="Times New Roman" w:hAnsi="Calibri" w:cs="Times New Roman"/>
                <w:b/>
                <w:bCs/>
                <w:color w:val="FFFFFF"/>
                <w:sz w:val="21"/>
                <w:szCs w:val="21"/>
                <w:lang w:eastAsia="cs-CZ"/>
              </w:rPr>
              <w:t>Ukazatel</w:t>
            </w:r>
          </w:p>
        </w:tc>
        <w:tc>
          <w:tcPr>
            <w:tcW w:w="1000" w:type="dxa"/>
            <w:shd w:val="clear" w:color="000000" w:fill="6691C6"/>
            <w:noWrap/>
            <w:hideMark/>
          </w:tcPr>
          <w:p w14:paraId="68B4EAF3" w14:textId="77777777" w:rsidR="008A3469" w:rsidRPr="008A3469" w:rsidRDefault="008A3469" w:rsidP="008A3469">
            <w:pPr>
              <w:spacing w:after="0" w:line="240" w:lineRule="auto"/>
              <w:jc w:val="center"/>
              <w:rPr>
                <w:rFonts w:ascii="Calibri" w:eastAsia="Times New Roman" w:hAnsi="Calibri" w:cs="Times New Roman"/>
                <w:b/>
                <w:bCs/>
                <w:color w:val="FFFFFF"/>
                <w:sz w:val="21"/>
                <w:szCs w:val="21"/>
                <w:lang w:eastAsia="cs-CZ"/>
              </w:rPr>
            </w:pPr>
            <w:r w:rsidRPr="008A3469">
              <w:rPr>
                <w:rFonts w:ascii="Calibri" w:eastAsia="Times New Roman" w:hAnsi="Calibri" w:cs="Times New Roman"/>
                <w:b/>
                <w:bCs/>
                <w:color w:val="FFFFFF"/>
                <w:sz w:val="21"/>
                <w:szCs w:val="21"/>
                <w:lang w:eastAsia="cs-CZ"/>
              </w:rPr>
              <w:t>2013</w:t>
            </w:r>
          </w:p>
        </w:tc>
        <w:tc>
          <w:tcPr>
            <w:tcW w:w="1000" w:type="dxa"/>
            <w:shd w:val="clear" w:color="000000" w:fill="4F81BD"/>
            <w:noWrap/>
            <w:hideMark/>
          </w:tcPr>
          <w:p w14:paraId="7FA64C08" w14:textId="77777777" w:rsidR="008A3469" w:rsidRPr="008A3469" w:rsidRDefault="008A3469" w:rsidP="008A3469">
            <w:pPr>
              <w:spacing w:after="0" w:line="240" w:lineRule="auto"/>
              <w:jc w:val="center"/>
              <w:rPr>
                <w:rFonts w:ascii="Calibri" w:eastAsia="Times New Roman" w:hAnsi="Calibri" w:cs="Times New Roman"/>
                <w:b/>
                <w:bCs/>
                <w:color w:val="FFFFFF"/>
                <w:sz w:val="21"/>
                <w:szCs w:val="21"/>
                <w:lang w:eastAsia="cs-CZ"/>
              </w:rPr>
            </w:pPr>
            <w:r w:rsidRPr="008A3469">
              <w:rPr>
                <w:rFonts w:ascii="Calibri" w:eastAsia="Times New Roman" w:hAnsi="Calibri" w:cs="Times New Roman"/>
                <w:b/>
                <w:bCs/>
                <w:color w:val="FFFFFF"/>
                <w:sz w:val="21"/>
                <w:szCs w:val="21"/>
                <w:lang w:eastAsia="cs-CZ"/>
              </w:rPr>
              <w:t>2014</w:t>
            </w:r>
          </w:p>
        </w:tc>
        <w:tc>
          <w:tcPr>
            <w:tcW w:w="1000" w:type="dxa"/>
            <w:shd w:val="clear" w:color="000000" w:fill="6691C6"/>
            <w:noWrap/>
            <w:hideMark/>
          </w:tcPr>
          <w:p w14:paraId="29BFD45B" w14:textId="77777777" w:rsidR="008A3469" w:rsidRPr="008A3469" w:rsidRDefault="008A3469" w:rsidP="008A3469">
            <w:pPr>
              <w:spacing w:after="0" w:line="240" w:lineRule="auto"/>
              <w:jc w:val="center"/>
              <w:rPr>
                <w:rFonts w:ascii="Calibri" w:eastAsia="Times New Roman" w:hAnsi="Calibri" w:cs="Times New Roman"/>
                <w:b/>
                <w:bCs/>
                <w:color w:val="FFFFFF"/>
                <w:sz w:val="21"/>
                <w:szCs w:val="21"/>
                <w:lang w:eastAsia="cs-CZ"/>
              </w:rPr>
            </w:pPr>
            <w:r w:rsidRPr="008A3469">
              <w:rPr>
                <w:rFonts w:ascii="Calibri" w:eastAsia="Times New Roman" w:hAnsi="Calibri" w:cs="Times New Roman"/>
                <w:b/>
                <w:bCs/>
                <w:color w:val="FFFFFF"/>
                <w:sz w:val="21"/>
                <w:szCs w:val="21"/>
                <w:lang w:eastAsia="cs-CZ"/>
              </w:rPr>
              <w:t>2015</w:t>
            </w:r>
          </w:p>
        </w:tc>
        <w:tc>
          <w:tcPr>
            <w:tcW w:w="1000" w:type="dxa"/>
            <w:shd w:val="clear" w:color="000000" w:fill="4F81BD"/>
            <w:noWrap/>
            <w:hideMark/>
          </w:tcPr>
          <w:p w14:paraId="3F426DDE" w14:textId="77777777" w:rsidR="008A3469" w:rsidRPr="008A3469" w:rsidRDefault="008A3469" w:rsidP="008A3469">
            <w:pPr>
              <w:spacing w:after="0" w:line="240" w:lineRule="auto"/>
              <w:jc w:val="center"/>
              <w:rPr>
                <w:rFonts w:ascii="Calibri" w:eastAsia="Times New Roman" w:hAnsi="Calibri" w:cs="Times New Roman"/>
                <w:b/>
                <w:bCs/>
                <w:color w:val="FFFFFF"/>
                <w:sz w:val="21"/>
                <w:szCs w:val="21"/>
                <w:lang w:eastAsia="cs-CZ"/>
              </w:rPr>
            </w:pPr>
            <w:r w:rsidRPr="008A3469">
              <w:rPr>
                <w:rFonts w:ascii="Calibri" w:eastAsia="Times New Roman" w:hAnsi="Calibri" w:cs="Times New Roman"/>
                <w:b/>
                <w:bCs/>
                <w:color w:val="FFFFFF"/>
                <w:sz w:val="21"/>
                <w:szCs w:val="21"/>
                <w:lang w:eastAsia="cs-CZ"/>
              </w:rPr>
              <w:t>2016</w:t>
            </w:r>
          </w:p>
        </w:tc>
        <w:tc>
          <w:tcPr>
            <w:tcW w:w="1000" w:type="dxa"/>
            <w:shd w:val="clear" w:color="000000" w:fill="6691C6"/>
            <w:noWrap/>
            <w:hideMark/>
          </w:tcPr>
          <w:p w14:paraId="727DAA13" w14:textId="77777777" w:rsidR="008A3469" w:rsidRPr="008A3469" w:rsidRDefault="008A3469" w:rsidP="008A3469">
            <w:pPr>
              <w:spacing w:after="0" w:line="240" w:lineRule="auto"/>
              <w:jc w:val="center"/>
              <w:rPr>
                <w:rFonts w:ascii="Calibri" w:eastAsia="Times New Roman" w:hAnsi="Calibri" w:cs="Times New Roman"/>
                <w:b/>
                <w:bCs/>
                <w:color w:val="FFFFFF"/>
                <w:sz w:val="21"/>
                <w:szCs w:val="21"/>
                <w:lang w:eastAsia="cs-CZ"/>
              </w:rPr>
            </w:pPr>
            <w:r w:rsidRPr="008A3469">
              <w:rPr>
                <w:rFonts w:ascii="Calibri" w:eastAsia="Times New Roman" w:hAnsi="Calibri" w:cs="Times New Roman"/>
                <w:b/>
                <w:bCs/>
                <w:color w:val="FFFFFF"/>
                <w:sz w:val="21"/>
                <w:szCs w:val="21"/>
                <w:lang w:eastAsia="cs-CZ"/>
              </w:rPr>
              <w:t>2017</w:t>
            </w:r>
          </w:p>
        </w:tc>
        <w:tc>
          <w:tcPr>
            <w:tcW w:w="1000" w:type="dxa"/>
            <w:shd w:val="clear" w:color="000000" w:fill="4F81BD"/>
            <w:hideMark/>
          </w:tcPr>
          <w:p w14:paraId="59F27F3B" w14:textId="77777777" w:rsidR="008A3469" w:rsidRPr="008A3469" w:rsidRDefault="008A3469" w:rsidP="008A3469">
            <w:pPr>
              <w:spacing w:after="0" w:line="240" w:lineRule="auto"/>
              <w:jc w:val="center"/>
              <w:rPr>
                <w:rFonts w:ascii="Calibri" w:eastAsia="Times New Roman" w:hAnsi="Calibri" w:cs="Times New Roman"/>
                <w:b/>
                <w:bCs/>
                <w:color w:val="FFFFFF"/>
                <w:sz w:val="21"/>
                <w:szCs w:val="21"/>
                <w:lang w:eastAsia="cs-CZ"/>
              </w:rPr>
            </w:pPr>
            <w:r w:rsidRPr="008A3469">
              <w:rPr>
                <w:rFonts w:ascii="Calibri" w:eastAsia="Times New Roman" w:hAnsi="Calibri" w:cs="Times New Roman"/>
                <w:b/>
                <w:bCs/>
                <w:color w:val="FFFFFF"/>
                <w:sz w:val="21"/>
                <w:szCs w:val="21"/>
                <w:lang w:eastAsia="cs-CZ"/>
              </w:rPr>
              <w:t>2018</w:t>
            </w:r>
            <w:r w:rsidRPr="008A3469">
              <w:rPr>
                <w:rFonts w:ascii="Calibri" w:eastAsia="Times New Roman" w:hAnsi="Calibri" w:cs="Times New Roman"/>
                <w:b/>
                <w:bCs/>
                <w:color w:val="FFFFFF"/>
                <w:sz w:val="21"/>
                <w:szCs w:val="21"/>
                <w:lang w:eastAsia="cs-CZ"/>
              </w:rPr>
              <w:br/>
            </w:r>
            <w:r w:rsidRPr="008A3469">
              <w:rPr>
                <w:rFonts w:ascii="Calibri" w:eastAsia="Times New Roman" w:hAnsi="Calibri" w:cs="Times New Roman"/>
                <w:color w:val="FFFFFF"/>
                <w:sz w:val="21"/>
                <w:szCs w:val="21"/>
                <w:lang w:eastAsia="cs-CZ"/>
              </w:rPr>
              <w:t>ZPP</w:t>
            </w:r>
          </w:p>
        </w:tc>
        <w:tc>
          <w:tcPr>
            <w:tcW w:w="1000" w:type="dxa"/>
            <w:shd w:val="clear" w:color="000000" w:fill="6691C6"/>
            <w:noWrap/>
            <w:hideMark/>
          </w:tcPr>
          <w:p w14:paraId="4707DCAA" w14:textId="77777777" w:rsidR="008A3469" w:rsidRPr="008A3469" w:rsidRDefault="008A3469" w:rsidP="008A3469">
            <w:pPr>
              <w:spacing w:after="0" w:line="240" w:lineRule="auto"/>
              <w:jc w:val="center"/>
              <w:rPr>
                <w:rFonts w:ascii="Calibri" w:eastAsia="Times New Roman" w:hAnsi="Calibri" w:cs="Times New Roman"/>
                <w:b/>
                <w:bCs/>
                <w:color w:val="FFFFFF"/>
                <w:sz w:val="21"/>
                <w:szCs w:val="21"/>
                <w:lang w:eastAsia="cs-CZ"/>
              </w:rPr>
            </w:pPr>
            <w:r w:rsidRPr="008A3469">
              <w:rPr>
                <w:rFonts w:ascii="Calibri" w:eastAsia="Times New Roman" w:hAnsi="Calibri" w:cs="Times New Roman"/>
                <w:b/>
                <w:bCs/>
                <w:color w:val="FFFFFF"/>
                <w:sz w:val="21"/>
                <w:szCs w:val="21"/>
                <w:lang w:eastAsia="cs-CZ"/>
              </w:rPr>
              <w:t>2018</w:t>
            </w:r>
          </w:p>
        </w:tc>
      </w:tr>
      <w:tr w:rsidR="008A3469" w:rsidRPr="008A3469" w14:paraId="275EBE3D" w14:textId="77777777" w:rsidTr="008A3469">
        <w:trPr>
          <w:trHeight w:val="559"/>
        </w:trPr>
        <w:tc>
          <w:tcPr>
            <w:tcW w:w="2080" w:type="dxa"/>
            <w:shd w:val="clear" w:color="auto" w:fill="auto"/>
            <w:vAlign w:val="bottom"/>
            <w:hideMark/>
          </w:tcPr>
          <w:p w14:paraId="5FBA3996" w14:textId="77777777" w:rsidR="008A3469" w:rsidRPr="008A3469" w:rsidRDefault="008A3469" w:rsidP="008A3469">
            <w:pPr>
              <w:spacing w:after="0" w:line="240" w:lineRule="auto"/>
              <w:rPr>
                <w:rFonts w:ascii="Calibri" w:eastAsia="Times New Roman" w:hAnsi="Calibri" w:cs="Times New Roman"/>
                <w:b/>
                <w:bCs/>
                <w:color w:val="000000"/>
                <w:sz w:val="21"/>
                <w:szCs w:val="21"/>
                <w:lang w:eastAsia="cs-CZ"/>
              </w:rPr>
            </w:pPr>
            <w:r w:rsidRPr="008A3469">
              <w:rPr>
                <w:rFonts w:ascii="Calibri" w:eastAsia="Times New Roman" w:hAnsi="Calibri" w:cs="Times New Roman"/>
                <w:b/>
                <w:bCs/>
                <w:color w:val="000000"/>
                <w:sz w:val="21"/>
                <w:szCs w:val="21"/>
                <w:lang w:eastAsia="cs-CZ"/>
              </w:rPr>
              <w:t xml:space="preserve">Náklady na </w:t>
            </w:r>
            <w:r w:rsidRPr="008A3469">
              <w:rPr>
                <w:rFonts w:ascii="Calibri" w:eastAsia="Times New Roman" w:hAnsi="Calibri" w:cs="Times New Roman"/>
                <w:b/>
                <w:bCs/>
                <w:color w:val="000000"/>
                <w:sz w:val="21"/>
                <w:szCs w:val="21"/>
                <w:lang w:eastAsia="cs-CZ"/>
              </w:rPr>
              <w:br/>
              <w:t xml:space="preserve">léčení z. p. </w:t>
            </w:r>
            <w:r w:rsidRPr="008A3469">
              <w:rPr>
                <w:rFonts w:ascii="Calibri" w:eastAsia="Times New Roman" w:hAnsi="Calibri" w:cs="Times New Roman"/>
                <w:color w:val="000000"/>
                <w:sz w:val="21"/>
                <w:szCs w:val="21"/>
                <w:lang w:eastAsia="cs-CZ"/>
              </w:rPr>
              <w:t>(v mil. Kč)</w:t>
            </w:r>
          </w:p>
        </w:tc>
        <w:tc>
          <w:tcPr>
            <w:tcW w:w="1000" w:type="dxa"/>
            <w:shd w:val="clear" w:color="000000" w:fill="DCE6F1"/>
            <w:noWrap/>
            <w:vAlign w:val="bottom"/>
            <w:hideMark/>
          </w:tcPr>
          <w:p w14:paraId="064027AE"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607</w:t>
            </w:r>
          </w:p>
        </w:tc>
        <w:tc>
          <w:tcPr>
            <w:tcW w:w="1000" w:type="dxa"/>
            <w:shd w:val="clear" w:color="auto" w:fill="auto"/>
            <w:noWrap/>
            <w:vAlign w:val="bottom"/>
            <w:hideMark/>
          </w:tcPr>
          <w:p w14:paraId="663EFF2C"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750</w:t>
            </w:r>
          </w:p>
        </w:tc>
        <w:tc>
          <w:tcPr>
            <w:tcW w:w="1000" w:type="dxa"/>
            <w:shd w:val="clear" w:color="000000" w:fill="DCE6F1"/>
            <w:noWrap/>
            <w:vAlign w:val="bottom"/>
            <w:hideMark/>
          </w:tcPr>
          <w:p w14:paraId="19D02755"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884</w:t>
            </w:r>
          </w:p>
        </w:tc>
        <w:tc>
          <w:tcPr>
            <w:tcW w:w="1000" w:type="dxa"/>
            <w:shd w:val="clear" w:color="auto" w:fill="auto"/>
            <w:noWrap/>
            <w:vAlign w:val="bottom"/>
            <w:hideMark/>
          </w:tcPr>
          <w:p w14:paraId="6181B461"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1 090</w:t>
            </w:r>
          </w:p>
        </w:tc>
        <w:tc>
          <w:tcPr>
            <w:tcW w:w="1000" w:type="dxa"/>
            <w:shd w:val="clear" w:color="000000" w:fill="DCE6F1"/>
            <w:noWrap/>
            <w:vAlign w:val="bottom"/>
            <w:hideMark/>
          </w:tcPr>
          <w:p w14:paraId="47F1D889"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1 284</w:t>
            </w:r>
          </w:p>
        </w:tc>
        <w:tc>
          <w:tcPr>
            <w:tcW w:w="1000" w:type="dxa"/>
            <w:shd w:val="clear" w:color="auto" w:fill="auto"/>
            <w:noWrap/>
            <w:vAlign w:val="bottom"/>
            <w:hideMark/>
          </w:tcPr>
          <w:p w14:paraId="240CDDCE"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1 350</w:t>
            </w:r>
          </w:p>
        </w:tc>
        <w:tc>
          <w:tcPr>
            <w:tcW w:w="1000" w:type="dxa"/>
            <w:shd w:val="clear" w:color="000000" w:fill="DCE6F1"/>
            <w:noWrap/>
            <w:vAlign w:val="bottom"/>
            <w:hideMark/>
          </w:tcPr>
          <w:p w14:paraId="1CA6001B"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1 494</w:t>
            </w:r>
          </w:p>
        </w:tc>
      </w:tr>
      <w:tr w:rsidR="008A3469" w:rsidRPr="008A3469" w14:paraId="2133F506" w14:textId="77777777" w:rsidTr="008A3469">
        <w:trPr>
          <w:trHeight w:val="300"/>
        </w:trPr>
        <w:tc>
          <w:tcPr>
            <w:tcW w:w="2080" w:type="dxa"/>
            <w:shd w:val="clear" w:color="000000" w:fill="EEF3F8"/>
            <w:vAlign w:val="bottom"/>
            <w:hideMark/>
          </w:tcPr>
          <w:p w14:paraId="78B4E700" w14:textId="77777777" w:rsidR="008A3469" w:rsidRPr="008A3469" w:rsidRDefault="008A3469" w:rsidP="008A3469">
            <w:pPr>
              <w:spacing w:after="0" w:line="240" w:lineRule="auto"/>
              <w:rPr>
                <w:rFonts w:ascii="Calibri" w:eastAsia="Times New Roman" w:hAnsi="Calibri" w:cs="Times New Roman"/>
                <w:b/>
                <w:bCs/>
                <w:color w:val="000000"/>
                <w:sz w:val="21"/>
                <w:szCs w:val="21"/>
                <w:lang w:eastAsia="cs-CZ"/>
              </w:rPr>
            </w:pPr>
            <w:r w:rsidRPr="008A3469">
              <w:rPr>
                <w:rFonts w:ascii="Calibri" w:eastAsia="Times New Roman" w:hAnsi="Calibri" w:cs="Times New Roman"/>
                <w:b/>
                <w:bCs/>
                <w:color w:val="000000"/>
                <w:sz w:val="21"/>
                <w:szCs w:val="21"/>
                <w:lang w:eastAsia="cs-CZ"/>
              </w:rPr>
              <w:t xml:space="preserve">Počet ošetřených z. p. </w:t>
            </w:r>
          </w:p>
        </w:tc>
        <w:tc>
          <w:tcPr>
            <w:tcW w:w="1000" w:type="dxa"/>
            <w:shd w:val="clear" w:color="000000" w:fill="EEF3F8"/>
            <w:noWrap/>
            <w:vAlign w:val="bottom"/>
            <w:hideMark/>
          </w:tcPr>
          <w:p w14:paraId="4F0ED7B8"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120 875</w:t>
            </w:r>
          </w:p>
        </w:tc>
        <w:tc>
          <w:tcPr>
            <w:tcW w:w="1000" w:type="dxa"/>
            <w:shd w:val="clear" w:color="000000" w:fill="EEF3F8"/>
            <w:noWrap/>
            <w:vAlign w:val="bottom"/>
            <w:hideMark/>
          </w:tcPr>
          <w:p w14:paraId="07769D44"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133 868</w:t>
            </w:r>
          </w:p>
        </w:tc>
        <w:tc>
          <w:tcPr>
            <w:tcW w:w="1000" w:type="dxa"/>
            <w:shd w:val="clear" w:color="000000" w:fill="EEF3F8"/>
            <w:noWrap/>
            <w:vAlign w:val="bottom"/>
            <w:hideMark/>
          </w:tcPr>
          <w:p w14:paraId="6C7BF0FF"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159 611</w:t>
            </w:r>
          </w:p>
        </w:tc>
        <w:tc>
          <w:tcPr>
            <w:tcW w:w="1000" w:type="dxa"/>
            <w:shd w:val="clear" w:color="000000" w:fill="EEF3F8"/>
            <w:noWrap/>
            <w:vAlign w:val="bottom"/>
            <w:hideMark/>
          </w:tcPr>
          <w:p w14:paraId="69D968C9"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182 409</w:t>
            </w:r>
          </w:p>
        </w:tc>
        <w:tc>
          <w:tcPr>
            <w:tcW w:w="1000" w:type="dxa"/>
            <w:shd w:val="clear" w:color="000000" w:fill="EEF3F8"/>
            <w:noWrap/>
            <w:vAlign w:val="bottom"/>
            <w:hideMark/>
          </w:tcPr>
          <w:p w14:paraId="5495D47D"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204 368</w:t>
            </w:r>
          </w:p>
        </w:tc>
        <w:tc>
          <w:tcPr>
            <w:tcW w:w="1000" w:type="dxa"/>
            <w:shd w:val="clear" w:color="000000" w:fill="EEF3F8"/>
            <w:noWrap/>
            <w:vAlign w:val="bottom"/>
            <w:hideMark/>
          </w:tcPr>
          <w:p w14:paraId="1305A7B7"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215 250</w:t>
            </w:r>
          </w:p>
        </w:tc>
        <w:tc>
          <w:tcPr>
            <w:tcW w:w="1000" w:type="dxa"/>
            <w:shd w:val="clear" w:color="000000" w:fill="EEF3F8"/>
            <w:noWrap/>
            <w:vAlign w:val="bottom"/>
            <w:hideMark/>
          </w:tcPr>
          <w:p w14:paraId="5AFFC4F6"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232 961</w:t>
            </w:r>
          </w:p>
        </w:tc>
      </w:tr>
      <w:tr w:rsidR="008A3469" w:rsidRPr="008A3469" w14:paraId="64ECAF0A" w14:textId="77777777" w:rsidTr="008A3469">
        <w:trPr>
          <w:trHeight w:val="559"/>
        </w:trPr>
        <w:tc>
          <w:tcPr>
            <w:tcW w:w="2080" w:type="dxa"/>
            <w:shd w:val="clear" w:color="auto" w:fill="auto"/>
            <w:vAlign w:val="bottom"/>
            <w:hideMark/>
          </w:tcPr>
          <w:p w14:paraId="614BB0FB" w14:textId="77777777" w:rsidR="008A3469" w:rsidRPr="008A3469" w:rsidRDefault="008A3469" w:rsidP="008A3469">
            <w:pPr>
              <w:spacing w:after="0" w:line="240" w:lineRule="auto"/>
              <w:rPr>
                <w:rFonts w:ascii="Calibri" w:eastAsia="Times New Roman" w:hAnsi="Calibri" w:cs="Times New Roman"/>
                <w:b/>
                <w:bCs/>
                <w:color w:val="000000"/>
                <w:sz w:val="21"/>
                <w:szCs w:val="21"/>
                <w:lang w:eastAsia="cs-CZ"/>
              </w:rPr>
            </w:pPr>
            <w:r w:rsidRPr="008A3469">
              <w:rPr>
                <w:rFonts w:ascii="Calibri" w:eastAsia="Times New Roman" w:hAnsi="Calibri" w:cs="Times New Roman"/>
                <w:b/>
                <w:bCs/>
                <w:color w:val="000000"/>
                <w:sz w:val="21"/>
                <w:szCs w:val="21"/>
                <w:lang w:eastAsia="cs-CZ"/>
              </w:rPr>
              <w:t xml:space="preserve">Průměrné náklady na ošetřeného z. p. </w:t>
            </w:r>
            <w:r w:rsidRPr="008A3469">
              <w:rPr>
                <w:rFonts w:ascii="Calibri" w:eastAsia="Times New Roman" w:hAnsi="Calibri" w:cs="Times New Roman"/>
                <w:color w:val="000000"/>
                <w:sz w:val="21"/>
                <w:szCs w:val="21"/>
                <w:lang w:eastAsia="cs-CZ"/>
              </w:rPr>
              <w:t>(v Kč)</w:t>
            </w:r>
          </w:p>
        </w:tc>
        <w:tc>
          <w:tcPr>
            <w:tcW w:w="1000" w:type="dxa"/>
            <w:shd w:val="clear" w:color="000000" w:fill="DCE6F1"/>
            <w:noWrap/>
            <w:vAlign w:val="bottom"/>
            <w:hideMark/>
          </w:tcPr>
          <w:p w14:paraId="2FD18A2A"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5 024</w:t>
            </w:r>
          </w:p>
        </w:tc>
        <w:tc>
          <w:tcPr>
            <w:tcW w:w="1000" w:type="dxa"/>
            <w:shd w:val="clear" w:color="auto" w:fill="auto"/>
            <w:noWrap/>
            <w:vAlign w:val="bottom"/>
            <w:hideMark/>
          </w:tcPr>
          <w:p w14:paraId="14AE4633"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5 600</w:t>
            </w:r>
          </w:p>
        </w:tc>
        <w:tc>
          <w:tcPr>
            <w:tcW w:w="1000" w:type="dxa"/>
            <w:shd w:val="clear" w:color="000000" w:fill="DCE6F1"/>
            <w:noWrap/>
            <w:vAlign w:val="bottom"/>
            <w:hideMark/>
          </w:tcPr>
          <w:p w14:paraId="7CC7DD4D"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5 540</w:t>
            </w:r>
          </w:p>
        </w:tc>
        <w:tc>
          <w:tcPr>
            <w:tcW w:w="1000" w:type="dxa"/>
            <w:shd w:val="clear" w:color="auto" w:fill="auto"/>
            <w:noWrap/>
            <w:vAlign w:val="bottom"/>
            <w:hideMark/>
          </w:tcPr>
          <w:p w14:paraId="1A81DDD1"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5 978</w:t>
            </w:r>
          </w:p>
        </w:tc>
        <w:tc>
          <w:tcPr>
            <w:tcW w:w="1000" w:type="dxa"/>
            <w:shd w:val="clear" w:color="000000" w:fill="DCE6F1"/>
            <w:noWrap/>
            <w:vAlign w:val="bottom"/>
            <w:hideMark/>
          </w:tcPr>
          <w:p w14:paraId="032764BC"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6 284</w:t>
            </w:r>
          </w:p>
        </w:tc>
        <w:tc>
          <w:tcPr>
            <w:tcW w:w="1000" w:type="dxa"/>
            <w:shd w:val="clear" w:color="auto" w:fill="auto"/>
            <w:noWrap/>
            <w:vAlign w:val="bottom"/>
            <w:hideMark/>
          </w:tcPr>
          <w:p w14:paraId="1950308E"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6 273</w:t>
            </w:r>
          </w:p>
        </w:tc>
        <w:tc>
          <w:tcPr>
            <w:tcW w:w="1000" w:type="dxa"/>
            <w:shd w:val="clear" w:color="000000" w:fill="DCE6F1"/>
            <w:noWrap/>
            <w:vAlign w:val="bottom"/>
            <w:hideMark/>
          </w:tcPr>
          <w:p w14:paraId="34636A2A" w14:textId="77777777" w:rsidR="008A3469" w:rsidRPr="008A3469" w:rsidRDefault="008A3469" w:rsidP="008A3469">
            <w:pPr>
              <w:spacing w:after="0" w:line="240" w:lineRule="auto"/>
              <w:jc w:val="right"/>
              <w:rPr>
                <w:rFonts w:ascii="Calibri" w:eastAsia="Times New Roman" w:hAnsi="Calibri" w:cs="Times New Roman"/>
                <w:color w:val="000000"/>
                <w:sz w:val="21"/>
                <w:szCs w:val="21"/>
                <w:lang w:eastAsia="cs-CZ"/>
              </w:rPr>
            </w:pPr>
            <w:r w:rsidRPr="008A3469">
              <w:rPr>
                <w:rFonts w:ascii="Calibri" w:eastAsia="Times New Roman" w:hAnsi="Calibri" w:cs="Times New Roman"/>
                <w:color w:val="000000"/>
                <w:sz w:val="21"/>
                <w:szCs w:val="21"/>
                <w:lang w:eastAsia="cs-CZ"/>
              </w:rPr>
              <w:t>6 414</w:t>
            </w:r>
          </w:p>
        </w:tc>
      </w:tr>
    </w:tbl>
    <w:p w14:paraId="6703EE0B" w14:textId="77777777" w:rsidR="00051504" w:rsidRDefault="00051504" w:rsidP="00051504">
      <w:pPr>
        <w:spacing w:before="240" w:after="60" w:line="240" w:lineRule="auto"/>
        <w:ind w:left="794" w:hanging="794"/>
        <w:rPr>
          <w:rFonts w:eastAsia="SimSun" w:cs="Arial"/>
          <w:b/>
          <w:szCs w:val="24"/>
          <w:lang w:eastAsia="cs-CZ"/>
        </w:rPr>
      </w:pPr>
      <w:r>
        <w:rPr>
          <w:rFonts w:eastAsia="SimSun"/>
          <w:b/>
        </w:rPr>
        <w:t>Tab. 1</w:t>
      </w:r>
      <w:r w:rsidR="00726657">
        <w:rPr>
          <w:rFonts w:eastAsia="SimSun"/>
          <w:b/>
        </w:rPr>
        <w:t>5</w:t>
      </w:r>
      <w:r>
        <w:rPr>
          <w:rFonts w:eastAsia="SimSun"/>
          <w:b/>
        </w:rPr>
        <w:t>: Náklady na léčení zahraničních pojištěnců v České republice podle zdravotních pojišťoven v roce 2018</w:t>
      </w:r>
    </w:p>
    <w:tbl>
      <w:tblPr>
        <w:tblW w:w="908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051504" w14:paraId="7F8978DC" w14:textId="77777777" w:rsidTr="00051504">
        <w:trPr>
          <w:trHeight w:val="600"/>
        </w:trPr>
        <w:tc>
          <w:tcPr>
            <w:tcW w:w="2080" w:type="dxa"/>
            <w:tcBorders>
              <w:top w:val="single" w:sz="12" w:space="0" w:color="4F81BD"/>
              <w:left w:val="single" w:sz="12" w:space="0" w:color="4F81BD"/>
              <w:bottom w:val="nil"/>
              <w:right w:val="nil"/>
            </w:tcBorders>
            <w:shd w:val="clear" w:color="auto" w:fill="4F81BD"/>
            <w:hideMark/>
          </w:tcPr>
          <w:p w14:paraId="1CD00CEA" w14:textId="77777777" w:rsidR="00051504" w:rsidRDefault="00051504">
            <w:pPr>
              <w:spacing w:after="0" w:line="240" w:lineRule="auto"/>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Ukazatel</w:t>
            </w:r>
          </w:p>
        </w:tc>
        <w:tc>
          <w:tcPr>
            <w:tcW w:w="1000" w:type="dxa"/>
            <w:tcBorders>
              <w:top w:val="single" w:sz="12" w:space="0" w:color="4F81BD"/>
              <w:left w:val="nil"/>
              <w:bottom w:val="nil"/>
              <w:right w:val="nil"/>
            </w:tcBorders>
            <w:shd w:val="clear" w:color="auto" w:fill="6691C6"/>
            <w:noWrap/>
            <w:vAlign w:val="center"/>
            <w:hideMark/>
          </w:tcPr>
          <w:p w14:paraId="748C3C94"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VZP ČR</w:t>
            </w:r>
          </w:p>
        </w:tc>
        <w:tc>
          <w:tcPr>
            <w:tcW w:w="1000" w:type="dxa"/>
            <w:tcBorders>
              <w:top w:val="single" w:sz="12" w:space="0" w:color="4F81BD"/>
              <w:left w:val="nil"/>
              <w:bottom w:val="nil"/>
              <w:right w:val="nil"/>
            </w:tcBorders>
            <w:shd w:val="clear" w:color="auto" w:fill="4F81BD"/>
            <w:noWrap/>
            <w:vAlign w:val="center"/>
            <w:hideMark/>
          </w:tcPr>
          <w:p w14:paraId="42FCF639"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proofErr w:type="spellStart"/>
            <w:r>
              <w:rPr>
                <w:rFonts w:ascii="Calibri" w:eastAsia="Times New Roman" w:hAnsi="Calibri" w:cs="Times New Roman"/>
                <w:b/>
                <w:bCs/>
                <w:color w:val="FFFFFF"/>
                <w:sz w:val="21"/>
                <w:szCs w:val="21"/>
                <w:lang w:eastAsia="cs-CZ"/>
              </w:rPr>
              <w:t>VoZP</w:t>
            </w:r>
            <w:proofErr w:type="spellEnd"/>
            <w:r>
              <w:rPr>
                <w:rFonts w:ascii="Calibri" w:eastAsia="Times New Roman" w:hAnsi="Calibri" w:cs="Times New Roman"/>
                <w:b/>
                <w:bCs/>
                <w:color w:val="FFFFFF"/>
                <w:sz w:val="21"/>
                <w:szCs w:val="21"/>
                <w:lang w:eastAsia="cs-CZ"/>
              </w:rPr>
              <w:t xml:space="preserve"> ČR</w:t>
            </w:r>
          </w:p>
        </w:tc>
        <w:tc>
          <w:tcPr>
            <w:tcW w:w="1000" w:type="dxa"/>
            <w:tcBorders>
              <w:top w:val="single" w:sz="12" w:space="0" w:color="4F81BD"/>
              <w:left w:val="nil"/>
              <w:bottom w:val="nil"/>
              <w:right w:val="nil"/>
            </w:tcBorders>
            <w:shd w:val="clear" w:color="auto" w:fill="6691C6"/>
            <w:noWrap/>
            <w:vAlign w:val="center"/>
            <w:hideMark/>
          </w:tcPr>
          <w:p w14:paraId="7D7EB74E"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ČPZP</w:t>
            </w:r>
          </w:p>
        </w:tc>
        <w:tc>
          <w:tcPr>
            <w:tcW w:w="1000" w:type="dxa"/>
            <w:tcBorders>
              <w:top w:val="single" w:sz="12" w:space="0" w:color="4F81BD"/>
              <w:left w:val="nil"/>
              <w:bottom w:val="nil"/>
              <w:right w:val="nil"/>
            </w:tcBorders>
            <w:shd w:val="clear" w:color="auto" w:fill="4F81BD"/>
            <w:noWrap/>
            <w:vAlign w:val="center"/>
            <w:hideMark/>
          </w:tcPr>
          <w:p w14:paraId="014B19EF"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OZP</w:t>
            </w:r>
          </w:p>
        </w:tc>
        <w:tc>
          <w:tcPr>
            <w:tcW w:w="1000" w:type="dxa"/>
            <w:tcBorders>
              <w:top w:val="single" w:sz="12" w:space="0" w:color="4F81BD"/>
              <w:left w:val="nil"/>
              <w:bottom w:val="nil"/>
              <w:right w:val="nil"/>
            </w:tcBorders>
            <w:shd w:val="clear" w:color="auto" w:fill="6691C6"/>
            <w:noWrap/>
            <w:vAlign w:val="center"/>
            <w:hideMark/>
          </w:tcPr>
          <w:p w14:paraId="392E9D32"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ZPŠ</w:t>
            </w:r>
          </w:p>
        </w:tc>
        <w:tc>
          <w:tcPr>
            <w:tcW w:w="1000" w:type="dxa"/>
            <w:tcBorders>
              <w:top w:val="single" w:sz="12" w:space="0" w:color="4F81BD"/>
              <w:left w:val="nil"/>
              <w:bottom w:val="nil"/>
              <w:right w:val="nil"/>
            </w:tcBorders>
            <w:shd w:val="clear" w:color="auto" w:fill="4F81BD"/>
            <w:noWrap/>
            <w:vAlign w:val="center"/>
            <w:hideMark/>
          </w:tcPr>
          <w:p w14:paraId="4C5169EC"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ZP MV ČR</w:t>
            </w:r>
          </w:p>
        </w:tc>
        <w:tc>
          <w:tcPr>
            <w:tcW w:w="1000" w:type="dxa"/>
            <w:tcBorders>
              <w:top w:val="single" w:sz="12" w:space="0" w:color="4F81BD"/>
              <w:left w:val="nil"/>
              <w:bottom w:val="nil"/>
              <w:right w:val="single" w:sz="12" w:space="0" w:color="4F81BD"/>
            </w:tcBorders>
            <w:shd w:val="clear" w:color="auto" w:fill="6691C6"/>
            <w:noWrap/>
            <w:vAlign w:val="center"/>
            <w:hideMark/>
          </w:tcPr>
          <w:p w14:paraId="6A59511B"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RBP</w:t>
            </w:r>
          </w:p>
        </w:tc>
      </w:tr>
      <w:tr w:rsidR="00051504" w14:paraId="042C8027" w14:textId="77777777" w:rsidTr="00051504">
        <w:trPr>
          <w:trHeight w:val="559"/>
        </w:trPr>
        <w:tc>
          <w:tcPr>
            <w:tcW w:w="2080" w:type="dxa"/>
            <w:tcBorders>
              <w:top w:val="nil"/>
              <w:left w:val="single" w:sz="12" w:space="0" w:color="4F81BD"/>
              <w:bottom w:val="nil"/>
              <w:right w:val="nil"/>
            </w:tcBorders>
            <w:vAlign w:val="bottom"/>
            <w:hideMark/>
          </w:tcPr>
          <w:p w14:paraId="57EE7A05" w14:textId="77777777" w:rsidR="00051504" w:rsidRDefault="00051504">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 xml:space="preserve">Náklady na </w:t>
            </w:r>
            <w:r>
              <w:rPr>
                <w:rFonts w:ascii="Calibri" w:eastAsia="Times New Roman" w:hAnsi="Calibri" w:cs="Times New Roman"/>
                <w:b/>
                <w:bCs/>
                <w:color w:val="000000"/>
                <w:sz w:val="21"/>
                <w:szCs w:val="21"/>
                <w:lang w:eastAsia="cs-CZ"/>
              </w:rPr>
              <w:br/>
              <w:t xml:space="preserve">léčení z. p. </w:t>
            </w:r>
            <w:r>
              <w:rPr>
                <w:rFonts w:ascii="Calibri" w:eastAsia="Times New Roman" w:hAnsi="Calibri" w:cs="Times New Roman"/>
                <w:color w:val="000000"/>
                <w:sz w:val="21"/>
                <w:szCs w:val="21"/>
                <w:lang w:eastAsia="cs-CZ"/>
              </w:rPr>
              <w:t>(v mil. Kč)</w:t>
            </w:r>
          </w:p>
        </w:tc>
        <w:tc>
          <w:tcPr>
            <w:tcW w:w="1000" w:type="dxa"/>
            <w:tcBorders>
              <w:top w:val="nil"/>
              <w:left w:val="nil"/>
              <w:bottom w:val="nil"/>
              <w:right w:val="nil"/>
            </w:tcBorders>
            <w:shd w:val="clear" w:color="auto" w:fill="DCE6F1"/>
            <w:noWrap/>
            <w:vAlign w:val="bottom"/>
            <w:hideMark/>
          </w:tcPr>
          <w:p w14:paraId="72CBF372"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1 031</w:t>
            </w:r>
          </w:p>
        </w:tc>
        <w:tc>
          <w:tcPr>
            <w:tcW w:w="1000" w:type="dxa"/>
            <w:tcBorders>
              <w:top w:val="nil"/>
              <w:left w:val="nil"/>
              <w:bottom w:val="nil"/>
              <w:right w:val="nil"/>
            </w:tcBorders>
            <w:noWrap/>
            <w:vAlign w:val="bottom"/>
            <w:hideMark/>
          </w:tcPr>
          <w:p w14:paraId="15475042"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185</w:t>
            </w:r>
          </w:p>
        </w:tc>
        <w:tc>
          <w:tcPr>
            <w:tcW w:w="1000" w:type="dxa"/>
            <w:tcBorders>
              <w:top w:val="nil"/>
              <w:left w:val="nil"/>
              <w:bottom w:val="nil"/>
              <w:right w:val="nil"/>
            </w:tcBorders>
            <w:shd w:val="clear" w:color="auto" w:fill="DCE6F1"/>
            <w:noWrap/>
            <w:vAlign w:val="bottom"/>
            <w:hideMark/>
          </w:tcPr>
          <w:p w14:paraId="6BDEA08E"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98</w:t>
            </w:r>
          </w:p>
        </w:tc>
        <w:tc>
          <w:tcPr>
            <w:tcW w:w="1000" w:type="dxa"/>
            <w:tcBorders>
              <w:top w:val="nil"/>
              <w:left w:val="nil"/>
              <w:bottom w:val="nil"/>
              <w:right w:val="nil"/>
            </w:tcBorders>
            <w:noWrap/>
            <w:vAlign w:val="bottom"/>
            <w:hideMark/>
          </w:tcPr>
          <w:p w14:paraId="56C26AB6"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40</w:t>
            </w:r>
          </w:p>
        </w:tc>
        <w:tc>
          <w:tcPr>
            <w:tcW w:w="1000" w:type="dxa"/>
            <w:tcBorders>
              <w:top w:val="nil"/>
              <w:left w:val="nil"/>
              <w:bottom w:val="nil"/>
              <w:right w:val="nil"/>
            </w:tcBorders>
            <w:shd w:val="clear" w:color="auto" w:fill="DCE6F1"/>
            <w:noWrap/>
            <w:vAlign w:val="bottom"/>
            <w:hideMark/>
          </w:tcPr>
          <w:p w14:paraId="7B849D28"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9</w:t>
            </w:r>
          </w:p>
        </w:tc>
        <w:tc>
          <w:tcPr>
            <w:tcW w:w="1000" w:type="dxa"/>
            <w:tcBorders>
              <w:top w:val="nil"/>
              <w:left w:val="nil"/>
              <w:bottom w:val="nil"/>
              <w:right w:val="nil"/>
            </w:tcBorders>
            <w:noWrap/>
            <w:vAlign w:val="bottom"/>
            <w:hideMark/>
          </w:tcPr>
          <w:p w14:paraId="298E0DF4"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116</w:t>
            </w:r>
          </w:p>
        </w:tc>
        <w:tc>
          <w:tcPr>
            <w:tcW w:w="1000" w:type="dxa"/>
            <w:tcBorders>
              <w:top w:val="nil"/>
              <w:left w:val="nil"/>
              <w:bottom w:val="nil"/>
              <w:right w:val="single" w:sz="12" w:space="0" w:color="4F81BD"/>
            </w:tcBorders>
            <w:shd w:val="clear" w:color="auto" w:fill="DCE6F1"/>
            <w:noWrap/>
            <w:vAlign w:val="bottom"/>
            <w:hideMark/>
          </w:tcPr>
          <w:p w14:paraId="49BA1E62"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14</w:t>
            </w:r>
          </w:p>
        </w:tc>
      </w:tr>
      <w:tr w:rsidR="00051504" w14:paraId="615A4512" w14:textId="77777777" w:rsidTr="00051504">
        <w:trPr>
          <w:trHeight w:val="300"/>
        </w:trPr>
        <w:tc>
          <w:tcPr>
            <w:tcW w:w="2080" w:type="dxa"/>
            <w:tcBorders>
              <w:top w:val="nil"/>
              <w:left w:val="single" w:sz="12" w:space="0" w:color="4F81BD"/>
              <w:bottom w:val="nil"/>
              <w:right w:val="nil"/>
            </w:tcBorders>
            <w:shd w:val="clear" w:color="auto" w:fill="EEF3F8"/>
            <w:vAlign w:val="bottom"/>
            <w:hideMark/>
          </w:tcPr>
          <w:p w14:paraId="3A3D16E2" w14:textId="77777777" w:rsidR="00051504" w:rsidRDefault="00051504">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 xml:space="preserve">Počet ošetřených z. p. </w:t>
            </w:r>
          </w:p>
        </w:tc>
        <w:tc>
          <w:tcPr>
            <w:tcW w:w="1000" w:type="dxa"/>
            <w:tcBorders>
              <w:top w:val="nil"/>
              <w:left w:val="nil"/>
              <w:bottom w:val="nil"/>
              <w:right w:val="nil"/>
            </w:tcBorders>
            <w:shd w:val="clear" w:color="auto" w:fill="EEF3F8"/>
            <w:noWrap/>
            <w:vAlign w:val="bottom"/>
            <w:hideMark/>
          </w:tcPr>
          <w:p w14:paraId="54A3B737"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166 210</w:t>
            </w:r>
          </w:p>
        </w:tc>
        <w:tc>
          <w:tcPr>
            <w:tcW w:w="1000" w:type="dxa"/>
            <w:tcBorders>
              <w:top w:val="nil"/>
              <w:left w:val="nil"/>
              <w:bottom w:val="nil"/>
              <w:right w:val="nil"/>
            </w:tcBorders>
            <w:shd w:val="clear" w:color="auto" w:fill="EEF3F8"/>
            <w:noWrap/>
            <w:vAlign w:val="bottom"/>
            <w:hideMark/>
          </w:tcPr>
          <w:p w14:paraId="27B88E07"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16 051</w:t>
            </w:r>
          </w:p>
        </w:tc>
        <w:tc>
          <w:tcPr>
            <w:tcW w:w="1000" w:type="dxa"/>
            <w:tcBorders>
              <w:top w:val="nil"/>
              <w:left w:val="nil"/>
              <w:bottom w:val="nil"/>
              <w:right w:val="nil"/>
            </w:tcBorders>
            <w:shd w:val="clear" w:color="auto" w:fill="EEF3F8"/>
            <w:noWrap/>
            <w:vAlign w:val="bottom"/>
            <w:hideMark/>
          </w:tcPr>
          <w:p w14:paraId="6E2D5C3C"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19 480</w:t>
            </w:r>
          </w:p>
        </w:tc>
        <w:tc>
          <w:tcPr>
            <w:tcW w:w="1000" w:type="dxa"/>
            <w:tcBorders>
              <w:top w:val="nil"/>
              <w:left w:val="nil"/>
              <w:bottom w:val="nil"/>
              <w:right w:val="nil"/>
            </w:tcBorders>
            <w:shd w:val="clear" w:color="auto" w:fill="EEF3F8"/>
            <w:noWrap/>
            <w:vAlign w:val="bottom"/>
            <w:hideMark/>
          </w:tcPr>
          <w:p w14:paraId="5D3864C1"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4 388</w:t>
            </w:r>
          </w:p>
        </w:tc>
        <w:tc>
          <w:tcPr>
            <w:tcW w:w="1000" w:type="dxa"/>
            <w:tcBorders>
              <w:top w:val="nil"/>
              <w:left w:val="nil"/>
              <w:bottom w:val="nil"/>
              <w:right w:val="nil"/>
            </w:tcBorders>
            <w:shd w:val="clear" w:color="auto" w:fill="EEF3F8"/>
            <w:noWrap/>
            <w:vAlign w:val="bottom"/>
            <w:hideMark/>
          </w:tcPr>
          <w:p w14:paraId="577E1CCC"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1 384</w:t>
            </w:r>
          </w:p>
        </w:tc>
        <w:tc>
          <w:tcPr>
            <w:tcW w:w="1000" w:type="dxa"/>
            <w:tcBorders>
              <w:top w:val="nil"/>
              <w:left w:val="nil"/>
              <w:bottom w:val="nil"/>
              <w:right w:val="nil"/>
            </w:tcBorders>
            <w:shd w:val="clear" w:color="auto" w:fill="EEF3F8"/>
            <w:noWrap/>
            <w:vAlign w:val="bottom"/>
            <w:hideMark/>
          </w:tcPr>
          <w:p w14:paraId="1C23B267"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24 108</w:t>
            </w:r>
          </w:p>
        </w:tc>
        <w:tc>
          <w:tcPr>
            <w:tcW w:w="1000" w:type="dxa"/>
            <w:tcBorders>
              <w:top w:val="nil"/>
              <w:left w:val="nil"/>
              <w:bottom w:val="nil"/>
              <w:right w:val="single" w:sz="12" w:space="0" w:color="4F81BD"/>
            </w:tcBorders>
            <w:shd w:val="clear" w:color="auto" w:fill="EEF3F8"/>
            <w:noWrap/>
            <w:vAlign w:val="bottom"/>
            <w:hideMark/>
          </w:tcPr>
          <w:p w14:paraId="207FC94D"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1 340</w:t>
            </w:r>
          </w:p>
        </w:tc>
      </w:tr>
      <w:tr w:rsidR="00051504" w14:paraId="01E30EF9" w14:textId="77777777" w:rsidTr="00051504">
        <w:trPr>
          <w:trHeight w:val="559"/>
        </w:trPr>
        <w:tc>
          <w:tcPr>
            <w:tcW w:w="2080" w:type="dxa"/>
            <w:tcBorders>
              <w:top w:val="nil"/>
              <w:left w:val="single" w:sz="12" w:space="0" w:color="4F81BD"/>
              <w:bottom w:val="single" w:sz="12" w:space="0" w:color="4F81BD"/>
              <w:right w:val="nil"/>
            </w:tcBorders>
            <w:vAlign w:val="bottom"/>
            <w:hideMark/>
          </w:tcPr>
          <w:p w14:paraId="5F18A2EC" w14:textId="77777777" w:rsidR="00051504" w:rsidRDefault="00051504">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 xml:space="preserve">Průměrné náklady na ošetřeného z. p. </w:t>
            </w:r>
            <w:r>
              <w:rPr>
                <w:rFonts w:ascii="Calibri" w:eastAsia="Times New Roman" w:hAnsi="Calibri" w:cs="Times New Roman"/>
                <w:color w:val="000000"/>
                <w:sz w:val="21"/>
                <w:szCs w:val="21"/>
                <w:lang w:eastAsia="cs-CZ"/>
              </w:rPr>
              <w:t>(v Kč)</w:t>
            </w:r>
          </w:p>
        </w:tc>
        <w:tc>
          <w:tcPr>
            <w:tcW w:w="1000" w:type="dxa"/>
            <w:tcBorders>
              <w:top w:val="nil"/>
              <w:left w:val="nil"/>
              <w:bottom w:val="single" w:sz="12" w:space="0" w:color="4F81BD"/>
              <w:right w:val="nil"/>
            </w:tcBorders>
            <w:shd w:val="clear" w:color="auto" w:fill="DCE6F1"/>
            <w:noWrap/>
            <w:vAlign w:val="bottom"/>
            <w:hideMark/>
          </w:tcPr>
          <w:p w14:paraId="4F2F1A57"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6 202</w:t>
            </w:r>
          </w:p>
        </w:tc>
        <w:tc>
          <w:tcPr>
            <w:tcW w:w="1000" w:type="dxa"/>
            <w:tcBorders>
              <w:top w:val="nil"/>
              <w:left w:val="nil"/>
              <w:bottom w:val="single" w:sz="12" w:space="0" w:color="4F81BD"/>
              <w:right w:val="nil"/>
            </w:tcBorders>
            <w:noWrap/>
            <w:vAlign w:val="bottom"/>
            <w:hideMark/>
          </w:tcPr>
          <w:p w14:paraId="5D1256F1"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11 551</w:t>
            </w:r>
          </w:p>
        </w:tc>
        <w:tc>
          <w:tcPr>
            <w:tcW w:w="1000" w:type="dxa"/>
            <w:tcBorders>
              <w:top w:val="nil"/>
              <w:left w:val="nil"/>
              <w:bottom w:val="single" w:sz="12" w:space="0" w:color="4F81BD"/>
              <w:right w:val="nil"/>
            </w:tcBorders>
            <w:shd w:val="clear" w:color="auto" w:fill="DCE6F1"/>
            <w:noWrap/>
            <w:vAlign w:val="bottom"/>
            <w:hideMark/>
          </w:tcPr>
          <w:p w14:paraId="239E4580"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5 012</w:t>
            </w:r>
          </w:p>
        </w:tc>
        <w:tc>
          <w:tcPr>
            <w:tcW w:w="1000" w:type="dxa"/>
            <w:tcBorders>
              <w:top w:val="nil"/>
              <w:left w:val="nil"/>
              <w:bottom w:val="single" w:sz="12" w:space="0" w:color="4F81BD"/>
              <w:right w:val="nil"/>
            </w:tcBorders>
            <w:noWrap/>
            <w:vAlign w:val="bottom"/>
            <w:hideMark/>
          </w:tcPr>
          <w:p w14:paraId="09DD1333"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9 184</w:t>
            </w:r>
          </w:p>
        </w:tc>
        <w:tc>
          <w:tcPr>
            <w:tcW w:w="1000" w:type="dxa"/>
            <w:tcBorders>
              <w:top w:val="nil"/>
              <w:left w:val="nil"/>
              <w:bottom w:val="single" w:sz="12" w:space="0" w:color="4F81BD"/>
              <w:right w:val="nil"/>
            </w:tcBorders>
            <w:shd w:val="clear" w:color="auto" w:fill="DCE6F1"/>
            <w:noWrap/>
            <w:vAlign w:val="bottom"/>
            <w:hideMark/>
          </w:tcPr>
          <w:p w14:paraId="01363AE3"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6 766</w:t>
            </w:r>
          </w:p>
        </w:tc>
        <w:tc>
          <w:tcPr>
            <w:tcW w:w="1000" w:type="dxa"/>
            <w:tcBorders>
              <w:top w:val="nil"/>
              <w:left w:val="nil"/>
              <w:bottom w:val="single" w:sz="12" w:space="0" w:color="4F81BD"/>
              <w:right w:val="nil"/>
            </w:tcBorders>
            <w:noWrap/>
            <w:vAlign w:val="bottom"/>
            <w:hideMark/>
          </w:tcPr>
          <w:p w14:paraId="187DC227"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4 824</w:t>
            </w:r>
          </w:p>
        </w:tc>
        <w:tc>
          <w:tcPr>
            <w:tcW w:w="1000" w:type="dxa"/>
            <w:tcBorders>
              <w:top w:val="nil"/>
              <w:left w:val="nil"/>
              <w:bottom w:val="single" w:sz="12" w:space="0" w:color="4F81BD"/>
              <w:right w:val="single" w:sz="12" w:space="0" w:color="4F81BD"/>
            </w:tcBorders>
            <w:shd w:val="clear" w:color="auto" w:fill="DCE6F1"/>
            <w:noWrap/>
            <w:vAlign w:val="bottom"/>
            <w:hideMark/>
          </w:tcPr>
          <w:p w14:paraId="2B8E01AD"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10 812</w:t>
            </w:r>
          </w:p>
        </w:tc>
      </w:tr>
    </w:tbl>
    <w:p w14:paraId="7EC21C5D" w14:textId="77777777" w:rsidR="0023295F" w:rsidRPr="001A025F" w:rsidRDefault="0023295F" w:rsidP="0023295F">
      <w:pPr>
        <w:pStyle w:val="TEXTpodTABOBR"/>
      </w:pPr>
      <w:r w:rsidRPr="004F6209">
        <w:rPr>
          <w:b/>
        </w:rPr>
        <w:t xml:space="preserve">Celkové náklady na zdravotní péči hrazené nad rámec v. z. p. čerpané z fondu prevence </w:t>
      </w:r>
      <w:r w:rsidRPr="004F6209">
        <w:t>(</w:t>
      </w:r>
      <w:proofErr w:type="spellStart"/>
      <w:r w:rsidRPr="004F6209">
        <w:t>Fprev</w:t>
      </w:r>
      <w:proofErr w:type="spellEnd"/>
      <w:r w:rsidRPr="004F6209">
        <w:t>)</w:t>
      </w:r>
      <w:r w:rsidRPr="004F6209">
        <w:rPr>
          <w:b/>
        </w:rPr>
        <w:t xml:space="preserve"> </w:t>
      </w:r>
      <w:r w:rsidRPr="004F6209">
        <w:t xml:space="preserve">a dalších specifických fondů dosáhly za všechny činné ZP výše </w:t>
      </w:r>
      <w:r w:rsidR="005E1DB9">
        <w:t>1,093 mld</w:t>
      </w:r>
      <w:r w:rsidRPr="004F6209">
        <w:t xml:space="preserve">. Kč, což je meziroční </w:t>
      </w:r>
      <w:r w:rsidR="005E1DB9">
        <w:t>nárůst</w:t>
      </w:r>
      <w:r w:rsidRPr="004F6209">
        <w:t xml:space="preserve"> o </w:t>
      </w:r>
      <w:r w:rsidR="00041ADD">
        <w:t>0,201 mld</w:t>
      </w:r>
      <w:r w:rsidRPr="004F6209">
        <w:t>. Kč, tj. o</w:t>
      </w:r>
      <w:r w:rsidR="003B0269">
        <w:t xml:space="preserve"> </w:t>
      </w:r>
      <w:r w:rsidR="00041ADD">
        <w:t>22</w:t>
      </w:r>
      <w:r w:rsidRPr="004F6209">
        <w:t>,6 %. Oproti ZPP 201</w:t>
      </w:r>
      <w:r w:rsidR="00041ADD">
        <w:t>8</w:t>
      </w:r>
      <w:r w:rsidRPr="004F6209">
        <w:t xml:space="preserve"> pak jde o pokles o </w:t>
      </w:r>
      <w:r w:rsidR="00885A01">
        <w:t>0,115 mld</w:t>
      </w:r>
      <w:r w:rsidRPr="004F6209">
        <w:rPr>
          <w:rFonts w:eastAsia="SimSun"/>
        </w:rPr>
        <w:t>. Kč, tj. o</w:t>
      </w:r>
      <w:r w:rsidRPr="004F6209">
        <w:t xml:space="preserve"> </w:t>
      </w:r>
      <w:r w:rsidR="00885A01">
        <w:t>9</w:t>
      </w:r>
      <w:r w:rsidRPr="004F6209">
        <w:t>,</w:t>
      </w:r>
      <w:r w:rsidR="00885A01">
        <w:t>5</w:t>
      </w:r>
      <w:r w:rsidRPr="004F6209">
        <w:t xml:space="preserve"> %.</w:t>
      </w:r>
      <w:r w:rsidRPr="004F6209">
        <w:rPr>
          <w:rFonts w:eastAsia="SimSun"/>
        </w:rPr>
        <w:t xml:space="preserve"> </w:t>
      </w:r>
      <w:r w:rsidRPr="004F6209">
        <w:t xml:space="preserve"> Z celkové hodnoty nákladů náleží VZP ČR </w:t>
      </w:r>
      <w:r w:rsidR="00AA654D">
        <w:t>0,420 mld</w:t>
      </w:r>
      <w:r w:rsidRPr="004F6209">
        <w:t xml:space="preserve">. Kč a ZZP celkem </w:t>
      </w:r>
      <w:r w:rsidR="00AA654D">
        <w:t>0,673 mld</w:t>
      </w:r>
      <w:r w:rsidRPr="004F6209">
        <w:t xml:space="preserve">. Kč. V přepočtu na jednoho pojištěnce byly náklady na preventivní zdravotní péči za všechny ZP ve výši </w:t>
      </w:r>
      <w:r w:rsidR="00885A01">
        <w:t>104</w:t>
      </w:r>
      <w:r w:rsidRPr="004F6209">
        <w:t xml:space="preserve"> Kč. U VZP ČR dosáhly náklady </w:t>
      </w:r>
      <w:r w:rsidR="00885A01">
        <w:t>71</w:t>
      </w:r>
      <w:r w:rsidRPr="004F6209">
        <w:t xml:space="preserve"> Kč a u ZZP 1</w:t>
      </w:r>
      <w:r w:rsidR="00885A01">
        <w:t>47</w:t>
      </w:r>
      <w:r w:rsidRPr="004F6209">
        <w:t xml:space="preserve"> Kč. S ohledem na odlišná </w:t>
      </w:r>
      <w:r w:rsidRPr="001A025F">
        <w:t>ustanovení v zákoně č. 551/1991 Sb. a č. 280/1992 Sb. přetrvává nadále rozdíln</w:t>
      </w:r>
      <w:r w:rsidR="00625C5F">
        <w:t xml:space="preserve">á dikce tvorby </w:t>
      </w:r>
      <w:proofErr w:type="spellStart"/>
      <w:r w:rsidR="00625C5F">
        <w:t>Fprev</w:t>
      </w:r>
      <w:proofErr w:type="spellEnd"/>
      <w:r w:rsidR="00625C5F">
        <w:t xml:space="preserve"> u VZP ČR a </w:t>
      </w:r>
      <w:r w:rsidRPr="001A025F">
        <w:t>ZZP. T</w:t>
      </w:r>
      <w:r>
        <w:t>ento rozdíl</w:t>
      </w:r>
      <w:r w:rsidRPr="001A025F">
        <w:t xml:space="preserve"> limituje příděl u VZP ČR, ale </w:t>
      </w:r>
      <w:r>
        <w:t>oproti</w:t>
      </w:r>
      <w:r w:rsidRPr="001A025F">
        <w:t xml:space="preserve"> ZZP jej umožňuje tvořit se souhlasem Správní rady v okamžiku</w:t>
      </w:r>
      <w:r w:rsidR="00DB29D0" w:rsidRPr="00625C5F">
        <w:t xml:space="preserve">, </w:t>
      </w:r>
      <w:r w:rsidR="00DB29D0">
        <w:rPr>
          <w:u w:val="single"/>
        </w:rPr>
        <w:t>kdy</w:t>
      </w:r>
      <w:r w:rsidR="00DB29D0" w:rsidRPr="00733874">
        <w:rPr>
          <w:u w:val="single"/>
        </w:rPr>
        <w:t xml:space="preserve"> nebylo dosaženo vyrovnaného hospodaření </w:t>
      </w:r>
      <w:r w:rsidR="00DB29D0">
        <w:rPr>
          <w:u w:val="single"/>
        </w:rPr>
        <w:t>ZFZP</w:t>
      </w:r>
      <w:r w:rsidRPr="001A025F">
        <w:t xml:space="preserve">. U ZZP je rozhodující, zda jejich hospodaření je přebytkové a je splněna podmínka naplnění rezervního fondu, v případě deficitního hospodaření ztrácí možnost tvorby </w:t>
      </w:r>
      <w:proofErr w:type="spellStart"/>
      <w:r w:rsidRPr="001A025F">
        <w:t>Fprev</w:t>
      </w:r>
      <w:proofErr w:type="spellEnd"/>
      <w:r w:rsidRPr="001A025F">
        <w:t>. Tato skutečnost však nenastala ani u</w:t>
      </w:r>
      <w:r w:rsidR="00625C5F">
        <w:t> </w:t>
      </w:r>
      <w:r w:rsidRPr="001A025F">
        <w:t>jedné ZZP.</w:t>
      </w:r>
    </w:p>
    <w:p w14:paraId="77C7234B" w14:textId="77777777" w:rsidR="0074612F" w:rsidRPr="00656B5A" w:rsidRDefault="0023295F" w:rsidP="0023295F">
      <w:pPr>
        <w:pStyle w:val="TEXT"/>
        <w:rPr>
          <w:rFonts w:cs="Times New Roman"/>
          <w:szCs w:val="22"/>
        </w:rPr>
      </w:pPr>
      <w:r w:rsidRPr="00656B5A">
        <w:rPr>
          <w:rFonts w:cs="Times New Roman"/>
          <w:szCs w:val="22"/>
        </w:rPr>
        <w:t>Nabídku zdravotně preventivních programů v roce 201</w:t>
      </w:r>
      <w:r w:rsidR="00FB2A76" w:rsidRPr="00656B5A">
        <w:rPr>
          <w:rFonts w:cs="Times New Roman"/>
          <w:szCs w:val="22"/>
        </w:rPr>
        <w:t>8</w:t>
      </w:r>
      <w:r w:rsidRPr="00656B5A">
        <w:rPr>
          <w:rFonts w:cs="Times New Roman"/>
          <w:szCs w:val="22"/>
        </w:rPr>
        <w:t xml:space="preserve"> směřovaly ZP k realizaci preventivních programů sloužících, na podporu rehabilitačně rekondičních aktivit vedoucích ke zlepšení zdravotního stavu účastníků zařazených do těchto programů, k prevenci </w:t>
      </w:r>
      <w:r w:rsidR="00AA654D" w:rsidRPr="00656B5A">
        <w:rPr>
          <w:rFonts w:cs="Times New Roman"/>
          <w:szCs w:val="22"/>
        </w:rPr>
        <w:t>kardiovaskulárních</w:t>
      </w:r>
      <w:r w:rsidRPr="00656B5A">
        <w:rPr>
          <w:rFonts w:cs="Times New Roman"/>
          <w:szCs w:val="22"/>
        </w:rPr>
        <w:t xml:space="preserve"> onemocnění, včasnému záchytu onkologických a jiných závažných onemocnění, </w:t>
      </w:r>
      <w:r w:rsidR="0074612F" w:rsidRPr="00656B5A">
        <w:rPr>
          <w:rFonts w:cs="Times New Roman"/>
          <w:szCs w:val="22"/>
        </w:rPr>
        <w:t xml:space="preserve">k </w:t>
      </w:r>
      <w:r w:rsidRPr="00656B5A">
        <w:rPr>
          <w:rFonts w:cs="Times New Roman"/>
          <w:szCs w:val="22"/>
        </w:rPr>
        <w:t>očkování proti infekčním onemocněním</w:t>
      </w:r>
      <w:r w:rsidR="005E1DB9" w:rsidRPr="00656B5A">
        <w:rPr>
          <w:rFonts w:cs="Times New Roman"/>
          <w:szCs w:val="22"/>
        </w:rPr>
        <w:t xml:space="preserve"> s nebezpečnými následky</w:t>
      </w:r>
      <w:r w:rsidRPr="00656B5A">
        <w:rPr>
          <w:rFonts w:cs="Times New Roman"/>
          <w:szCs w:val="22"/>
        </w:rPr>
        <w:t>,</w:t>
      </w:r>
      <w:r w:rsidR="0074612F" w:rsidRPr="00656B5A">
        <w:rPr>
          <w:rFonts w:cs="Times New Roman"/>
          <w:szCs w:val="22"/>
        </w:rPr>
        <w:t xml:space="preserve"> k </w:t>
      </w:r>
      <w:r w:rsidRPr="00656B5A">
        <w:rPr>
          <w:rFonts w:cs="Times New Roman"/>
          <w:szCs w:val="22"/>
        </w:rPr>
        <w:t xml:space="preserve">prevenci následků onemocnění </w:t>
      </w:r>
      <w:proofErr w:type="spellStart"/>
      <w:r w:rsidRPr="00656B5A">
        <w:rPr>
          <w:rFonts w:cs="Times New Roman"/>
          <w:szCs w:val="22"/>
        </w:rPr>
        <w:t>celiakií</w:t>
      </w:r>
      <w:proofErr w:type="spellEnd"/>
      <w:r w:rsidR="0074612F" w:rsidRPr="00656B5A">
        <w:rPr>
          <w:rFonts w:cs="Times New Roman"/>
          <w:szCs w:val="22"/>
        </w:rPr>
        <w:t>, pro dárce krve, plazmy a kostní dřeně</w:t>
      </w:r>
      <w:r w:rsidR="00656B5A" w:rsidRPr="00656B5A">
        <w:rPr>
          <w:rFonts w:cs="Times New Roman"/>
          <w:szCs w:val="22"/>
        </w:rPr>
        <w:t>, pro ženy v souvislosti s těhotenstvím a porodem</w:t>
      </w:r>
      <w:r w:rsidR="0074612F" w:rsidRPr="00656B5A">
        <w:rPr>
          <w:rFonts w:cs="Times New Roman"/>
          <w:szCs w:val="22"/>
        </w:rPr>
        <w:t xml:space="preserve"> </w:t>
      </w:r>
      <w:r w:rsidRPr="00656B5A">
        <w:rPr>
          <w:rFonts w:cs="Times New Roman"/>
          <w:szCs w:val="22"/>
        </w:rPr>
        <w:t xml:space="preserve">a dále na projekty podporující zvýšení kvality zdravotní péče, zdravý způsob života a zdraví pojištěnců. </w:t>
      </w:r>
    </w:p>
    <w:p w14:paraId="2DA1E504" w14:textId="77777777" w:rsidR="0023295F" w:rsidRPr="00656B5A" w:rsidRDefault="0074612F" w:rsidP="0023295F">
      <w:pPr>
        <w:pStyle w:val="TEXT"/>
        <w:rPr>
          <w:rFonts w:cs="Times New Roman"/>
          <w:szCs w:val="22"/>
        </w:rPr>
      </w:pPr>
      <w:r w:rsidRPr="00656B5A">
        <w:rPr>
          <w:rFonts w:cs="Times New Roman"/>
          <w:szCs w:val="22"/>
        </w:rPr>
        <w:t xml:space="preserve">Do nabídky </w:t>
      </w:r>
      <w:r w:rsidR="00656B5A">
        <w:rPr>
          <w:rFonts w:cs="Times New Roman"/>
          <w:szCs w:val="22"/>
        </w:rPr>
        <w:t xml:space="preserve">některé pojišťovny </w:t>
      </w:r>
      <w:r w:rsidRPr="00656B5A">
        <w:rPr>
          <w:rFonts w:cs="Times New Roman"/>
          <w:szCs w:val="22"/>
        </w:rPr>
        <w:t>nově zařa</w:t>
      </w:r>
      <w:r w:rsidR="00656B5A">
        <w:rPr>
          <w:rFonts w:cs="Times New Roman"/>
          <w:szCs w:val="22"/>
        </w:rPr>
        <w:t>dily</w:t>
      </w:r>
      <w:r w:rsidRPr="00656B5A">
        <w:rPr>
          <w:rFonts w:cs="Times New Roman"/>
          <w:szCs w:val="22"/>
        </w:rPr>
        <w:t xml:space="preserve"> další programy pro chronicky nemocné pojištěnce </w:t>
      </w:r>
      <w:r w:rsidR="00C92CFE" w:rsidRPr="00656B5A">
        <w:rPr>
          <w:rFonts w:cs="Times New Roman"/>
          <w:szCs w:val="22"/>
        </w:rPr>
        <w:t xml:space="preserve">např. </w:t>
      </w:r>
      <w:r w:rsidRPr="00656B5A">
        <w:rPr>
          <w:rFonts w:cs="Times New Roman"/>
          <w:szCs w:val="22"/>
        </w:rPr>
        <w:t>s</w:t>
      </w:r>
      <w:r w:rsidR="00C92CFE" w:rsidRPr="00656B5A">
        <w:rPr>
          <w:rFonts w:cs="Times New Roman"/>
          <w:szCs w:val="22"/>
        </w:rPr>
        <w:t> </w:t>
      </w:r>
      <w:r w:rsidRPr="00656B5A">
        <w:rPr>
          <w:rFonts w:cs="Times New Roman"/>
          <w:szCs w:val="22"/>
        </w:rPr>
        <w:t>diagnózou hypertenze</w:t>
      </w:r>
      <w:r w:rsidR="00656B5A">
        <w:rPr>
          <w:rFonts w:cs="Times New Roman"/>
          <w:szCs w:val="22"/>
        </w:rPr>
        <w:t>,</w:t>
      </w:r>
      <w:r w:rsidRPr="00656B5A">
        <w:rPr>
          <w:rFonts w:cs="Times New Roman"/>
          <w:szCs w:val="22"/>
        </w:rPr>
        <w:t xml:space="preserve"> </w:t>
      </w:r>
      <w:proofErr w:type="spellStart"/>
      <w:r w:rsidRPr="00656B5A">
        <w:rPr>
          <w:rFonts w:cs="Times New Roman"/>
          <w:szCs w:val="22"/>
        </w:rPr>
        <w:t>hyperlipidemie</w:t>
      </w:r>
      <w:proofErr w:type="spellEnd"/>
      <w:r w:rsidR="00656B5A">
        <w:rPr>
          <w:rFonts w:cs="Times New Roman"/>
          <w:szCs w:val="22"/>
        </w:rPr>
        <w:t xml:space="preserve"> a</w:t>
      </w:r>
      <w:r w:rsidRPr="00656B5A">
        <w:rPr>
          <w:rFonts w:cs="Times New Roman"/>
          <w:szCs w:val="22"/>
        </w:rPr>
        <w:t xml:space="preserve"> diabetes </w:t>
      </w:r>
      <w:proofErr w:type="spellStart"/>
      <w:r w:rsidRPr="00656B5A">
        <w:rPr>
          <w:rFonts w:cs="Times New Roman"/>
          <w:szCs w:val="22"/>
        </w:rPr>
        <w:t>mellitus</w:t>
      </w:r>
      <w:proofErr w:type="spellEnd"/>
      <w:r w:rsidR="00656B5A">
        <w:rPr>
          <w:rFonts w:cs="Times New Roman"/>
          <w:szCs w:val="22"/>
        </w:rPr>
        <w:t>.</w:t>
      </w:r>
      <w:r w:rsidRPr="00656B5A">
        <w:rPr>
          <w:rFonts w:cs="Times New Roman"/>
          <w:szCs w:val="22"/>
        </w:rPr>
        <w:t xml:space="preserve"> </w:t>
      </w:r>
      <w:r w:rsidR="0023295F" w:rsidRPr="00656B5A">
        <w:rPr>
          <w:rFonts w:cs="Times New Roman"/>
          <w:szCs w:val="22"/>
        </w:rPr>
        <w:t xml:space="preserve">V rámci prevence byly </w:t>
      </w:r>
      <w:r w:rsidR="00C31DFD" w:rsidRPr="00656B5A">
        <w:rPr>
          <w:rFonts w:cs="Times New Roman"/>
          <w:szCs w:val="22"/>
        </w:rPr>
        <w:t xml:space="preserve">také </w:t>
      </w:r>
      <w:r w:rsidR="0023295F" w:rsidRPr="00656B5A">
        <w:rPr>
          <w:rFonts w:cs="Times New Roman"/>
          <w:szCs w:val="22"/>
        </w:rPr>
        <w:t>podporovány léčebně-ozdravné pobyty pro chronicky nemocné děti</w:t>
      </w:r>
      <w:r w:rsidR="00C31DFD" w:rsidRPr="00656B5A">
        <w:rPr>
          <w:rFonts w:cs="Times New Roman"/>
          <w:szCs w:val="22"/>
        </w:rPr>
        <w:t xml:space="preserve"> v oblastech s prokazatelně pozitivními vlivy na zdravotní stav dětí (vysokohorské nebo přímořské oblasti)</w:t>
      </w:r>
      <w:r w:rsidR="0023295F" w:rsidRPr="00656B5A">
        <w:rPr>
          <w:rFonts w:cs="Times New Roman"/>
          <w:szCs w:val="22"/>
        </w:rPr>
        <w:t>.</w:t>
      </w:r>
    </w:p>
    <w:p w14:paraId="36DB8C2B" w14:textId="556D8FAA" w:rsidR="0023295F" w:rsidRPr="007C4F24" w:rsidRDefault="0023295F" w:rsidP="0023295F">
      <w:pPr>
        <w:pStyle w:val="TEXT"/>
        <w:rPr>
          <w:szCs w:val="22"/>
        </w:rPr>
      </w:pPr>
      <w:r w:rsidRPr="000F4D93">
        <w:rPr>
          <w:szCs w:val="22"/>
        </w:rPr>
        <w:t>Podmínky pro čerpání prostředků z fondu prevence stanoví zvlášť každá ZP a MZ nemá zákonnou pravomoc do nich zasahovat, pakliže nejsou výslovně v rozporu s účelem fondu prevence. Závisí zcela na rozhodnutí ZP, jaké preventivní programy vyhovující příslušnému ustanovení</w:t>
      </w:r>
      <w:r w:rsidRPr="007C4F24">
        <w:t xml:space="preserve"> zákona a za jakých podmínek svým pojištěncům nabídne. </w:t>
      </w:r>
      <w:r w:rsidRPr="007C4F24">
        <w:rPr>
          <w:szCs w:val="22"/>
        </w:rPr>
        <w:t xml:space="preserve">Konkrétní výše těchto příspěvků a konkrétní podmínky pro jejich </w:t>
      </w:r>
      <w:r w:rsidRPr="007C4F24">
        <w:rPr>
          <w:szCs w:val="22"/>
        </w:rPr>
        <w:lastRenderedPageBreak/>
        <w:t>poskytnutí nejsou řízeny zvláštním právním předpisem, nýbrž je pojišťovna sama, dle svého uvážení, může určit.</w:t>
      </w:r>
    </w:p>
    <w:p w14:paraId="1F9D0C90" w14:textId="77777777" w:rsidR="00051504" w:rsidRDefault="00051504" w:rsidP="00051504">
      <w:pPr>
        <w:spacing w:before="240" w:after="60" w:line="240" w:lineRule="auto"/>
        <w:ind w:left="794" w:hanging="794"/>
        <w:rPr>
          <w:rFonts w:eastAsia="SimSun" w:cs="Arial"/>
          <w:b/>
          <w:szCs w:val="24"/>
          <w:lang w:eastAsia="cs-CZ"/>
        </w:rPr>
      </w:pPr>
      <w:r>
        <w:rPr>
          <w:rFonts w:eastAsia="SimSun"/>
          <w:b/>
        </w:rPr>
        <w:t>Tab. 1</w:t>
      </w:r>
      <w:r w:rsidR="00726657">
        <w:rPr>
          <w:rFonts w:eastAsia="SimSun"/>
          <w:b/>
        </w:rPr>
        <w:t>6</w:t>
      </w:r>
      <w:r>
        <w:rPr>
          <w:rFonts w:eastAsia="SimSun"/>
          <w:b/>
        </w:rPr>
        <w:t>: Vývoj nákladů na preventivní zdravotní péči čerpan</w:t>
      </w:r>
      <w:r w:rsidR="00F50DA7">
        <w:rPr>
          <w:rFonts w:eastAsia="SimSun"/>
          <w:b/>
        </w:rPr>
        <w:t>ých</w:t>
      </w:r>
      <w:r>
        <w:rPr>
          <w:rFonts w:eastAsia="SimSun"/>
          <w:b/>
        </w:rPr>
        <w:t xml:space="preserve"> z fondu prevence</w:t>
      </w:r>
      <w:r w:rsidR="00F50DA7">
        <w:rPr>
          <w:rFonts w:eastAsia="SimSun"/>
          <w:b/>
        </w:rPr>
        <w:t xml:space="preserve"> ZP</w:t>
      </w:r>
      <w:r>
        <w:rPr>
          <w:rFonts w:eastAsia="SimSun"/>
          <w:b/>
        </w:rPr>
        <w:t xml:space="preserve"> a specifických fondů </w:t>
      </w:r>
      <w:proofErr w:type="spellStart"/>
      <w:r>
        <w:rPr>
          <w:rFonts w:eastAsia="SimSun"/>
          <w:b/>
        </w:rPr>
        <w:t>VoZP</w:t>
      </w:r>
      <w:proofErr w:type="spellEnd"/>
      <w:r>
        <w:rPr>
          <w:rFonts w:eastAsia="SimSun"/>
          <w:b/>
        </w:rPr>
        <w:t xml:space="preserve"> ČR</w:t>
      </w:r>
    </w:p>
    <w:tbl>
      <w:tblPr>
        <w:tblW w:w="908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885B28" w:rsidRPr="00885B28" w14:paraId="349EEA9F" w14:textId="77777777" w:rsidTr="00885B28">
        <w:trPr>
          <w:trHeight w:val="600"/>
        </w:trPr>
        <w:tc>
          <w:tcPr>
            <w:tcW w:w="2080" w:type="dxa"/>
            <w:shd w:val="clear" w:color="000000" w:fill="4F81BD"/>
            <w:hideMark/>
          </w:tcPr>
          <w:p w14:paraId="66F7B9F7" w14:textId="77777777" w:rsidR="00885B28" w:rsidRPr="00885B28" w:rsidRDefault="00885B28" w:rsidP="00885B28">
            <w:pPr>
              <w:spacing w:after="0" w:line="240" w:lineRule="auto"/>
              <w:rPr>
                <w:rFonts w:ascii="Calibri" w:eastAsia="Times New Roman" w:hAnsi="Calibri" w:cs="Times New Roman"/>
                <w:b/>
                <w:bCs/>
                <w:color w:val="FFFFFF"/>
                <w:sz w:val="21"/>
                <w:szCs w:val="21"/>
                <w:lang w:eastAsia="cs-CZ"/>
              </w:rPr>
            </w:pPr>
            <w:r w:rsidRPr="00885B28">
              <w:rPr>
                <w:rFonts w:ascii="Calibri" w:eastAsia="Times New Roman" w:hAnsi="Calibri" w:cs="Times New Roman"/>
                <w:b/>
                <w:bCs/>
                <w:color w:val="FFFFFF"/>
                <w:sz w:val="21"/>
                <w:szCs w:val="21"/>
                <w:lang w:eastAsia="cs-CZ"/>
              </w:rPr>
              <w:t>Ukazatel</w:t>
            </w:r>
            <w:r w:rsidRPr="00885B28">
              <w:rPr>
                <w:rFonts w:ascii="Calibri" w:eastAsia="Times New Roman" w:hAnsi="Calibri" w:cs="Times New Roman"/>
                <w:b/>
                <w:bCs/>
                <w:color w:val="FFFFFF"/>
                <w:sz w:val="21"/>
                <w:szCs w:val="21"/>
                <w:lang w:eastAsia="cs-CZ"/>
              </w:rPr>
              <w:br/>
            </w:r>
            <w:r w:rsidRPr="00885B28">
              <w:rPr>
                <w:rFonts w:ascii="Calibri" w:eastAsia="Times New Roman" w:hAnsi="Calibri" w:cs="Times New Roman"/>
                <w:color w:val="FFFFFF"/>
                <w:sz w:val="21"/>
                <w:szCs w:val="21"/>
                <w:lang w:eastAsia="cs-CZ"/>
              </w:rPr>
              <w:t>(v mil. Kč)</w:t>
            </w:r>
          </w:p>
        </w:tc>
        <w:tc>
          <w:tcPr>
            <w:tcW w:w="1000" w:type="dxa"/>
            <w:shd w:val="clear" w:color="000000" w:fill="6691C6"/>
            <w:noWrap/>
            <w:hideMark/>
          </w:tcPr>
          <w:p w14:paraId="48A627C6" w14:textId="77777777" w:rsidR="00885B28" w:rsidRPr="00885B28" w:rsidRDefault="00885B28" w:rsidP="00885B28">
            <w:pPr>
              <w:spacing w:after="0" w:line="240" w:lineRule="auto"/>
              <w:jc w:val="center"/>
              <w:rPr>
                <w:rFonts w:ascii="Calibri" w:eastAsia="Times New Roman" w:hAnsi="Calibri" w:cs="Times New Roman"/>
                <w:b/>
                <w:bCs/>
                <w:color w:val="FFFFFF"/>
                <w:sz w:val="21"/>
                <w:szCs w:val="21"/>
                <w:lang w:eastAsia="cs-CZ"/>
              </w:rPr>
            </w:pPr>
            <w:r w:rsidRPr="00885B28">
              <w:rPr>
                <w:rFonts w:ascii="Calibri" w:eastAsia="Times New Roman" w:hAnsi="Calibri" w:cs="Times New Roman"/>
                <w:b/>
                <w:bCs/>
                <w:color w:val="FFFFFF"/>
                <w:sz w:val="21"/>
                <w:szCs w:val="21"/>
                <w:lang w:eastAsia="cs-CZ"/>
              </w:rPr>
              <w:t>2013</w:t>
            </w:r>
          </w:p>
        </w:tc>
        <w:tc>
          <w:tcPr>
            <w:tcW w:w="1000" w:type="dxa"/>
            <w:shd w:val="clear" w:color="000000" w:fill="4F81BD"/>
            <w:noWrap/>
            <w:hideMark/>
          </w:tcPr>
          <w:p w14:paraId="2950B81D" w14:textId="77777777" w:rsidR="00885B28" w:rsidRPr="00885B28" w:rsidRDefault="00885B28" w:rsidP="00885B28">
            <w:pPr>
              <w:spacing w:after="0" w:line="240" w:lineRule="auto"/>
              <w:jc w:val="center"/>
              <w:rPr>
                <w:rFonts w:ascii="Calibri" w:eastAsia="Times New Roman" w:hAnsi="Calibri" w:cs="Times New Roman"/>
                <w:b/>
                <w:bCs/>
                <w:color w:val="FFFFFF"/>
                <w:sz w:val="21"/>
                <w:szCs w:val="21"/>
                <w:lang w:eastAsia="cs-CZ"/>
              </w:rPr>
            </w:pPr>
            <w:r w:rsidRPr="00885B28">
              <w:rPr>
                <w:rFonts w:ascii="Calibri" w:eastAsia="Times New Roman" w:hAnsi="Calibri" w:cs="Times New Roman"/>
                <w:b/>
                <w:bCs/>
                <w:color w:val="FFFFFF"/>
                <w:sz w:val="21"/>
                <w:szCs w:val="21"/>
                <w:lang w:eastAsia="cs-CZ"/>
              </w:rPr>
              <w:t>2014</w:t>
            </w:r>
          </w:p>
        </w:tc>
        <w:tc>
          <w:tcPr>
            <w:tcW w:w="1000" w:type="dxa"/>
            <w:shd w:val="clear" w:color="000000" w:fill="6691C6"/>
            <w:noWrap/>
            <w:hideMark/>
          </w:tcPr>
          <w:p w14:paraId="18B3FA91" w14:textId="77777777" w:rsidR="00885B28" w:rsidRPr="00885B28" w:rsidRDefault="00885B28" w:rsidP="00885B28">
            <w:pPr>
              <w:spacing w:after="0" w:line="240" w:lineRule="auto"/>
              <w:jc w:val="center"/>
              <w:rPr>
                <w:rFonts w:ascii="Calibri" w:eastAsia="Times New Roman" w:hAnsi="Calibri" w:cs="Times New Roman"/>
                <w:b/>
                <w:bCs/>
                <w:color w:val="FFFFFF"/>
                <w:sz w:val="21"/>
                <w:szCs w:val="21"/>
                <w:lang w:eastAsia="cs-CZ"/>
              </w:rPr>
            </w:pPr>
            <w:r w:rsidRPr="00885B28">
              <w:rPr>
                <w:rFonts w:ascii="Calibri" w:eastAsia="Times New Roman" w:hAnsi="Calibri" w:cs="Times New Roman"/>
                <w:b/>
                <w:bCs/>
                <w:color w:val="FFFFFF"/>
                <w:sz w:val="21"/>
                <w:szCs w:val="21"/>
                <w:lang w:eastAsia="cs-CZ"/>
              </w:rPr>
              <w:t>2015</w:t>
            </w:r>
          </w:p>
        </w:tc>
        <w:tc>
          <w:tcPr>
            <w:tcW w:w="1000" w:type="dxa"/>
            <w:shd w:val="clear" w:color="000000" w:fill="4F81BD"/>
            <w:noWrap/>
            <w:hideMark/>
          </w:tcPr>
          <w:p w14:paraId="4BA051D6" w14:textId="77777777" w:rsidR="00885B28" w:rsidRPr="00885B28" w:rsidRDefault="00885B28" w:rsidP="00885B28">
            <w:pPr>
              <w:spacing w:after="0" w:line="240" w:lineRule="auto"/>
              <w:jc w:val="center"/>
              <w:rPr>
                <w:rFonts w:ascii="Calibri" w:eastAsia="Times New Roman" w:hAnsi="Calibri" w:cs="Times New Roman"/>
                <w:b/>
                <w:bCs/>
                <w:color w:val="FFFFFF"/>
                <w:sz w:val="21"/>
                <w:szCs w:val="21"/>
                <w:lang w:eastAsia="cs-CZ"/>
              </w:rPr>
            </w:pPr>
            <w:r w:rsidRPr="00885B28">
              <w:rPr>
                <w:rFonts w:ascii="Calibri" w:eastAsia="Times New Roman" w:hAnsi="Calibri" w:cs="Times New Roman"/>
                <w:b/>
                <w:bCs/>
                <w:color w:val="FFFFFF"/>
                <w:sz w:val="21"/>
                <w:szCs w:val="21"/>
                <w:lang w:eastAsia="cs-CZ"/>
              </w:rPr>
              <w:t>2016</w:t>
            </w:r>
          </w:p>
        </w:tc>
        <w:tc>
          <w:tcPr>
            <w:tcW w:w="1000" w:type="dxa"/>
            <w:shd w:val="clear" w:color="000000" w:fill="6691C6"/>
            <w:noWrap/>
            <w:hideMark/>
          </w:tcPr>
          <w:p w14:paraId="60704B51" w14:textId="77777777" w:rsidR="00885B28" w:rsidRPr="00885B28" w:rsidRDefault="00885B28" w:rsidP="00885B28">
            <w:pPr>
              <w:spacing w:after="0" w:line="240" w:lineRule="auto"/>
              <w:jc w:val="center"/>
              <w:rPr>
                <w:rFonts w:ascii="Calibri" w:eastAsia="Times New Roman" w:hAnsi="Calibri" w:cs="Times New Roman"/>
                <w:b/>
                <w:bCs/>
                <w:color w:val="FFFFFF"/>
                <w:sz w:val="21"/>
                <w:szCs w:val="21"/>
                <w:lang w:eastAsia="cs-CZ"/>
              </w:rPr>
            </w:pPr>
            <w:r w:rsidRPr="00885B28">
              <w:rPr>
                <w:rFonts w:ascii="Calibri" w:eastAsia="Times New Roman" w:hAnsi="Calibri" w:cs="Times New Roman"/>
                <w:b/>
                <w:bCs/>
                <w:color w:val="FFFFFF"/>
                <w:sz w:val="21"/>
                <w:szCs w:val="21"/>
                <w:lang w:eastAsia="cs-CZ"/>
              </w:rPr>
              <w:t>2017</w:t>
            </w:r>
          </w:p>
        </w:tc>
        <w:tc>
          <w:tcPr>
            <w:tcW w:w="1000" w:type="dxa"/>
            <w:shd w:val="clear" w:color="000000" w:fill="4F81BD"/>
            <w:hideMark/>
          </w:tcPr>
          <w:p w14:paraId="4F0654B1" w14:textId="77777777" w:rsidR="00885B28" w:rsidRPr="00885B28" w:rsidRDefault="00885B28" w:rsidP="00885B28">
            <w:pPr>
              <w:spacing w:after="0" w:line="240" w:lineRule="auto"/>
              <w:jc w:val="center"/>
              <w:rPr>
                <w:rFonts w:ascii="Calibri" w:eastAsia="Times New Roman" w:hAnsi="Calibri" w:cs="Times New Roman"/>
                <w:b/>
                <w:bCs/>
                <w:color w:val="FFFFFF"/>
                <w:sz w:val="21"/>
                <w:szCs w:val="21"/>
                <w:lang w:eastAsia="cs-CZ"/>
              </w:rPr>
            </w:pPr>
            <w:r w:rsidRPr="00885B28">
              <w:rPr>
                <w:rFonts w:ascii="Calibri" w:eastAsia="Times New Roman" w:hAnsi="Calibri" w:cs="Times New Roman"/>
                <w:b/>
                <w:bCs/>
                <w:color w:val="FFFFFF"/>
                <w:sz w:val="21"/>
                <w:szCs w:val="21"/>
                <w:lang w:eastAsia="cs-CZ"/>
              </w:rPr>
              <w:t>2018</w:t>
            </w:r>
            <w:r w:rsidRPr="00885B28">
              <w:rPr>
                <w:rFonts w:ascii="Calibri" w:eastAsia="Times New Roman" w:hAnsi="Calibri" w:cs="Times New Roman"/>
                <w:b/>
                <w:bCs/>
                <w:color w:val="FFFFFF"/>
                <w:sz w:val="21"/>
                <w:szCs w:val="21"/>
                <w:lang w:eastAsia="cs-CZ"/>
              </w:rPr>
              <w:br/>
            </w:r>
            <w:r w:rsidRPr="00885B28">
              <w:rPr>
                <w:rFonts w:ascii="Calibri" w:eastAsia="Times New Roman" w:hAnsi="Calibri" w:cs="Times New Roman"/>
                <w:color w:val="FFFFFF"/>
                <w:sz w:val="21"/>
                <w:szCs w:val="21"/>
                <w:lang w:eastAsia="cs-CZ"/>
              </w:rPr>
              <w:t>ZPP</w:t>
            </w:r>
          </w:p>
        </w:tc>
        <w:tc>
          <w:tcPr>
            <w:tcW w:w="1000" w:type="dxa"/>
            <w:shd w:val="clear" w:color="000000" w:fill="6691C6"/>
            <w:noWrap/>
            <w:hideMark/>
          </w:tcPr>
          <w:p w14:paraId="40EBE437" w14:textId="77777777" w:rsidR="00885B28" w:rsidRPr="00885B28" w:rsidRDefault="00885B28" w:rsidP="00885B28">
            <w:pPr>
              <w:spacing w:after="0" w:line="240" w:lineRule="auto"/>
              <w:jc w:val="center"/>
              <w:rPr>
                <w:rFonts w:ascii="Calibri" w:eastAsia="Times New Roman" w:hAnsi="Calibri" w:cs="Times New Roman"/>
                <w:b/>
                <w:bCs/>
                <w:color w:val="FFFFFF"/>
                <w:sz w:val="21"/>
                <w:szCs w:val="21"/>
                <w:lang w:eastAsia="cs-CZ"/>
              </w:rPr>
            </w:pPr>
            <w:r w:rsidRPr="00885B28">
              <w:rPr>
                <w:rFonts w:ascii="Calibri" w:eastAsia="Times New Roman" w:hAnsi="Calibri" w:cs="Times New Roman"/>
                <w:b/>
                <w:bCs/>
                <w:color w:val="FFFFFF"/>
                <w:sz w:val="21"/>
                <w:szCs w:val="21"/>
                <w:lang w:eastAsia="cs-CZ"/>
              </w:rPr>
              <w:t>2018</w:t>
            </w:r>
          </w:p>
        </w:tc>
      </w:tr>
      <w:tr w:rsidR="00885B28" w:rsidRPr="00885B28" w14:paraId="3F85629C" w14:textId="77777777" w:rsidTr="00885B28">
        <w:trPr>
          <w:trHeight w:val="559"/>
        </w:trPr>
        <w:tc>
          <w:tcPr>
            <w:tcW w:w="2080" w:type="dxa"/>
            <w:shd w:val="clear" w:color="auto" w:fill="auto"/>
            <w:vAlign w:val="bottom"/>
            <w:hideMark/>
          </w:tcPr>
          <w:p w14:paraId="4F9BAB08" w14:textId="77777777" w:rsidR="00885B28" w:rsidRPr="00885B28" w:rsidRDefault="00885B28" w:rsidP="00885B28">
            <w:pPr>
              <w:spacing w:after="0" w:line="240" w:lineRule="auto"/>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 xml:space="preserve">Náklady na </w:t>
            </w:r>
            <w:r w:rsidRPr="00885B28">
              <w:rPr>
                <w:rFonts w:ascii="Calibri" w:eastAsia="Times New Roman" w:hAnsi="Calibri" w:cs="Times New Roman"/>
                <w:b/>
                <w:bCs/>
                <w:color w:val="000000"/>
                <w:sz w:val="21"/>
                <w:szCs w:val="21"/>
                <w:lang w:eastAsia="cs-CZ"/>
              </w:rPr>
              <w:br/>
              <w:t>zdravotní programy</w:t>
            </w:r>
          </w:p>
        </w:tc>
        <w:tc>
          <w:tcPr>
            <w:tcW w:w="1000" w:type="dxa"/>
            <w:shd w:val="clear" w:color="000000" w:fill="DCE6F1"/>
            <w:noWrap/>
            <w:vAlign w:val="bottom"/>
            <w:hideMark/>
          </w:tcPr>
          <w:p w14:paraId="21FD2082"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875</w:t>
            </w:r>
          </w:p>
        </w:tc>
        <w:tc>
          <w:tcPr>
            <w:tcW w:w="1000" w:type="dxa"/>
            <w:shd w:val="clear" w:color="auto" w:fill="auto"/>
            <w:noWrap/>
            <w:vAlign w:val="bottom"/>
            <w:hideMark/>
          </w:tcPr>
          <w:p w14:paraId="06D4E376"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726</w:t>
            </w:r>
          </w:p>
        </w:tc>
        <w:tc>
          <w:tcPr>
            <w:tcW w:w="1000" w:type="dxa"/>
            <w:shd w:val="clear" w:color="000000" w:fill="DCE6F1"/>
            <w:noWrap/>
            <w:vAlign w:val="bottom"/>
            <w:hideMark/>
          </w:tcPr>
          <w:p w14:paraId="3026DD3E"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580</w:t>
            </w:r>
          </w:p>
        </w:tc>
        <w:tc>
          <w:tcPr>
            <w:tcW w:w="1000" w:type="dxa"/>
            <w:shd w:val="clear" w:color="auto" w:fill="auto"/>
            <w:noWrap/>
            <w:vAlign w:val="bottom"/>
            <w:hideMark/>
          </w:tcPr>
          <w:p w14:paraId="5E024FEA"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743</w:t>
            </w:r>
          </w:p>
        </w:tc>
        <w:tc>
          <w:tcPr>
            <w:tcW w:w="1000" w:type="dxa"/>
            <w:shd w:val="clear" w:color="000000" w:fill="DCE6F1"/>
            <w:noWrap/>
            <w:vAlign w:val="bottom"/>
            <w:hideMark/>
          </w:tcPr>
          <w:p w14:paraId="19C0AD49"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703</w:t>
            </w:r>
          </w:p>
        </w:tc>
        <w:tc>
          <w:tcPr>
            <w:tcW w:w="1000" w:type="dxa"/>
            <w:shd w:val="clear" w:color="auto" w:fill="auto"/>
            <w:noWrap/>
            <w:vAlign w:val="bottom"/>
            <w:hideMark/>
          </w:tcPr>
          <w:p w14:paraId="0FC484DE"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914</w:t>
            </w:r>
          </w:p>
        </w:tc>
        <w:tc>
          <w:tcPr>
            <w:tcW w:w="1000" w:type="dxa"/>
            <w:shd w:val="clear" w:color="000000" w:fill="DCE6F1"/>
            <w:noWrap/>
            <w:vAlign w:val="bottom"/>
            <w:hideMark/>
          </w:tcPr>
          <w:p w14:paraId="0129E6BC"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876</w:t>
            </w:r>
          </w:p>
        </w:tc>
      </w:tr>
      <w:tr w:rsidR="00885B28" w:rsidRPr="00885B28" w14:paraId="05FC74DC" w14:textId="77777777" w:rsidTr="00885B28">
        <w:trPr>
          <w:trHeight w:val="559"/>
        </w:trPr>
        <w:tc>
          <w:tcPr>
            <w:tcW w:w="2080" w:type="dxa"/>
            <w:shd w:val="clear" w:color="000000" w:fill="EEF3F8"/>
            <w:vAlign w:val="bottom"/>
            <w:hideMark/>
          </w:tcPr>
          <w:p w14:paraId="7B24C9DE" w14:textId="77777777" w:rsidR="00885B28" w:rsidRPr="00885B28" w:rsidRDefault="00885B28" w:rsidP="00885B28">
            <w:pPr>
              <w:spacing w:after="0" w:line="240" w:lineRule="auto"/>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 xml:space="preserve">Náklady na </w:t>
            </w:r>
            <w:r w:rsidRPr="00885B28">
              <w:rPr>
                <w:rFonts w:ascii="Calibri" w:eastAsia="Times New Roman" w:hAnsi="Calibri" w:cs="Times New Roman"/>
                <w:b/>
                <w:bCs/>
                <w:color w:val="000000"/>
                <w:sz w:val="21"/>
                <w:szCs w:val="21"/>
                <w:lang w:eastAsia="cs-CZ"/>
              </w:rPr>
              <w:br/>
              <w:t>ozdravné pobyty</w:t>
            </w:r>
          </w:p>
        </w:tc>
        <w:tc>
          <w:tcPr>
            <w:tcW w:w="1000" w:type="dxa"/>
            <w:shd w:val="clear" w:color="000000" w:fill="EEF3F8"/>
            <w:noWrap/>
            <w:vAlign w:val="bottom"/>
            <w:hideMark/>
          </w:tcPr>
          <w:p w14:paraId="4D615517"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159</w:t>
            </w:r>
          </w:p>
        </w:tc>
        <w:tc>
          <w:tcPr>
            <w:tcW w:w="1000" w:type="dxa"/>
            <w:shd w:val="clear" w:color="000000" w:fill="EEF3F8"/>
            <w:noWrap/>
            <w:vAlign w:val="bottom"/>
            <w:hideMark/>
          </w:tcPr>
          <w:p w14:paraId="2A0A2E8B"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112</w:t>
            </w:r>
          </w:p>
        </w:tc>
        <w:tc>
          <w:tcPr>
            <w:tcW w:w="1000" w:type="dxa"/>
            <w:shd w:val="clear" w:color="000000" w:fill="EEF3F8"/>
            <w:noWrap/>
            <w:vAlign w:val="bottom"/>
            <w:hideMark/>
          </w:tcPr>
          <w:p w14:paraId="63A86682"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104</w:t>
            </w:r>
          </w:p>
        </w:tc>
        <w:tc>
          <w:tcPr>
            <w:tcW w:w="1000" w:type="dxa"/>
            <w:shd w:val="clear" w:color="000000" w:fill="EEF3F8"/>
            <w:noWrap/>
            <w:vAlign w:val="bottom"/>
            <w:hideMark/>
          </w:tcPr>
          <w:p w14:paraId="4E71652A"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106</w:t>
            </w:r>
          </w:p>
        </w:tc>
        <w:tc>
          <w:tcPr>
            <w:tcW w:w="1000" w:type="dxa"/>
            <w:shd w:val="clear" w:color="000000" w:fill="EEF3F8"/>
            <w:noWrap/>
            <w:vAlign w:val="bottom"/>
            <w:hideMark/>
          </w:tcPr>
          <w:p w14:paraId="6F42D139"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99</w:t>
            </w:r>
          </w:p>
        </w:tc>
        <w:tc>
          <w:tcPr>
            <w:tcW w:w="1000" w:type="dxa"/>
            <w:shd w:val="clear" w:color="000000" w:fill="EEF3F8"/>
            <w:noWrap/>
            <w:vAlign w:val="bottom"/>
            <w:hideMark/>
          </w:tcPr>
          <w:p w14:paraId="71617728"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162</w:t>
            </w:r>
          </w:p>
        </w:tc>
        <w:tc>
          <w:tcPr>
            <w:tcW w:w="1000" w:type="dxa"/>
            <w:shd w:val="clear" w:color="000000" w:fill="EEF3F8"/>
            <w:noWrap/>
            <w:vAlign w:val="bottom"/>
            <w:hideMark/>
          </w:tcPr>
          <w:p w14:paraId="432538AF"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109</w:t>
            </w:r>
          </w:p>
        </w:tc>
      </w:tr>
      <w:tr w:rsidR="00885B28" w:rsidRPr="00885B28" w14:paraId="67625B55" w14:textId="77777777" w:rsidTr="00885B28">
        <w:trPr>
          <w:trHeight w:val="300"/>
        </w:trPr>
        <w:tc>
          <w:tcPr>
            <w:tcW w:w="2080" w:type="dxa"/>
            <w:shd w:val="clear" w:color="auto" w:fill="auto"/>
            <w:vAlign w:val="bottom"/>
            <w:hideMark/>
          </w:tcPr>
          <w:p w14:paraId="411BC2E3" w14:textId="77777777" w:rsidR="00885B28" w:rsidRPr="00885B28" w:rsidRDefault="00885B28" w:rsidP="00885B28">
            <w:pPr>
              <w:spacing w:after="0" w:line="240" w:lineRule="auto"/>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Ostatní činnosti</w:t>
            </w:r>
          </w:p>
        </w:tc>
        <w:tc>
          <w:tcPr>
            <w:tcW w:w="1000" w:type="dxa"/>
            <w:shd w:val="clear" w:color="000000" w:fill="DCE6F1"/>
            <w:noWrap/>
            <w:vAlign w:val="bottom"/>
            <w:hideMark/>
          </w:tcPr>
          <w:p w14:paraId="61104352"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116</w:t>
            </w:r>
          </w:p>
        </w:tc>
        <w:tc>
          <w:tcPr>
            <w:tcW w:w="1000" w:type="dxa"/>
            <w:shd w:val="clear" w:color="auto" w:fill="auto"/>
            <w:noWrap/>
            <w:vAlign w:val="bottom"/>
            <w:hideMark/>
          </w:tcPr>
          <w:p w14:paraId="47F39E38"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64</w:t>
            </w:r>
          </w:p>
        </w:tc>
        <w:tc>
          <w:tcPr>
            <w:tcW w:w="1000" w:type="dxa"/>
            <w:shd w:val="clear" w:color="000000" w:fill="DCE6F1"/>
            <w:noWrap/>
            <w:vAlign w:val="bottom"/>
            <w:hideMark/>
          </w:tcPr>
          <w:p w14:paraId="6809A6BA"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89</w:t>
            </w:r>
          </w:p>
        </w:tc>
        <w:tc>
          <w:tcPr>
            <w:tcW w:w="1000" w:type="dxa"/>
            <w:shd w:val="clear" w:color="auto" w:fill="auto"/>
            <w:noWrap/>
            <w:vAlign w:val="bottom"/>
            <w:hideMark/>
          </w:tcPr>
          <w:p w14:paraId="554E2C59"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127</w:t>
            </w:r>
          </w:p>
        </w:tc>
        <w:tc>
          <w:tcPr>
            <w:tcW w:w="1000" w:type="dxa"/>
            <w:shd w:val="clear" w:color="000000" w:fill="DCE6F1"/>
            <w:noWrap/>
            <w:vAlign w:val="bottom"/>
            <w:hideMark/>
          </w:tcPr>
          <w:p w14:paraId="3308390F"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80</w:t>
            </w:r>
          </w:p>
        </w:tc>
        <w:tc>
          <w:tcPr>
            <w:tcW w:w="1000" w:type="dxa"/>
            <w:shd w:val="clear" w:color="auto" w:fill="auto"/>
            <w:noWrap/>
            <w:vAlign w:val="bottom"/>
            <w:hideMark/>
          </w:tcPr>
          <w:p w14:paraId="5D81CF69"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118</w:t>
            </w:r>
          </w:p>
        </w:tc>
        <w:tc>
          <w:tcPr>
            <w:tcW w:w="1000" w:type="dxa"/>
            <w:shd w:val="clear" w:color="000000" w:fill="DCE6F1"/>
            <w:noWrap/>
            <w:vAlign w:val="bottom"/>
            <w:hideMark/>
          </w:tcPr>
          <w:p w14:paraId="57FEDC9D"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99</w:t>
            </w:r>
          </w:p>
        </w:tc>
      </w:tr>
      <w:tr w:rsidR="00885B28" w:rsidRPr="00885B28" w14:paraId="1500D989" w14:textId="77777777" w:rsidTr="00885B28">
        <w:trPr>
          <w:trHeight w:val="559"/>
        </w:trPr>
        <w:tc>
          <w:tcPr>
            <w:tcW w:w="2080" w:type="dxa"/>
            <w:shd w:val="clear" w:color="000000" w:fill="EEF3F8"/>
            <w:vAlign w:val="bottom"/>
            <w:hideMark/>
          </w:tcPr>
          <w:p w14:paraId="4356C616" w14:textId="77777777" w:rsidR="00885B28" w:rsidRPr="00885B28" w:rsidRDefault="00885B28" w:rsidP="00885B28">
            <w:pPr>
              <w:spacing w:after="0" w:line="240" w:lineRule="auto"/>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 xml:space="preserve">Z jiných zdrojů </w:t>
            </w:r>
            <w:r w:rsidRPr="00885B28">
              <w:rPr>
                <w:rFonts w:ascii="Calibri" w:eastAsia="Times New Roman" w:hAnsi="Calibri" w:cs="Times New Roman"/>
                <w:b/>
                <w:bCs/>
                <w:color w:val="000000"/>
                <w:sz w:val="21"/>
                <w:szCs w:val="21"/>
                <w:lang w:eastAsia="cs-CZ"/>
              </w:rPr>
              <w:br/>
            </w:r>
            <w:r w:rsidRPr="00885B28">
              <w:rPr>
                <w:rFonts w:ascii="Calibri" w:eastAsia="Times New Roman" w:hAnsi="Calibri" w:cs="Times New Roman"/>
                <w:color w:val="000000"/>
                <w:sz w:val="21"/>
                <w:szCs w:val="21"/>
                <w:lang w:eastAsia="cs-CZ"/>
              </w:rPr>
              <w:t>(</w:t>
            </w:r>
            <w:proofErr w:type="spellStart"/>
            <w:r w:rsidRPr="00885B28">
              <w:rPr>
                <w:rFonts w:ascii="Calibri" w:eastAsia="Times New Roman" w:hAnsi="Calibri" w:cs="Times New Roman"/>
                <w:color w:val="000000"/>
                <w:sz w:val="21"/>
                <w:szCs w:val="21"/>
                <w:lang w:eastAsia="cs-CZ"/>
              </w:rPr>
              <w:t>VoZP</w:t>
            </w:r>
            <w:proofErr w:type="spellEnd"/>
            <w:r w:rsidRPr="00885B28">
              <w:rPr>
                <w:rFonts w:ascii="Calibri" w:eastAsia="Times New Roman" w:hAnsi="Calibri" w:cs="Times New Roman"/>
                <w:color w:val="000000"/>
                <w:sz w:val="21"/>
                <w:szCs w:val="21"/>
                <w:lang w:eastAsia="cs-CZ"/>
              </w:rPr>
              <w:t xml:space="preserve"> ČR)</w:t>
            </w:r>
          </w:p>
        </w:tc>
        <w:tc>
          <w:tcPr>
            <w:tcW w:w="1000" w:type="dxa"/>
            <w:shd w:val="clear" w:color="000000" w:fill="EEF3F8"/>
            <w:noWrap/>
            <w:vAlign w:val="bottom"/>
            <w:hideMark/>
          </w:tcPr>
          <w:p w14:paraId="72FA1DA5"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11</w:t>
            </w:r>
          </w:p>
        </w:tc>
        <w:tc>
          <w:tcPr>
            <w:tcW w:w="1000" w:type="dxa"/>
            <w:shd w:val="clear" w:color="000000" w:fill="EEF3F8"/>
            <w:noWrap/>
            <w:vAlign w:val="bottom"/>
            <w:hideMark/>
          </w:tcPr>
          <w:p w14:paraId="0050331D"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9</w:t>
            </w:r>
          </w:p>
        </w:tc>
        <w:tc>
          <w:tcPr>
            <w:tcW w:w="1000" w:type="dxa"/>
            <w:shd w:val="clear" w:color="000000" w:fill="EEF3F8"/>
            <w:noWrap/>
            <w:vAlign w:val="bottom"/>
            <w:hideMark/>
          </w:tcPr>
          <w:p w14:paraId="1FC58FDE"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10</w:t>
            </w:r>
          </w:p>
        </w:tc>
        <w:tc>
          <w:tcPr>
            <w:tcW w:w="1000" w:type="dxa"/>
            <w:shd w:val="clear" w:color="000000" w:fill="EEF3F8"/>
            <w:noWrap/>
            <w:vAlign w:val="bottom"/>
            <w:hideMark/>
          </w:tcPr>
          <w:p w14:paraId="792CF131"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10</w:t>
            </w:r>
          </w:p>
        </w:tc>
        <w:tc>
          <w:tcPr>
            <w:tcW w:w="1000" w:type="dxa"/>
            <w:shd w:val="clear" w:color="000000" w:fill="EEF3F8"/>
            <w:noWrap/>
            <w:vAlign w:val="bottom"/>
            <w:hideMark/>
          </w:tcPr>
          <w:p w14:paraId="4C2DE035"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10</w:t>
            </w:r>
          </w:p>
        </w:tc>
        <w:tc>
          <w:tcPr>
            <w:tcW w:w="1000" w:type="dxa"/>
            <w:shd w:val="clear" w:color="000000" w:fill="EEF3F8"/>
            <w:noWrap/>
            <w:vAlign w:val="bottom"/>
            <w:hideMark/>
          </w:tcPr>
          <w:p w14:paraId="16FF3164"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14</w:t>
            </w:r>
          </w:p>
        </w:tc>
        <w:tc>
          <w:tcPr>
            <w:tcW w:w="1000" w:type="dxa"/>
            <w:shd w:val="clear" w:color="000000" w:fill="EEF3F8"/>
            <w:noWrap/>
            <w:vAlign w:val="bottom"/>
            <w:hideMark/>
          </w:tcPr>
          <w:p w14:paraId="57167E87" w14:textId="77777777" w:rsidR="00885B28" w:rsidRPr="00885B28" w:rsidRDefault="00885B28" w:rsidP="00885B28">
            <w:pPr>
              <w:spacing w:after="0" w:line="240" w:lineRule="auto"/>
              <w:jc w:val="right"/>
              <w:rPr>
                <w:rFonts w:ascii="Calibri" w:eastAsia="Times New Roman" w:hAnsi="Calibri" w:cs="Times New Roman"/>
                <w:color w:val="000000"/>
                <w:sz w:val="21"/>
                <w:szCs w:val="21"/>
                <w:lang w:eastAsia="cs-CZ"/>
              </w:rPr>
            </w:pPr>
            <w:r w:rsidRPr="00885B28">
              <w:rPr>
                <w:rFonts w:ascii="Calibri" w:eastAsia="Times New Roman" w:hAnsi="Calibri" w:cs="Times New Roman"/>
                <w:color w:val="000000"/>
                <w:sz w:val="21"/>
                <w:szCs w:val="21"/>
                <w:lang w:eastAsia="cs-CZ"/>
              </w:rPr>
              <w:t>9</w:t>
            </w:r>
          </w:p>
        </w:tc>
      </w:tr>
      <w:tr w:rsidR="00885B28" w:rsidRPr="00885B28" w14:paraId="62357173" w14:textId="77777777" w:rsidTr="00885B28">
        <w:trPr>
          <w:trHeight w:val="300"/>
        </w:trPr>
        <w:tc>
          <w:tcPr>
            <w:tcW w:w="2080" w:type="dxa"/>
            <w:shd w:val="clear" w:color="auto" w:fill="auto"/>
            <w:vAlign w:val="bottom"/>
            <w:hideMark/>
          </w:tcPr>
          <w:p w14:paraId="5CA6241A" w14:textId="77777777" w:rsidR="00885B28" w:rsidRPr="00885B28" w:rsidRDefault="00885B28" w:rsidP="00885B28">
            <w:pPr>
              <w:spacing w:after="0" w:line="240" w:lineRule="auto"/>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Celkové náklady</w:t>
            </w:r>
          </w:p>
        </w:tc>
        <w:tc>
          <w:tcPr>
            <w:tcW w:w="1000" w:type="dxa"/>
            <w:shd w:val="clear" w:color="000000" w:fill="DCE6F1"/>
            <w:noWrap/>
            <w:vAlign w:val="bottom"/>
            <w:hideMark/>
          </w:tcPr>
          <w:p w14:paraId="6CC3D049" w14:textId="77777777" w:rsidR="00885B28" w:rsidRPr="00885B28" w:rsidRDefault="00885B28" w:rsidP="00885B28">
            <w:pPr>
              <w:spacing w:after="0" w:line="240" w:lineRule="auto"/>
              <w:jc w:val="right"/>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1 161</w:t>
            </w:r>
          </w:p>
        </w:tc>
        <w:tc>
          <w:tcPr>
            <w:tcW w:w="1000" w:type="dxa"/>
            <w:shd w:val="clear" w:color="auto" w:fill="auto"/>
            <w:noWrap/>
            <w:vAlign w:val="bottom"/>
            <w:hideMark/>
          </w:tcPr>
          <w:p w14:paraId="2F1A6E5E" w14:textId="77777777" w:rsidR="00885B28" w:rsidRPr="00885B28" w:rsidRDefault="00885B28" w:rsidP="00885B28">
            <w:pPr>
              <w:spacing w:after="0" w:line="240" w:lineRule="auto"/>
              <w:jc w:val="right"/>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912</w:t>
            </w:r>
          </w:p>
        </w:tc>
        <w:tc>
          <w:tcPr>
            <w:tcW w:w="1000" w:type="dxa"/>
            <w:shd w:val="clear" w:color="000000" w:fill="DCE6F1"/>
            <w:noWrap/>
            <w:vAlign w:val="bottom"/>
            <w:hideMark/>
          </w:tcPr>
          <w:p w14:paraId="2408CAB7" w14:textId="77777777" w:rsidR="00885B28" w:rsidRPr="00885B28" w:rsidRDefault="00885B28" w:rsidP="00885B28">
            <w:pPr>
              <w:spacing w:after="0" w:line="240" w:lineRule="auto"/>
              <w:jc w:val="right"/>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783</w:t>
            </w:r>
          </w:p>
        </w:tc>
        <w:tc>
          <w:tcPr>
            <w:tcW w:w="1000" w:type="dxa"/>
            <w:shd w:val="clear" w:color="auto" w:fill="auto"/>
            <w:noWrap/>
            <w:vAlign w:val="bottom"/>
            <w:hideMark/>
          </w:tcPr>
          <w:p w14:paraId="00559BA9" w14:textId="77777777" w:rsidR="00885B28" w:rsidRPr="00885B28" w:rsidRDefault="00885B28" w:rsidP="00885B28">
            <w:pPr>
              <w:spacing w:after="0" w:line="240" w:lineRule="auto"/>
              <w:jc w:val="right"/>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987</w:t>
            </w:r>
          </w:p>
        </w:tc>
        <w:tc>
          <w:tcPr>
            <w:tcW w:w="1000" w:type="dxa"/>
            <w:shd w:val="clear" w:color="000000" w:fill="DCE6F1"/>
            <w:noWrap/>
            <w:vAlign w:val="bottom"/>
            <w:hideMark/>
          </w:tcPr>
          <w:p w14:paraId="6F415950" w14:textId="77777777" w:rsidR="00885B28" w:rsidRPr="00885B28" w:rsidRDefault="00885B28" w:rsidP="00885B28">
            <w:pPr>
              <w:spacing w:after="0" w:line="240" w:lineRule="auto"/>
              <w:jc w:val="right"/>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892</w:t>
            </w:r>
          </w:p>
        </w:tc>
        <w:tc>
          <w:tcPr>
            <w:tcW w:w="1000" w:type="dxa"/>
            <w:shd w:val="clear" w:color="auto" w:fill="auto"/>
            <w:noWrap/>
            <w:vAlign w:val="bottom"/>
            <w:hideMark/>
          </w:tcPr>
          <w:p w14:paraId="390C57BD" w14:textId="77777777" w:rsidR="00885B28" w:rsidRPr="00885B28" w:rsidRDefault="00885B28" w:rsidP="00885B28">
            <w:pPr>
              <w:spacing w:after="0" w:line="240" w:lineRule="auto"/>
              <w:jc w:val="right"/>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1 208</w:t>
            </w:r>
          </w:p>
        </w:tc>
        <w:tc>
          <w:tcPr>
            <w:tcW w:w="1000" w:type="dxa"/>
            <w:shd w:val="clear" w:color="000000" w:fill="DCE6F1"/>
            <w:noWrap/>
            <w:vAlign w:val="bottom"/>
            <w:hideMark/>
          </w:tcPr>
          <w:p w14:paraId="298EB152" w14:textId="77777777" w:rsidR="00885B28" w:rsidRPr="00885B28" w:rsidRDefault="00885B28" w:rsidP="00885B28">
            <w:pPr>
              <w:spacing w:after="0" w:line="240" w:lineRule="auto"/>
              <w:jc w:val="right"/>
              <w:rPr>
                <w:rFonts w:ascii="Calibri" w:eastAsia="Times New Roman" w:hAnsi="Calibri" w:cs="Times New Roman"/>
                <w:b/>
                <w:bCs/>
                <w:color w:val="000000"/>
                <w:sz w:val="21"/>
                <w:szCs w:val="21"/>
                <w:lang w:eastAsia="cs-CZ"/>
              </w:rPr>
            </w:pPr>
            <w:r w:rsidRPr="00885B28">
              <w:rPr>
                <w:rFonts w:ascii="Calibri" w:eastAsia="Times New Roman" w:hAnsi="Calibri" w:cs="Times New Roman"/>
                <w:b/>
                <w:bCs/>
                <w:color w:val="000000"/>
                <w:sz w:val="21"/>
                <w:szCs w:val="21"/>
                <w:lang w:eastAsia="cs-CZ"/>
              </w:rPr>
              <w:t>1 093</w:t>
            </w:r>
          </w:p>
        </w:tc>
      </w:tr>
    </w:tbl>
    <w:p w14:paraId="374E40BD" w14:textId="77777777" w:rsidR="00051504" w:rsidRDefault="00726657" w:rsidP="00051504">
      <w:pPr>
        <w:spacing w:before="240" w:after="60" w:line="240" w:lineRule="auto"/>
        <w:ind w:left="794" w:hanging="794"/>
        <w:rPr>
          <w:rFonts w:eastAsia="SimSun"/>
          <w:b/>
        </w:rPr>
      </w:pPr>
      <w:r>
        <w:rPr>
          <w:rFonts w:eastAsia="SimSun"/>
          <w:b/>
        </w:rPr>
        <w:t>Tab. 17</w:t>
      </w:r>
      <w:r w:rsidR="00051504">
        <w:rPr>
          <w:rFonts w:eastAsia="SimSun"/>
          <w:b/>
        </w:rPr>
        <w:t>: Náklady na preventivní zdravotní péči čerpané z fondu prevence</w:t>
      </w:r>
      <w:r w:rsidR="00F50DA7">
        <w:rPr>
          <w:rFonts w:eastAsia="SimSun"/>
          <w:b/>
        </w:rPr>
        <w:t xml:space="preserve"> ZP</w:t>
      </w:r>
      <w:r w:rsidR="00051504">
        <w:rPr>
          <w:rFonts w:eastAsia="SimSun"/>
          <w:b/>
        </w:rPr>
        <w:t xml:space="preserve"> a specifických fondů </w:t>
      </w:r>
      <w:proofErr w:type="spellStart"/>
      <w:r w:rsidR="00051504">
        <w:rPr>
          <w:rFonts w:eastAsia="SimSun"/>
          <w:b/>
        </w:rPr>
        <w:t>VoZP</w:t>
      </w:r>
      <w:proofErr w:type="spellEnd"/>
      <w:r w:rsidR="00051504">
        <w:rPr>
          <w:rFonts w:eastAsia="SimSun"/>
          <w:b/>
        </w:rPr>
        <w:t> ČR podle zdravotních pojišťoven v roce 2018</w:t>
      </w:r>
    </w:p>
    <w:tbl>
      <w:tblPr>
        <w:tblW w:w="908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051504" w14:paraId="04442305" w14:textId="77777777" w:rsidTr="00051504">
        <w:trPr>
          <w:trHeight w:val="600"/>
        </w:trPr>
        <w:tc>
          <w:tcPr>
            <w:tcW w:w="2080" w:type="dxa"/>
            <w:tcBorders>
              <w:top w:val="single" w:sz="12" w:space="0" w:color="4F81BD"/>
              <w:left w:val="single" w:sz="12" w:space="0" w:color="4F81BD"/>
              <w:bottom w:val="nil"/>
              <w:right w:val="nil"/>
            </w:tcBorders>
            <w:shd w:val="clear" w:color="auto" w:fill="4F81BD"/>
            <w:hideMark/>
          </w:tcPr>
          <w:p w14:paraId="50166515" w14:textId="77777777" w:rsidR="00051504" w:rsidRDefault="00051504">
            <w:pPr>
              <w:spacing w:after="0" w:line="240" w:lineRule="auto"/>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Ukazatel</w:t>
            </w:r>
            <w:r>
              <w:rPr>
                <w:rFonts w:ascii="Calibri" w:eastAsia="Times New Roman" w:hAnsi="Calibri" w:cs="Times New Roman"/>
                <w:b/>
                <w:bCs/>
                <w:color w:val="FFFFFF"/>
                <w:sz w:val="21"/>
                <w:szCs w:val="21"/>
                <w:lang w:eastAsia="cs-CZ"/>
              </w:rPr>
              <w:br/>
            </w:r>
            <w:r>
              <w:rPr>
                <w:rFonts w:ascii="Calibri" w:eastAsia="Times New Roman" w:hAnsi="Calibri" w:cs="Times New Roman"/>
                <w:color w:val="FFFFFF"/>
                <w:sz w:val="21"/>
                <w:szCs w:val="21"/>
                <w:lang w:eastAsia="cs-CZ"/>
              </w:rPr>
              <w:t>(v mil. Kč)</w:t>
            </w:r>
          </w:p>
        </w:tc>
        <w:tc>
          <w:tcPr>
            <w:tcW w:w="1000" w:type="dxa"/>
            <w:tcBorders>
              <w:top w:val="single" w:sz="12" w:space="0" w:color="4F81BD"/>
              <w:left w:val="nil"/>
              <w:bottom w:val="nil"/>
              <w:right w:val="nil"/>
            </w:tcBorders>
            <w:shd w:val="clear" w:color="auto" w:fill="6691C6"/>
            <w:noWrap/>
            <w:vAlign w:val="center"/>
            <w:hideMark/>
          </w:tcPr>
          <w:p w14:paraId="0630A8FB"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VZP ČR</w:t>
            </w:r>
          </w:p>
        </w:tc>
        <w:tc>
          <w:tcPr>
            <w:tcW w:w="1000" w:type="dxa"/>
            <w:tcBorders>
              <w:top w:val="single" w:sz="12" w:space="0" w:color="4F81BD"/>
              <w:left w:val="nil"/>
              <w:bottom w:val="nil"/>
              <w:right w:val="nil"/>
            </w:tcBorders>
            <w:shd w:val="clear" w:color="auto" w:fill="4F81BD"/>
            <w:noWrap/>
            <w:vAlign w:val="center"/>
            <w:hideMark/>
          </w:tcPr>
          <w:p w14:paraId="13CF4A34"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proofErr w:type="spellStart"/>
            <w:r>
              <w:rPr>
                <w:rFonts w:ascii="Calibri" w:eastAsia="Times New Roman" w:hAnsi="Calibri" w:cs="Times New Roman"/>
                <w:b/>
                <w:bCs/>
                <w:color w:val="FFFFFF"/>
                <w:sz w:val="21"/>
                <w:szCs w:val="21"/>
                <w:lang w:eastAsia="cs-CZ"/>
              </w:rPr>
              <w:t>VoZP</w:t>
            </w:r>
            <w:proofErr w:type="spellEnd"/>
            <w:r>
              <w:rPr>
                <w:rFonts w:ascii="Calibri" w:eastAsia="Times New Roman" w:hAnsi="Calibri" w:cs="Times New Roman"/>
                <w:b/>
                <w:bCs/>
                <w:color w:val="FFFFFF"/>
                <w:sz w:val="21"/>
                <w:szCs w:val="21"/>
                <w:lang w:eastAsia="cs-CZ"/>
              </w:rPr>
              <w:t xml:space="preserve"> ČR</w:t>
            </w:r>
          </w:p>
        </w:tc>
        <w:tc>
          <w:tcPr>
            <w:tcW w:w="1000" w:type="dxa"/>
            <w:tcBorders>
              <w:top w:val="single" w:sz="12" w:space="0" w:color="4F81BD"/>
              <w:left w:val="nil"/>
              <w:bottom w:val="nil"/>
              <w:right w:val="nil"/>
            </w:tcBorders>
            <w:shd w:val="clear" w:color="auto" w:fill="6691C6"/>
            <w:noWrap/>
            <w:vAlign w:val="center"/>
            <w:hideMark/>
          </w:tcPr>
          <w:p w14:paraId="125E5608"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ČPZP</w:t>
            </w:r>
          </w:p>
        </w:tc>
        <w:tc>
          <w:tcPr>
            <w:tcW w:w="1000" w:type="dxa"/>
            <w:tcBorders>
              <w:top w:val="single" w:sz="12" w:space="0" w:color="4F81BD"/>
              <w:left w:val="nil"/>
              <w:bottom w:val="nil"/>
              <w:right w:val="nil"/>
            </w:tcBorders>
            <w:shd w:val="clear" w:color="auto" w:fill="4F81BD"/>
            <w:noWrap/>
            <w:vAlign w:val="center"/>
            <w:hideMark/>
          </w:tcPr>
          <w:p w14:paraId="481719AB"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OZP</w:t>
            </w:r>
          </w:p>
        </w:tc>
        <w:tc>
          <w:tcPr>
            <w:tcW w:w="1000" w:type="dxa"/>
            <w:tcBorders>
              <w:top w:val="single" w:sz="12" w:space="0" w:color="4F81BD"/>
              <w:left w:val="nil"/>
              <w:bottom w:val="nil"/>
              <w:right w:val="nil"/>
            </w:tcBorders>
            <w:shd w:val="clear" w:color="auto" w:fill="6691C6"/>
            <w:noWrap/>
            <w:vAlign w:val="center"/>
            <w:hideMark/>
          </w:tcPr>
          <w:p w14:paraId="394087C5"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ZPŠ</w:t>
            </w:r>
          </w:p>
        </w:tc>
        <w:tc>
          <w:tcPr>
            <w:tcW w:w="1000" w:type="dxa"/>
            <w:tcBorders>
              <w:top w:val="single" w:sz="12" w:space="0" w:color="4F81BD"/>
              <w:left w:val="nil"/>
              <w:bottom w:val="nil"/>
              <w:right w:val="nil"/>
            </w:tcBorders>
            <w:shd w:val="clear" w:color="auto" w:fill="4F81BD"/>
            <w:noWrap/>
            <w:vAlign w:val="center"/>
            <w:hideMark/>
          </w:tcPr>
          <w:p w14:paraId="7BA55173"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ZP MV ČR</w:t>
            </w:r>
          </w:p>
        </w:tc>
        <w:tc>
          <w:tcPr>
            <w:tcW w:w="1000" w:type="dxa"/>
            <w:tcBorders>
              <w:top w:val="single" w:sz="12" w:space="0" w:color="4F81BD"/>
              <w:left w:val="nil"/>
              <w:bottom w:val="nil"/>
              <w:right w:val="single" w:sz="12" w:space="0" w:color="4F81BD"/>
            </w:tcBorders>
            <w:shd w:val="clear" w:color="auto" w:fill="6691C6"/>
            <w:noWrap/>
            <w:vAlign w:val="center"/>
            <w:hideMark/>
          </w:tcPr>
          <w:p w14:paraId="1032B486" w14:textId="77777777" w:rsidR="00051504" w:rsidRDefault="00051504">
            <w:pPr>
              <w:spacing w:after="0" w:line="240" w:lineRule="auto"/>
              <w:jc w:val="center"/>
              <w:rPr>
                <w:rFonts w:ascii="Calibri" w:eastAsia="Times New Roman" w:hAnsi="Calibri" w:cs="Times New Roman"/>
                <w:b/>
                <w:bCs/>
                <w:color w:val="FFFFFF"/>
                <w:sz w:val="21"/>
                <w:szCs w:val="21"/>
                <w:lang w:eastAsia="cs-CZ"/>
              </w:rPr>
            </w:pPr>
            <w:r>
              <w:rPr>
                <w:rFonts w:ascii="Calibri" w:eastAsia="Times New Roman" w:hAnsi="Calibri" w:cs="Times New Roman"/>
                <w:b/>
                <w:bCs/>
                <w:color w:val="FFFFFF"/>
                <w:sz w:val="21"/>
                <w:szCs w:val="21"/>
                <w:lang w:eastAsia="cs-CZ"/>
              </w:rPr>
              <w:t>RBP</w:t>
            </w:r>
          </w:p>
        </w:tc>
      </w:tr>
      <w:tr w:rsidR="00051504" w14:paraId="12983249" w14:textId="77777777" w:rsidTr="00051504">
        <w:trPr>
          <w:trHeight w:val="559"/>
        </w:trPr>
        <w:tc>
          <w:tcPr>
            <w:tcW w:w="2080" w:type="dxa"/>
            <w:tcBorders>
              <w:top w:val="nil"/>
              <w:left w:val="single" w:sz="12" w:space="0" w:color="4F81BD"/>
              <w:bottom w:val="nil"/>
              <w:right w:val="nil"/>
            </w:tcBorders>
            <w:vAlign w:val="bottom"/>
            <w:hideMark/>
          </w:tcPr>
          <w:p w14:paraId="45001BFB" w14:textId="77777777" w:rsidR="00051504" w:rsidRDefault="00051504">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 xml:space="preserve">Náklady na </w:t>
            </w:r>
            <w:r>
              <w:rPr>
                <w:rFonts w:ascii="Calibri" w:eastAsia="Times New Roman" w:hAnsi="Calibri" w:cs="Times New Roman"/>
                <w:b/>
                <w:bCs/>
                <w:color w:val="000000"/>
                <w:sz w:val="21"/>
                <w:szCs w:val="21"/>
                <w:lang w:eastAsia="cs-CZ"/>
              </w:rPr>
              <w:br/>
              <w:t>zdravotní programy</w:t>
            </w:r>
          </w:p>
        </w:tc>
        <w:tc>
          <w:tcPr>
            <w:tcW w:w="1000" w:type="dxa"/>
            <w:tcBorders>
              <w:top w:val="nil"/>
              <w:left w:val="nil"/>
              <w:bottom w:val="nil"/>
              <w:right w:val="nil"/>
            </w:tcBorders>
            <w:shd w:val="clear" w:color="auto" w:fill="DCE6F1"/>
            <w:noWrap/>
            <w:vAlign w:val="bottom"/>
            <w:hideMark/>
          </w:tcPr>
          <w:p w14:paraId="303E499F"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306</w:t>
            </w:r>
          </w:p>
        </w:tc>
        <w:tc>
          <w:tcPr>
            <w:tcW w:w="1000" w:type="dxa"/>
            <w:tcBorders>
              <w:top w:val="nil"/>
              <w:left w:val="nil"/>
              <w:bottom w:val="nil"/>
              <w:right w:val="nil"/>
            </w:tcBorders>
            <w:noWrap/>
            <w:vAlign w:val="bottom"/>
            <w:hideMark/>
          </w:tcPr>
          <w:p w14:paraId="609B1FA4"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94</w:t>
            </w:r>
          </w:p>
        </w:tc>
        <w:tc>
          <w:tcPr>
            <w:tcW w:w="1000" w:type="dxa"/>
            <w:tcBorders>
              <w:top w:val="nil"/>
              <w:left w:val="nil"/>
              <w:bottom w:val="nil"/>
              <w:right w:val="nil"/>
            </w:tcBorders>
            <w:shd w:val="clear" w:color="auto" w:fill="DCE6F1"/>
            <w:noWrap/>
            <w:vAlign w:val="bottom"/>
            <w:hideMark/>
          </w:tcPr>
          <w:p w14:paraId="3A19D056"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209</w:t>
            </w:r>
          </w:p>
        </w:tc>
        <w:tc>
          <w:tcPr>
            <w:tcW w:w="1000" w:type="dxa"/>
            <w:tcBorders>
              <w:top w:val="nil"/>
              <w:left w:val="nil"/>
              <w:bottom w:val="nil"/>
              <w:right w:val="nil"/>
            </w:tcBorders>
            <w:noWrap/>
            <w:vAlign w:val="bottom"/>
            <w:hideMark/>
          </w:tcPr>
          <w:p w14:paraId="0B5A5374"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76</w:t>
            </w:r>
          </w:p>
        </w:tc>
        <w:tc>
          <w:tcPr>
            <w:tcW w:w="1000" w:type="dxa"/>
            <w:tcBorders>
              <w:top w:val="nil"/>
              <w:left w:val="nil"/>
              <w:bottom w:val="nil"/>
              <w:right w:val="nil"/>
            </w:tcBorders>
            <w:shd w:val="clear" w:color="auto" w:fill="DCE6F1"/>
            <w:noWrap/>
            <w:vAlign w:val="bottom"/>
            <w:hideMark/>
          </w:tcPr>
          <w:p w14:paraId="2340454F"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8</w:t>
            </w:r>
          </w:p>
        </w:tc>
        <w:tc>
          <w:tcPr>
            <w:tcW w:w="1000" w:type="dxa"/>
            <w:tcBorders>
              <w:top w:val="nil"/>
              <w:left w:val="nil"/>
              <w:bottom w:val="nil"/>
              <w:right w:val="nil"/>
            </w:tcBorders>
            <w:noWrap/>
            <w:vAlign w:val="bottom"/>
            <w:hideMark/>
          </w:tcPr>
          <w:p w14:paraId="73AFBC11"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155</w:t>
            </w:r>
          </w:p>
        </w:tc>
        <w:tc>
          <w:tcPr>
            <w:tcW w:w="1000" w:type="dxa"/>
            <w:tcBorders>
              <w:top w:val="nil"/>
              <w:left w:val="nil"/>
              <w:bottom w:val="nil"/>
              <w:right w:val="single" w:sz="12" w:space="0" w:color="4F81BD"/>
            </w:tcBorders>
            <w:shd w:val="clear" w:color="auto" w:fill="DCE6F1"/>
            <w:noWrap/>
            <w:vAlign w:val="bottom"/>
            <w:hideMark/>
          </w:tcPr>
          <w:p w14:paraId="37CEC63F"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28</w:t>
            </w:r>
          </w:p>
        </w:tc>
      </w:tr>
      <w:tr w:rsidR="00051504" w14:paraId="061E3582" w14:textId="77777777" w:rsidTr="00051504">
        <w:trPr>
          <w:trHeight w:val="559"/>
        </w:trPr>
        <w:tc>
          <w:tcPr>
            <w:tcW w:w="2080" w:type="dxa"/>
            <w:tcBorders>
              <w:top w:val="nil"/>
              <w:left w:val="single" w:sz="12" w:space="0" w:color="4F81BD"/>
              <w:bottom w:val="nil"/>
              <w:right w:val="nil"/>
            </w:tcBorders>
            <w:shd w:val="clear" w:color="auto" w:fill="EEF3F8"/>
            <w:vAlign w:val="bottom"/>
            <w:hideMark/>
          </w:tcPr>
          <w:p w14:paraId="73CDD45D" w14:textId="77777777" w:rsidR="00051504" w:rsidRDefault="00051504">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 xml:space="preserve">Náklady na </w:t>
            </w:r>
            <w:r>
              <w:rPr>
                <w:rFonts w:ascii="Calibri" w:eastAsia="Times New Roman" w:hAnsi="Calibri" w:cs="Times New Roman"/>
                <w:b/>
                <w:bCs/>
                <w:color w:val="000000"/>
                <w:sz w:val="21"/>
                <w:szCs w:val="21"/>
                <w:lang w:eastAsia="cs-CZ"/>
              </w:rPr>
              <w:br/>
              <w:t>ozdravné pobyty</w:t>
            </w:r>
          </w:p>
        </w:tc>
        <w:tc>
          <w:tcPr>
            <w:tcW w:w="1000" w:type="dxa"/>
            <w:tcBorders>
              <w:top w:val="nil"/>
              <w:left w:val="nil"/>
              <w:bottom w:val="nil"/>
              <w:right w:val="nil"/>
            </w:tcBorders>
            <w:shd w:val="clear" w:color="auto" w:fill="EEF3F8"/>
            <w:noWrap/>
            <w:vAlign w:val="bottom"/>
            <w:hideMark/>
          </w:tcPr>
          <w:p w14:paraId="3A58D651"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56</w:t>
            </w:r>
          </w:p>
        </w:tc>
        <w:tc>
          <w:tcPr>
            <w:tcW w:w="1000" w:type="dxa"/>
            <w:tcBorders>
              <w:top w:val="nil"/>
              <w:left w:val="nil"/>
              <w:bottom w:val="nil"/>
              <w:right w:val="nil"/>
            </w:tcBorders>
            <w:shd w:val="clear" w:color="auto" w:fill="EEF3F8"/>
            <w:noWrap/>
            <w:vAlign w:val="bottom"/>
            <w:hideMark/>
          </w:tcPr>
          <w:p w14:paraId="7D22B5DE"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8</w:t>
            </w:r>
          </w:p>
        </w:tc>
        <w:tc>
          <w:tcPr>
            <w:tcW w:w="1000" w:type="dxa"/>
            <w:tcBorders>
              <w:top w:val="nil"/>
              <w:left w:val="nil"/>
              <w:bottom w:val="nil"/>
              <w:right w:val="nil"/>
            </w:tcBorders>
            <w:shd w:val="clear" w:color="auto" w:fill="EEF3F8"/>
            <w:noWrap/>
            <w:vAlign w:val="bottom"/>
            <w:hideMark/>
          </w:tcPr>
          <w:p w14:paraId="37A7FAB0"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11</w:t>
            </w:r>
          </w:p>
        </w:tc>
        <w:tc>
          <w:tcPr>
            <w:tcW w:w="1000" w:type="dxa"/>
            <w:tcBorders>
              <w:top w:val="nil"/>
              <w:left w:val="nil"/>
              <w:bottom w:val="nil"/>
              <w:right w:val="nil"/>
            </w:tcBorders>
            <w:shd w:val="clear" w:color="auto" w:fill="EEF3F8"/>
            <w:noWrap/>
            <w:vAlign w:val="bottom"/>
            <w:hideMark/>
          </w:tcPr>
          <w:p w14:paraId="42490149"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6</w:t>
            </w:r>
          </w:p>
        </w:tc>
        <w:tc>
          <w:tcPr>
            <w:tcW w:w="1000" w:type="dxa"/>
            <w:tcBorders>
              <w:top w:val="nil"/>
              <w:left w:val="nil"/>
              <w:bottom w:val="nil"/>
              <w:right w:val="nil"/>
            </w:tcBorders>
            <w:shd w:val="clear" w:color="auto" w:fill="EEF3F8"/>
            <w:noWrap/>
            <w:vAlign w:val="bottom"/>
            <w:hideMark/>
          </w:tcPr>
          <w:p w14:paraId="05C33513"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w:t>
            </w:r>
          </w:p>
        </w:tc>
        <w:tc>
          <w:tcPr>
            <w:tcW w:w="1000" w:type="dxa"/>
            <w:tcBorders>
              <w:top w:val="nil"/>
              <w:left w:val="nil"/>
              <w:bottom w:val="nil"/>
              <w:right w:val="nil"/>
            </w:tcBorders>
            <w:shd w:val="clear" w:color="auto" w:fill="EEF3F8"/>
            <w:noWrap/>
            <w:vAlign w:val="bottom"/>
            <w:hideMark/>
          </w:tcPr>
          <w:p w14:paraId="2CD7CE6E"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23</w:t>
            </w:r>
          </w:p>
        </w:tc>
        <w:tc>
          <w:tcPr>
            <w:tcW w:w="1000" w:type="dxa"/>
            <w:tcBorders>
              <w:top w:val="nil"/>
              <w:left w:val="nil"/>
              <w:bottom w:val="nil"/>
              <w:right w:val="single" w:sz="12" w:space="0" w:color="4F81BD"/>
            </w:tcBorders>
            <w:shd w:val="clear" w:color="auto" w:fill="EEF3F8"/>
            <w:noWrap/>
            <w:vAlign w:val="bottom"/>
            <w:hideMark/>
          </w:tcPr>
          <w:p w14:paraId="6E171219"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5</w:t>
            </w:r>
          </w:p>
        </w:tc>
      </w:tr>
      <w:tr w:rsidR="00051504" w14:paraId="7E903142" w14:textId="77777777" w:rsidTr="00051504">
        <w:trPr>
          <w:trHeight w:val="300"/>
        </w:trPr>
        <w:tc>
          <w:tcPr>
            <w:tcW w:w="2080" w:type="dxa"/>
            <w:tcBorders>
              <w:top w:val="nil"/>
              <w:left w:val="single" w:sz="12" w:space="0" w:color="4F81BD"/>
              <w:bottom w:val="nil"/>
              <w:right w:val="nil"/>
            </w:tcBorders>
            <w:vAlign w:val="bottom"/>
            <w:hideMark/>
          </w:tcPr>
          <w:p w14:paraId="4FF76968" w14:textId="77777777" w:rsidR="00051504" w:rsidRDefault="00051504">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Ostatní činnosti</w:t>
            </w:r>
          </w:p>
        </w:tc>
        <w:tc>
          <w:tcPr>
            <w:tcW w:w="1000" w:type="dxa"/>
            <w:tcBorders>
              <w:top w:val="nil"/>
              <w:left w:val="nil"/>
              <w:bottom w:val="nil"/>
              <w:right w:val="nil"/>
            </w:tcBorders>
            <w:shd w:val="clear" w:color="auto" w:fill="DCE6F1"/>
            <w:noWrap/>
            <w:vAlign w:val="bottom"/>
            <w:hideMark/>
          </w:tcPr>
          <w:p w14:paraId="6193A8ED"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59</w:t>
            </w:r>
          </w:p>
        </w:tc>
        <w:tc>
          <w:tcPr>
            <w:tcW w:w="1000" w:type="dxa"/>
            <w:tcBorders>
              <w:top w:val="nil"/>
              <w:left w:val="nil"/>
              <w:bottom w:val="nil"/>
              <w:right w:val="nil"/>
            </w:tcBorders>
            <w:noWrap/>
            <w:vAlign w:val="bottom"/>
            <w:hideMark/>
          </w:tcPr>
          <w:p w14:paraId="78C46662"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w:t>
            </w:r>
          </w:p>
        </w:tc>
        <w:tc>
          <w:tcPr>
            <w:tcW w:w="1000" w:type="dxa"/>
            <w:tcBorders>
              <w:top w:val="nil"/>
              <w:left w:val="nil"/>
              <w:bottom w:val="nil"/>
              <w:right w:val="nil"/>
            </w:tcBorders>
            <w:shd w:val="clear" w:color="auto" w:fill="DCE6F1"/>
            <w:noWrap/>
            <w:vAlign w:val="bottom"/>
            <w:hideMark/>
          </w:tcPr>
          <w:p w14:paraId="2198B916" w14:textId="77777777" w:rsidR="00051504" w:rsidRDefault="00051504">
            <w:pPr>
              <w:spacing w:after="0" w:line="240" w:lineRule="auto"/>
              <w:ind w:firstLineChars="100" w:firstLine="210"/>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w:t>
            </w:r>
          </w:p>
        </w:tc>
        <w:tc>
          <w:tcPr>
            <w:tcW w:w="1000" w:type="dxa"/>
            <w:tcBorders>
              <w:top w:val="nil"/>
              <w:left w:val="nil"/>
              <w:bottom w:val="nil"/>
              <w:right w:val="nil"/>
            </w:tcBorders>
            <w:noWrap/>
            <w:vAlign w:val="bottom"/>
            <w:hideMark/>
          </w:tcPr>
          <w:p w14:paraId="7B0141A7"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0</w:t>
            </w:r>
          </w:p>
        </w:tc>
        <w:tc>
          <w:tcPr>
            <w:tcW w:w="1000" w:type="dxa"/>
            <w:tcBorders>
              <w:top w:val="nil"/>
              <w:left w:val="nil"/>
              <w:bottom w:val="nil"/>
              <w:right w:val="nil"/>
            </w:tcBorders>
            <w:shd w:val="clear" w:color="auto" w:fill="DCE6F1"/>
            <w:noWrap/>
            <w:vAlign w:val="bottom"/>
            <w:hideMark/>
          </w:tcPr>
          <w:p w14:paraId="7A409A80"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14</w:t>
            </w:r>
          </w:p>
        </w:tc>
        <w:tc>
          <w:tcPr>
            <w:tcW w:w="1000" w:type="dxa"/>
            <w:tcBorders>
              <w:top w:val="nil"/>
              <w:left w:val="nil"/>
              <w:bottom w:val="nil"/>
              <w:right w:val="nil"/>
            </w:tcBorders>
            <w:noWrap/>
            <w:vAlign w:val="bottom"/>
            <w:hideMark/>
          </w:tcPr>
          <w:p w14:paraId="1B742400" w14:textId="77777777" w:rsidR="00051504" w:rsidRDefault="00051504">
            <w:pPr>
              <w:spacing w:after="0" w:line="240" w:lineRule="auto"/>
              <w:ind w:firstLineChars="100" w:firstLine="210"/>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w:t>
            </w:r>
          </w:p>
        </w:tc>
        <w:tc>
          <w:tcPr>
            <w:tcW w:w="1000" w:type="dxa"/>
            <w:tcBorders>
              <w:top w:val="nil"/>
              <w:left w:val="nil"/>
              <w:bottom w:val="nil"/>
              <w:right w:val="single" w:sz="12" w:space="0" w:color="4F81BD"/>
            </w:tcBorders>
            <w:shd w:val="clear" w:color="auto" w:fill="DCE6F1"/>
            <w:noWrap/>
            <w:vAlign w:val="bottom"/>
            <w:hideMark/>
          </w:tcPr>
          <w:p w14:paraId="5195E572"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25</w:t>
            </w:r>
          </w:p>
        </w:tc>
      </w:tr>
      <w:tr w:rsidR="00051504" w14:paraId="02961C93" w14:textId="77777777" w:rsidTr="00051504">
        <w:trPr>
          <w:trHeight w:val="559"/>
        </w:trPr>
        <w:tc>
          <w:tcPr>
            <w:tcW w:w="2080" w:type="dxa"/>
            <w:tcBorders>
              <w:top w:val="nil"/>
              <w:left w:val="single" w:sz="12" w:space="0" w:color="4F81BD"/>
              <w:bottom w:val="nil"/>
              <w:right w:val="nil"/>
            </w:tcBorders>
            <w:shd w:val="clear" w:color="auto" w:fill="EEF3F8"/>
            <w:vAlign w:val="bottom"/>
            <w:hideMark/>
          </w:tcPr>
          <w:p w14:paraId="7CBEB1ED" w14:textId="77777777" w:rsidR="00051504" w:rsidRDefault="00051504">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 xml:space="preserve">Z jiných zdrojů </w:t>
            </w:r>
            <w:r>
              <w:rPr>
                <w:rFonts w:ascii="Calibri" w:eastAsia="Times New Roman" w:hAnsi="Calibri" w:cs="Times New Roman"/>
                <w:b/>
                <w:bCs/>
                <w:color w:val="000000"/>
                <w:sz w:val="21"/>
                <w:szCs w:val="21"/>
                <w:lang w:eastAsia="cs-CZ"/>
              </w:rPr>
              <w:br/>
            </w:r>
            <w:r>
              <w:rPr>
                <w:rFonts w:ascii="Calibri" w:eastAsia="Times New Roman" w:hAnsi="Calibri" w:cs="Times New Roman"/>
                <w:color w:val="000000"/>
                <w:sz w:val="21"/>
                <w:szCs w:val="21"/>
                <w:lang w:eastAsia="cs-CZ"/>
              </w:rPr>
              <w:t>(</w:t>
            </w:r>
            <w:proofErr w:type="spellStart"/>
            <w:r>
              <w:rPr>
                <w:rFonts w:ascii="Calibri" w:eastAsia="Times New Roman" w:hAnsi="Calibri" w:cs="Times New Roman"/>
                <w:color w:val="000000"/>
                <w:sz w:val="21"/>
                <w:szCs w:val="21"/>
                <w:lang w:eastAsia="cs-CZ"/>
              </w:rPr>
              <w:t>VoZP</w:t>
            </w:r>
            <w:proofErr w:type="spellEnd"/>
            <w:r>
              <w:rPr>
                <w:rFonts w:ascii="Calibri" w:eastAsia="Times New Roman" w:hAnsi="Calibri" w:cs="Times New Roman"/>
                <w:color w:val="000000"/>
                <w:sz w:val="21"/>
                <w:szCs w:val="21"/>
                <w:lang w:eastAsia="cs-CZ"/>
              </w:rPr>
              <w:t xml:space="preserve"> ČR)</w:t>
            </w:r>
          </w:p>
        </w:tc>
        <w:tc>
          <w:tcPr>
            <w:tcW w:w="1000" w:type="dxa"/>
            <w:tcBorders>
              <w:top w:val="nil"/>
              <w:left w:val="nil"/>
              <w:bottom w:val="nil"/>
              <w:right w:val="nil"/>
            </w:tcBorders>
            <w:shd w:val="clear" w:color="auto" w:fill="EEF3F8"/>
            <w:noWrap/>
            <w:vAlign w:val="bottom"/>
            <w:hideMark/>
          </w:tcPr>
          <w:p w14:paraId="3ABCC22A" w14:textId="77777777" w:rsidR="00051504" w:rsidRDefault="00051504">
            <w:pPr>
              <w:spacing w:after="0" w:line="240" w:lineRule="auto"/>
              <w:ind w:firstLineChars="100" w:firstLine="210"/>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w:t>
            </w:r>
          </w:p>
        </w:tc>
        <w:tc>
          <w:tcPr>
            <w:tcW w:w="1000" w:type="dxa"/>
            <w:tcBorders>
              <w:top w:val="nil"/>
              <w:left w:val="nil"/>
              <w:bottom w:val="nil"/>
              <w:right w:val="nil"/>
            </w:tcBorders>
            <w:shd w:val="clear" w:color="auto" w:fill="EEF3F8"/>
            <w:noWrap/>
            <w:vAlign w:val="bottom"/>
            <w:hideMark/>
          </w:tcPr>
          <w:p w14:paraId="7671A2D7" w14:textId="77777777" w:rsidR="00051504" w:rsidRDefault="00051504">
            <w:pPr>
              <w:spacing w:after="0" w:line="240" w:lineRule="auto"/>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9</w:t>
            </w:r>
          </w:p>
        </w:tc>
        <w:tc>
          <w:tcPr>
            <w:tcW w:w="1000" w:type="dxa"/>
            <w:tcBorders>
              <w:top w:val="nil"/>
              <w:left w:val="nil"/>
              <w:bottom w:val="nil"/>
              <w:right w:val="nil"/>
            </w:tcBorders>
            <w:shd w:val="clear" w:color="auto" w:fill="EEF3F8"/>
            <w:noWrap/>
            <w:vAlign w:val="bottom"/>
            <w:hideMark/>
          </w:tcPr>
          <w:p w14:paraId="00810D4B" w14:textId="77777777" w:rsidR="00051504" w:rsidRDefault="00051504">
            <w:pPr>
              <w:spacing w:after="0" w:line="240" w:lineRule="auto"/>
              <w:ind w:firstLineChars="100" w:firstLine="210"/>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w:t>
            </w:r>
          </w:p>
        </w:tc>
        <w:tc>
          <w:tcPr>
            <w:tcW w:w="1000" w:type="dxa"/>
            <w:tcBorders>
              <w:top w:val="nil"/>
              <w:left w:val="nil"/>
              <w:bottom w:val="nil"/>
              <w:right w:val="nil"/>
            </w:tcBorders>
            <w:shd w:val="clear" w:color="auto" w:fill="EEF3F8"/>
            <w:noWrap/>
            <w:vAlign w:val="bottom"/>
            <w:hideMark/>
          </w:tcPr>
          <w:p w14:paraId="71E79B08" w14:textId="77777777" w:rsidR="00051504" w:rsidRDefault="00051504">
            <w:pPr>
              <w:spacing w:after="0" w:line="240" w:lineRule="auto"/>
              <w:ind w:firstLineChars="100" w:firstLine="210"/>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w:t>
            </w:r>
          </w:p>
        </w:tc>
        <w:tc>
          <w:tcPr>
            <w:tcW w:w="1000" w:type="dxa"/>
            <w:tcBorders>
              <w:top w:val="nil"/>
              <w:left w:val="nil"/>
              <w:bottom w:val="nil"/>
              <w:right w:val="nil"/>
            </w:tcBorders>
            <w:shd w:val="clear" w:color="auto" w:fill="EEF3F8"/>
            <w:noWrap/>
            <w:vAlign w:val="bottom"/>
            <w:hideMark/>
          </w:tcPr>
          <w:p w14:paraId="5D33893A" w14:textId="77777777" w:rsidR="00051504" w:rsidRDefault="00051504">
            <w:pPr>
              <w:spacing w:after="0" w:line="240" w:lineRule="auto"/>
              <w:ind w:firstLineChars="100" w:firstLine="210"/>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w:t>
            </w:r>
          </w:p>
        </w:tc>
        <w:tc>
          <w:tcPr>
            <w:tcW w:w="1000" w:type="dxa"/>
            <w:tcBorders>
              <w:top w:val="nil"/>
              <w:left w:val="nil"/>
              <w:bottom w:val="nil"/>
              <w:right w:val="nil"/>
            </w:tcBorders>
            <w:shd w:val="clear" w:color="auto" w:fill="EEF3F8"/>
            <w:noWrap/>
            <w:vAlign w:val="bottom"/>
            <w:hideMark/>
          </w:tcPr>
          <w:p w14:paraId="1D245D19" w14:textId="77777777" w:rsidR="00051504" w:rsidRDefault="00051504">
            <w:pPr>
              <w:spacing w:after="0" w:line="240" w:lineRule="auto"/>
              <w:ind w:firstLineChars="100" w:firstLine="210"/>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w:t>
            </w:r>
          </w:p>
        </w:tc>
        <w:tc>
          <w:tcPr>
            <w:tcW w:w="1000" w:type="dxa"/>
            <w:tcBorders>
              <w:top w:val="nil"/>
              <w:left w:val="nil"/>
              <w:bottom w:val="nil"/>
              <w:right w:val="single" w:sz="12" w:space="0" w:color="4F81BD"/>
            </w:tcBorders>
            <w:shd w:val="clear" w:color="auto" w:fill="EEF3F8"/>
            <w:noWrap/>
            <w:vAlign w:val="bottom"/>
            <w:hideMark/>
          </w:tcPr>
          <w:p w14:paraId="1714588F" w14:textId="77777777" w:rsidR="00051504" w:rsidRDefault="00051504">
            <w:pPr>
              <w:spacing w:after="0" w:line="240" w:lineRule="auto"/>
              <w:ind w:firstLineChars="100" w:firstLine="210"/>
              <w:jc w:val="righ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w:t>
            </w:r>
          </w:p>
        </w:tc>
      </w:tr>
      <w:tr w:rsidR="00051504" w14:paraId="7AE27248" w14:textId="77777777" w:rsidTr="00051504">
        <w:trPr>
          <w:trHeight w:val="300"/>
        </w:trPr>
        <w:tc>
          <w:tcPr>
            <w:tcW w:w="2080" w:type="dxa"/>
            <w:tcBorders>
              <w:top w:val="nil"/>
              <w:left w:val="single" w:sz="12" w:space="0" w:color="4F81BD"/>
              <w:bottom w:val="single" w:sz="12" w:space="0" w:color="4F81BD"/>
              <w:right w:val="nil"/>
            </w:tcBorders>
            <w:vAlign w:val="bottom"/>
            <w:hideMark/>
          </w:tcPr>
          <w:p w14:paraId="53D2F6D6" w14:textId="77777777" w:rsidR="00051504" w:rsidRDefault="00051504">
            <w:pPr>
              <w:spacing w:after="0" w:line="240" w:lineRule="auto"/>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Celkové náklady</w:t>
            </w:r>
          </w:p>
        </w:tc>
        <w:tc>
          <w:tcPr>
            <w:tcW w:w="1000" w:type="dxa"/>
            <w:tcBorders>
              <w:top w:val="nil"/>
              <w:left w:val="nil"/>
              <w:bottom w:val="single" w:sz="12" w:space="0" w:color="4F81BD"/>
              <w:right w:val="nil"/>
            </w:tcBorders>
            <w:shd w:val="clear" w:color="auto" w:fill="DCE6F1"/>
            <w:noWrap/>
            <w:vAlign w:val="bottom"/>
            <w:hideMark/>
          </w:tcPr>
          <w:p w14:paraId="5F545BDD" w14:textId="77777777" w:rsidR="00051504" w:rsidRDefault="00051504">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420</w:t>
            </w:r>
          </w:p>
        </w:tc>
        <w:tc>
          <w:tcPr>
            <w:tcW w:w="1000" w:type="dxa"/>
            <w:tcBorders>
              <w:top w:val="nil"/>
              <w:left w:val="nil"/>
              <w:bottom w:val="single" w:sz="12" w:space="0" w:color="4F81BD"/>
              <w:right w:val="nil"/>
            </w:tcBorders>
            <w:noWrap/>
            <w:vAlign w:val="bottom"/>
            <w:hideMark/>
          </w:tcPr>
          <w:p w14:paraId="42552240" w14:textId="77777777" w:rsidR="00051504" w:rsidRDefault="00051504">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111</w:t>
            </w:r>
          </w:p>
        </w:tc>
        <w:tc>
          <w:tcPr>
            <w:tcW w:w="1000" w:type="dxa"/>
            <w:tcBorders>
              <w:top w:val="nil"/>
              <w:left w:val="nil"/>
              <w:bottom w:val="single" w:sz="12" w:space="0" w:color="4F81BD"/>
              <w:right w:val="nil"/>
            </w:tcBorders>
            <w:shd w:val="clear" w:color="auto" w:fill="DCE6F1"/>
            <w:noWrap/>
            <w:vAlign w:val="bottom"/>
            <w:hideMark/>
          </w:tcPr>
          <w:p w14:paraId="570FB97B" w14:textId="77777777" w:rsidR="00051504" w:rsidRDefault="00051504">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220</w:t>
            </w:r>
          </w:p>
        </w:tc>
        <w:tc>
          <w:tcPr>
            <w:tcW w:w="1000" w:type="dxa"/>
            <w:tcBorders>
              <w:top w:val="nil"/>
              <w:left w:val="nil"/>
              <w:bottom w:val="single" w:sz="12" w:space="0" w:color="4F81BD"/>
              <w:right w:val="nil"/>
            </w:tcBorders>
            <w:noWrap/>
            <w:vAlign w:val="bottom"/>
            <w:hideMark/>
          </w:tcPr>
          <w:p w14:paraId="114B816C" w14:textId="77777777" w:rsidR="00051504" w:rsidRDefault="00051504">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83</w:t>
            </w:r>
          </w:p>
        </w:tc>
        <w:tc>
          <w:tcPr>
            <w:tcW w:w="1000" w:type="dxa"/>
            <w:tcBorders>
              <w:top w:val="nil"/>
              <w:left w:val="nil"/>
              <w:bottom w:val="single" w:sz="12" w:space="0" w:color="4F81BD"/>
              <w:right w:val="nil"/>
            </w:tcBorders>
            <w:shd w:val="clear" w:color="auto" w:fill="DCE6F1"/>
            <w:noWrap/>
            <w:vAlign w:val="bottom"/>
            <w:hideMark/>
          </w:tcPr>
          <w:p w14:paraId="18B0C8A1" w14:textId="77777777" w:rsidR="00051504" w:rsidRDefault="00051504">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24</w:t>
            </w:r>
          </w:p>
        </w:tc>
        <w:tc>
          <w:tcPr>
            <w:tcW w:w="1000" w:type="dxa"/>
            <w:tcBorders>
              <w:top w:val="nil"/>
              <w:left w:val="nil"/>
              <w:bottom w:val="single" w:sz="12" w:space="0" w:color="4F81BD"/>
              <w:right w:val="nil"/>
            </w:tcBorders>
            <w:noWrap/>
            <w:vAlign w:val="bottom"/>
            <w:hideMark/>
          </w:tcPr>
          <w:p w14:paraId="510D8B66" w14:textId="77777777" w:rsidR="00051504" w:rsidRDefault="00051504">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178</w:t>
            </w:r>
          </w:p>
        </w:tc>
        <w:tc>
          <w:tcPr>
            <w:tcW w:w="1000" w:type="dxa"/>
            <w:tcBorders>
              <w:top w:val="nil"/>
              <w:left w:val="nil"/>
              <w:bottom w:val="single" w:sz="12" w:space="0" w:color="4F81BD"/>
              <w:right w:val="single" w:sz="12" w:space="0" w:color="4F81BD"/>
            </w:tcBorders>
            <w:shd w:val="clear" w:color="auto" w:fill="DCE6F1"/>
            <w:noWrap/>
            <w:vAlign w:val="bottom"/>
            <w:hideMark/>
          </w:tcPr>
          <w:p w14:paraId="0FA9A9C4" w14:textId="77777777" w:rsidR="00051504" w:rsidRDefault="00051504">
            <w:pPr>
              <w:spacing w:after="0" w:line="240" w:lineRule="auto"/>
              <w:jc w:val="right"/>
              <w:rPr>
                <w:rFonts w:ascii="Calibri" w:eastAsia="Times New Roman" w:hAnsi="Calibri" w:cs="Times New Roman"/>
                <w:b/>
                <w:bCs/>
                <w:color w:val="000000"/>
                <w:sz w:val="21"/>
                <w:szCs w:val="21"/>
                <w:lang w:eastAsia="cs-CZ"/>
              </w:rPr>
            </w:pPr>
            <w:r>
              <w:rPr>
                <w:rFonts w:ascii="Calibri" w:eastAsia="Times New Roman" w:hAnsi="Calibri" w:cs="Times New Roman"/>
                <w:b/>
                <w:bCs/>
                <w:color w:val="000000"/>
                <w:sz w:val="21"/>
                <w:szCs w:val="21"/>
                <w:lang w:eastAsia="cs-CZ"/>
              </w:rPr>
              <w:t>58</w:t>
            </w:r>
          </w:p>
        </w:tc>
      </w:tr>
    </w:tbl>
    <w:p w14:paraId="652032BC" w14:textId="77777777" w:rsidR="00C64A87" w:rsidRDefault="00C64A87" w:rsidP="00215E9F">
      <w:pPr>
        <w:pStyle w:val="NADPIS"/>
        <w:spacing w:before="240" w:after="120"/>
        <w:rPr>
          <w:rFonts w:ascii="Arial" w:hAnsi="Arial"/>
        </w:rPr>
      </w:pPr>
    </w:p>
    <w:p w14:paraId="0C69F9B9" w14:textId="77777777" w:rsidR="00C64A87" w:rsidRDefault="00C64A87">
      <w:pPr>
        <w:rPr>
          <w:rFonts w:ascii="Arial" w:eastAsia="Times New Roman" w:hAnsi="Arial" w:cs="Arial"/>
          <w:b/>
          <w:sz w:val="28"/>
          <w:szCs w:val="28"/>
          <w:lang w:eastAsia="cs-CZ"/>
        </w:rPr>
      </w:pPr>
      <w:r>
        <w:rPr>
          <w:rFonts w:ascii="Arial" w:hAnsi="Arial"/>
        </w:rPr>
        <w:br w:type="page"/>
      </w:r>
    </w:p>
    <w:p w14:paraId="31043284" w14:textId="1F47468B" w:rsidR="004E7DEB" w:rsidRPr="00215E9F" w:rsidRDefault="004E7DEB" w:rsidP="00215E9F">
      <w:pPr>
        <w:pStyle w:val="NADPIS"/>
        <w:spacing w:before="240" w:after="120"/>
        <w:rPr>
          <w:rFonts w:ascii="Arial" w:hAnsi="Arial"/>
          <w:b w:val="0"/>
        </w:rPr>
      </w:pPr>
      <w:r w:rsidRPr="00215E9F">
        <w:rPr>
          <w:rFonts w:ascii="Arial" w:hAnsi="Arial"/>
        </w:rPr>
        <w:lastRenderedPageBreak/>
        <w:t>Kontroly a šetření zdravotních pojišťoven v roce 2018</w:t>
      </w:r>
    </w:p>
    <w:p w14:paraId="0912B325" w14:textId="3C52F779" w:rsidR="004E7DEB" w:rsidRPr="00F50DA7" w:rsidRDefault="00C64A87" w:rsidP="00F50DA7">
      <w:pPr>
        <w:spacing w:before="60" w:after="60" w:line="288" w:lineRule="auto"/>
        <w:jc w:val="both"/>
        <w:rPr>
          <w:rFonts w:ascii="Times New Roman" w:hAnsi="Times New Roman" w:cs="Times New Roman"/>
        </w:rPr>
      </w:pPr>
      <w:r>
        <w:rPr>
          <w:rFonts w:ascii="Times New Roman" w:hAnsi="Times New Roman" w:cs="Times New Roman"/>
        </w:rPr>
        <w:t xml:space="preserve">MZ kontroluje ZP </w:t>
      </w:r>
      <w:r w:rsidR="004A7E39">
        <w:rPr>
          <w:rFonts w:ascii="Times New Roman" w:hAnsi="Times New Roman" w:cs="Times New Roman"/>
        </w:rPr>
        <w:t>v součinnosti s MF</w:t>
      </w:r>
      <w:r w:rsidR="004E7DEB" w:rsidRPr="00F50DA7">
        <w:rPr>
          <w:rFonts w:ascii="Times New Roman" w:hAnsi="Times New Roman" w:cs="Times New Roman"/>
        </w:rPr>
        <w:t>. V průběh</w:t>
      </w:r>
      <w:r w:rsidR="004A7E39">
        <w:rPr>
          <w:rFonts w:ascii="Times New Roman" w:hAnsi="Times New Roman" w:cs="Times New Roman"/>
        </w:rPr>
        <w:t>u roku 2018 proběhla kontrola u </w:t>
      </w:r>
      <w:r w:rsidR="004E7DEB" w:rsidRPr="00F50DA7">
        <w:rPr>
          <w:rFonts w:ascii="Times New Roman" w:hAnsi="Times New Roman" w:cs="Times New Roman"/>
        </w:rPr>
        <w:t xml:space="preserve">všech </w:t>
      </w:r>
      <w:r>
        <w:rPr>
          <w:rFonts w:ascii="Times New Roman" w:hAnsi="Times New Roman" w:cs="Times New Roman"/>
        </w:rPr>
        <w:t>ZP</w:t>
      </w:r>
      <w:r w:rsidR="004E7DEB" w:rsidRPr="00F50DA7">
        <w:rPr>
          <w:rFonts w:ascii="Times New Roman" w:hAnsi="Times New Roman" w:cs="Times New Roman"/>
        </w:rPr>
        <w:t>.</w:t>
      </w:r>
    </w:p>
    <w:p w14:paraId="2D6F46F8" w14:textId="7192CB4B" w:rsidR="004E7DEB" w:rsidRPr="00F50DA7" w:rsidRDefault="004E7DEB" w:rsidP="00F50DA7">
      <w:pPr>
        <w:spacing w:before="60" w:after="60" w:line="288" w:lineRule="auto"/>
        <w:jc w:val="both"/>
        <w:rPr>
          <w:rFonts w:ascii="Times New Roman" w:hAnsi="Times New Roman" w:cs="Times New Roman"/>
        </w:rPr>
      </w:pPr>
      <w:r w:rsidRPr="00F50DA7">
        <w:rPr>
          <w:rFonts w:ascii="Times New Roman" w:hAnsi="Times New Roman" w:cs="Times New Roman"/>
        </w:rPr>
        <w:t xml:space="preserve">Kontrolní skupiny provedly průřezová šetření u všech </w:t>
      </w:r>
      <w:r w:rsidR="00C64A87">
        <w:rPr>
          <w:rFonts w:ascii="Times New Roman" w:hAnsi="Times New Roman" w:cs="Times New Roman"/>
        </w:rPr>
        <w:t>ZP</w:t>
      </w:r>
      <w:r w:rsidRPr="00F50DA7">
        <w:rPr>
          <w:rFonts w:ascii="Times New Roman" w:hAnsi="Times New Roman" w:cs="Times New Roman"/>
        </w:rPr>
        <w:t xml:space="preserve"> v těchto oblastech:</w:t>
      </w:r>
    </w:p>
    <w:p w14:paraId="2102583C" w14:textId="77777777" w:rsidR="004E7DEB" w:rsidRPr="00F50DA7" w:rsidRDefault="004E7DEB" w:rsidP="00F50DA7">
      <w:pPr>
        <w:numPr>
          <w:ilvl w:val="0"/>
          <w:numId w:val="30"/>
        </w:numPr>
        <w:spacing w:before="60" w:after="60" w:line="288" w:lineRule="auto"/>
        <w:ind w:left="284" w:hanging="284"/>
        <w:jc w:val="both"/>
        <w:rPr>
          <w:rFonts w:ascii="Times New Roman" w:hAnsi="Times New Roman" w:cs="Times New Roman"/>
        </w:rPr>
      </w:pPr>
      <w:r w:rsidRPr="00F50DA7">
        <w:rPr>
          <w:rFonts w:ascii="Times New Roman" w:hAnsi="Times New Roman" w:cs="Times New Roman"/>
          <w:b/>
        </w:rPr>
        <w:t>Diskriminace poskytovatelů lékárenské péče</w:t>
      </w:r>
      <w:r w:rsidRPr="00F50DA7">
        <w:rPr>
          <w:rFonts w:ascii="Times New Roman" w:hAnsi="Times New Roman" w:cs="Times New Roman"/>
        </w:rPr>
        <w:t xml:space="preserve"> – výdejen zdravotnických potřeb</w:t>
      </w:r>
    </w:p>
    <w:p w14:paraId="71FFBBDA" w14:textId="77777777" w:rsidR="004E7DEB" w:rsidRPr="00F50DA7" w:rsidRDefault="004E7DEB" w:rsidP="00F50DA7">
      <w:pPr>
        <w:numPr>
          <w:ilvl w:val="1"/>
          <w:numId w:val="30"/>
        </w:numPr>
        <w:spacing w:before="60" w:after="60" w:line="288" w:lineRule="auto"/>
        <w:ind w:left="709" w:hanging="283"/>
        <w:jc w:val="both"/>
        <w:rPr>
          <w:rFonts w:ascii="Times New Roman" w:hAnsi="Times New Roman" w:cs="Times New Roman"/>
        </w:rPr>
      </w:pPr>
      <w:r w:rsidRPr="00F50DA7">
        <w:rPr>
          <w:rFonts w:ascii="Times New Roman" w:hAnsi="Times New Roman" w:cs="Times New Roman"/>
        </w:rPr>
        <w:t>Závěr kontroly: Právní úprava není chápána v ZP jednotně, což může vést k diskriminaci výdejen zdravotnických prostředků. Na základě kontrolního zjištění byla přijata novelizace zákona, která tuto nerovnost a potenciální nehospodárné nakládání s veřejnými prostředky odstraňuje.</w:t>
      </w:r>
    </w:p>
    <w:p w14:paraId="7AD69407" w14:textId="68BCDA27" w:rsidR="004E7DEB" w:rsidRPr="00F50DA7" w:rsidRDefault="004E7DEB" w:rsidP="00F50DA7">
      <w:pPr>
        <w:numPr>
          <w:ilvl w:val="0"/>
          <w:numId w:val="30"/>
        </w:numPr>
        <w:spacing w:before="60" w:after="60" w:line="288" w:lineRule="auto"/>
        <w:jc w:val="both"/>
        <w:rPr>
          <w:rFonts w:ascii="Times New Roman" w:hAnsi="Times New Roman" w:cs="Times New Roman"/>
        </w:rPr>
      </w:pPr>
      <w:r w:rsidRPr="00F50DA7">
        <w:rPr>
          <w:rFonts w:ascii="Times New Roman" w:hAnsi="Times New Roman" w:cs="Times New Roman"/>
          <w:b/>
        </w:rPr>
        <w:t>Místní a časová dostupnost zdravotních služeb</w:t>
      </w:r>
      <w:r w:rsidRPr="00F50DA7">
        <w:rPr>
          <w:rFonts w:ascii="Times New Roman" w:hAnsi="Times New Roman" w:cs="Times New Roman"/>
        </w:rPr>
        <w:t xml:space="preserve"> (šetření proběhlo v roce 2018, poté zahájena kontrola, která skončí </w:t>
      </w:r>
      <w:r w:rsidR="00631F23">
        <w:rPr>
          <w:rFonts w:ascii="Times New Roman" w:hAnsi="Times New Roman" w:cs="Times New Roman"/>
        </w:rPr>
        <w:t>v červenci 2019</w:t>
      </w:r>
      <w:r w:rsidRPr="00F50DA7">
        <w:rPr>
          <w:rFonts w:ascii="Times New Roman" w:hAnsi="Times New Roman" w:cs="Times New Roman"/>
        </w:rPr>
        <w:t>)</w:t>
      </w:r>
    </w:p>
    <w:p w14:paraId="14F9B7DF" w14:textId="5FBFA533" w:rsidR="004E7DEB" w:rsidRPr="00F50DA7" w:rsidRDefault="004E7DEB" w:rsidP="00C64A87">
      <w:pPr>
        <w:numPr>
          <w:ilvl w:val="1"/>
          <w:numId w:val="30"/>
        </w:numPr>
        <w:spacing w:after="0" w:line="288" w:lineRule="auto"/>
        <w:ind w:left="782" w:hanging="357"/>
        <w:jc w:val="both"/>
        <w:rPr>
          <w:rFonts w:ascii="Times New Roman" w:hAnsi="Times New Roman" w:cs="Times New Roman"/>
        </w:rPr>
      </w:pPr>
      <w:r w:rsidRPr="00F50DA7">
        <w:rPr>
          <w:rFonts w:ascii="Times New Roman" w:hAnsi="Times New Roman" w:cs="Times New Roman"/>
        </w:rPr>
        <w:t xml:space="preserve">Kontrola probíhá, předběžně konstatujeme určitou laxnost zdravotních pojišťoven při řešení dostupnosti zdravotních služeb. Výsledkem kontroly bude pravděpodobně navržení změny legislativy: ZP budou povinně stížnosti na nedostupnost péče evidovat, uvádět je do výročních zpráv, MZ bude vyřízení stížností kontrolovat. </w:t>
      </w:r>
    </w:p>
    <w:p w14:paraId="4B0FAC12" w14:textId="496F02D8" w:rsidR="004E7DEB" w:rsidRPr="00F50DA7" w:rsidRDefault="004E7DEB" w:rsidP="00C64A87">
      <w:pPr>
        <w:numPr>
          <w:ilvl w:val="1"/>
          <w:numId w:val="30"/>
        </w:numPr>
        <w:spacing w:after="0" w:line="288" w:lineRule="auto"/>
        <w:ind w:left="782" w:hanging="357"/>
        <w:jc w:val="both"/>
        <w:rPr>
          <w:rFonts w:ascii="Times New Roman" w:hAnsi="Times New Roman" w:cs="Times New Roman"/>
        </w:rPr>
      </w:pPr>
      <w:r w:rsidRPr="00F50DA7">
        <w:rPr>
          <w:rFonts w:ascii="Times New Roman" w:hAnsi="Times New Roman" w:cs="Times New Roman"/>
        </w:rPr>
        <w:t xml:space="preserve">Aktuálně jsme rovněž přijali nový přístup k řešení stížností pojištěnců adresovaných přímo MZ: každou stížnost předáme ZP k povinnému vyřízení, které v reálném čase monitorujeme.  </w:t>
      </w:r>
    </w:p>
    <w:p w14:paraId="33490203" w14:textId="672D4EB0" w:rsidR="004E7DEB" w:rsidRPr="00F50DA7" w:rsidRDefault="004E7DEB" w:rsidP="00F50DA7">
      <w:pPr>
        <w:numPr>
          <w:ilvl w:val="0"/>
          <w:numId w:val="30"/>
        </w:numPr>
        <w:spacing w:before="60" w:after="60" w:line="288" w:lineRule="auto"/>
        <w:jc w:val="both"/>
        <w:rPr>
          <w:rFonts w:ascii="Times New Roman" w:hAnsi="Times New Roman" w:cs="Times New Roman"/>
          <w:b/>
        </w:rPr>
      </w:pPr>
      <w:r w:rsidRPr="00F50DA7">
        <w:rPr>
          <w:rFonts w:ascii="Times New Roman" w:hAnsi="Times New Roman" w:cs="Times New Roman"/>
          <w:b/>
        </w:rPr>
        <w:t>„Poskytování záštit a partnerství zdravotními pojišťovnami na různé akce“ a „Dodávky nezdravotních služeb či zboží, kdy nedochází dlouhodobě k „</w:t>
      </w:r>
      <w:proofErr w:type="spellStart"/>
      <w:r w:rsidRPr="00F50DA7">
        <w:rPr>
          <w:rFonts w:ascii="Times New Roman" w:hAnsi="Times New Roman" w:cs="Times New Roman"/>
          <w:b/>
        </w:rPr>
        <w:t>přesoutěžení</w:t>
      </w:r>
      <w:proofErr w:type="spellEnd"/>
      <w:r w:rsidRPr="00F50DA7">
        <w:rPr>
          <w:rFonts w:ascii="Times New Roman" w:hAnsi="Times New Roman" w:cs="Times New Roman"/>
          <w:b/>
        </w:rPr>
        <w:t>“ dodavatele a</w:t>
      </w:r>
      <w:r w:rsidR="00A87F98">
        <w:rPr>
          <w:rFonts w:ascii="Times New Roman" w:hAnsi="Times New Roman" w:cs="Times New Roman"/>
          <w:b/>
        </w:rPr>
        <w:t> </w:t>
      </w:r>
      <w:r w:rsidRPr="00F50DA7">
        <w:rPr>
          <w:rFonts w:ascii="Times New Roman" w:hAnsi="Times New Roman" w:cs="Times New Roman"/>
          <w:b/>
        </w:rPr>
        <w:t>využívání jednacího řízení bez uveřejnění“</w:t>
      </w:r>
    </w:p>
    <w:p w14:paraId="12DEEDE8" w14:textId="28CF7B09" w:rsidR="00D86F81" w:rsidRDefault="004E7DEB" w:rsidP="00C64A87">
      <w:pPr>
        <w:numPr>
          <w:ilvl w:val="1"/>
          <w:numId w:val="30"/>
        </w:numPr>
        <w:spacing w:after="0" w:line="288" w:lineRule="auto"/>
        <w:ind w:left="782" w:hanging="357"/>
        <w:jc w:val="both"/>
        <w:rPr>
          <w:rFonts w:ascii="Times New Roman" w:hAnsi="Times New Roman" w:cs="Times New Roman"/>
        </w:rPr>
      </w:pPr>
      <w:r w:rsidRPr="00F50DA7">
        <w:rPr>
          <w:rFonts w:ascii="Times New Roman" w:hAnsi="Times New Roman" w:cs="Times New Roman"/>
        </w:rPr>
        <w:t>Jako výsledek kontroly</w:t>
      </w:r>
      <w:r w:rsidR="00C64A87" w:rsidRPr="00C64A87">
        <w:t xml:space="preserve"> </w:t>
      </w:r>
      <w:r w:rsidR="00C64A87" w:rsidRPr="00C64A87">
        <w:rPr>
          <w:rFonts w:ascii="Times New Roman" w:hAnsi="Times New Roman" w:cs="Times New Roman"/>
        </w:rPr>
        <w:t>např. ZP</w:t>
      </w:r>
      <w:r w:rsidR="00C64A87">
        <w:rPr>
          <w:rFonts w:ascii="Times New Roman" w:hAnsi="Times New Roman" w:cs="Times New Roman"/>
        </w:rPr>
        <w:t xml:space="preserve"> </w:t>
      </w:r>
      <w:r w:rsidR="00C64A87" w:rsidRPr="00C64A87">
        <w:rPr>
          <w:rFonts w:ascii="Times New Roman" w:hAnsi="Times New Roman" w:cs="Times New Roman"/>
        </w:rPr>
        <w:t xml:space="preserve">MV ČR předložila ke schválení </w:t>
      </w:r>
      <w:proofErr w:type="spellStart"/>
      <w:r w:rsidR="00C64A87" w:rsidRPr="00C64A87">
        <w:rPr>
          <w:rFonts w:ascii="Times New Roman" w:hAnsi="Times New Roman" w:cs="Times New Roman"/>
        </w:rPr>
        <w:t>přesoutěžení</w:t>
      </w:r>
      <w:proofErr w:type="spellEnd"/>
      <w:r w:rsidR="00C64A87" w:rsidRPr="00C64A87">
        <w:rPr>
          <w:rFonts w:ascii="Times New Roman" w:hAnsi="Times New Roman" w:cs="Times New Roman"/>
        </w:rPr>
        <w:t xml:space="preserve"> dvou IT zakázek po 20 letech. Ročně mají hodnotu cca 13 mil. Kč.</w:t>
      </w:r>
      <w:r w:rsidR="00D86F81">
        <w:rPr>
          <w:rFonts w:ascii="Times New Roman" w:hAnsi="Times New Roman" w:cs="Times New Roman"/>
        </w:rPr>
        <w:t xml:space="preserve"> </w:t>
      </w:r>
    </w:p>
    <w:p w14:paraId="0D599555" w14:textId="77777777" w:rsidR="004E7DEB" w:rsidRPr="00724EC2" w:rsidRDefault="004E7DEB" w:rsidP="00C64A87">
      <w:pPr>
        <w:numPr>
          <w:ilvl w:val="1"/>
          <w:numId w:val="30"/>
        </w:numPr>
        <w:spacing w:after="0" w:line="288" w:lineRule="auto"/>
        <w:ind w:left="782" w:hanging="357"/>
        <w:jc w:val="both"/>
        <w:rPr>
          <w:rFonts w:ascii="Times New Roman" w:hAnsi="Times New Roman" w:cs="Times New Roman"/>
        </w:rPr>
      </w:pPr>
      <w:r w:rsidRPr="00724EC2">
        <w:rPr>
          <w:rFonts w:ascii="Times New Roman" w:hAnsi="Times New Roman" w:cs="Times New Roman"/>
        </w:rPr>
        <w:t>U VZP ČR byly zjištěny rámcové smlouvy uzavřené pravděpodobně v rozporu se zákonem o</w:t>
      </w:r>
      <w:r w:rsidR="00625C5F" w:rsidRPr="00724EC2">
        <w:rPr>
          <w:rFonts w:ascii="Times New Roman" w:hAnsi="Times New Roman" w:cs="Times New Roman"/>
        </w:rPr>
        <w:t> </w:t>
      </w:r>
      <w:r w:rsidRPr="00724EC2">
        <w:rPr>
          <w:rFonts w:ascii="Times New Roman" w:hAnsi="Times New Roman" w:cs="Times New Roman"/>
        </w:rPr>
        <w:t>veřejných zakázkách. Tuto skutečnost prověřujeme.</w:t>
      </w:r>
    </w:p>
    <w:p w14:paraId="40C28C43" w14:textId="77777777" w:rsidR="004E7DEB" w:rsidRPr="00D542A2" w:rsidRDefault="004E7DEB" w:rsidP="00D86F81">
      <w:pPr>
        <w:pStyle w:val="Odstavecseseznamem"/>
        <w:numPr>
          <w:ilvl w:val="0"/>
          <w:numId w:val="30"/>
        </w:numPr>
        <w:spacing w:before="60" w:after="60" w:line="288" w:lineRule="auto"/>
        <w:ind w:left="357"/>
        <w:contextualSpacing w:val="0"/>
        <w:jc w:val="both"/>
        <w:rPr>
          <w:sz w:val="22"/>
          <w:szCs w:val="22"/>
        </w:rPr>
      </w:pPr>
      <w:r w:rsidRPr="00D542A2">
        <w:rPr>
          <w:sz w:val="22"/>
          <w:szCs w:val="22"/>
        </w:rPr>
        <w:t>U RBP, OZP a ČPZP proběhly kontroly zaměřené na plnění nápravných opatření z předchozích kontrol.</w:t>
      </w:r>
    </w:p>
    <w:p w14:paraId="028BAA87" w14:textId="25E92637" w:rsidR="00F136AF" w:rsidRPr="00D542A2" w:rsidRDefault="004E7DEB" w:rsidP="00B43DF6">
      <w:pPr>
        <w:pStyle w:val="Odstavecseseznamem"/>
        <w:numPr>
          <w:ilvl w:val="0"/>
          <w:numId w:val="30"/>
        </w:numPr>
        <w:spacing w:before="60" w:after="60" w:line="288" w:lineRule="auto"/>
        <w:ind w:left="357"/>
        <w:contextualSpacing w:val="0"/>
        <w:jc w:val="both"/>
        <w:rPr>
          <w:sz w:val="22"/>
          <w:szCs w:val="22"/>
        </w:rPr>
      </w:pPr>
      <w:r w:rsidRPr="00D542A2">
        <w:rPr>
          <w:sz w:val="22"/>
          <w:szCs w:val="22"/>
        </w:rPr>
        <w:t xml:space="preserve">U </w:t>
      </w:r>
      <w:proofErr w:type="spellStart"/>
      <w:r w:rsidRPr="00D542A2">
        <w:rPr>
          <w:sz w:val="22"/>
          <w:szCs w:val="22"/>
        </w:rPr>
        <w:t>VoZP</w:t>
      </w:r>
      <w:proofErr w:type="spellEnd"/>
      <w:r w:rsidRPr="00D542A2">
        <w:rPr>
          <w:sz w:val="22"/>
          <w:szCs w:val="22"/>
        </w:rPr>
        <w:t xml:space="preserve"> </w:t>
      </w:r>
      <w:r w:rsidR="00F136AF" w:rsidRPr="00D542A2">
        <w:rPr>
          <w:sz w:val="22"/>
          <w:szCs w:val="22"/>
        </w:rPr>
        <w:t xml:space="preserve">ČR </w:t>
      </w:r>
      <w:r w:rsidRPr="00D542A2">
        <w:rPr>
          <w:sz w:val="22"/>
          <w:szCs w:val="22"/>
        </w:rPr>
        <w:t xml:space="preserve">proběhla kontrola, která se zabývala mj. smluvním vztahem s Proton </w:t>
      </w:r>
      <w:proofErr w:type="spellStart"/>
      <w:r w:rsidRPr="00D542A2">
        <w:rPr>
          <w:sz w:val="22"/>
          <w:szCs w:val="22"/>
        </w:rPr>
        <w:t>Therapy</w:t>
      </w:r>
      <w:proofErr w:type="spellEnd"/>
      <w:r w:rsidRPr="00D542A2">
        <w:rPr>
          <w:sz w:val="22"/>
          <w:szCs w:val="22"/>
        </w:rPr>
        <w:t xml:space="preserve"> Center</w:t>
      </w:r>
      <w:r w:rsidR="00C145C9" w:rsidRPr="00D542A2">
        <w:rPr>
          <w:sz w:val="22"/>
          <w:szCs w:val="22"/>
        </w:rPr>
        <w:t xml:space="preserve"> </w:t>
      </w:r>
      <w:r w:rsidRPr="00D542A2">
        <w:rPr>
          <w:sz w:val="22"/>
          <w:szCs w:val="22"/>
        </w:rPr>
        <w:t>Prague</w:t>
      </w:r>
      <w:r w:rsidR="00C145C9" w:rsidRPr="00D542A2">
        <w:rPr>
          <w:sz w:val="22"/>
          <w:szCs w:val="22"/>
        </w:rPr>
        <w:t xml:space="preserve"> (PTC)</w:t>
      </w:r>
      <w:r w:rsidRPr="00D542A2">
        <w:rPr>
          <w:sz w:val="22"/>
          <w:szCs w:val="22"/>
        </w:rPr>
        <w:t xml:space="preserve">. Kontrola konstatovala naprostý chaos ve smluvní dokumentaci, neplnění povinností plynoucích ze smlouvy ze strany PTC. Kontrola konstatovala, že smlouva od roku 2016 neodpovídá platné legislativě a podpořila tím snahu </w:t>
      </w:r>
      <w:proofErr w:type="spellStart"/>
      <w:r w:rsidRPr="00D542A2">
        <w:rPr>
          <w:sz w:val="22"/>
          <w:szCs w:val="22"/>
        </w:rPr>
        <w:t>VoZP</w:t>
      </w:r>
      <w:proofErr w:type="spellEnd"/>
      <w:r w:rsidR="00215E9F">
        <w:rPr>
          <w:sz w:val="22"/>
          <w:szCs w:val="22"/>
        </w:rPr>
        <w:t xml:space="preserve"> ČR</w:t>
      </w:r>
      <w:r w:rsidRPr="00D542A2">
        <w:rPr>
          <w:sz w:val="22"/>
          <w:szCs w:val="22"/>
        </w:rPr>
        <w:t xml:space="preserve"> o </w:t>
      </w:r>
      <w:proofErr w:type="spellStart"/>
      <w:r w:rsidRPr="00D542A2">
        <w:rPr>
          <w:sz w:val="22"/>
          <w:szCs w:val="22"/>
        </w:rPr>
        <w:t>renegociaci</w:t>
      </w:r>
      <w:proofErr w:type="spellEnd"/>
      <w:r w:rsidRPr="00D542A2">
        <w:rPr>
          <w:sz w:val="22"/>
          <w:szCs w:val="22"/>
        </w:rPr>
        <w:t xml:space="preserve"> smluvního ujednání.</w:t>
      </w:r>
      <w:r w:rsidR="00F136AF" w:rsidRPr="00D542A2">
        <w:rPr>
          <w:sz w:val="22"/>
          <w:szCs w:val="22"/>
        </w:rPr>
        <w:t xml:space="preserve"> </w:t>
      </w:r>
      <w:r w:rsidR="00F136AF" w:rsidRPr="00D542A2">
        <w:rPr>
          <w:color w:val="000000" w:themeColor="text1"/>
          <w:sz w:val="22"/>
          <w:szCs w:val="22"/>
        </w:rPr>
        <w:t>Kontrola taktéž konstatovala nedodržování zákona o veřejných zakázkách v oblasti poskytování právních služe</w:t>
      </w:r>
      <w:r w:rsidR="00C64A87">
        <w:rPr>
          <w:color w:val="000000" w:themeColor="text1"/>
          <w:sz w:val="22"/>
          <w:szCs w:val="22"/>
        </w:rPr>
        <w:t>b a poradenství. Mezi roky 2011</w:t>
      </w:r>
      <w:r w:rsidR="00F136AF" w:rsidRPr="00D542A2">
        <w:rPr>
          <w:color w:val="000000" w:themeColor="text1"/>
          <w:sz w:val="22"/>
          <w:szCs w:val="22"/>
        </w:rPr>
        <w:t xml:space="preserve">–2016 poptávala </w:t>
      </w:r>
      <w:r w:rsidR="00B43DF6" w:rsidRPr="00D542A2">
        <w:rPr>
          <w:color w:val="000000" w:themeColor="text1"/>
          <w:sz w:val="22"/>
          <w:szCs w:val="22"/>
        </w:rPr>
        <w:t xml:space="preserve">tyto služby </w:t>
      </w:r>
      <w:r w:rsidR="00F136AF" w:rsidRPr="00D542A2">
        <w:rPr>
          <w:color w:val="000000" w:themeColor="text1"/>
          <w:sz w:val="22"/>
          <w:szCs w:val="22"/>
        </w:rPr>
        <w:t xml:space="preserve">za hodinovou sazbu, která neprošla tržním atestem, respektive nebyly na trhu zhodnoceny nabídky </w:t>
      </w:r>
      <w:r w:rsidR="00B43DF6" w:rsidRPr="00D542A2">
        <w:rPr>
          <w:color w:val="000000" w:themeColor="text1"/>
          <w:sz w:val="22"/>
          <w:szCs w:val="22"/>
        </w:rPr>
        <w:t xml:space="preserve">subjektů. </w:t>
      </w:r>
      <w:r w:rsidR="00F136AF" w:rsidRPr="00D542A2">
        <w:rPr>
          <w:color w:val="000000" w:themeColor="text1"/>
          <w:sz w:val="22"/>
          <w:szCs w:val="22"/>
        </w:rPr>
        <w:t xml:space="preserve">Uvedené poradenství se navíc skládalo z činností, které měly být zajišťovány interním právním útvarem </w:t>
      </w:r>
      <w:r w:rsidR="00B43DF6" w:rsidRPr="00D542A2">
        <w:rPr>
          <w:color w:val="000000" w:themeColor="text1"/>
          <w:sz w:val="22"/>
          <w:szCs w:val="22"/>
        </w:rPr>
        <w:t>pojišťovny</w:t>
      </w:r>
      <w:r w:rsidR="00F136AF" w:rsidRPr="00D542A2">
        <w:rPr>
          <w:color w:val="000000" w:themeColor="text1"/>
          <w:sz w:val="22"/>
          <w:szCs w:val="22"/>
        </w:rPr>
        <w:t xml:space="preserve">. Celkově se jednalo o sumu cca 30 mil. Kč, která byla vyplacena v rozporu se zákonem upravující zadávání veřejných zakázek a zákonem o finanční kontrole. Vzhledem k těmto skutečnostem podalo </w:t>
      </w:r>
      <w:r w:rsidR="00C64A87">
        <w:rPr>
          <w:color w:val="000000" w:themeColor="text1"/>
          <w:sz w:val="22"/>
          <w:szCs w:val="22"/>
        </w:rPr>
        <w:t>MF</w:t>
      </w:r>
      <w:r w:rsidR="00F136AF" w:rsidRPr="00D542A2">
        <w:rPr>
          <w:color w:val="000000" w:themeColor="text1"/>
          <w:sz w:val="22"/>
          <w:szCs w:val="22"/>
        </w:rPr>
        <w:t xml:space="preserve"> trestní oznámení. </w:t>
      </w:r>
    </w:p>
    <w:p w14:paraId="4319BBC2" w14:textId="6AB6DD9C" w:rsidR="00F136AF" w:rsidRPr="00D542A2" w:rsidRDefault="00724EC2" w:rsidP="00F136AF">
      <w:pPr>
        <w:pStyle w:val="Odstavecseseznamem"/>
        <w:numPr>
          <w:ilvl w:val="0"/>
          <w:numId w:val="30"/>
        </w:numPr>
        <w:spacing w:before="60" w:after="60" w:line="288" w:lineRule="auto"/>
        <w:ind w:left="357"/>
        <w:contextualSpacing w:val="0"/>
        <w:jc w:val="both"/>
        <w:rPr>
          <w:color w:val="000000" w:themeColor="text1"/>
          <w:sz w:val="22"/>
          <w:szCs w:val="22"/>
        </w:rPr>
      </w:pPr>
      <w:r w:rsidRPr="00D542A2">
        <w:rPr>
          <w:color w:val="000000" w:themeColor="text1"/>
          <w:sz w:val="22"/>
          <w:szCs w:val="22"/>
        </w:rPr>
        <w:t>U ZPŠ a ZP</w:t>
      </w:r>
      <w:r w:rsidR="004A7E39">
        <w:rPr>
          <w:color w:val="000000" w:themeColor="text1"/>
          <w:sz w:val="22"/>
          <w:szCs w:val="22"/>
        </w:rPr>
        <w:t xml:space="preserve"> </w:t>
      </w:r>
      <w:r w:rsidRPr="00D542A2">
        <w:rPr>
          <w:color w:val="000000" w:themeColor="text1"/>
          <w:sz w:val="22"/>
          <w:szCs w:val="22"/>
        </w:rPr>
        <w:t>MV ČR proběhla hloubková kontrola hospodaření, která se zaměřila především na dodržování vlastních interních směrnic, oběh účetních dokladů, dodržování zákona o finanční kontrole, dodržování zákona o veřejných zakázkách, posouzení efektivnosti a účelnosti využívání vyčleněných zdrojů z </w:t>
      </w:r>
      <w:proofErr w:type="spellStart"/>
      <w:r w:rsidRPr="00D542A2">
        <w:rPr>
          <w:color w:val="000000" w:themeColor="text1"/>
          <w:sz w:val="22"/>
          <w:szCs w:val="22"/>
        </w:rPr>
        <w:t>F</w:t>
      </w:r>
      <w:r w:rsidR="00C64A87">
        <w:rPr>
          <w:color w:val="000000" w:themeColor="text1"/>
          <w:sz w:val="22"/>
          <w:szCs w:val="22"/>
        </w:rPr>
        <w:t>prev</w:t>
      </w:r>
      <w:proofErr w:type="spellEnd"/>
      <w:r w:rsidRPr="00D542A2">
        <w:rPr>
          <w:color w:val="000000" w:themeColor="text1"/>
          <w:sz w:val="22"/>
          <w:szCs w:val="22"/>
        </w:rPr>
        <w:t xml:space="preserve">. Nálezy z kontrol </w:t>
      </w:r>
      <w:r w:rsidR="00C64A87">
        <w:rPr>
          <w:color w:val="000000" w:themeColor="text1"/>
          <w:sz w:val="22"/>
          <w:szCs w:val="22"/>
        </w:rPr>
        <w:t>ZP</w:t>
      </w:r>
      <w:r w:rsidRPr="00D542A2">
        <w:rPr>
          <w:color w:val="000000" w:themeColor="text1"/>
          <w:sz w:val="22"/>
          <w:szCs w:val="22"/>
        </w:rPr>
        <w:t xml:space="preserve"> obvykle ještě v průběhu kontroly odstranily.</w:t>
      </w:r>
    </w:p>
    <w:p w14:paraId="2A221C10" w14:textId="43106871" w:rsidR="00D86F81" w:rsidRPr="00C64A87" w:rsidRDefault="00C145C9" w:rsidP="00C64A87">
      <w:pPr>
        <w:pStyle w:val="Odstavecseseznamem"/>
        <w:numPr>
          <w:ilvl w:val="0"/>
          <w:numId w:val="30"/>
        </w:numPr>
        <w:spacing w:before="60" w:after="60" w:line="288" w:lineRule="auto"/>
        <w:contextualSpacing w:val="0"/>
        <w:jc w:val="both"/>
      </w:pPr>
      <w:r w:rsidRPr="00C64A87">
        <w:rPr>
          <w:color w:val="000000" w:themeColor="text1"/>
          <w:sz w:val="22"/>
          <w:szCs w:val="22"/>
        </w:rPr>
        <w:t>Na základě zjištění z kontroly ZP</w:t>
      </w:r>
      <w:r w:rsidR="004A7E39" w:rsidRPr="00C64A87">
        <w:rPr>
          <w:color w:val="000000" w:themeColor="text1"/>
          <w:sz w:val="22"/>
          <w:szCs w:val="22"/>
        </w:rPr>
        <w:t xml:space="preserve"> </w:t>
      </w:r>
      <w:r w:rsidRPr="00C64A87">
        <w:rPr>
          <w:color w:val="000000" w:themeColor="text1"/>
          <w:sz w:val="22"/>
          <w:szCs w:val="22"/>
        </w:rPr>
        <w:t>MV</w:t>
      </w:r>
      <w:r w:rsidR="004A7E39" w:rsidRPr="00C64A87">
        <w:rPr>
          <w:color w:val="000000" w:themeColor="text1"/>
          <w:sz w:val="22"/>
          <w:szCs w:val="22"/>
        </w:rPr>
        <w:t xml:space="preserve"> ČR</w:t>
      </w:r>
      <w:r w:rsidRPr="00C64A87">
        <w:rPr>
          <w:color w:val="000000" w:themeColor="text1"/>
          <w:sz w:val="22"/>
          <w:szCs w:val="22"/>
        </w:rPr>
        <w:t xml:space="preserve"> přistoupily ZP k aplikaci zákona o kybernetické bezpečnosti. </w:t>
      </w:r>
    </w:p>
    <w:p w14:paraId="799B6E59" w14:textId="77777777" w:rsidR="00902FD8" w:rsidRPr="00215E9F" w:rsidRDefault="00902FD8" w:rsidP="00215E9F">
      <w:pPr>
        <w:pStyle w:val="NADPIS"/>
        <w:spacing w:before="240" w:after="120"/>
        <w:rPr>
          <w:rFonts w:ascii="Arial" w:hAnsi="Arial"/>
        </w:rPr>
      </w:pPr>
      <w:r w:rsidRPr="00215E9F">
        <w:rPr>
          <w:rFonts w:ascii="Arial" w:hAnsi="Arial"/>
        </w:rPr>
        <w:lastRenderedPageBreak/>
        <w:t xml:space="preserve">Závěr </w:t>
      </w:r>
    </w:p>
    <w:p w14:paraId="5AE532AF" w14:textId="77777777" w:rsidR="003F49BA" w:rsidRPr="00B9182D" w:rsidRDefault="002F6476" w:rsidP="009734E3">
      <w:pPr>
        <w:pStyle w:val="TEXT"/>
        <w:rPr>
          <w:szCs w:val="22"/>
        </w:rPr>
      </w:pPr>
      <w:r w:rsidRPr="00B9182D">
        <w:rPr>
          <w:szCs w:val="22"/>
        </w:rPr>
        <w:t>S</w:t>
      </w:r>
      <w:r w:rsidR="003F49BA" w:rsidRPr="00B9182D">
        <w:rPr>
          <w:szCs w:val="22"/>
        </w:rPr>
        <w:t xml:space="preserve">ystém </w:t>
      </w:r>
      <w:r w:rsidRPr="00B9182D">
        <w:rPr>
          <w:szCs w:val="22"/>
        </w:rPr>
        <w:t>veřejného zdravotního pojištění dosáhl</w:t>
      </w:r>
      <w:r w:rsidR="00121648" w:rsidRPr="00B9182D">
        <w:rPr>
          <w:szCs w:val="22"/>
        </w:rPr>
        <w:t xml:space="preserve"> v roce 201</w:t>
      </w:r>
      <w:r w:rsidR="004B23FF" w:rsidRPr="00B9182D">
        <w:rPr>
          <w:szCs w:val="22"/>
        </w:rPr>
        <w:t>8</w:t>
      </w:r>
      <w:r w:rsidRPr="00B9182D">
        <w:rPr>
          <w:szCs w:val="22"/>
        </w:rPr>
        <w:t xml:space="preserve"> </w:t>
      </w:r>
      <w:r w:rsidR="003F49BA" w:rsidRPr="00B9182D">
        <w:rPr>
          <w:szCs w:val="22"/>
        </w:rPr>
        <w:t>kladného salda hospodaření</w:t>
      </w:r>
      <w:r w:rsidR="00EF1353" w:rsidRPr="00B9182D">
        <w:rPr>
          <w:szCs w:val="22"/>
        </w:rPr>
        <w:t xml:space="preserve"> v hotovostní metodice</w:t>
      </w:r>
      <w:r w:rsidR="00E96EB4" w:rsidRPr="00B9182D">
        <w:rPr>
          <w:szCs w:val="22"/>
        </w:rPr>
        <w:t xml:space="preserve"> </w:t>
      </w:r>
      <w:r w:rsidR="00990491" w:rsidRPr="00B9182D">
        <w:rPr>
          <w:szCs w:val="22"/>
        </w:rPr>
        <w:t>14,5</w:t>
      </w:r>
      <w:r w:rsidR="00E96EB4" w:rsidRPr="00B9182D">
        <w:rPr>
          <w:szCs w:val="22"/>
        </w:rPr>
        <w:t xml:space="preserve"> mld</w:t>
      </w:r>
      <w:r w:rsidR="005A4605" w:rsidRPr="00B9182D">
        <w:rPr>
          <w:szCs w:val="22"/>
        </w:rPr>
        <w:t>.</w:t>
      </w:r>
      <w:r w:rsidR="00E96EB4" w:rsidRPr="00B9182D">
        <w:rPr>
          <w:szCs w:val="22"/>
        </w:rPr>
        <w:t xml:space="preserve"> Kč</w:t>
      </w:r>
      <w:r w:rsidR="007344FE" w:rsidRPr="00B9182D">
        <w:rPr>
          <w:szCs w:val="22"/>
        </w:rPr>
        <w:t>,</w:t>
      </w:r>
      <w:r w:rsidR="005E78F6" w:rsidRPr="00B9182D">
        <w:rPr>
          <w:szCs w:val="22"/>
        </w:rPr>
        <w:t xml:space="preserve"> a </w:t>
      </w:r>
      <w:r w:rsidR="00DD310B" w:rsidRPr="00B9182D">
        <w:rPr>
          <w:szCs w:val="22"/>
        </w:rPr>
        <w:t xml:space="preserve">proto </w:t>
      </w:r>
      <w:r w:rsidR="007908C4" w:rsidRPr="00B9182D">
        <w:rPr>
          <w:szCs w:val="22"/>
        </w:rPr>
        <w:t>jako součást</w:t>
      </w:r>
      <w:r w:rsidR="00121648" w:rsidRPr="00B9182D">
        <w:rPr>
          <w:szCs w:val="22"/>
        </w:rPr>
        <w:t xml:space="preserve"> </w:t>
      </w:r>
      <w:r w:rsidR="00DD310B" w:rsidRPr="00B9182D">
        <w:rPr>
          <w:szCs w:val="22"/>
        </w:rPr>
        <w:t>vládního sektoru</w:t>
      </w:r>
      <w:r w:rsidR="00121648" w:rsidRPr="00B9182D">
        <w:rPr>
          <w:szCs w:val="22"/>
        </w:rPr>
        <w:t xml:space="preserve"> </w:t>
      </w:r>
      <w:r w:rsidR="007908C4" w:rsidRPr="00B9182D">
        <w:rPr>
          <w:szCs w:val="22"/>
        </w:rPr>
        <w:t>nepředstavoval riziko pro</w:t>
      </w:r>
      <w:r w:rsidR="00AA6CAD">
        <w:rPr>
          <w:szCs w:val="22"/>
        </w:rPr>
        <w:t> </w:t>
      </w:r>
      <w:r w:rsidR="007908C4" w:rsidRPr="00B9182D">
        <w:rPr>
          <w:szCs w:val="22"/>
        </w:rPr>
        <w:t xml:space="preserve">dosažení fiskálního cíle </w:t>
      </w:r>
      <w:r w:rsidR="005E78F6" w:rsidRPr="00B9182D">
        <w:rPr>
          <w:szCs w:val="22"/>
        </w:rPr>
        <w:t>vlády</w:t>
      </w:r>
      <w:r w:rsidR="007908C4" w:rsidRPr="00B9182D">
        <w:rPr>
          <w:szCs w:val="22"/>
        </w:rPr>
        <w:t>.</w:t>
      </w:r>
      <w:r w:rsidR="003F49BA" w:rsidRPr="00B9182D">
        <w:rPr>
          <w:szCs w:val="22"/>
        </w:rPr>
        <w:t xml:space="preserve"> </w:t>
      </w:r>
      <w:r w:rsidR="00990491" w:rsidRPr="00B9182D">
        <w:rPr>
          <w:szCs w:val="22"/>
        </w:rPr>
        <w:t>Systém v</w:t>
      </w:r>
      <w:r w:rsidR="0050502B" w:rsidRPr="00B9182D">
        <w:rPr>
          <w:szCs w:val="22"/>
        </w:rPr>
        <w:t xml:space="preserve">ykázal </w:t>
      </w:r>
      <w:r w:rsidR="00990491" w:rsidRPr="00B9182D">
        <w:rPr>
          <w:szCs w:val="22"/>
        </w:rPr>
        <w:t>ještě lepší výsledky než v předchozím roce, a</w:t>
      </w:r>
      <w:r w:rsidR="00AA6CAD">
        <w:rPr>
          <w:szCs w:val="22"/>
        </w:rPr>
        <w:t> </w:t>
      </w:r>
      <w:r w:rsidR="00990491" w:rsidRPr="00B9182D">
        <w:rPr>
          <w:szCs w:val="22"/>
        </w:rPr>
        <w:t>tak</w:t>
      </w:r>
      <w:r w:rsidR="00AA6CAD">
        <w:rPr>
          <w:szCs w:val="22"/>
        </w:rPr>
        <w:t> </w:t>
      </w:r>
      <w:r w:rsidR="00990491" w:rsidRPr="00B9182D">
        <w:rPr>
          <w:szCs w:val="22"/>
        </w:rPr>
        <w:t xml:space="preserve">se jedná o </w:t>
      </w:r>
      <w:r w:rsidR="0050502B" w:rsidRPr="00B9182D">
        <w:rPr>
          <w:szCs w:val="22"/>
        </w:rPr>
        <w:t xml:space="preserve">nejlepší </w:t>
      </w:r>
      <w:r w:rsidR="00990491" w:rsidRPr="00B9182D">
        <w:rPr>
          <w:szCs w:val="22"/>
        </w:rPr>
        <w:t xml:space="preserve">hospodářské výsledky </w:t>
      </w:r>
      <w:r w:rsidR="0050502B" w:rsidRPr="00B9182D">
        <w:rPr>
          <w:szCs w:val="22"/>
        </w:rPr>
        <w:t>od doby ekonomické krize</w:t>
      </w:r>
      <w:r w:rsidR="00121648" w:rsidRPr="00B9182D">
        <w:rPr>
          <w:szCs w:val="22"/>
        </w:rPr>
        <w:t xml:space="preserve"> v roce</w:t>
      </w:r>
      <w:r w:rsidR="0050502B" w:rsidRPr="00B9182D">
        <w:rPr>
          <w:szCs w:val="22"/>
        </w:rPr>
        <w:t xml:space="preserve"> 2009.</w:t>
      </w:r>
    </w:p>
    <w:p w14:paraId="25D64236" w14:textId="717BCEB4" w:rsidR="00155226" w:rsidRDefault="0050502B" w:rsidP="00D86F81">
      <w:pPr>
        <w:pStyle w:val="TEXT"/>
        <w:ind w:firstLine="426"/>
      </w:pPr>
      <w:r w:rsidRPr="00B9182D">
        <w:rPr>
          <w:szCs w:val="22"/>
        </w:rPr>
        <w:t xml:space="preserve">Díky </w:t>
      </w:r>
      <w:r w:rsidR="00990491" w:rsidRPr="00B9182D">
        <w:rPr>
          <w:szCs w:val="22"/>
        </w:rPr>
        <w:t xml:space="preserve">dalšímu </w:t>
      </w:r>
      <w:r w:rsidRPr="00B9182D">
        <w:rPr>
          <w:szCs w:val="22"/>
        </w:rPr>
        <w:t xml:space="preserve">meziročnímu zlepšení hospodaření </w:t>
      </w:r>
      <w:r w:rsidRPr="00D542A2">
        <w:rPr>
          <w:szCs w:val="22"/>
          <w:u w:val="single"/>
        </w:rPr>
        <w:t xml:space="preserve">došlo </w:t>
      </w:r>
      <w:r w:rsidR="005E7E82" w:rsidRPr="00D542A2">
        <w:rPr>
          <w:szCs w:val="22"/>
          <w:u w:val="single"/>
        </w:rPr>
        <w:t xml:space="preserve">opět </w:t>
      </w:r>
      <w:r w:rsidRPr="00D542A2">
        <w:rPr>
          <w:szCs w:val="22"/>
          <w:u w:val="single"/>
        </w:rPr>
        <w:t>ke zvýšen</w:t>
      </w:r>
      <w:r w:rsidR="00E74E4A" w:rsidRPr="00D542A2">
        <w:rPr>
          <w:szCs w:val="22"/>
          <w:u w:val="single"/>
        </w:rPr>
        <w:t>í finančních zůstatků na</w:t>
      </w:r>
      <w:r w:rsidR="00AA6CAD" w:rsidRPr="00D542A2">
        <w:rPr>
          <w:szCs w:val="22"/>
          <w:u w:val="single"/>
        </w:rPr>
        <w:t> </w:t>
      </w:r>
      <w:r w:rsidR="00E74E4A" w:rsidRPr="00D542A2">
        <w:rPr>
          <w:szCs w:val="22"/>
          <w:u w:val="single"/>
        </w:rPr>
        <w:t>BÚ</w:t>
      </w:r>
      <w:r w:rsidR="007E5F61" w:rsidRPr="00D542A2">
        <w:rPr>
          <w:szCs w:val="22"/>
          <w:u w:val="single"/>
        </w:rPr>
        <w:t>, a to</w:t>
      </w:r>
      <w:r w:rsidR="00E74E4A" w:rsidRPr="00D542A2">
        <w:rPr>
          <w:szCs w:val="22"/>
          <w:u w:val="single"/>
        </w:rPr>
        <w:t xml:space="preserve"> o </w:t>
      </w:r>
      <w:r w:rsidR="005E7E82" w:rsidRPr="00D542A2">
        <w:rPr>
          <w:szCs w:val="22"/>
          <w:u w:val="single"/>
        </w:rPr>
        <w:t>47,6</w:t>
      </w:r>
      <w:r w:rsidR="000D2E4E" w:rsidRPr="00D542A2">
        <w:rPr>
          <w:szCs w:val="22"/>
          <w:u w:val="single"/>
        </w:rPr>
        <w:t xml:space="preserve"> </w:t>
      </w:r>
      <w:r w:rsidRPr="00D542A2">
        <w:rPr>
          <w:szCs w:val="22"/>
          <w:u w:val="single"/>
        </w:rPr>
        <w:t xml:space="preserve">% na </w:t>
      </w:r>
      <w:r w:rsidR="005E7E82" w:rsidRPr="00D542A2">
        <w:rPr>
          <w:szCs w:val="22"/>
          <w:u w:val="single"/>
        </w:rPr>
        <w:t>45</w:t>
      </w:r>
      <w:r w:rsidRPr="00D542A2">
        <w:rPr>
          <w:szCs w:val="22"/>
          <w:u w:val="single"/>
        </w:rPr>
        <w:t xml:space="preserve"> mld. Kč</w:t>
      </w:r>
      <w:r w:rsidR="00F20BE0" w:rsidRPr="00B9182D">
        <w:rPr>
          <w:szCs w:val="22"/>
        </w:rPr>
        <w:t xml:space="preserve">. </w:t>
      </w:r>
      <w:r w:rsidR="003465C5" w:rsidRPr="00B9182D">
        <w:rPr>
          <w:szCs w:val="22"/>
        </w:rPr>
        <w:t>V roce 201</w:t>
      </w:r>
      <w:r w:rsidR="007B687F" w:rsidRPr="00B9182D">
        <w:rPr>
          <w:szCs w:val="22"/>
        </w:rPr>
        <w:t>8</w:t>
      </w:r>
      <w:r w:rsidR="003465C5" w:rsidRPr="00B9182D">
        <w:rPr>
          <w:szCs w:val="22"/>
        </w:rPr>
        <w:t xml:space="preserve"> </w:t>
      </w:r>
      <w:r w:rsidR="007B687F" w:rsidRPr="00B9182D">
        <w:rPr>
          <w:szCs w:val="22"/>
        </w:rPr>
        <w:t xml:space="preserve">se </w:t>
      </w:r>
      <w:r w:rsidR="003465C5" w:rsidRPr="00B9182D">
        <w:rPr>
          <w:szCs w:val="22"/>
        </w:rPr>
        <w:t>poměr těchto zůstatků</w:t>
      </w:r>
      <w:r w:rsidR="007B687F" w:rsidRPr="00B9182D">
        <w:rPr>
          <w:szCs w:val="22"/>
        </w:rPr>
        <w:t xml:space="preserve"> opět zvyšoval a dosáhl téměř 15,3 % </w:t>
      </w:r>
      <w:r w:rsidR="00C3743A" w:rsidRPr="00B9182D">
        <w:rPr>
          <w:szCs w:val="22"/>
        </w:rPr>
        <w:t>celkových výdajů systému v.</w:t>
      </w:r>
      <w:r w:rsidR="00625C5F">
        <w:rPr>
          <w:szCs w:val="22"/>
        </w:rPr>
        <w:t> </w:t>
      </w:r>
      <w:r w:rsidR="00C3743A" w:rsidRPr="00B9182D">
        <w:rPr>
          <w:szCs w:val="22"/>
        </w:rPr>
        <w:t>z.</w:t>
      </w:r>
      <w:r w:rsidR="00625C5F">
        <w:rPr>
          <w:szCs w:val="22"/>
        </w:rPr>
        <w:t> </w:t>
      </w:r>
      <w:r w:rsidR="00C3743A" w:rsidRPr="00B9182D">
        <w:rPr>
          <w:szCs w:val="22"/>
        </w:rPr>
        <w:t xml:space="preserve">p. </w:t>
      </w:r>
      <w:r w:rsidR="00C3743A" w:rsidRPr="00D542A2">
        <w:rPr>
          <w:szCs w:val="22"/>
          <w:u w:val="single"/>
        </w:rPr>
        <w:t xml:space="preserve">Zdravotní pojišťovny </w:t>
      </w:r>
      <w:r w:rsidR="007B687F" w:rsidRPr="00B9182D">
        <w:rPr>
          <w:szCs w:val="22"/>
        </w:rPr>
        <w:t xml:space="preserve">třetí </w:t>
      </w:r>
      <w:r w:rsidR="00C3743A" w:rsidRPr="00B9182D">
        <w:rPr>
          <w:szCs w:val="22"/>
        </w:rPr>
        <w:t>rok po sobě</w:t>
      </w:r>
      <w:r w:rsidR="00121648" w:rsidRPr="00B9182D">
        <w:rPr>
          <w:szCs w:val="22"/>
        </w:rPr>
        <w:t xml:space="preserve"> v době vysokého růstu české ekonomiky</w:t>
      </w:r>
      <w:r w:rsidR="00C3743A" w:rsidRPr="00B9182D">
        <w:rPr>
          <w:szCs w:val="22"/>
        </w:rPr>
        <w:t xml:space="preserve"> </w:t>
      </w:r>
      <w:r w:rsidR="00C3743A" w:rsidRPr="00D542A2">
        <w:rPr>
          <w:szCs w:val="22"/>
          <w:u w:val="single"/>
        </w:rPr>
        <w:t xml:space="preserve">pokračují v žádoucím </w:t>
      </w:r>
      <w:r w:rsidR="00121648" w:rsidRPr="00D542A2">
        <w:rPr>
          <w:szCs w:val="22"/>
          <w:u w:val="single"/>
        </w:rPr>
        <w:t>vytváření rezerv</w:t>
      </w:r>
      <w:r w:rsidR="00C3743A" w:rsidRPr="00D542A2">
        <w:rPr>
          <w:szCs w:val="22"/>
          <w:u w:val="single"/>
        </w:rPr>
        <w:t xml:space="preserve">, které tvoří </w:t>
      </w:r>
      <w:r w:rsidR="00121648" w:rsidRPr="00D542A2">
        <w:rPr>
          <w:szCs w:val="22"/>
          <w:u w:val="single"/>
        </w:rPr>
        <w:t>„</w:t>
      </w:r>
      <w:r w:rsidR="00C3743A" w:rsidRPr="00D542A2">
        <w:rPr>
          <w:szCs w:val="22"/>
          <w:u w:val="single"/>
        </w:rPr>
        <w:t>polštář</w:t>
      </w:r>
      <w:r w:rsidR="00121648" w:rsidRPr="00D542A2">
        <w:rPr>
          <w:szCs w:val="22"/>
          <w:u w:val="single"/>
        </w:rPr>
        <w:t>“</w:t>
      </w:r>
      <w:r w:rsidR="00C3743A" w:rsidRPr="00D542A2">
        <w:rPr>
          <w:szCs w:val="22"/>
          <w:u w:val="single"/>
        </w:rPr>
        <w:t xml:space="preserve"> pro případ nenadálých negativní</w:t>
      </w:r>
      <w:r w:rsidR="007344FE" w:rsidRPr="00D542A2">
        <w:rPr>
          <w:szCs w:val="22"/>
          <w:u w:val="single"/>
        </w:rPr>
        <w:t>ch</w:t>
      </w:r>
      <w:r w:rsidR="00C3743A" w:rsidRPr="00D542A2">
        <w:rPr>
          <w:szCs w:val="22"/>
          <w:u w:val="single"/>
        </w:rPr>
        <w:t xml:space="preserve"> šoků, např. v podobě návratu recese.</w:t>
      </w:r>
      <w:r w:rsidR="007344FE" w:rsidRPr="00D542A2">
        <w:rPr>
          <w:szCs w:val="22"/>
          <w:u w:val="single"/>
        </w:rPr>
        <w:t xml:space="preserve"> Míra těchto rezerv však stále nedosahuje předkrizových hodnot </w:t>
      </w:r>
      <w:r w:rsidR="007E5F61" w:rsidRPr="00D542A2">
        <w:rPr>
          <w:szCs w:val="22"/>
          <w:u w:val="single"/>
        </w:rPr>
        <w:t>(</w:t>
      </w:r>
      <w:r w:rsidR="00190E5B">
        <w:rPr>
          <w:szCs w:val="22"/>
          <w:u w:val="single"/>
        </w:rPr>
        <w:t xml:space="preserve">rok </w:t>
      </w:r>
      <w:r w:rsidR="007344FE" w:rsidRPr="00D542A2">
        <w:rPr>
          <w:szCs w:val="22"/>
          <w:u w:val="single"/>
        </w:rPr>
        <w:t>2008</w:t>
      </w:r>
      <w:r w:rsidR="007E5F61" w:rsidRPr="00D542A2">
        <w:rPr>
          <w:szCs w:val="22"/>
          <w:u w:val="single"/>
        </w:rPr>
        <w:t>)</w:t>
      </w:r>
      <w:r w:rsidR="00121648" w:rsidRPr="00D542A2">
        <w:rPr>
          <w:szCs w:val="22"/>
          <w:u w:val="single"/>
        </w:rPr>
        <w:t>, systém je tak oproti tomuto období méně finančně stabilizovaný</w:t>
      </w:r>
      <w:r w:rsidR="007344FE" w:rsidRPr="00D542A2">
        <w:rPr>
          <w:szCs w:val="22"/>
          <w:u w:val="single"/>
        </w:rPr>
        <w:t>.</w:t>
      </w:r>
    </w:p>
    <w:p w14:paraId="27B6D4E8" w14:textId="77777777" w:rsidR="00155226" w:rsidRDefault="006E1C12" w:rsidP="00316675">
      <w:pPr>
        <w:pStyle w:val="TEXT"/>
      </w:pPr>
      <w:r>
        <w:t xml:space="preserve">U všech zdravotních pojišťoven došlo v roce 2018 k navýšení nákladů na zdravotní služby. </w:t>
      </w:r>
      <w:r w:rsidR="00385E97" w:rsidRPr="008A518C">
        <w:rPr>
          <w:rFonts w:cs="Times New Roman"/>
          <w:szCs w:val="22"/>
        </w:rPr>
        <w:t>Celkový nárůst výše nákladů je ovlivněn</w:t>
      </w:r>
      <w:r w:rsidR="00155226">
        <w:rPr>
          <w:rFonts w:cs="Times New Roman"/>
          <w:szCs w:val="22"/>
        </w:rPr>
        <w:t>,</w:t>
      </w:r>
      <w:r w:rsidR="00385E97" w:rsidRPr="008A518C">
        <w:rPr>
          <w:rFonts w:cs="Times New Roman"/>
          <w:szCs w:val="22"/>
        </w:rPr>
        <w:t xml:space="preserve"> ve srovnání s rokem 2017</w:t>
      </w:r>
      <w:r w:rsidR="00155226">
        <w:rPr>
          <w:rFonts w:cs="Times New Roman"/>
          <w:szCs w:val="22"/>
        </w:rPr>
        <w:t>,</w:t>
      </w:r>
      <w:r w:rsidR="00385E97" w:rsidRPr="008A518C">
        <w:rPr>
          <w:rFonts w:cs="Times New Roman"/>
          <w:szCs w:val="22"/>
        </w:rPr>
        <w:t xml:space="preserve"> zvýšení</w:t>
      </w:r>
      <w:r w:rsidR="008A518C" w:rsidRPr="008A518C">
        <w:rPr>
          <w:rFonts w:cs="Times New Roman"/>
          <w:szCs w:val="22"/>
        </w:rPr>
        <w:t>m</w:t>
      </w:r>
      <w:r w:rsidR="00385E97" w:rsidRPr="008A518C">
        <w:rPr>
          <w:rFonts w:cs="Times New Roman"/>
          <w:szCs w:val="22"/>
        </w:rPr>
        <w:t xml:space="preserve"> příplatku zdravotnickým pracovníkům vykonávajícím nelékařské zdravotnické povolání bez odborného dohledu </w:t>
      </w:r>
      <w:r w:rsidR="008A518C" w:rsidRPr="008A518C">
        <w:rPr>
          <w:rFonts w:cs="Times New Roman"/>
          <w:szCs w:val="22"/>
        </w:rPr>
        <w:t xml:space="preserve">a </w:t>
      </w:r>
      <w:r w:rsidR="00385E97" w:rsidRPr="008A518C">
        <w:rPr>
          <w:rFonts w:cs="Times New Roman"/>
          <w:szCs w:val="22"/>
        </w:rPr>
        <w:t>rostoucími náklady na léčivé přípravky používané k léčbě ve specializovaných centrech</w:t>
      </w:r>
      <w:r w:rsidR="008A518C" w:rsidRPr="008A518C">
        <w:rPr>
          <w:rFonts w:cs="Times New Roman"/>
          <w:szCs w:val="22"/>
        </w:rPr>
        <w:t>.</w:t>
      </w:r>
      <w:r w:rsidR="00385E97" w:rsidRPr="008A518C">
        <w:rPr>
          <w:rFonts w:cs="Times New Roman"/>
          <w:szCs w:val="22"/>
        </w:rPr>
        <w:t xml:space="preserve"> </w:t>
      </w:r>
    </w:p>
    <w:p w14:paraId="2C12801B" w14:textId="68E21C21" w:rsidR="000C2CB7" w:rsidRPr="00777A68" w:rsidRDefault="0023295F" w:rsidP="00316675">
      <w:pPr>
        <w:spacing w:before="60" w:after="60" w:line="288" w:lineRule="auto"/>
        <w:ind w:firstLine="425"/>
        <w:jc w:val="both"/>
        <w:rPr>
          <w:rFonts w:ascii="Times New Roman" w:hAnsi="Times New Roman" w:cs="Times New Roman"/>
        </w:rPr>
      </w:pPr>
      <w:r w:rsidRPr="00777A68">
        <w:rPr>
          <w:rFonts w:ascii="Times New Roman" w:hAnsi="Times New Roman" w:cs="Times New Roman"/>
        </w:rPr>
        <w:t>Trvalým cílem smluvní politiky zdravotních pojišťoven je zajištění místní a časové dostupnosti hrazených zdravotních služeb. Dlouhodobě dochází k</w:t>
      </w:r>
      <w:r w:rsidR="000F4D93" w:rsidRPr="00777A68">
        <w:rPr>
          <w:rFonts w:ascii="Times New Roman" w:hAnsi="Times New Roman" w:cs="Times New Roman"/>
        </w:rPr>
        <w:t>e</w:t>
      </w:r>
      <w:r w:rsidRPr="00777A68">
        <w:rPr>
          <w:rFonts w:ascii="Times New Roman" w:hAnsi="Times New Roman" w:cs="Times New Roman"/>
        </w:rPr>
        <w:t> </w:t>
      </w:r>
      <w:r w:rsidR="000F4D93" w:rsidRPr="00777A68">
        <w:rPr>
          <w:rFonts w:ascii="Times New Roman" w:hAnsi="Times New Roman" w:cs="Times New Roman"/>
        </w:rPr>
        <w:t xml:space="preserve">zhoršení možností zajištění místní dostupnosti hrazených zdravotních služeb u </w:t>
      </w:r>
      <w:r w:rsidRPr="00777A68">
        <w:rPr>
          <w:rFonts w:ascii="Times New Roman" w:hAnsi="Times New Roman" w:cs="Times New Roman"/>
        </w:rPr>
        <w:t>smluvních poskytovatelů primární péče (praktických lékařů pro dospělé</w:t>
      </w:r>
      <w:r w:rsidR="000F4D93" w:rsidRPr="00777A68">
        <w:rPr>
          <w:rFonts w:ascii="Times New Roman" w:hAnsi="Times New Roman" w:cs="Times New Roman"/>
        </w:rPr>
        <w:t>,</w:t>
      </w:r>
      <w:r w:rsidRPr="00777A68">
        <w:rPr>
          <w:rFonts w:ascii="Times New Roman" w:hAnsi="Times New Roman" w:cs="Times New Roman"/>
        </w:rPr>
        <w:t xml:space="preserve"> praktických lékařů pro děti a dorost</w:t>
      </w:r>
      <w:r w:rsidR="000F4D93" w:rsidRPr="00777A68">
        <w:rPr>
          <w:rFonts w:ascii="Times New Roman" w:hAnsi="Times New Roman" w:cs="Times New Roman"/>
        </w:rPr>
        <w:t xml:space="preserve"> a stomatologů</w:t>
      </w:r>
      <w:r w:rsidRPr="00777A68">
        <w:rPr>
          <w:rFonts w:ascii="Times New Roman" w:hAnsi="Times New Roman" w:cs="Times New Roman"/>
        </w:rPr>
        <w:t>) v důsledku pokračujícího stárnutí lékařů v</w:t>
      </w:r>
      <w:r w:rsidR="004A7E39">
        <w:rPr>
          <w:rFonts w:ascii="Times New Roman" w:hAnsi="Times New Roman" w:cs="Times New Roman"/>
        </w:rPr>
        <w:t> </w:t>
      </w:r>
      <w:r w:rsidRPr="00777A68">
        <w:rPr>
          <w:rFonts w:ascii="Times New Roman" w:hAnsi="Times New Roman" w:cs="Times New Roman"/>
        </w:rPr>
        <w:t>Č</w:t>
      </w:r>
      <w:r w:rsidR="004A7E39">
        <w:rPr>
          <w:rFonts w:ascii="Times New Roman" w:hAnsi="Times New Roman" w:cs="Times New Roman"/>
        </w:rPr>
        <w:t>eské republice</w:t>
      </w:r>
      <w:r w:rsidRPr="00777A68">
        <w:rPr>
          <w:rFonts w:ascii="Times New Roman" w:hAnsi="Times New Roman" w:cs="Times New Roman"/>
        </w:rPr>
        <w:t xml:space="preserve"> a nižší atraktivit</w:t>
      </w:r>
      <w:r w:rsidR="0056142D" w:rsidRPr="00777A68">
        <w:rPr>
          <w:rFonts w:ascii="Times New Roman" w:hAnsi="Times New Roman" w:cs="Times New Roman"/>
        </w:rPr>
        <w:t>y</w:t>
      </w:r>
      <w:r w:rsidRPr="00777A68">
        <w:rPr>
          <w:rFonts w:ascii="Times New Roman" w:hAnsi="Times New Roman" w:cs="Times New Roman"/>
        </w:rPr>
        <w:t xml:space="preserve"> odlehlých regionů. </w:t>
      </w:r>
      <w:r w:rsidR="00777A68" w:rsidRPr="00215E9F">
        <w:rPr>
          <w:rFonts w:ascii="Times New Roman" w:hAnsi="Times New Roman" w:cs="Times New Roman"/>
        </w:rPr>
        <w:t>V těchto oblastech zdravotní pojišťovny podporovaly nebo samy iniciovaly vyhlášení výběrových řízení na poskytovatele zdravotních služeb.</w:t>
      </w:r>
      <w:r w:rsidR="00777A68" w:rsidRPr="00777A68">
        <w:rPr>
          <w:rFonts w:ascii="Times New Roman" w:hAnsi="Times New Roman" w:cs="Times New Roman"/>
        </w:rPr>
        <w:t xml:space="preserve"> </w:t>
      </w:r>
      <w:r w:rsidR="000F4D93" w:rsidRPr="00777A68">
        <w:rPr>
          <w:rFonts w:ascii="Times New Roman" w:hAnsi="Times New Roman" w:cs="Times New Roman"/>
        </w:rPr>
        <w:t>K</w:t>
      </w:r>
      <w:r w:rsidRPr="00777A68">
        <w:rPr>
          <w:rFonts w:ascii="Times New Roman" w:hAnsi="Times New Roman" w:cs="Times New Roman"/>
        </w:rPr>
        <w:t xml:space="preserve"> zaji</w:t>
      </w:r>
      <w:r w:rsidR="000F4D93" w:rsidRPr="00777A68">
        <w:rPr>
          <w:rFonts w:ascii="Times New Roman" w:hAnsi="Times New Roman" w:cs="Times New Roman"/>
        </w:rPr>
        <w:t>štění</w:t>
      </w:r>
      <w:r w:rsidRPr="00777A68">
        <w:rPr>
          <w:rFonts w:ascii="Times New Roman" w:hAnsi="Times New Roman" w:cs="Times New Roman"/>
        </w:rPr>
        <w:t xml:space="preserve"> podpor</w:t>
      </w:r>
      <w:r w:rsidR="000F4D93" w:rsidRPr="00777A68">
        <w:rPr>
          <w:rFonts w:ascii="Times New Roman" w:hAnsi="Times New Roman" w:cs="Times New Roman"/>
        </w:rPr>
        <w:t>y</w:t>
      </w:r>
      <w:r w:rsidRPr="00777A68">
        <w:rPr>
          <w:rFonts w:ascii="Times New Roman" w:hAnsi="Times New Roman" w:cs="Times New Roman"/>
        </w:rPr>
        <w:t xml:space="preserve"> poskytovatelů zdravotních služeb v</w:t>
      </w:r>
      <w:r w:rsidR="00A87F98" w:rsidRPr="00777A68">
        <w:rPr>
          <w:rFonts w:ascii="Times New Roman" w:hAnsi="Times New Roman" w:cs="Times New Roman"/>
        </w:rPr>
        <w:t> </w:t>
      </w:r>
      <w:r w:rsidRPr="00777A68">
        <w:rPr>
          <w:rFonts w:ascii="Times New Roman" w:hAnsi="Times New Roman" w:cs="Times New Roman"/>
        </w:rPr>
        <w:t xml:space="preserve">těchto lokalitách </w:t>
      </w:r>
      <w:r w:rsidR="000C2CB7" w:rsidRPr="00777A68">
        <w:rPr>
          <w:rFonts w:ascii="Times New Roman" w:hAnsi="Times New Roman" w:cs="Times New Roman"/>
        </w:rPr>
        <w:t>MZ vyp</w:t>
      </w:r>
      <w:r w:rsidR="0056142D" w:rsidRPr="00777A68">
        <w:rPr>
          <w:rFonts w:ascii="Times New Roman" w:hAnsi="Times New Roman" w:cs="Times New Roman"/>
        </w:rPr>
        <w:t>salo</w:t>
      </w:r>
      <w:r w:rsidR="000C2CB7" w:rsidRPr="00777A68">
        <w:rPr>
          <w:rFonts w:ascii="Times New Roman" w:hAnsi="Times New Roman" w:cs="Times New Roman"/>
        </w:rPr>
        <w:t xml:space="preserve"> dotační program, který poskytne praktickým </w:t>
      </w:r>
      <w:r w:rsidR="0056142D" w:rsidRPr="00777A68">
        <w:rPr>
          <w:rFonts w:ascii="Times New Roman" w:hAnsi="Times New Roman" w:cs="Times New Roman"/>
        </w:rPr>
        <w:t xml:space="preserve">a zubním </w:t>
      </w:r>
      <w:r w:rsidR="000C2CB7" w:rsidRPr="00777A68">
        <w:rPr>
          <w:rFonts w:ascii="Times New Roman" w:hAnsi="Times New Roman" w:cs="Times New Roman"/>
        </w:rPr>
        <w:t>lékařům finanční prostředky na zřízení nových lékařských praxí</w:t>
      </w:r>
      <w:r w:rsidR="0056142D" w:rsidRPr="00777A68">
        <w:rPr>
          <w:rFonts w:ascii="Times New Roman" w:hAnsi="Times New Roman" w:cs="Times New Roman"/>
        </w:rPr>
        <w:t>.</w:t>
      </w:r>
      <w:r w:rsidR="000C2CB7" w:rsidRPr="00777A68">
        <w:rPr>
          <w:rFonts w:ascii="Times New Roman" w:hAnsi="Times New Roman" w:cs="Times New Roman"/>
        </w:rPr>
        <w:t xml:space="preserve"> Dotace je směřována do oblastí, kde je zdravotní péče zubních a praktických lékařů omezena. Zřízení nových praxí v těchto ohrožených oblastech tak </w:t>
      </w:r>
      <w:r w:rsidR="004A7E39">
        <w:rPr>
          <w:rFonts w:ascii="Times New Roman" w:hAnsi="Times New Roman" w:cs="Times New Roman"/>
        </w:rPr>
        <w:t>doplní celostátní síť zubních a </w:t>
      </w:r>
      <w:r w:rsidR="000C2CB7" w:rsidRPr="00777A68">
        <w:rPr>
          <w:rFonts w:ascii="Times New Roman" w:hAnsi="Times New Roman" w:cs="Times New Roman"/>
        </w:rPr>
        <w:t>praktických lékařů a zajistí dostupnost této péče.</w:t>
      </w:r>
    </w:p>
    <w:p w14:paraId="5CC94BA5" w14:textId="77777777" w:rsidR="000C2CB7" w:rsidRPr="0056142D" w:rsidRDefault="000C2CB7" w:rsidP="00316675">
      <w:pPr>
        <w:pStyle w:val="Odstavecseseznamem"/>
        <w:spacing w:before="60" w:after="60" w:line="288" w:lineRule="auto"/>
        <w:ind w:left="0" w:firstLine="425"/>
        <w:jc w:val="both"/>
        <w:rPr>
          <w:sz w:val="22"/>
          <w:szCs w:val="22"/>
        </w:rPr>
      </w:pPr>
    </w:p>
    <w:p w14:paraId="3167EFDB" w14:textId="77777777" w:rsidR="009734E3" w:rsidRPr="009734E3" w:rsidRDefault="009734E3" w:rsidP="0023295F">
      <w:pPr>
        <w:pStyle w:val="TEXT"/>
      </w:pPr>
    </w:p>
    <w:sectPr w:rsidR="009734E3" w:rsidRPr="009734E3" w:rsidSect="00395BC7">
      <w:footerReference w:type="even" r:id="rId24"/>
      <w:footerReference w:type="default" r:id="rId25"/>
      <w:pgSz w:w="11906" w:h="16838" w:code="9"/>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B5DA2" w14:textId="77777777" w:rsidR="00395BC7" w:rsidRDefault="00395BC7" w:rsidP="00A5572F">
      <w:pPr>
        <w:spacing w:after="0" w:line="240" w:lineRule="auto"/>
      </w:pPr>
      <w:r>
        <w:separator/>
      </w:r>
    </w:p>
  </w:endnote>
  <w:endnote w:type="continuationSeparator" w:id="0">
    <w:p w14:paraId="128F584E" w14:textId="77777777" w:rsidR="00395BC7" w:rsidRDefault="00395BC7" w:rsidP="00A5572F">
      <w:pPr>
        <w:spacing w:after="0" w:line="240" w:lineRule="auto"/>
      </w:pPr>
      <w:r>
        <w:continuationSeparator/>
      </w:r>
    </w:p>
  </w:endnote>
  <w:endnote w:type="continuationNotice" w:id="1">
    <w:p w14:paraId="1FF06FBA" w14:textId="77777777" w:rsidR="00395BC7" w:rsidRDefault="00395B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D6EA2" w14:textId="77777777" w:rsidR="00395BC7" w:rsidRDefault="00395BC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32CA09F4" w14:textId="77777777" w:rsidR="00395BC7" w:rsidRDefault="00395BC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DB970" w14:textId="77777777" w:rsidR="00395BC7" w:rsidRPr="00215E9F" w:rsidRDefault="00395BC7" w:rsidP="004148C2">
    <w:pPr>
      <w:pStyle w:val="Zpat"/>
      <w:ind w:right="-2"/>
      <w:jc w:val="right"/>
      <w:rPr>
        <w:rFonts w:ascii="Arial" w:hAnsi="Arial" w:cs="Arial"/>
        <w:sz w:val="22"/>
        <w:szCs w:val="22"/>
      </w:rPr>
    </w:pPr>
    <w:r w:rsidRPr="00215E9F">
      <w:rPr>
        <w:rFonts w:ascii="Arial" w:hAnsi="Arial" w:cs="Arial"/>
        <w:sz w:val="22"/>
        <w:szCs w:val="22"/>
      </w:rPr>
      <w:fldChar w:fldCharType="begin"/>
    </w:r>
    <w:r w:rsidRPr="00215E9F">
      <w:rPr>
        <w:rFonts w:ascii="Arial" w:hAnsi="Arial" w:cs="Arial"/>
        <w:sz w:val="22"/>
        <w:szCs w:val="22"/>
      </w:rPr>
      <w:instrText xml:space="preserve"> PAGE   \* MERGEFORMAT </w:instrText>
    </w:r>
    <w:r w:rsidRPr="00215E9F">
      <w:rPr>
        <w:rFonts w:ascii="Arial" w:hAnsi="Arial" w:cs="Arial"/>
        <w:sz w:val="22"/>
        <w:szCs w:val="22"/>
      </w:rPr>
      <w:fldChar w:fldCharType="separate"/>
    </w:r>
    <w:r>
      <w:rPr>
        <w:rFonts w:ascii="Arial" w:hAnsi="Arial" w:cs="Arial"/>
        <w:noProof/>
        <w:sz w:val="22"/>
        <w:szCs w:val="22"/>
      </w:rPr>
      <w:t>24</w:t>
    </w:r>
    <w:r w:rsidRPr="00215E9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D09A7" w14:textId="77777777" w:rsidR="00395BC7" w:rsidRDefault="00395BC7" w:rsidP="00A5572F">
      <w:pPr>
        <w:spacing w:after="0" w:line="240" w:lineRule="auto"/>
      </w:pPr>
      <w:r>
        <w:separator/>
      </w:r>
    </w:p>
  </w:footnote>
  <w:footnote w:type="continuationSeparator" w:id="0">
    <w:p w14:paraId="7C9B1E48" w14:textId="77777777" w:rsidR="00395BC7" w:rsidRDefault="00395BC7" w:rsidP="00A5572F">
      <w:pPr>
        <w:spacing w:after="0" w:line="240" w:lineRule="auto"/>
      </w:pPr>
      <w:r>
        <w:continuationSeparator/>
      </w:r>
    </w:p>
  </w:footnote>
  <w:footnote w:type="continuationNotice" w:id="1">
    <w:p w14:paraId="39749688" w14:textId="77777777" w:rsidR="00395BC7" w:rsidRDefault="00395BC7">
      <w:pPr>
        <w:spacing w:after="0" w:line="240" w:lineRule="auto"/>
      </w:pPr>
    </w:p>
  </w:footnote>
  <w:footnote w:id="2">
    <w:p w14:paraId="148284C7" w14:textId="77777777" w:rsidR="00395BC7" w:rsidRDefault="00395BC7">
      <w:pPr>
        <w:pStyle w:val="Textpoznpodarou"/>
      </w:pPr>
      <w:r>
        <w:rPr>
          <w:rStyle w:val="Znakapoznpodarou"/>
        </w:rPr>
        <w:footnoteRef/>
      </w:r>
      <w:r>
        <w:t xml:space="preserve"> V celém dokumentu je pracováno s průměrným počtem pojištěnců</w:t>
      </w:r>
      <w:r w:rsidRPr="00784EBD">
        <w:t xml:space="preserve"> za sledované období</w:t>
      </w:r>
      <w:r>
        <w:t>.</w:t>
      </w:r>
      <w:r w:rsidRPr="00784EBD">
        <w:t xml:space="preserve"> </w:t>
      </w:r>
    </w:p>
  </w:footnote>
  <w:footnote w:id="3">
    <w:p w14:paraId="6E2C7545" w14:textId="4EC7E464" w:rsidR="00395BC7" w:rsidRDefault="00395BC7" w:rsidP="0083778D">
      <w:pPr>
        <w:pStyle w:val="Textpoznpodarou"/>
        <w:jc w:val="both"/>
      </w:pPr>
      <w:r>
        <w:rPr>
          <w:rStyle w:val="Znakapoznpodarou"/>
        </w:rPr>
        <w:footnoteRef/>
      </w:r>
      <w:r>
        <w:t xml:space="preserve"> </w:t>
      </w:r>
      <w:r w:rsidRPr="003045F3">
        <w:t xml:space="preserve">Ukazatel „výdajů na vlastní činnost“ představuje snahu zachytit co nejširší okruh výdajů, které se přímo netýkají </w:t>
      </w:r>
      <w:r>
        <w:t>úhrady</w:t>
      </w:r>
      <w:r w:rsidRPr="003045F3">
        <w:t xml:space="preserve"> zdravotních služeb. Oproti úžeji definovanému „maximálnímu limitu nákladů na vlastní činnosti“, kromě rozdílů</w:t>
      </w:r>
      <w:r>
        <w:t xml:space="preserve"> v pojetí</w:t>
      </w:r>
      <w:r w:rsidRPr="003045F3">
        <w:t xml:space="preserve"> „výdajů“ a „nákladů“, zachycuje také výdaje </w:t>
      </w:r>
      <w:r>
        <w:t>provozního charakteru hrazené ze</w:t>
      </w:r>
      <w:r w:rsidRPr="003045F3">
        <w:t xml:space="preserve"> ZFZP i všech ostatních fondů, kterých se zmíněný limit netýká. Zahrnuje též </w:t>
      </w:r>
      <w:r>
        <w:t>jinou</w:t>
      </w:r>
      <w:r w:rsidRPr="003045F3">
        <w:t xml:space="preserve"> činnost. Výdaje na vlastní činnost tak mohou zmíněný limit převyšovat. Naopak, z ukazatele jsou vyloučeny všechny financující operace, byť mohou být prováděny např. z provozního fondu, kurzové ztráty, změny stavu hodnoty aktiv (nejedná se o cash-flow) a interní převody mezi fondy.</w:t>
      </w:r>
    </w:p>
  </w:footnote>
  <w:footnote w:id="4">
    <w:p w14:paraId="3A9BD400" w14:textId="77777777" w:rsidR="00395BC7" w:rsidRDefault="00395BC7" w:rsidP="0083778D">
      <w:pPr>
        <w:pStyle w:val="Textpoznpodarou"/>
      </w:pPr>
      <w:r>
        <w:rPr>
          <w:rStyle w:val="Znakapoznpodarou"/>
        </w:rPr>
        <w:footnoteRef/>
      </w:r>
      <w:r>
        <w:t xml:space="preserve"> </w:t>
      </w:r>
      <w:r w:rsidRPr="006B4456">
        <w:t>Ukazatel „výdajů na preventivní programy“</w:t>
      </w:r>
      <w:r>
        <w:t xml:space="preserve"> zpřesňuje údaje o „výdajích</w:t>
      </w:r>
      <w:r w:rsidRPr="006B4456">
        <w:t xml:space="preserve"> na preventivní programy</w:t>
      </w:r>
      <w:r>
        <w:t>“ z části B Fondu prevence zdravotní pojišťovny zohledněním vlivu z</w:t>
      </w:r>
      <w:r w:rsidRPr="006B4456">
        <w:t>účtování s</w:t>
      </w:r>
      <w:r>
        <w:t> </w:t>
      </w:r>
      <w:r w:rsidRPr="006B4456">
        <w:t>pojištěnci</w:t>
      </w:r>
      <w:r>
        <w:t>.</w:t>
      </w:r>
    </w:p>
  </w:footnote>
  <w:footnote w:id="5">
    <w:p w14:paraId="0720C843" w14:textId="77777777" w:rsidR="00395BC7" w:rsidRDefault="00395BC7" w:rsidP="00902FD8">
      <w:pPr>
        <w:pStyle w:val="Textpoznpodarou"/>
        <w:rPr>
          <w:rFonts w:ascii="Arial" w:hAnsi="Arial" w:cs="Arial"/>
          <w:sz w:val="16"/>
          <w:szCs w:val="16"/>
          <w:highlight w:val="cyan"/>
        </w:rPr>
      </w:pPr>
      <w:r>
        <w:rPr>
          <w:rStyle w:val="Znakapoznpodarou"/>
          <w:rFonts w:ascii="Arial" w:hAnsi="Arial"/>
        </w:rPr>
        <w:footnoteRef/>
      </w:r>
      <w:r>
        <w:rPr>
          <w:rFonts w:ascii="Arial" w:hAnsi="Arial" w:cs="Arial"/>
          <w:sz w:val="16"/>
          <w:szCs w:val="16"/>
        </w:rPr>
        <w:t xml:space="preserve"> </w:t>
      </w:r>
      <w:r>
        <w:rPr>
          <w:sz w:val="18"/>
          <w:szCs w:val="16"/>
        </w:rPr>
        <w:t xml:space="preserve">V tabulkové příloze </w:t>
      </w:r>
      <w:r>
        <w:rPr>
          <w:i/>
          <w:sz w:val="18"/>
          <w:szCs w:val="16"/>
        </w:rPr>
        <w:t>Tabulka č. 1</w:t>
      </w:r>
      <w:r>
        <w:rPr>
          <w:sz w:val="18"/>
          <w:szCs w:val="16"/>
        </w:rPr>
        <w:t xml:space="preserve"> nejsou tyto údaje uvedeny, neboť nejsou součástí „čisté výše“ pohledávek.</w:t>
      </w:r>
      <w:r>
        <w:rPr>
          <w:rFonts w:ascii="Arial" w:hAnsi="Arial" w:cs="Arial"/>
          <w:sz w:val="18"/>
          <w:szCs w:val="16"/>
        </w:rPr>
        <w:t xml:space="preserve"> </w:t>
      </w:r>
    </w:p>
  </w:footnote>
  <w:footnote w:id="6">
    <w:p w14:paraId="0FAF7807" w14:textId="77777777" w:rsidR="00395BC7" w:rsidRDefault="00395BC7">
      <w:pPr>
        <w:pStyle w:val="Textpoznpodarou"/>
      </w:pPr>
      <w:r>
        <w:rPr>
          <w:rStyle w:val="Znakapoznpodarou"/>
        </w:rPr>
        <w:footnoteRef/>
      </w:r>
      <w:r>
        <w:t xml:space="preserve"> Zdrojem dat o reálném HDP je ČSÚ. V roce 2018 se jedná o </w:t>
      </w:r>
      <w:r w:rsidRPr="00CA6B33">
        <w:t>součet čtvrtletních odhadů.</w:t>
      </w:r>
    </w:p>
  </w:footnote>
  <w:footnote w:id="7">
    <w:p w14:paraId="599C552C" w14:textId="77777777" w:rsidR="00395BC7" w:rsidRDefault="00395BC7">
      <w:pPr>
        <w:pStyle w:val="Textpoznpodarou"/>
      </w:pPr>
      <w:r>
        <w:rPr>
          <w:rStyle w:val="Znakapoznpodarou"/>
        </w:rPr>
        <w:footnoteRef/>
      </w:r>
      <w:r>
        <w:t xml:space="preserve"> Zdrojem dat o HDP v běžných cenách je ČSÚ. V roce 2018 se jedná o </w:t>
      </w:r>
      <w:r w:rsidRPr="00CA6B33">
        <w:t>součet čtvrtletních odhadů.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820F8"/>
    <w:multiLevelType w:val="hybridMultilevel"/>
    <w:tmpl w:val="629C96E8"/>
    <w:lvl w:ilvl="0" w:tplc="C758F2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F3363C"/>
    <w:multiLevelType w:val="hybridMultilevel"/>
    <w:tmpl w:val="A214690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395080"/>
    <w:multiLevelType w:val="hybridMultilevel"/>
    <w:tmpl w:val="5164D12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9D8202E"/>
    <w:multiLevelType w:val="hybridMultilevel"/>
    <w:tmpl w:val="620008AC"/>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AD2BC6"/>
    <w:multiLevelType w:val="hybridMultilevel"/>
    <w:tmpl w:val="E8ACCC44"/>
    <w:lvl w:ilvl="0" w:tplc="2162F034">
      <w:start w:val="1"/>
      <w:numFmt w:val="bullet"/>
      <w:lvlText w:val="●"/>
      <w:lvlJc w:val="left"/>
      <w:pPr>
        <w:tabs>
          <w:tab w:val="num" w:pos="720"/>
        </w:tabs>
        <w:ind w:left="720" w:hanging="360"/>
      </w:pPr>
      <w:rPr>
        <w:rFonts w:hint="default"/>
        <w:sz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1C5F30"/>
    <w:multiLevelType w:val="hybridMultilevel"/>
    <w:tmpl w:val="E416A156"/>
    <w:lvl w:ilvl="0" w:tplc="C758F230">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6" w15:restartNumberingAfterBreak="0">
    <w:nsid w:val="2604105B"/>
    <w:multiLevelType w:val="hybridMultilevel"/>
    <w:tmpl w:val="277061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9FC5C61"/>
    <w:multiLevelType w:val="multilevel"/>
    <w:tmpl w:val="874AAB7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C71281D"/>
    <w:multiLevelType w:val="hybridMultilevel"/>
    <w:tmpl w:val="3744B2B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B71534"/>
    <w:multiLevelType w:val="hybridMultilevel"/>
    <w:tmpl w:val="637AA804"/>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2EAF2F00"/>
    <w:multiLevelType w:val="hybridMultilevel"/>
    <w:tmpl w:val="B8AAEFF6"/>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9F30D9"/>
    <w:multiLevelType w:val="hybridMultilevel"/>
    <w:tmpl w:val="80DCD4B8"/>
    <w:lvl w:ilvl="0" w:tplc="04050001">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12" w15:restartNumberingAfterBreak="0">
    <w:nsid w:val="402D35D4"/>
    <w:multiLevelType w:val="hybridMultilevel"/>
    <w:tmpl w:val="7D8E2872"/>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3" w15:restartNumberingAfterBreak="0">
    <w:nsid w:val="44B77217"/>
    <w:multiLevelType w:val="hybridMultilevel"/>
    <w:tmpl w:val="44CE252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4" w15:restartNumberingAfterBreak="0">
    <w:nsid w:val="478E577C"/>
    <w:multiLevelType w:val="hybridMultilevel"/>
    <w:tmpl w:val="FD7876E4"/>
    <w:lvl w:ilvl="0" w:tplc="76647378">
      <w:numFmt w:val="bullet"/>
      <w:lvlText w:val="-"/>
      <w:lvlJc w:val="left"/>
      <w:pPr>
        <w:tabs>
          <w:tab w:val="num" w:pos="720"/>
        </w:tabs>
        <w:ind w:left="720" w:hanging="360"/>
      </w:pPr>
      <w:rPr>
        <w:rFonts w:ascii="Arial" w:eastAsia="SimSu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13C44"/>
    <w:multiLevelType w:val="hybridMultilevel"/>
    <w:tmpl w:val="AAE6DB40"/>
    <w:lvl w:ilvl="0" w:tplc="F8462DF0">
      <w:start w:val="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1417C7A"/>
    <w:multiLevelType w:val="hybridMultilevel"/>
    <w:tmpl w:val="3192241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786"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74D79A0"/>
    <w:multiLevelType w:val="hybridMultilevel"/>
    <w:tmpl w:val="9D94AFE8"/>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8" w15:restartNumberingAfterBreak="0">
    <w:nsid w:val="58D05DDC"/>
    <w:multiLevelType w:val="hybridMultilevel"/>
    <w:tmpl w:val="FB906AF6"/>
    <w:lvl w:ilvl="0" w:tplc="C758F230">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19" w15:restartNumberingAfterBreak="0">
    <w:nsid w:val="611812E6"/>
    <w:multiLevelType w:val="hybridMultilevel"/>
    <w:tmpl w:val="7674E1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CD5FFF"/>
    <w:multiLevelType w:val="hybridMultilevel"/>
    <w:tmpl w:val="0C5EF88A"/>
    <w:lvl w:ilvl="0" w:tplc="0405000B">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68DD4357"/>
    <w:multiLevelType w:val="hybridMultilevel"/>
    <w:tmpl w:val="2D824D84"/>
    <w:lvl w:ilvl="0" w:tplc="04050005">
      <w:start w:val="1"/>
      <w:numFmt w:val="bullet"/>
      <w:lvlText w:val=""/>
      <w:lvlJc w:val="left"/>
      <w:pPr>
        <w:tabs>
          <w:tab w:val="num" w:pos="502"/>
        </w:tabs>
        <w:ind w:left="502" w:hanging="360"/>
      </w:pPr>
      <w:rPr>
        <w:rFonts w:ascii="Wingdings" w:hAnsi="Wingdings" w:hint="default"/>
      </w:rPr>
    </w:lvl>
    <w:lvl w:ilvl="1" w:tplc="04050003" w:tentative="1">
      <w:start w:val="1"/>
      <w:numFmt w:val="bullet"/>
      <w:lvlText w:val="o"/>
      <w:lvlJc w:val="left"/>
      <w:pPr>
        <w:tabs>
          <w:tab w:val="num" w:pos="1222"/>
        </w:tabs>
        <w:ind w:left="1222" w:hanging="360"/>
      </w:pPr>
      <w:rPr>
        <w:rFonts w:ascii="Courier New" w:hAnsi="Courier New" w:cs="Courier New" w:hint="default"/>
      </w:rPr>
    </w:lvl>
    <w:lvl w:ilvl="2" w:tplc="04050005" w:tentative="1">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2" w15:restartNumberingAfterBreak="0">
    <w:nsid w:val="697174E2"/>
    <w:multiLevelType w:val="multilevel"/>
    <w:tmpl w:val="849CC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FA57E2"/>
    <w:multiLevelType w:val="hybridMultilevel"/>
    <w:tmpl w:val="9C9481D8"/>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4" w15:restartNumberingAfterBreak="0">
    <w:nsid w:val="6E700BDC"/>
    <w:multiLevelType w:val="hybridMultilevel"/>
    <w:tmpl w:val="6EA4244C"/>
    <w:lvl w:ilvl="0" w:tplc="C758F230">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5" w15:restartNumberingAfterBreak="0">
    <w:nsid w:val="757E36BC"/>
    <w:multiLevelType w:val="hybridMultilevel"/>
    <w:tmpl w:val="998AF13E"/>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D60301"/>
    <w:multiLevelType w:val="hybridMultilevel"/>
    <w:tmpl w:val="22E86EF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6"/>
  </w:num>
  <w:num w:numId="3">
    <w:abstractNumId w:val="1"/>
  </w:num>
  <w:num w:numId="4">
    <w:abstractNumId w:val="21"/>
  </w:num>
  <w:num w:numId="5">
    <w:abstractNumId w:val="20"/>
  </w:num>
  <w:num w:numId="6">
    <w:abstractNumId w:val="8"/>
  </w:num>
  <w:num w:numId="7">
    <w:abstractNumId w:val="14"/>
  </w:num>
  <w:num w:numId="8">
    <w:abstractNumId w:val="25"/>
  </w:num>
  <w:num w:numId="9">
    <w:abstractNumId w:val="14"/>
  </w:num>
  <w:num w:numId="10">
    <w:abstractNumId w:val="3"/>
  </w:num>
  <w:num w:numId="11">
    <w:abstractNumId w:val="10"/>
  </w:num>
  <w:num w:numId="12">
    <w:abstractNumId w:val="9"/>
  </w:num>
  <w:num w:numId="13">
    <w:abstractNumId w:val="15"/>
  </w:num>
  <w:num w:numId="14">
    <w:abstractNumId w:val="13"/>
  </w:num>
  <w:num w:numId="15">
    <w:abstractNumId w:val="6"/>
  </w:num>
  <w:num w:numId="16">
    <w:abstractNumId w:val="12"/>
  </w:num>
  <w:num w:numId="17">
    <w:abstractNumId w:val="7"/>
  </w:num>
  <w:num w:numId="18">
    <w:abstractNumId w:val="22"/>
  </w:num>
  <w:num w:numId="19">
    <w:abstractNumId w:val="12"/>
  </w:num>
  <w:num w:numId="20">
    <w:abstractNumId w:val="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5"/>
  </w:num>
  <w:num w:numId="24">
    <w:abstractNumId w:val="24"/>
  </w:num>
  <w:num w:numId="25">
    <w:abstractNumId w:val="18"/>
  </w:num>
  <w:num w:numId="26">
    <w:abstractNumId w:val="23"/>
  </w:num>
  <w:num w:numId="27">
    <w:abstractNumId w:val="17"/>
  </w:num>
  <w:num w:numId="28">
    <w:abstractNumId w:val="11"/>
  </w:num>
  <w:num w:numId="29">
    <w:abstractNumId w:val="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2F"/>
    <w:rsid w:val="00001556"/>
    <w:rsid w:val="00002D29"/>
    <w:rsid w:val="00004532"/>
    <w:rsid w:val="000052E8"/>
    <w:rsid w:val="000060F5"/>
    <w:rsid w:val="0000672D"/>
    <w:rsid w:val="0000734C"/>
    <w:rsid w:val="00012B49"/>
    <w:rsid w:val="00012D4D"/>
    <w:rsid w:val="0001372D"/>
    <w:rsid w:val="00017CF8"/>
    <w:rsid w:val="0002139D"/>
    <w:rsid w:val="000214B6"/>
    <w:rsid w:val="00021C6A"/>
    <w:rsid w:val="00024B4E"/>
    <w:rsid w:val="00026937"/>
    <w:rsid w:val="000301EF"/>
    <w:rsid w:val="00030C1C"/>
    <w:rsid w:val="00030D97"/>
    <w:rsid w:val="00030D99"/>
    <w:rsid w:val="000314D9"/>
    <w:rsid w:val="00031F36"/>
    <w:rsid w:val="00034789"/>
    <w:rsid w:val="00034813"/>
    <w:rsid w:val="000362EB"/>
    <w:rsid w:val="00037FBF"/>
    <w:rsid w:val="00041ADD"/>
    <w:rsid w:val="00044127"/>
    <w:rsid w:val="00044940"/>
    <w:rsid w:val="00046C19"/>
    <w:rsid w:val="00051504"/>
    <w:rsid w:val="00054132"/>
    <w:rsid w:val="00054B56"/>
    <w:rsid w:val="00054C28"/>
    <w:rsid w:val="000550B1"/>
    <w:rsid w:val="00056BA9"/>
    <w:rsid w:val="000579A2"/>
    <w:rsid w:val="00060546"/>
    <w:rsid w:val="00064FF8"/>
    <w:rsid w:val="00070A36"/>
    <w:rsid w:val="00073DF0"/>
    <w:rsid w:val="00076B54"/>
    <w:rsid w:val="00081A1D"/>
    <w:rsid w:val="00082B9C"/>
    <w:rsid w:val="0008532F"/>
    <w:rsid w:val="00087C59"/>
    <w:rsid w:val="00090031"/>
    <w:rsid w:val="000900E1"/>
    <w:rsid w:val="000903D8"/>
    <w:rsid w:val="00090B95"/>
    <w:rsid w:val="00091022"/>
    <w:rsid w:val="0009181B"/>
    <w:rsid w:val="00092F13"/>
    <w:rsid w:val="00094EF6"/>
    <w:rsid w:val="000968D4"/>
    <w:rsid w:val="00096E30"/>
    <w:rsid w:val="000978F4"/>
    <w:rsid w:val="000A03D1"/>
    <w:rsid w:val="000A06D0"/>
    <w:rsid w:val="000A17BA"/>
    <w:rsid w:val="000A296C"/>
    <w:rsid w:val="000A383B"/>
    <w:rsid w:val="000A45BE"/>
    <w:rsid w:val="000A6D83"/>
    <w:rsid w:val="000B034D"/>
    <w:rsid w:val="000B3ADA"/>
    <w:rsid w:val="000B43E5"/>
    <w:rsid w:val="000B4CF9"/>
    <w:rsid w:val="000B596D"/>
    <w:rsid w:val="000B5C2C"/>
    <w:rsid w:val="000B6431"/>
    <w:rsid w:val="000B6540"/>
    <w:rsid w:val="000B7C31"/>
    <w:rsid w:val="000C0228"/>
    <w:rsid w:val="000C2CB7"/>
    <w:rsid w:val="000C40E7"/>
    <w:rsid w:val="000C4C76"/>
    <w:rsid w:val="000C5307"/>
    <w:rsid w:val="000D1E30"/>
    <w:rsid w:val="000D2005"/>
    <w:rsid w:val="000D2E4E"/>
    <w:rsid w:val="000D3935"/>
    <w:rsid w:val="000D4318"/>
    <w:rsid w:val="000D45EA"/>
    <w:rsid w:val="000D50FA"/>
    <w:rsid w:val="000D72E1"/>
    <w:rsid w:val="000D7A22"/>
    <w:rsid w:val="000D7B57"/>
    <w:rsid w:val="000E0F82"/>
    <w:rsid w:val="000E1FE4"/>
    <w:rsid w:val="000E2A6A"/>
    <w:rsid w:val="000E2D56"/>
    <w:rsid w:val="000E393C"/>
    <w:rsid w:val="000E44EE"/>
    <w:rsid w:val="000E71CB"/>
    <w:rsid w:val="000F0094"/>
    <w:rsid w:val="000F2BE1"/>
    <w:rsid w:val="000F314C"/>
    <w:rsid w:val="000F4333"/>
    <w:rsid w:val="000F4D93"/>
    <w:rsid w:val="000F575B"/>
    <w:rsid w:val="000F58B7"/>
    <w:rsid w:val="000F6B0B"/>
    <w:rsid w:val="00100D54"/>
    <w:rsid w:val="00101047"/>
    <w:rsid w:val="00102A08"/>
    <w:rsid w:val="00102CBF"/>
    <w:rsid w:val="00102D7F"/>
    <w:rsid w:val="0010585C"/>
    <w:rsid w:val="0010778A"/>
    <w:rsid w:val="00107E73"/>
    <w:rsid w:val="00110047"/>
    <w:rsid w:val="0011026C"/>
    <w:rsid w:val="0011182D"/>
    <w:rsid w:val="00111A70"/>
    <w:rsid w:val="00112165"/>
    <w:rsid w:val="0011640E"/>
    <w:rsid w:val="00116D08"/>
    <w:rsid w:val="00117049"/>
    <w:rsid w:val="00117C42"/>
    <w:rsid w:val="00120789"/>
    <w:rsid w:val="00121054"/>
    <w:rsid w:val="00121648"/>
    <w:rsid w:val="0012458C"/>
    <w:rsid w:val="00124CAF"/>
    <w:rsid w:val="001250A1"/>
    <w:rsid w:val="00131B24"/>
    <w:rsid w:val="00131C79"/>
    <w:rsid w:val="0013406E"/>
    <w:rsid w:val="001352BD"/>
    <w:rsid w:val="00136450"/>
    <w:rsid w:val="00137908"/>
    <w:rsid w:val="0014065F"/>
    <w:rsid w:val="0014111F"/>
    <w:rsid w:val="001436AC"/>
    <w:rsid w:val="00143BD8"/>
    <w:rsid w:val="00143F5D"/>
    <w:rsid w:val="00150877"/>
    <w:rsid w:val="00150ECD"/>
    <w:rsid w:val="00151500"/>
    <w:rsid w:val="00151A8D"/>
    <w:rsid w:val="0015224F"/>
    <w:rsid w:val="00152323"/>
    <w:rsid w:val="0015374C"/>
    <w:rsid w:val="00155047"/>
    <w:rsid w:val="00155226"/>
    <w:rsid w:val="00156A14"/>
    <w:rsid w:val="00157752"/>
    <w:rsid w:val="00162A20"/>
    <w:rsid w:val="001645FC"/>
    <w:rsid w:val="00164F04"/>
    <w:rsid w:val="001662F7"/>
    <w:rsid w:val="00166EFA"/>
    <w:rsid w:val="00170012"/>
    <w:rsid w:val="001719E3"/>
    <w:rsid w:val="00172874"/>
    <w:rsid w:val="001731B0"/>
    <w:rsid w:val="00174919"/>
    <w:rsid w:val="00176259"/>
    <w:rsid w:val="001777B1"/>
    <w:rsid w:val="00181066"/>
    <w:rsid w:val="001817FD"/>
    <w:rsid w:val="00183A04"/>
    <w:rsid w:val="001850B5"/>
    <w:rsid w:val="00185C8F"/>
    <w:rsid w:val="001879EE"/>
    <w:rsid w:val="00190E5B"/>
    <w:rsid w:val="00192993"/>
    <w:rsid w:val="00194496"/>
    <w:rsid w:val="00194BC4"/>
    <w:rsid w:val="00197E9B"/>
    <w:rsid w:val="001A025F"/>
    <w:rsid w:val="001A19F9"/>
    <w:rsid w:val="001A1CC3"/>
    <w:rsid w:val="001B1E8C"/>
    <w:rsid w:val="001B4E80"/>
    <w:rsid w:val="001B5109"/>
    <w:rsid w:val="001B58F2"/>
    <w:rsid w:val="001B5D16"/>
    <w:rsid w:val="001C002C"/>
    <w:rsid w:val="001C0B52"/>
    <w:rsid w:val="001C0B70"/>
    <w:rsid w:val="001C211E"/>
    <w:rsid w:val="001C2590"/>
    <w:rsid w:val="001C55EC"/>
    <w:rsid w:val="001C6610"/>
    <w:rsid w:val="001C6F6A"/>
    <w:rsid w:val="001C7253"/>
    <w:rsid w:val="001C75E6"/>
    <w:rsid w:val="001D2541"/>
    <w:rsid w:val="001D2884"/>
    <w:rsid w:val="001D3309"/>
    <w:rsid w:val="001D336A"/>
    <w:rsid w:val="001D3AF4"/>
    <w:rsid w:val="001D3C8A"/>
    <w:rsid w:val="001D5BB8"/>
    <w:rsid w:val="001D7907"/>
    <w:rsid w:val="001E010D"/>
    <w:rsid w:val="001E2527"/>
    <w:rsid w:val="001E2862"/>
    <w:rsid w:val="001E2ADA"/>
    <w:rsid w:val="001E34A5"/>
    <w:rsid w:val="001E5622"/>
    <w:rsid w:val="001F0678"/>
    <w:rsid w:val="001F10B7"/>
    <w:rsid w:val="001F2949"/>
    <w:rsid w:val="001F394F"/>
    <w:rsid w:val="001F736C"/>
    <w:rsid w:val="001F7DB2"/>
    <w:rsid w:val="002001AC"/>
    <w:rsid w:val="0020229A"/>
    <w:rsid w:val="002045FC"/>
    <w:rsid w:val="00205073"/>
    <w:rsid w:val="00205989"/>
    <w:rsid w:val="00211883"/>
    <w:rsid w:val="00213B01"/>
    <w:rsid w:val="00215AC1"/>
    <w:rsid w:val="00215E9F"/>
    <w:rsid w:val="002170E6"/>
    <w:rsid w:val="00217511"/>
    <w:rsid w:val="00217977"/>
    <w:rsid w:val="00217C2F"/>
    <w:rsid w:val="00220F20"/>
    <w:rsid w:val="00222410"/>
    <w:rsid w:val="00223CAF"/>
    <w:rsid w:val="002276F7"/>
    <w:rsid w:val="0023295F"/>
    <w:rsid w:val="0023500E"/>
    <w:rsid w:val="00235C58"/>
    <w:rsid w:val="00240B57"/>
    <w:rsid w:val="00241C69"/>
    <w:rsid w:val="002422FB"/>
    <w:rsid w:val="00242A1C"/>
    <w:rsid w:val="00243ED2"/>
    <w:rsid w:val="00244101"/>
    <w:rsid w:val="00246091"/>
    <w:rsid w:val="00246CA0"/>
    <w:rsid w:val="00251EE6"/>
    <w:rsid w:val="00252B03"/>
    <w:rsid w:val="00253302"/>
    <w:rsid w:val="00253823"/>
    <w:rsid w:val="00253B86"/>
    <w:rsid w:val="002542E5"/>
    <w:rsid w:val="00254313"/>
    <w:rsid w:val="002553E0"/>
    <w:rsid w:val="00255BBE"/>
    <w:rsid w:val="00260266"/>
    <w:rsid w:val="00260A92"/>
    <w:rsid w:val="00261420"/>
    <w:rsid w:val="002622BD"/>
    <w:rsid w:val="0026549A"/>
    <w:rsid w:val="00272017"/>
    <w:rsid w:val="0027300A"/>
    <w:rsid w:val="00273723"/>
    <w:rsid w:val="002752DE"/>
    <w:rsid w:val="002766CC"/>
    <w:rsid w:val="002769DD"/>
    <w:rsid w:val="002806E6"/>
    <w:rsid w:val="0028133C"/>
    <w:rsid w:val="00283D7D"/>
    <w:rsid w:val="00285474"/>
    <w:rsid w:val="00285F80"/>
    <w:rsid w:val="0028691D"/>
    <w:rsid w:val="00286AD4"/>
    <w:rsid w:val="00286FE0"/>
    <w:rsid w:val="00290683"/>
    <w:rsid w:val="00292CAE"/>
    <w:rsid w:val="00294AB7"/>
    <w:rsid w:val="00294C37"/>
    <w:rsid w:val="00295F6F"/>
    <w:rsid w:val="002A04F7"/>
    <w:rsid w:val="002A262A"/>
    <w:rsid w:val="002A2ED6"/>
    <w:rsid w:val="002A427C"/>
    <w:rsid w:val="002A76D6"/>
    <w:rsid w:val="002A7BC9"/>
    <w:rsid w:val="002A7F99"/>
    <w:rsid w:val="002B1342"/>
    <w:rsid w:val="002B2443"/>
    <w:rsid w:val="002C0E08"/>
    <w:rsid w:val="002C0F83"/>
    <w:rsid w:val="002C136C"/>
    <w:rsid w:val="002C1C74"/>
    <w:rsid w:val="002C3D05"/>
    <w:rsid w:val="002C45F1"/>
    <w:rsid w:val="002C77FB"/>
    <w:rsid w:val="002D1EB5"/>
    <w:rsid w:val="002D2D60"/>
    <w:rsid w:val="002D48F2"/>
    <w:rsid w:val="002D5C5F"/>
    <w:rsid w:val="002D5CA8"/>
    <w:rsid w:val="002D699D"/>
    <w:rsid w:val="002E2750"/>
    <w:rsid w:val="002E4059"/>
    <w:rsid w:val="002E4693"/>
    <w:rsid w:val="002E52F2"/>
    <w:rsid w:val="002E5AFB"/>
    <w:rsid w:val="002E5B91"/>
    <w:rsid w:val="002E62D8"/>
    <w:rsid w:val="002E6FD3"/>
    <w:rsid w:val="002F2657"/>
    <w:rsid w:val="002F3243"/>
    <w:rsid w:val="002F4E63"/>
    <w:rsid w:val="002F5961"/>
    <w:rsid w:val="002F6012"/>
    <w:rsid w:val="002F6476"/>
    <w:rsid w:val="003003EC"/>
    <w:rsid w:val="003011BE"/>
    <w:rsid w:val="00301B32"/>
    <w:rsid w:val="003022B5"/>
    <w:rsid w:val="00304757"/>
    <w:rsid w:val="003053F7"/>
    <w:rsid w:val="0030560C"/>
    <w:rsid w:val="003104EC"/>
    <w:rsid w:val="00312BA6"/>
    <w:rsid w:val="00312E01"/>
    <w:rsid w:val="00314E05"/>
    <w:rsid w:val="00316675"/>
    <w:rsid w:val="003255C3"/>
    <w:rsid w:val="00327ACD"/>
    <w:rsid w:val="0033201A"/>
    <w:rsid w:val="00332518"/>
    <w:rsid w:val="00333143"/>
    <w:rsid w:val="003332FA"/>
    <w:rsid w:val="00333AFD"/>
    <w:rsid w:val="00333D93"/>
    <w:rsid w:val="003343D8"/>
    <w:rsid w:val="00335723"/>
    <w:rsid w:val="00336D85"/>
    <w:rsid w:val="00341C8E"/>
    <w:rsid w:val="00344406"/>
    <w:rsid w:val="003444F3"/>
    <w:rsid w:val="00344832"/>
    <w:rsid w:val="003454F2"/>
    <w:rsid w:val="00345B8D"/>
    <w:rsid w:val="00345C95"/>
    <w:rsid w:val="003465C5"/>
    <w:rsid w:val="00346E49"/>
    <w:rsid w:val="00350CC8"/>
    <w:rsid w:val="00356429"/>
    <w:rsid w:val="00356FF0"/>
    <w:rsid w:val="00360AC1"/>
    <w:rsid w:val="00364004"/>
    <w:rsid w:val="00364EFB"/>
    <w:rsid w:val="003655C8"/>
    <w:rsid w:val="00370AFD"/>
    <w:rsid w:val="0037175B"/>
    <w:rsid w:val="00371F66"/>
    <w:rsid w:val="00372416"/>
    <w:rsid w:val="003724CA"/>
    <w:rsid w:val="00373179"/>
    <w:rsid w:val="00373F76"/>
    <w:rsid w:val="0037482B"/>
    <w:rsid w:val="00375FA9"/>
    <w:rsid w:val="00376611"/>
    <w:rsid w:val="00381B32"/>
    <w:rsid w:val="00384F02"/>
    <w:rsid w:val="00385D17"/>
    <w:rsid w:val="00385E97"/>
    <w:rsid w:val="003862B4"/>
    <w:rsid w:val="0039025D"/>
    <w:rsid w:val="0039098B"/>
    <w:rsid w:val="00390CB6"/>
    <w:rsid w:val="00390CE1"/>
    <w:rsid w:val="00393262"/>
    <w:rsid w:val="00395BC7"/>
    <w:rsid w:val="00396663"/>
    <w:rsid w:val="003A1F89"/>
    <w:rsid w:val="003A238F"/>
    <w:rsid w:val="003A4DFF"/>
    <w:rsid w:val="003A4EAB"/>
    <w:rsid w:val="003A596A"/>
    <w:rsid w:val="003B0269"/>
    <w:rsid w:val="003B2941"/>
    <w:rsid w:val="003B5432"/>
    <w:rsid w:val="003C0FF8"/>
    <w:rsid w:val="003C1778"/>
    <w:rsid w:val="003C1E86"/>
    <w:rsid w:val="003C2397"/>
    <w:rsid w:val="003C2CDB"/>
    <w:rsid w:val="003C393D"/>
    <w:rsid w:val="003C3F31"/>
    <w:rsid w:val="003D2365"/>
    <w:rsid w:val="003D2790"/>
    <w:rsid w:val="003D37C2"/>
    <w:rsid w:val="003D5302"/>
    <w:rsid w:val="003D697A"/>
    <w:rsid w:val="003D6FB5"/>
    <w:rsid w:val="003D7802"/>
    <w:rsid w:val="003D7F49"/>
    <w:rsid w:val="003D7FD0"/>
    <w:rsid w:val="003E02FF"/>
    <w:rsid w:val="003E15B1"/>
    <w:rsid w:val="003E28EC"/>
    <w:rsid w:val="003E3375"/>
    <w:rsid w:val="003E5543"/>
    <w:rsid w:val="003E6413"/>
    <w:rsid w:val="003E7632"/>
    <w:rsid w:val="003F0A21"/>
    <w:rsid w:val="003F0C41"/>
    <w:rsid w:val="003F0F12"/>
    <w:rsid w:val="003F269E"/>
    <w:rsid w:val="003F2AF8"/>
    <w:rsid w:val="003F33E2"/>
    <w:rsid w:val="003F3408"/>
    <w:rsid w:val="003F3849"/>
    <w:rsid w:val="003F39D0"/>
    <w:rsid w:val="003F3C13"/>
    <w:rsid w:val="003F49BA"/>
    <w:rsid w:val="003F4CB5"/>
    <w:rsid w:val="003F4F28"/>
    <w:rsid w:val="003F51CD"/>
    <w:rsid w:val="003F5ED5"/>
    <w:rsid w:val="003F6300"/>
    <w:rsid w:val="00400E8B"/>
    <w:rsid w:val="0040190A"/>
    <w:rsid w:val="00401D65"/>
    <w:rsid w:val="004041CB"/>
    <w:rsid w:val="00405464"/>
    <w:rsid w:val="00405BBF"/>
    <w:rsid w:val="004066F7"/>
    <w:rsid w:val="00410A42"/>
    <w:rsid w:val="004119C9"/>
    <w:rsid w:val="00413722"/>
    <w:rsid w:val="004148C2"/>
    <w:rsid w:val="00417064"/>
    <w:rsid w:val="004173FE"/>
    <w:rsid w:val="00417C5F"/>
    <w:rsid w:val="00420CC2"/>
    <w:rsid w:val="0042106F"/>
    <w:rsid w:val="00425DFF"/>
    <w:rsid w:val="00430D30"/>
    <w:rsid w:val="0043179E"/>
    <w:rsid w:val="00436153"/>
    <w:rsid w:val="00437623"/>
    <w:rsid w:val="00437D54"/>
    <w:rsid w:val="00440152"/>
    <w:rsid w:val="00440291"/>
    <w:rsid w:val="004433EB"/>
    <w:rsid w:val="004437F3"/>
    <w:rsid w:val="00443E9A"/>
    <w:rsid w:val="00450BF8"/>
    <w:rsid w:val="00451BDA"/>
    <w:rsid w:val="00454442"/>
    <w:rsid w:val="0045450A"/>
    <w:rsid w:val="00455024"/>
    <w:rsid w:val="004561DE"/>
    <w:rsid w:val="004578EC"/>
    <w:rsid w:val="004612E9"/>
    <w:rsid w:val="004618B8"/>
    <w:rsid w:val="00462579"/>
    <w:rsid w:val="0046265A"/>
    <w:rsid w:val="004627C0"/>
    <w:rsid w:val="004639E8"/>
    <w:rsid w:val="0046642A"/>
    <w:rsid w:val="004672B7"/>
    <w:rsid w:val="00467311"/>
    <w:rsid w:val="004701A9"/>
    <w:rsid w:val="00473514"/>
    <w:rsid w:val="0047557E"/>
    <w:rsid w:val="00475F6E"/>
    <w:rsid w:val="004767E8"/>
    <w:rsid w:val="00476CB0"/>
    <w:rsid w:val="00477ABA"/>
    <w:rsid w:val="00481888"/>
    <w:rsid w:val="004827DA"/>
    <w:rsid w:val="00483A8E"/>
    <w:rsid w:val="00484F3A"/>
    <w:rsid w:val="00485E61"/>
    <w:rsid w:val="0048686B"/>
    <w:rsid w:val="004871D2"/>
    <w:rsid w:val="00487DF8"/>
    <w:rsid w:val="004924AC"/>
    <w:rsid w:val="00492E62"/>
    <w:rsid w:val="00496022"/>
    <w:rsid w:val="00497ADF"/>
    <w:rsid w:val="00497AED"/>
    <w:rsid w:val="00497AF8"/>
    <w:rsid w:val="004A099C"/>
    <w:rsid w:val="004A0F55"/>
    <w:rsid w:val="004A1295"/>
    <w:rsid w:val="004A1F06"/>
    <w:rsid w:val="004A6502"/>
    <w:rsid w:val="004A7222"/>
    <w:rsid w:val="004A7E39"/>
    <w:rsid w:val="004B0B76"/>
    <w:rsid w:val="004B1410"/>
    <w:rsid w:val="004B1E2C"/>
    <w:rsid w:val="004B23FF"/>
    <w:rsid w:val="004B31DD"/>
    <w:rsid w:val="004B6573"/>
    <w:rsid w:val="004B7092"/>
    <w:rsid w:val="004B71CC"/>
    <w:rsid w:val="004C0F0C"/>
    <w:rsid w:val="004C2724"/>
    <w:rsid w:val="004C50BE"/>
    <w:rsid w:val="004C54CE"/>
    <w:rsid w:val="004C58C9"/>
    <w:rsid w:val="004C6F9C"/>
    <w:rsid w:val="004C71DE"/>
    <w:rsid w:val="004D0D8F"/>
    <w:rsid w:val="004D12AA"/>
    <w:rsid w:val="004D321E"/>
    <w:rsid w:val="004D69EC"/>
    <w:rsid w:val="004D7E82"/>
    <w:rsid w:val="004E18FD"/>
    <w:rsid w:val="004E39AA"/>
    <w:rsid w:val="004E4070"/>
    <w:rsid w:val="004E551B"/>
    <w:rsid w:val="004E7DEB"/>
    <w:rsid w:val="004F0544"/>
    <w:rsid w:val="004F367E"/>
    <w:rsid w:val="004F60D0"/>
    <w:rsid w:val="004F6209"/>
    <w:rsid w:val="004F6514"/>
    <w:rsid w:val="004F7106"/>
    <w:rsid w:val="00500C63"/>
    <w:rsid w:val="005017C8"/>
    <w:rsid w:val="00501C9C"/>
    <w:rsid w:val="00502380"/>
    <w:rsid w:val="00503015"/>
    <w:rsid w:val="0050303B"/>
    <w:rsid w:val="00503721"/>
    <w:rsid w:val="00504795"/>
    <w:rsid w:val="0050502B"/>
    <w:rsid w:val="00505AFD"/>
    <w:rsid w:val="00505BF0"/>
    <w:rsid w:val="00505F31"/>
    <w:rsid w:val="00507C0B"/>
    <w:rsid w:val="00513DD3"/>
    <w:rsid w:val="005148A3"/>
    <w:rsid w:val="00514A6A"/>
    <w:rsid w:val="00514CFF"/>
    <w:rsid w:val="00520F8B"/>
    <w:rsid w:val="0052161B"/>
    <w:rsid w:val="00524A21"/>
    <w:rsid w:val="00524F57"/>
    <w:rsid w:val="005255A4"/>
    <w:rsid w:val="00525CEE"/>
    <w:rsid w:val="0052748B"/>
    <w:rsid w:val="005304F5"/>
    <w:rsid w:val="005305EB"/>
    <w:rsid w:val="00533B97"/>
    <w:rsid w:val="00533D49"/>
    <w:rsid w:val="00534955"/>
    <w:rsid w:val="0053559B"/>
    <w:rsid w:val="00537088"/>
    <w:rsid w:val="00537384"/>
    <w:rsid w:val="00537670"/>
    <w:rsid w:val="00540823"/>
    <w:rsid w:val="00541590"/>
    <w:rsid w:val="005415B0"/>
    <w:rsid w:val="00543BF5"/>
    <w:rsid w:val="00544BA1"/>
    <w:rsid w:val="00544E22"/>
    <w:rsid w:val="005459C8"/>
    <w:rsid w:val="00547719"/>
    <w:rsid w:val="0054785F"/>
    <w:rsid w:val="00547DF9"/>
    <w:rsid w:val="00551397"/>
    <w:rsid w:val="00551569"/>
    <w:rsid w:val="005522B8"/>
    <w:rsid w:val="00554B1D"/>
    <w:rsid w:val="00554E18"/>
    <w:rsid w:val="00560587"/>
    <w:rsid w:val="00560DF5"/>
    <w:rsid w:val="0056142D"/>
    <w:rsid w:val="005615A1"/>
    <w:rsid w:val="00565426"/>
    <w:rsid w:val="00565BF9"/>
    <w:rsid w:val="00566DD9"/>
    <w:rsid w:val="00567586"/>
    <w:rsid w:val="00567836"/>
    <w:rsid w:val="00567A28"/>
    <w:rsid w:val="0057121F"/>
    <w:rsid w:val="005735E1"/>
    <w:rsid w:val="00573EB0"/>
    <w:rsid w:val="00575380"/>
    <w:rsid w:val="0057752F"/>
    <w:rsid w:val="00581AA0"/>
    <w:rsid w:val="00584FC7"/>
    <w:rsid w:val="005855AA"/>
    <w:rsid w:val="0058741F"/>
    <w:rsid w:val="00590813"/>
    <w:rsid w:val="005910A6"/>
    <w:rsid w:val="0059222D"/>
    <w:rsid w:val="00593325"/>
    <w:rsid w:val="00593388"/>
    <w:rsid w:val="00593F6E"/>
    <w:rsid w:val="00594053"/>
    <w:rsid w:val="00596234"/>
    <w:rsid w:val="00597155"/>
    <w:rsid w:val="005A2A67"/>
    <w:rsid w:val="005A3A66"/>
    <w:rsid w:val="005A420C"/>
    <w:rsid w:val="005A4605"/>
    <w:rsid w:val="005A5CBC"/>
    <w:rsid w:val="005A6EFE"/>
    <w:rsid w:val="005B4FD7"/>
    <w:rsid w:val="005C10E7"/>
    <w:rsid w:val="005C205A"/>
    <w:rsid w:val="005C21B6"/>
    <w:rsid w:val="005C2201"/>
    <w:rsid w:val="005C225D"/>
    <w:rsid w:val="005C26DA"/>
    <w:rsid w:val="005C43D5"/>
    <w:rsid w:val="005C6260"/>
    <w:rsid w:val="005C7DB1"/>
    <w:rsid w:val="005D015D"/>
    <w:rsid w:val="005D0C4B"/>
    <w:rsid w:val="005D1A83"/>
    <w:rsid w:val="005D1C92"/>
    <w:rsid w:val="005D271F"/>
    <w:rsid w:val="005D34F6"/>
    <w:rsid w:val="005D48BB"/>
    <w:rsid w:val="005D4ED5"/>
    <w:rsid w:val="005D614E"/>
    <w:rsid w:val="005E1DB9"/>
    <w:rsid w:val="005E3F3C"/>
    <w:rsid w:val="005E43EF"/>
    <w:rsid w:val="005E48CF"/>
    <w:rsid w:val="005E5588"/>
    <w:rsid w:val="005E5B04"/>
    <w:rsid w:val="005E78F6"/>
    <w:rsid w:val="005E7E82"/>
    <w:rsid w:val="005F1CB7"/>
    <w:rsid w:val="005F2942"/>
    <w:rsid w:val="005F5C6B"/>
    <w:rsid w:val="00600603"/>
    <w:rsid w:val="006017E9"/>
    <w:rsid w:val="0060183D"/>
    <w:rsid w:val="006059F1"/>
    <w:rsid w:val="00606E72"/>
    <w:rsid w:val="00607EB5"/>
    <w:rsid w:val="006105E7"/>
    <w:rsid w:val="00613CEF"/>
    <w:rsid w:val="00614631"/>
    <w:rsid w:val="00616F00"/>
    <w:rsid w:val="00620A43"/>
    <w:rsid w:val="00620E93"/>
    <w:rsid w:val="0062311D"/>
    <w:rsid w:val="0062337B"/>
    <w:rsid w:val="00624695"/>
    <w:rsid w:val="00624A5A"/>
    <w:rsid w:val="00625C5F"/>
    <w:rsid w:val="00626DAE"/>
    <w:rsid w:val="006275DE"/>
    <w:rsid w:val="0062788A"/>
    <w:rsid w:val="006278A3"/>
    <w:rsid w:val="006279CF"/>
    <w:rsid w:val="0063104E"/>
    <w:rsid w:val="00631F23"/>
    <w:rsid w:val="00632099"/>
    <w:rsid w:val="006327B5"/>
    <w:rsid w:val="00632F84"/>
    <w:rsid w:val="00633C14"/>
    <w:rsid w:val="0063461D"/>
    <w:rsid w:val="00635E8D"/>
    <w:rsid w:val="006374CF"/>
    <w:rsid w:val="00637EC4"/>
    <w:rsid w:val="006407A0"/>
    <w:rsid w:val="006419CC"/>
    <w:rsid w:val="006430B0"/>
    <w:rsid w:val="006434CE"/>
    <w:rsid w:val="00645236"/>
    <w:rsid w:val="00645F26"/>
    <w:rsid w:val="00646F2D"/>
    <w:rsid w:val="00650A02"/>
    <w:rsid w:val="00650BAC"/>
    <w:rsid w:val="00650C02"/>
    <w:rsid w:val="00652D15"/>
    <w:rsid w:val="00652D1C"/>
    <w:rsid w:val="00655D89"/>
    <w:rsid w:val="00656373"/>
    <w:rsid w:val="00656396"/>
    <w:rsid w:val="00656882"/>
    <w:rsid w:val="00656B5A"/>
    <w:rsid w:val="00657467"/>
    <w:rsid w:val="006574E8"/>
    <w:rsid w:val="00657657"/>
    <w:rsid w:val="00657C40"/>
    <w:rsid w:val="00660D14"/>
    <w:rsid w:val="00661819"/>
    <w:rsid w:val="00667788"/>
    <w:rsid w:val="00667EF1"/>
    <w:rsid w:val="0067026F"/>
    <w:rsid w:val="0067328A"/>
    <w:rsid w:val="00673475"/>
    <w:rsid w:val="00676580"/>
    <w:rsid w:val="006770D0"/>
    <w:rsid w:val="00681169"/>
    <w:rsid w:val="006819E2"/>
    <w:rsid w:val="006832A5"/>
    <w:rsid w:val="00683D94"/>
    <w:rsid w:val="0068642A"/>
    <w:rsid w:val="00687835"/>
    <w:rsid w:val="0069017F"/>
    <w:rsid w:val="0069020F"/>
    <w:rsid w:val="00693C8A"/>
    <w:rsid w:val="00697DD7"/>
    <w:rsid w:val="006A0DD5"/>
    <w:rsid w:val="006A10A9"/>
    <w:rsid w:val="006A12C2"/>
    <w:rsid w:val="006A180E"/>
    <w:rsid w:val="006A24A5"/>
    <w:rsid w:val="006A2501"/>
    <w:rsid w:val="006A30D2"/>
    <w:rsid w:val="006A32A0"/>
    <w:rsid w:val="006A47F6"/>
    <w:rsid w:val="006A4A53"/>
    <w:rsid w:val="006A5183"/>
    <w:rsid w:val="006A5789"/>
    <w:rsid w:val="006B2A2C"/>
    <w:rsid w:val="006B4E30"/>
    <w:rsid w:val="006B6251"/>
    <w:rsid w:val="006B6892"/>
    <w:rsid w:val="006B69DC"/>
    <w:rsid w:val="006C1205"/>
    <w:rsid w:val="006C2486"/>
    <w:rsid w:val="006C2BB9"/>
    <w:rsid w:val="006C3505"/>
    <w:rsid w:val="006C3B7A"/>
    <w:rsid w:val="006C3FC5"/>
    <w:rsid w:val="006C50BD"/>
    <w:rsid w:val="006C5AF5"/>
    <w:rsid w:val="006C7011"/>
    <w:rsid w:val="006D0869"/>
    <w:rsid w:val="006D1FEB"/>
    <w:rsid w:val="006D2A51"/>
    <w:rsid w:val="006D2E80"/>
    <w:rsid w:val="006D7427"/>
    <w:rsid w:val="006D791B"/>
    <w:rsid w:val="006D7985"/>
    <w:rsid w:val="006D7AA5"/>
    <w:rsid w:val="006E0C5B"/>
    <w:rsid w:val="006E1C12"/>
    <w:rsid w:val="006E3C55"/>
    <w:rsid w:val="006E619B"/>
    <w:rsid w:val="006E68CF"/>
    <w:rsid w:val="006E79F3"/>
    <w:rsid w:val="006F0DAB"/>
    <w:rsid w:val="006F1DC0"/>
    <w:rsid w:val="006F42EE"/>
    <w:rsid w:val="006F5A8F"/>
    <w:rsid w:val="006F6A91"/>
    <w:rsid w:val="00700B9E"/>
    <w:rsid w:val="007030A9"/>
    <w:rsid w:val="0070360E"/>
    <w:rsid w:val="00704B41"/>
    <w:rsid w:val="00705C33"/>
    <w:rsid w:val="00707030"/>
    <w:rsid w:val="00707B70"/>
    <w:rsid w:val="00711D16"/>
    <w:rsid w:val="00714BEC"/>
    <w:rsid w:val="007173E6"/>
    <w:rsid w:val="00717CFD"/>
    <w:rsid w:val="007200A7"/>
    <w:rsid w:val="00721EAB"/>
    <w:rsid w:val="007235EC"/>
    <w:rsid w:val="00724EC2"/>
    <w:rsid w:val="00726657"/>
    <w:rsid w:val="00731319"/>
    <w:rsid w:val="0073408B"/>
    <w:rsid w:val="007344FE"/>
    <w:rsid w:val="00734654"/>
    <w:rsid w:val="00736816"/>
    <w:rsid w:val="00737722"/>
    <w:rsid w:val="00741829"/>
    <w:rsid w:val="00741B58"/>
    <w:rsid w:val="00743131"/>
    <w:rsid w:val="0074612F"/>
    <w:rsid w:val="007472BD"/>
    <w:rsid w:val="007472EF"/>
    <w:rsid w:val="00747723"/>
    <w:rsid w:val="00752F40"/>
    <w:rsid w:val="00757C05"/>
    <w:rsid w:val="00761C5E"/>
    <w:rsid w:val="00762954"/>
    <w:rsid w:val="00763510"/>
    <w:rsid w:val="00763A0B"/>
    <w:rsid w:val="00763FD1"/>
    <w:rsid w:val="00766C0A"/>
    <w:rsid w:val="007721D4"/>
    <w:rsid w:val="00775FF2"/>
    <w:rsid w:val="00776092"/>
    <w:rsid w:val="00777A68"/>
    <w:rsid w:val="0078187C"/>
    <w:rsid w:val="0078209F"/>
    <w:rsid w:val="0078479B"/>
    <w:rsid w:val="00784EBD"/>
    <w:rsid w:val="00785B0B"/>
    <w:rsid w:val="00786D44"/>
    <w:rsid w:val="007908C4"/>
    <w:rsid w:val="007911EB"/>
    <w:rsid w:val="007929C4"/>
    <w:rsid w:val="00792BD9"/>
    <w:rsid w:val="00794834"/>
    <w:rsid w:val="00794949"/>
    <w:rsid w:val="00794CA8"/>
    <w:rsid w:val="00795F87"/>
    <w:rsid w:val="00796DDE"/>
    <w:rsid w:val="007975E1"/>
    <w:rsid w:val="007A16E5"/>
    <w:rsid w:val="007A2019"/>
    <w:rsid w:val="007A2A42"/>
    <w:rsid w:val="007A7AA5"/>
    <w:rsid w:val="007B02D4"/>
    <w:rsid w:val="007B0A5C"/>
    <w:rsid w:val="007B16C4"/>
    <w:rsid w:val="007B687F"/>
    <w:rsid w:val="007C0E0D"/>
    <w:rsid w:val="007C15EF"/>
    <w:rsid w:val="007C34F7"/>
    <w:rsid w:val="007C48CD"/>
    <w:rsid w:val="007C4B16"/>
    <w:rsid w:val="007C4C88"/>
    <w:rsid w:val="007C4F24"/>
    <w:rsid w:val="007C6CF8"/>
    <w:rsid w:val="007C7878"/>
    <w:rsid w:val="007E10DE"/>
    <w:rsid w:val="007E1703"/>
    <w:rsid w:val="007E4BA1"/>
    <w:rsid w:val="007E5F61"/>
    <w:rsid w:val="007E72EE"/>
    <w:rsid w:val="007E78AF"/>
    <w:rsid w:val="007F04A1"/>
    <w:rsid w:val="007F18B1"/>
    <w:rsid w:val="007F1BFC"/>
    <w:rsid w:val="007F49EB"/>
    <w:rsid w:val="007F4C7E"/>
    <w:rsid w:val="00800833"/>
    <w:rsid w:val="00800CAE"/>
    <w:rsid w:val="008029F4"/>
    <w:rsid w:val="008044DE"/>
    <w:rsid w:val="0080471A"/>
    <w:rsid w:val="0080792F"/>
    <w:rsid w:val="0081426E"/>
    <w:rsid w:val="00815C04"/>
    <w:rsid w:val="0082048D"/>
    <w:rsid w:val="0082086B"/>
    <w:rsid w:val="00820E20"/>
    <w:rsid w:val="00820E3C"/>
    <w:rsid w:val="00821355"/>
    <w:rsid w:val="00821B45"/>
    <w:rsid w:val="008222EF"/>
    <w:rsid w:val="00822A5C"/>
    <w:rsid w:val="00823C1C"/>
    <w:rsid w:val="008244E9"/>
    <w:rsid w:val="00826A61"/>
    <w:rsid w:val="008302E7"/>
    <w:rsid w:val="00831271"/>
    <w:rsid w:val="008315D8"/>
    <w:rsid w:val="008325DB"/>
    <w:rsid w:val="008328CC"/>
    <w:rsid w:val="00832ECC"/>
    <w:rsid w:val="00833294"/>
    <w:rsid w:val="00833F68"/>
    <w:rsid w:val="00836A7C"/>
    <w:rsid w:val="008371D7"/>
    <w:rsid w:val="0083778D"/>
    <w:rsid w:val="00837A5C"/>
    <w:rsid w:val="00837D7D"/>
    <w:rsid w:val="008410E4"/>
    <w:rsid w:val="008419B0"/>
    <w:rsid w:val="008426E4"/>
    <w:rsid w:val="00842700"/>
    <w:rsid w:val="00842D77"/>
    <w:rsid w:val="00843C6E"/>
    <w:rsid w:val="00844289"/>
    <w:rsid w:val="00845783"/>
    <w:rsid w:val="00845CE3"/>
    <w:rsid w:val="00845E18"/>
    <w:rsid w:val="00846370"/>
    <w:rsid w:val="008465FC"/>
    <w:rsid w:val="00846643"/>
    <w:rsid w:val="00847443"/>
    <w:rsid w:val="008509DF"/>
    <w:rsid w:val="008526A6"/>
    <w:rsid w:val="00852D66"/>
    <w:rsid w:val="0085401A"/>
    <w:rsid w:val="00855F26"/>
    <w:rsid w:val="00856FDB"/>
    <w:rsid w:val="00857F25"/>
    <w:rsid w:val="00867BE5"/>
    <w:rsid w:val="008710DB"/>
    <w:rsid w:val="008713CE"/>
    <w:rsid w:val="008758E8"/>
    <w:rsid w:val="00875CD8"/>
    <w:rsid w:val="00880BC9"/>
    <w:rsid w:val="00881081"/>
    <w:rsid w:val="008817A5"/>
    <w:rsid w:val="00882190"/>
    <w:rsid w:val="008821B4"/>
    <w:rsid w:val="00882355"/>
    <w:rsid w:val="00882398"/>
    <w:rsid w:val="00882DC9"/>
    <w:rsid w:val="008849D5"/>
    <w:rsid w:val="00884FB9"/>
    <w:rsid w:val="00885A01"/>
    <w:rsid w:val="00885B28"/>
    <w:rsid w:val="00887626"/>
    <w:rsid w:val="00890BF5"/>
    <w:rsid w:val="008925C8"/>
    <w:rsid w:val="008925E1"/>
    <w:rsid w:val="008963AA"/>
    <w:rsid w:val="00896C02"/>
    <w:rsid w:val="008A08FE"/>
    <w:rsid w:val="008A1ABE"/>
    <w:rsid w:val="008A3469"/>
    <w:rsid w:val="008A518C"/>
    <w:rsid w:val="008A6855"/>
    <w:rsid w:val="008A6BB9"/>
    <w:rsid w:val="008A73EE"/>
    <w:rsid w:val="008B06D0"/>
    <w:rsid w:val="008B1F6E"/>
    <w:rsid w:val="008B693F"/>
    <w:rsid w:val="008B749E"/>
    <w:rsid w:val="008C092B"/>
    <w:rsid w:val="008C130B"/>
    <w:rsid w:val="008C1406"/>
    <w:rsid w:val="008C255C"/>
    <w:rsid w:val="008C3070"/>
    <w:rsid w:val="008C38B0"/>
    <w:rsid w:val="008C3FCD"/>
    <w:rsid w:val="008C4ABB"/>
    <w:rsid w:val="008C4EDF"/>
    <w:rsid w:val="008C61D8"/>
    <w:rsid w:val="008C761A"/>
    <w:rsid w:val="008D0E81"/>
    <w:rsid w:val="008D12DF"/>
    <w:rsid w:val="008D26B9"/>
    <w:rsid w:val="008D383D"/>
    <w:rsid w:val="008D4B5E"/>
    <w:rsid w:val="008D7B1A"/>
    <w:rsid w:val="008D7B45"/>
    <w:rsid w:val="008E152D"/>
    <w:rsid w:val="008E1823"/>
    <w:rsid w:val="008E35C3"/>
    <w:rsid w:val="008E3FE7"/>
    <w:rsid w:val="008E6D5A"/>
    <w:rsid w:val="008E789C"/>
    <w:rsid w:val="008F015B"/>
    <w:rsid w:val="008F377B"/>
    <w:rsid w:val="008F6029"/>
    <w:rsid w:val="009001CD"/>
    <w:rsid w:val="009015E1"/>
    <w:rsid w:val="00902FD8"/>
    <w:rsid w:val="0090339A"/>
    <w:rsid w:val="009100D6"/>
    <w:rsid w:val="00910232"/>
    <w:rsid w:val="00910C4A"/>
    <w:rsid w:val="00911A13"/>
    <w:rsid w:val="00912300"/>
    <w:rsid w:val="00912424"/>
    <w:rsid w:val="00915A22"/>
    <w:rsid w:val="00915D88"/>
    <w:rsid w:val="009169B5"/>
    <w:rsid w:val="00916AC1"/>
    <w:rsid w:val="0092048B"/>
    <w:rsid w:val="009206CF"/>
    <w:rsid w:val="009213ED"/>
    <w:rsid w:val="009246D3"/>
    <w:rsid w:val="00924B0F"/>
    <w:rsid w:val="0092615D"/>
    <w:rsid w:val="009302E3"/>
    <w:rsid w:val="009304D6"/>
    <w:rsid w:val="009306E1"/>
    <w:rsid w:val="009340A6"/>
    <w:rsid w:val="009362D8"/>
    <w:rsid w:val="0093691F"/>
    <w:rsid w:val="009374E1"/>
    <w:rsid w:val="00937EC3"/>
    <w:rsid w:val="00941D34"/>
    <w:rsid w:val="00942461"/>
    <w:rsid w:val="00945271"/>
    <w:rsid w:val="009464C8"/>
    <w:rsid w:val="00946504"/>
    <w:rsid w:val="00946CF7"/>
    <w:rsid w:val="0094725E"/>
    <w:rsid w:val="00947B0E"/>
    <w:rsid w:val="009504BF"/>
    <w:rsid w:val="009516DE"/>
    <w:rsid w:val="00951DA6"/>
    <w:rsid w:val="00954A6A"/>
    <w:rsid w:val="009601F0"/>
    <w:rsid w:val="009610D8"/>
    <w:rsid w:val="0096412D"/>
    <w:rsid w:val="00964BA6"/>
    <w:rsid w:val="00966788"/>
    <w:rsid w:val="00966E84"/>
    <w:rsid w:val="00971861"/>
    <w:rsid w:val="00972160"/>
    <w:rsid w:val="009734E3"/>
    <w:rsid w:val="00976611"/>
    <w:rsid w:val="00976C01"/>
    <w:rsid w:val="00977277"/>
    <w:rsid w:val="00982847"/>
    <w:rsid w:val="00982EFD"/>
    <w:rsid w:val="00983AB4"/>
    <w:rsid w:val="00983AB8"/>
    <w:rsid w:val="009841AB"/>
    <w:rsid w:val="009858C7"/>
    <w:rsid w:val="00986A2C"/>
    <w:rsid w:val="00986B8B"/>
    <w:rsid w:val="00990491"/>
    <w:rsid w:val="0099070B"/>
    <w:rsid w:val="009911DF"/>
    <w:rsid w:val="00992D3E"/>
    <w:rsid w:val="00993AC6"/>
    <w:rsid w:val="00993BDA"/>
    <w:rsid w:val="00993D4D"/>
    <w:rsid w:val="00996940"/>
    <w:rsid w:val="00996B2F"/>
    <w:rsid w:val="00997DE2"/>
    <w:rsid w:val="009A1496"/>
    <w:rsid w:val="009A21F7"/>
    <w:rsid w:val="009A6344"/>
    <w:rsid w:val="009B38CE"/>
    <w:rsid w:val="009B4732"/>
    <w:rsid w:val="009B4752"/>
    <w:rsid w:val="009B5A78"/>
    <w:rsid w:val="009B5AD0"/>
    <w:rsid w:val="009B6EB7"/>
    <w:rsid w:val="009C0692"/>
    <w:rsid w:val="009C401C"/>
    <w:rsid w:val="009C47C6"/>
    <w:rsid w:val="009C61B0"/>
    <w:rsid w:val="009C7592"/>
    <w:rsid w:val="009D16DE"/>
    <w:rsid w:val="009D1DAD"/>
    <w:rsid w:val="009D245F"/>
    <w:rsid w:val="009D4024"/>
    <w:rsid w:val="009D5C46"/>
    <w:rsid w:val="009D61D7"/>
    <w:rsid w:val="009D63FC"/>
    <w:rsid w:val="009D7909"/>
    <w:rsid w:val="009E0826"/>
    <w:rsid w:val="009E6B5B"/>
    <w:rsid w:val="009F281F"/>
    <w:rsid w:val="009F2B4A"/>
    <w:rsid w:val="009F373A"/>
    <w:rsid w:val="009F3D75"/>
    <w:rsid w:val="009F4C3C"/>
    <w:rsid w:val="00A0076B"/>
    <w:rsid w:val="00A0173B"/>
    <w:rsid w:val="00A01831"/>
    <w:rsid w:val="00A01BDC"/>
    <w:rsid w:val="00A01D67"/>
    <w:rsid w:val="00A02DC7"/>
    <w:rsid w:val="00A048ED"/>
    <w:rsid w:val="00A05AF3"/>
    <w:rsid w:val="00A10D33"/>
    <w:rsid w:val="00A13A4A"/>
    <w:rsid w:val="00A16FE8"/>
    <w:rsid w:val="00A21000"/>
    <w:rsid w:val="00A231F9"/>
    <w:rsid w:val="00A2350E"/>
    <w:rsid w:val="00A26846"/>
    <w:rsid w:val="00A26BB8"/>
    <w:rsid w:val="00A2767A"/>
    <w:rsid w:val="00A27849"/>
    <w:rsid w:val="00A30018"/>
    <w:rsid w:val="00A316E8"/>
    <w:rsid w:val="00A328F0"/>
    <w:rsid w:val="00A34E0B"/>
    <w:rsid w:val="00A3510A"/>
    <w:rsid w:val="00A37EF9"/>
    <w:rsid w:val="00A4076D"/>
    <w:rsid w:val="00A420F0"/>
    <w:rsid w:val="00A42857"/>
    <w:rsid w:val="00A434EC"/>
    <w:rsid w:val="00A47A06"/>
    <w:rsid w:val="00A47B81"/>
    <w:rsid w:val="00A520FC"/>
    <w:rsid w:val="00A524CF"/>
    <w:rsid w:val="00A5572F"/>
    <w:rsid w:val="00A57340"/>
    <w:rsid w:val="00A57C88"/>
    <w:rsid w:val="00A60860"/>
    <w:rsid w:val="00A61463"/>
    <w:rsid w:val="00A62E1F"/>
    <w:rsid w:val="00A63B0F"/>
    <w:rsid w:val="00A64454"/>
    <w:rsid w:val="00A64882"/>
    <w:rsid w:val="00A64FB1"/>
    <w:rsid w:val="00A64FDF"/>
    <w:rsid w:val="00A6513B"/>
    <w:rsid w:val="00A67D84"/>
    <w:rsid w:val="00A7117D"/>
    <w:rsid w:val="00A72A7E"/>
    <w:rsid w:val="00A72B06"/>
    <w:rsid w:val="00A7306C"/>
    <w:rsid w:val="00A731E2"/>
    <w:rsid w:val="00A76504"/>
    <w:rsid w:val="00A76962"/>
    <w:rsid w:val="00A80560"/>
    <w:rsid w:val="00A80A66"/>
    <w:rsid w:val="00A8187F"/>
    <w:rsid w:val="00A818B9"/>
    <w:rsid w:val="00A829E7"/>
    <w:rsid w:val="00A85F09"/>
    <w:rsid w:val="00A87F98"/>
    <w:rsid w:val="00A9026A"/>
    <w:rsid w:val="00A90750"/>
    <w:rsid w:val="00A9522C"/>
    <w:rsid w:val="00A9562F"/>
    <w:rsid w:val="00A959DF"/>
    <w:rsid w:val="00A95FB4"/>
    <w:rsid w:val="00A9658D"/>
    <w:rsid w:val="00AA0C2D"/>
    <w:rsid w:val="00AA654D"/>
    <w:rsid w:val="00AA6CAD"/>
    <w:rsid w:val="00AA7C01"/>
    <w:rsid w:val="00AB0BC1"/>
    <w:rsid w:val="00AB0C31"/>
    <w:rsid w:val="00AB44BC"/>
    <w:rsid w:val="00AB61D0"/>
    <w:rsid w:val="00AC43F3"/>
    <w:rsid w:val="00AC50F3"/>
    <w:rsid w:val="00AC58DD"/>
    <w:rsid w:val="00AC6065"/>
    <w:rsid w:val="00AC78E9"/>
    <w:rsid w:val="00AD0D9B"/>
    <w:rsid w:val="00AD21BD"/>
    <w:rsid w:val="00AD2709"/>
    <w:rsid w:val="00AD274C"/>
    <w:rsid w:val="00AD2CCB"/>
    <w:rsid w:val="00AD3C29"/>
    <w:rsid w:val="00AD4215"/>
    <w:rsid w:val="00AD4990"/>
    <w:rsid w:val="00AD4F28"/>
    <w:rsid w:val="00AD4FC9"/>
    <w:rsid w:val="00AD6272"/>
    <w:rsid w:val="00AD682E"/>
    <w:rsid w:val="00AE2403"/>
    <w:rsid w:val="00AE32E4"/>
    <w:rsid w:val="00AE3F02"/>
    <w:rsid w:val="00AE55B2"/>
    <w:rsid w:val="00AE5A1A"/>
    <w:rsid w:val="00AE6B30"/>
    <w:rsid w:val="00AE6F3D"/>
    <w:rsid w:val="00AE701C"/>
    <w:rsid w:val="00AF106B"/>
    <w:rsid w:val="00AF145B"/>
    <w:rsid w:val="00AF1867"/>
    <w:rsid w:val="00AF1ACF"/>
    <w:rsid w:val="00AF1D35"/>
    <w:rsid w:val="00AF20EB"/>
    <w:rsid w:val="00AF2AD6"/>
    <w:rsid w:val="00AF3161"/>
    <w:rsid w:val="00B0084D"/>
    <w:rsid w:val="00B00A9D"/>
    <w:rsid w:val="00B00D34"/>
    <w:rsid w:val="00B0100B"/>
    <w:rsid w:val="00B02328"/>
    <w:rsid w:val="00B03917"/>
    <w:rsid w:val="00B04357"/>
    <w:rsid w:val="00B045EA"/>
    <w:rsid w:val="00B063C4"/>
    <w:rsid w:val="00B070EC"/>
    <w:rsid w:val="00B106B9"/>
    <w:rsid w:val="00B1227C"/>
    <w:rsid w:val="00B132F1"/>
    <w:rsid w:val="00B141A9"/>
    <w:rsid w:val="00B157CB"/>
    <w:rsid w:val="00B169DD"/>
    <w:rsid w:val="00B16F4A"/>
    <w:rsid w:val="00B2051B"/>
    <w:rsid w:val="00B21CDF"/>
    <w:rsid w:val="00B246CD"/>
    <w:rsid w:val="00B250C8"/>
    <w:rsid w:val="00B27162"/>
    <w:rsid w:val="00B27869"/>
    <w:rsid w:val="00B27CCB"/>
    <w:rsid w:val="00B321E1"/>
    <w:rsid w:val="00B326BB"/>
    <w:rsid w:val="00B32DDD"/>
    <w:rsid w:val="00B33838"/>
    <w:rsid w:val="00B33AD6"/>
    <w:rsid w:val="00B3423B"/>
    <w:rsid w:val="00B343DA"/>
    <w:rsid w:val="00B360AE"/>
    <w:rsid w:val="00B362F2"/>
    <w:rsid w:val="00B36743"/>
    <w:rsid w:val="00B36C43"/>
    <w:rsid w:val="00B37930"/>
    <w:rsid w:val="00B37B03"/>
    <w:rsid w:val="00B411AC"/>
    <w:rsid w:val="00B424BB"/>
    <w:rsid w:val="00B428D8"/>
    <w:rsid w:val="00B43DF6"/>
    <w:rsid w:val="00B4419C"/>
    <w:rsid w:val="00B4470A"/>
    <w:rsid w:val="00B4529D"/>
    <w:rsid w:val="00B50A32"/>
    <w:rsid w:val="00B51895"/>
    <w:rsid w:val="00B520A8"/>
    <w:rsid w:val="00B53060"/>
    <w:rsid w:val="00B543E0"/>
    <w:rsid w:val="00B56F44"/>
    <w:rsid w:val="00B56FE5"/>
    <w:rsid w:val="00B5778B"/>
    <w:rsid w:val="00B61B1F"/>
    <w:rsid w:val="00B63518"/>
    <w:rsid w:val="00B63967"/>
    <w:rsid w:val="00B662E7"/>
    <w:rsid w:val="00B70B2F"/>
    <w:rsid w:val="00B71F7B"/>
    <w:rsid w:val="00B72376"/>
    <w:rsid w:val="00B7257B"/>
    <w:rsid w:val="00B7325A"/>
    <w:rsid w:val="00B75009"/>
    <w:rsid w:val="00B75703"/>
    <w:rsid w:val="00B75C02"/>
    <w:rsid w:val="00B76558"/>
    <w:rsid w:val="00B806EA"/>
    <w:rsid w:val="00B81C61"/>
    <w:rsid w:val="00B83D09"/>
    <w:rsid w:val="00B83FFC"/>
    <w:rsid w:val="00B86F93"/>
    <w:rsid w:val="00B9182D"/>
    <w:rsid w:val="00B926F9"/>
    <w:rsid w:val="00B957FE"/>
    <w:rsid w:val="00B95A3D"/>
    <w:rsid w:val="00B95FF2"/>
    <w:rsid w:val="00B96A3B"/>
    <w:rsid w:val="00BA043C"/>
    <w:rsid w:val="00BA0670"/>
    <w:rsid w:val="00BA17FD"/>
    <w:rsid w:val="00BA2E4E"/>
    <w:rsid w:val="00BA3CDA"/>
    <w:rsid w:val="00BA612E"/>
    <w:rsid w:val="00BB0822"/>
    <w:rsid w:val="00BB115A"/>
    <w:rsid w:val="00BB1A34"/>
    <w:rsid w:val="00BB2DF4"/>
    <w:rsid w:val="00BB36C4"/>
    <w:rsid w:val="00BB397D"/>
    <w:rsid w:val="00BB49F1"/>
    <w:rsid w:val="00BB4B05"/>
    <w:rsid w:val="00BB7B4B"/>
    <w:rsid w:val="00BB7D79"/>
    <w:rsid w:val="00BB7F06"/>
    <w:rsid w:val="00BC1B1B"/>
    <w:rsid w:val="00BC2E9E"/>
    <w:rsid w:val="00BC2F08"/>
    <w:rsid w:val="00BC472C"/>
    <w:rsid w:val="00BC71B1"/>
    <w:rsid w:val="00BC79D1"/>
    <w:rsid w:val="00BD2298"/>
    <w:rsid w:val="00BD3288"/>
    <w:rsid w:val="00BD3703"/>
    <w:rsid w:val="00BD68A0"/>
    <w:rsid w:val="00BE0D96"/>
    <w:rsid w:val="00BE2513"/>
    <w:rsid w:val="00BE2C5A"/>
    <w:rsid w:val="00BE4C14"/>
    <w:rsid w:val="00BE4C2B"/>
    <w:rsid w:val="00BE5981"/>
    <w:rsid w:val="00BE6185"/>
    <w:rsid w:val="00BE6295"/>
    <w:rsid w:val="00BF4E3D"/>
    <w:rsid w:val="00BF569B"/>
    <w:rsid w:val="00BF6D97"/>
    <w:rsid w:val="00C0173A"/>
    <w:rsid w:val="00C018B6"/>
    <w:rsid w:val="00C01B2F"/>
    <w:rsid w:val="00C03415"/>
    <w:rsid w:val="00C0626F"/>
    <w:rsid w:val="00C069FD"/>
    <w:rsid w:val="00C07301"/>
    <w:rsid w:val="00C0765D"/>
    <w:rsid w:val="00C1093C"/>
    <w:rsid w:val="00C13199"/>
    <w:rsid w:val="00C145C9"/>
    <w:rsid w:val="00C148B9"/>
    <w:rsid w:val="00C14AD7"/>
    <w:rsid w:val="00C15322"/>
    <w:rsid w:val="00C1538D"/>
    <w:rsid w:val="00C158FF"/>
    <w:rsid w:val="00C15D38"/>
    <w:rsid w:val="00C21477"/>
    <w:rsid w:val="00C25398"/>
    <w:rsid w:val="00C270A8"/>
    <w:rsid w:val="00C31DFD"/>
    <w:rsid w:val="00C328F6"/>
    <w:rsid w:val="00C33BD6"/>
    <w:rsid w:val="00C34CCA"/>
    <w:rsid w:val="00C361C2"/>
    <w:rsid w:val="00C3743A"/>
    <w:rsid w:val="00C40085"/>
    <w:rsid w:val="00C4077D"/>
    <w:rsid w:val="00C40FE2"/>
    <w:rsid w:val="00C43247"/>
    <w:rsid w:val="00C4476D"/>
    <w:rsid w:val="00C45367"/>
    <w:rsid w:val="00C46D89"/>
    <w:rsid w:val="00C52698"/>
    <w:rsid w:val="00C53238"/>
    <w:rsid w:val="00C53490"/>
    <w:rsid w:val="00C53F6B"/>
    <w:rsid w:val="00C5415F"/>
    <w:rsid w:val="00C5653B"/>
    <w:rsid w:val="00C5685C"/>
    <w:rsid w:val="00C57233"/>
    <w:rsid w:val="00C579EF"/>
    <w:rsid w:val="00C6023F"/>
    <w:rsid w:val="00C606B1"/>
    <w:rsid w:val="00C63041"/>
    <w:rsid w:val="00C634EF"/>
    <w:rsid w:val="00C634FA"/>
    <w:rsid w:val="00C63C0C"/>
    <w:rsid w:val="00C6417F"/>
    <w:rsid w:val="00C64A87"/>
    <w:rsid w:val="00C66462"/>
    <w:rsid w:val="00C66660"/>
    <w:rsid w:val="00C670FA"/>
    <w:rsid w:val="00C675A7"/>
    <w:rsid w:val="00C67BBD"/>
    <w:rsid w:val="00C67F6C"/>
    <w:rsid w:val="00C70FC6"/>
    <w:rsid w:val="00C714AD"/>
    <w:rsid w:val="00C71B5E"/>
    <w:rsid w:val="00C72302"/>
    <w:rsid w:val="00C72F6F"/>
    <w:rsid w:val="00C73A0B"/>
    <w:rsid w:val="00C74B6C"/>
    <w:rsid w:val="00C74DE9"/>
    <w:rsid w:val="00C77C46"/>
    <w:rsid w:val="00C82753"/>
    <w:rsid w:val="00C844C2"/>
    <w:rsid w:val="00C872AC"/>
    <w:rsid w:val="00C901C4"/>
    <w:rsid w:val="00C91BC9"/>
    <w:rsid w:val="00C92206"/>
    <w:rsid w:val="00C92CFE"/>
    <w:rsid w:val="00C959EC"/>
    <w:rsid w:val="00C96463"/>
    <w:rsid w:val="00C97420"/>
    <w:rsid w:val="00CA09C9"/>
    <w:rsid w:val="00CA119E"/>
    <w:rsid w:val="00CA26AF"/>
    <w:rsid w:val="00CA2777"/>
    <w:rsid w:val="00CA2A49"/>
    <w:rsid w:val="00CA3AF7"/>
    <w:rsid w:val="00CA5EB3"/>
    <w:rsid w:val="00CA630C"/>
    <w:rsid w:val="00CA67AE"/>
    <w:rsid w:val="00CA6B33"/>
    <w:rsid w:val="00CB3178"/>
    <w:rsid w:val="00CB34C4"/>
    <w:rsid w:val="00CB5E1A"/>
    <w:rsid w:val="00CB718B"/>
    <w:rsid w:val="00CB7E61"/>
    <w:rsid w:val="00CC4234"/>
    <w:rsid w:val="00CC4B11"/>
    <w:rsid w:val="00CC4DCE"/>
    <w:rsid w:val="00CC5BA8"/>
    <w:rsid w:val="00CC62BD"/>
    <w:rsid w:val="00CC7864"/>
    <w:rsid w:val="00CD1E76"/>
    <w:rsid w:val="00CD276C"/>
    <w:rsid w:val="00CD346D"/>
    <w:rsid w:val="00CD4804"/>
    <w:rsid w:val="00CD6127"/>
    <w:rsid w:val="00CD73B3"/>
    <w:rsid w:val="00CD7412"/>
    <w:rsid w:val="00CE3346"/>
    <w:rsid w:val="00CE507B"/>
    <w:rsid w:val="00CE5B7F"/>
    <w:rsid w:val="00CE6300"/>
    <w:rsid w:val="00CE79EB"/>
    <w:rsid w:val="00CF03A9"/>
    <w:rsid w:val="00CF0F12"/>
    <w:rsid w:val="00CF16A9"/>
    <w:rsid w:val="00CF30CA"/>
    <w:rsid w:val="00CF56E5"/>
    <w:rsid w:val="00CF5B0B"/>
    <w:rsid w:val="00CF61FA"/>
    <w:rsid w:val="00CF64DD"/>
    <w:rsid w:val="00D01234"/>
    <w:rsid w:val="00D043A2"/>
    <w:rsid w:val="00D04D4C"/>
    <w:rsid w:val="00D11432"/>
    <w:rsid w:val="00D13BE3"/>
    <w:rsid w:val="00D15A70"/>
    <w:rsid w:val="00D15CE2"/>
    <w:rsid w:val="00D17E7D"/>
    <w:rsid w:val="00D22468"/>
    <w:rsid w:val="00D22A01"/>
    <w:rsid w:val="00D22FB5"/>
    <w:rsid w:val="00D234CF"/>
    <w:rsid w:val="00D24B93"/>
    <w:rsid w:val="00D26F85"/>
    <w:rsid w:val="00D31DBC"/>
    <w:rsid w:val="00D31F90"/>
    <w:rsid w:val="00D32C2F"/>
    <w:rsid w:val="00D330F2"/>
    <w:rsid w:val="00D377D3"/>
    <w:rsid w:val="00D37A62"/>
    <w:rsid w:val="00D407B8"/>
    <w:rsid w:val="00D42196"/>
    <w:rsid w:val="00D44E96"/>
    <w:rsid w:val="00D46265"/>
    <w:rsid w:val="00D467A2"/>
    <w:rsid w:val="00D47F27"/>
    <w:rsid w:val="00D47F7D"/>
    <w:rsid w:val="00D52286"/>
    <w:rsid w:val="00D542A2"/>
    <w:rsid w:val="00D54663"/>
    <w:rsid w:val="00D5591B"/>
    <w:rsid w:val="00D55C3D"/>
    <w:rsid w:val="00D617CD"/>
    <w:rsid w:val="00D62AF5"/>
    <w:rsid w:val="00D62FC4"/>
    <w:rsid w:val="00D656DC"/>
    <w:rsid w:val="00D65A9E"/>
    <w:rsid w:val="00D6643B"/>
    <w:rsid w:val="00D67C18"/>
    <w:rsid w:val="00D703DE"/>
    <w:rsid w:val="00D7217A"/>
    <w:rsid w:val="00D74325"/>
    <w:rsid w:val="00D762B4"/>
    <w:rsid w:val="00D76316"/>
    <w:rsid w:val="00D7683C"/>
    <w:rsid w:val="00D77968"/>
    <w:rsid w:val="00D77E1C"/>
    <w:rsid w:val="00D80797"/>
    <w:rsid w:val="00D808EE"/>
    <w:rsid w:val="00D80AFA"/>
    <w:rsid w:val="00D85C72"/>
    <w:rsid w:val="00D863A7"/>
    <w:rsid w:val="00D86F81"/>
    <w:rsid w:val="00D8712A"/>
    <w:rsid w:val="00D94C79"/>
    <w:rsid w:val="00D95123"/>
    <w:rsid w:val="00D95250"/>
    <w:rsid w:val="00D95621"/>
    <w:rsid w:val="00D969AE"/>
    <w:rsid w:val="00DA0154"/>
    <w:rsid w:val="00DA20D3"/>
    <w:rsid w:val="00DA505D"/>
    <w:rsid w:val="00DA54FD"/>
    <w:rsid w:val="00DA5EDB"/>
    <w:rsid w:val="00DA7233"/>
    <w:rsid w:val="00DB080B"/>
    <w:rsid w:val="00DB29D0"/>
    <w:rsid w:val="00DB495C"/>
    <w:rsid w:val="00DB4AB4"/>
    <w:rsid w:val="00DB4C54"/>
    <w:rsid w:val="00DB4DD6"/>
    <w:rsid w:val="00DB50FA"/>
    <w:rsid w:val="00DB6DA1"/>
    <w:rsid w:val="00DC014D"/>
    <w:rsid w:val="00DC1462"/>
    <w:rsid w:val="00DC47FE"/>
    <w:rsid w:val="00DC4F10"/>
    <w:rsid w:val="00DC6EED"/>
    <w:rsid w:val="00DD04B1"/>
    <w:rsid w:val="00DD12A8"/>
    <w:rsid w:val="00DD1CE3"/>
    <w:rsid w:val="00DD1DD5"/>
    <w:rsid w:val="00DD279A"/>
    <w:rsid w:val="00DD310B"/>
    <w:rsid w:val="00DD3137"/>
    <w:rsid w:val="00DD38EB"/>
    <w:rsid w:val="00DD6DA6"/>
    <w:rsid w:val="00DD7CD1"/>
    <w:rsid w:val="00DE073F"/>
    <w:rsid w:val="00DE0F7D"/>
    <w:rsid w:val="00DE1528"/>
    <w:rsid w:val="00DE20F6"/>
    <w:rsid w:val="00DE2605"/>
    <w:rsid w:val="00DE2F5D"/>
    <w:rsid w:val="00DE550F"/>
    <w:rsid w:val="00DE63BB"/>
    <w:rsid w:val="00DE6EE6"/>
    <w:rsid w:val="00DF0635"/>
    <w:rsid w:val="00DF104A"/>
    <w:rsid w:val="00DF6853"/>
    <w:rsid w:val="00DF69D0"/>
    <w:rsid w:val="00DF6DB4"/>
    <w:rsid w:val="00E03F3F"/>
    <w:rsid w:val="00E044AE"/>
    <w:rsid w:val="00E0610C"/>
    <w:rsid w:val="00E111E1"/>
    <w:rsid w:val="00E132AE"/>
    <w:rsid w:val="00E13902"/>
    <w:rsid w:val="00E14072"/>
    <w:rsid w:val="00E1502C"/>
    <w:rsid w:val="00E20B9A"/>
    <w:rsid w:val="00E21FC5"/>
    <w:rsid w:val="00E24F41"/>
    <w:rsid w:val="00E32F98"/>
    <w:rsid w:val="00E33B48"/>
    <w:rsid w:val="00E357E8"/>
    <w:rsid w:val="00E35F68"/>
    <w:rsid w:val="00E36C3F"/>
    <w:rsid w:val="00E36F91"/>
    <w:rsid w:val="00E37845"/>
    <w:rsid w:val="00E42B31"/>
    <w:rsid w:val="00E430AE"/>
    <w:rsid w:val="00E44DBC"/>
    <w:rsid w:val="00E455FE"/>
    <w:rsid w:val="00E4652B"/>
    <w:rsid w:val="00E47B7C"/>
    <w:rsid w:val="00E501A2"/>
    <w:rsid w:val="00E505F7"/>
    <w:rsid w:val="00E515CA"/>
    <w:rsid w:val="00E5184E"/>
    <w:rsid w:val="00E51F6A"/>
    <w:rsid w:val="00E54CFD"/>
    <w:rsid w:val="00E5570D"/>
    <w:rsid w:val="00E56A2F"/>
    <w:rsid w:val="00E57929"/>
    <w:rsid w:val="00E603F9"/>
    <w:rsid w:val="00E62AB0"/>
    <w:rsid w:val="00E63648"/>
    <w:rsid w:val="00E6552A"/>
    <w:rsid w:val="00E677B7"/>
    <w:rsid w:val="00E70206"/>
    <w:rsid w:val="00E72DA3"/>
    <w:rsid w:val="00E7435B"/>
    <w:rsid w:val="00E74E4A"/>
    <w:rsid w:val="00E75A4F"/>
    <w:rsid w:val="00E7640F"/>
    <w:rsid w:val="00E839E9"/>
    <w:rsid w:val="00E8437A"/>
    <w:rsid w:val="00E854B8"/>
    <w:rsid w:val="00E85C21"/>
    <w:rsid w:val="00E91314"/>
    <w:rsid w:val="00E91815"/>
    <w:rsid w:val="00E91D19"/>
    <w:rsid w:val="00E94B41"/>
    <w:rsid w:val="00E955C5"/>
    <w:rsid w:val="00E95749"/>
    <w:rsid w:val="00E95773"/>
    <w:rsid w:val="00E968BA"/>
    <w:rsid w:val="00E96EB4"/>
    <w:rsid w:val="00E97772"/>
    <w:rsid w:val="00EA0990"/>
    <w:rsid w:val="00EA1DC8"/>
    <w:rsid w:val="00EA4BA0"/>
    <w:rsid w:val="00EB1010"/>
    <w:rsid w:val="00EB413B"/>
    <w:rsid w:val="00EB66D5"/>
    <w:rsid w:val="00EB70D1"/>
    <w:rsid w:val="00EB72E5"/>
    <w:rsid w:val="00EC0CC4"/>
    <w:rsid w:val="00EC102A"/>
    <w:rsid w:val="00EC1FC6"/>
    <w:rsid w:val="00EC3123"/>
    <w:rsid w:val="00EC3C98"/>
    <w:rsid w:val="00EC4A22"/>
    <w:rsid w:val="00EC68B7"/>
    <w:rsid w:val="00EC7A6D"/>
    <w:rsid w:val="00ED0F24"/>
    <w:rsid w:val="00ED218E"/>
    <w:rsid w:val="00ED47E9"/>
    <w:rsid w:val="00ED4E80"/>
    <w:rsid w:val="00ED746D"/>
    <w:rsid w:val="00EE069A"/>
    <w:rsid w:val="00EE0A8E"/>
    <w:rsid w:val="00EE2191"/>
    <w:rsid w:val="00EE28AD"/>
    <w:rsid w:val="00EE5E88"/>
    <w:rsid w:val="00EE760D"/>
    <w:rsid w:val="00EE78A9"/>
    <w:rsid w:val="00EF030C"/>
    <w:rsid w:val="00EF0E5D"/>
    <w:rsid w:val="00EF12B4"/>
    <w:rsid w:val="00EF1353"/>
    <w:rsid w:val="00EF22CD"/>
    <w:rsid w:val="00EF23C6"/>
    <w:rsid w:val="00EF2515"/>
    <w:rsid w:val="00EF37F2"/>
    <w:rsid w:val="00EF5021"/>
    <w:rsid w:val="00EF52A3"/>
    <w:rsid w:val="00EF5F60"/>
    <w:rsid w:val="00EF65B3"/>
    <w:rsid w:val="00EF708D"/>
    <w:rsid w:val="00F00323"/>
    <w:rsid w:val="00F02035"/>
    <w:rsid w:val="00F026C1"/>
    <w:rsid w:val="00F034CB"/>
    <w:rsid w:val="00F0615B"/>
    <w:rsid w:val="00F07147"/>
    <w:rsid w:val="00F072BD"/>
    <w:rsid w:val="00F07E42"/>
    <w:rsid w:val="00F10BC9"/>
    <w:rsid w:val="00F12D97"/>
    <w:rsid w:val="00F13263"/>
    <w:rsid w:val="00F1367D"/>
    <w:rsid w:val="00F136AF"/>
    <w:rsid w:val="00F14160"/>
    <w:rsid w:val="00F14B40"/>
    <w:rsid w:val="00F14D93"/>
    <w:rsid w:val="00F17159"/>
    <w:rsid w:val="00F20BE0"/>
    <w:rsid w:val="00F21DC9"/>
    <w:rsid w:val="00F2383D"/>
    <w:rsid w:val="00F2416E"/>
    <w:rsid w:val="00F25475"/>
    <w:rsid w:val="00F25D6A"/>
    <w:rsid w:val="00F2717F"/>
    <w:rsid w:val="00F31280"/>
    <w:rsid w:val="00F33CB3"/>
    <w:rsid w:val="00F34281"/>
    <w:rsid w:val="00F34F26"/>
    <w:rsid w:val="00F36CC5"/>
    <w:rsid w:val="00F37C4C"/>
    <w:rsid w:val="00F4166A"/>
    <w:rsid w:val="00F43D63"/>
    <w:rsid w:val="00F46103"/>
    <w:rsid w:val="00F4642D"/>
    <w:rsid w:val="00F47554"/>
    <w:rsid w:val="00F50940"/>
    <w:rsid w:val="00F50DA7"/>
    <w:rsid w:val="00F514D2"/>
    <w:rsid w:val="00F516A7"/>
    <w:rsid w:val="00F52252"/>
    <w:rsid w:val="00F5243C"/>
    <w:rsid w:val="00F546BF"/>
    <w:rsid w:val="00F574CE"/>
    <w:rsid w:val="00F62676"/>
    <w:rsid w:val="00F6559B"/>
    <w:rsid w:val="00F65F83"/>
    <w:rsid w:val="00F71200"/>
    <w:rsid w:val="00F73069"/>
    <w:rsid w:val="00F735A7"/>
    <w:rsid w:val="00F742BA"/>
    <w:rsid w:val="00F74408"/>
    <w:rsid w:val="00F7645C"/>
    <w:rsid w:val="00F8024A"/>
    <w:rsid w:val="00F80CD0"/>
    <w:rsid w:val="00F8307F"/>
    <w:rsid w:val="00F8321E"/>
    <w:rsid w:val="00F83BC0"/>
    <w:rsid w:val="00F85B0B"/>
    <w:rsid w:val="00F87076"/>
    <w:rsid w:val="00F8771F"/>
    <w:rsid w:val="00F92CFD"/>
    <w:rsid w:val="00F97202"/>
    <w:rsid w:val="00FA0ACE"/>
    <w:rsid w:val="00FA1AF0"/>
    <w:rsid w:val="00FA3407"/>
    <w:rsid w:val="00FA3BD4"/>
    <w:rsid w:val="00FA4F67"/>
    <w:rsid w:val="00FA6127"/>
    <w:rsid w:val="00FA6166"/>
    <w:rsid w:val="00FA7808"/>
    <w:rsid w:val="00FB17D4"/>
    <w:rsid w:val="00FB2A76"/>
    <w:rsid w:val="00FB51B2"/>
    <w:rsid w:val="00FB5B96"/>
    <w:rsid w:val="00FB6F13"/>
    <w:rsid w:val="00FC2743"/>
    <w:rsid w:val="00FC335C"/>
    <w:rsid w:val="00FC3A12"/>
    <w:rsid w:val="00FC3F65"/>
    <w:rsid w:val="00FC462C"/>
    <w:rsid w:val="00FC54ED"/>
    <w:rsid w:val="00FC5CD8"/>
    <w:rsid w:val="00FD1162"/>
    <w:rsid w:val="00FD15EC"/>
    <w:rsid w:val="00FD1A28"/>
    <w:rsid w:val="00FD3C33"/>
    <w:rsid w:val="00FD3E84"/>
    <w:rsid w:val="00FD70EF"/>
    <w:rsid w:val="00FE0657"/>
    <w:rsid w:val="00FE0673"/>
    <w:rsid w:val="00FE12EE"/>
    <w:rsid w:val="00FE33A0"/>
    <w:rsid w:val="00FE3B9D"/>
    <w:rsid w:val="00FE5633"/>
    <w:rsid w:val="00FE72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F667A"/>
  <w15:docId w15:val="{7367B7B5-76BD-4F05-8FF8-45418E45F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2">
    <w:name w:val="heading 2"/>
    <w:basedOn w:val="Normln"/>
    <w:next w:val="Normln"/>
    <w:link w:val="Nadpis2Char"/>
    <w:qFormat/>
    <w:rsid w:val="00A5572F"/>
    <w:pPr>
      <w:keepNext/>
      <w:overflowPunct w:val="0"/>
      <w:autoSpaceDE w:val="0"/>
      <w:autoSpaceDN w:val="0"/>
      <w:adjustRightInd w:val="0"/>
      <w:spacing w:after="0" w:line="240" w:lineRule="auto"/>
      <w:jc w:val="both"/>
      <w:outlineLvl w:val="1"/>
    </w:pPr>
    <w:rPr>
      <w:rFonts w:ascii="Arial" w:eastAsia="Arial Unicode MS" w:hAnsi="Arial" w:cs="Times New Roman"/>
      <w:b/>
      <w:sz w:val="28"/>
      <w:szCs w:val="20"/>
      <w:lang w:eastAsia="cs-CZ"/>
    </w:rPr>
  </w:style>
  <w:style w:type="paragraph" w:styleId="Nadpis8">
    <w:name w:val="heading 8"/>
    <w:basedOn w:val="Normln"/>
    <w:next w:val="Normln"/>
    <w:link w:val="Nadpis8Char"/>
    <w:qFormat/>
    <w:rsid w:val="00A5572F"/>
    <w:pPr>
      <w:keepNext/>
      <w:spacing w:after="0" w:line="240" w:lineRule="auto"/>
      <w:jc w:val="center"/>
      <w:outlineLvl w:val="7"/>
    </w:pPr>
    <w:rPr>
      <w:rFonts w:ascii="Arial" w:eastAsia="Times New Roman" w:hAnsi="Arial" w:cs="Times New Roman"/>
      <w:b/>
      <w:sz w:val="28"/>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5572F"/>
    <w:rPr>
      <w:rFonts w:ascii="Arial" w:eastAsia="Arial Unicode MS" w:hAnsi="Arial" w:cs="Times New Roman"/>
      <w:b/>
      <w:sz w:val="28"/>
      <w:szCs w:val="20"/>
      <w:lang w:eastAsia="cs-CZ"/>
    </w:rPr>
  </w:style>
  <w:style w:type="character" w:customStyle="1" w:styleId="Nadpis8Char">
    <w:name w:val="Nadpis 8 Char"/>
    <w:basedOn w:val="Standardnpsmoodstavce"/>
    <w:link w:val="Nadpis8"/>
    <w:rsid w:val="00A5572F"/>
    <w:rPr>
      <w:rFonts w:ascii="Arial" w:eastAsia="Times New Roman" w:hAnsi="Arial" w:cs="Times New Roman"/>
      <w:b/>
      <w:sz w:val="28"/>
      <w:szCs w:val="24"/>
      <w:lang w:eastAsia="cs-CZ"/>
    </w:rPr>
  </w:style>
  <w:style w:type="numbering" w:customStyle="1" w:styleId="Bezseznamu1">
    <w:name w:val="Bez seznamu1"/>
    <w:next w:val="Bezseznamu"/>
    <w:uiPriority w:val="99"/>
    <w:semiHidden/>
    <w:unhideWhenUsed/>
    <w:rsid w:val="00A5572F"/>
  </w:style>
  <w:style w:type="paragraph" w:styleId="Nzev">
    <w:name w:val="Title"/>
    <w:basedOn w:val="Normln"/>
    <w:link w:val="NzevChar"/>
    <w:qFormat/>
    <w:rsid w:val="00A5572F"/>
    <w:pPr>
      <w:overflowPunct w:val="0"/>
      <w:autoSpaceDE w:val="0"/>
      <w:autoSpaceDN w:val="0"/>
      <w:adjustRightInd w:val="0"/>
      <w:spacing w:after="0" w:line="240" w:lineRule="auto"/>
      <w:jc w:val="center"/>
    </w:pPr>
    <w:rPr>
      <w:rFonts w:ascii="Arial" w:eastAsia="Times New Roman" w:hAnsi="Arial" w:cs="Times New Roman"/>
      <w:b/>
      <w:sz w:val="28"/>
      <w:szCs w:val="20"/>
      <w:lang w:eastAsia="cs-CZ"/>
    </w:rPr>
  </w:style>
  <w:style w:type="character" w:customStyle="1" w:styleId="NzevChar">
    <w:name w:val="Název Char"/>
    <w:basedOn w:val="Standardnpsmoodstavce"/>
    <w:link w:val="Nzev"/>
    <w:rsid w:val="00A5572F"/>
    <w:rPr>
      <w:rFonts w:ascii="Arial" w:eastAsia="Times New Roman" w:hAnsi="Arial" w:cs="Times New Roman"/>
      <w:b/>
      <w:sz w:val="28"/>
      <w:szCs w:val="20"/>
      <w:lang w:eastAsia="cs-CZ"/>
    </w:rPr>
  </w:style>
  <w:style w:type="paragraph" w:styleId="Zkladntext">
    <w:name w:val="Body Text"/>
    <w:basedOn w:val="Normln"/>
    <w:link w:val="ZkladntextChar"/>
    <w:rsid w:val="00A5572F"/>
    <w:pPr>
      <w:overflowPunct w:val="0"/>
      <w:autoSpaceDE w:val="0"/>
      <w:autoSpaceDN w:val="0"/>
      <w:adjustRightInd w:val="0"/>
      <w:spacing w:after="0" w:line="240" w:lineRule="auto"/>
    </w:pPr>
    <w:rPr>
      <w:rFonts w:ascii="Times New Roman" w:eastAsia="Times New Roman" w:hAnsi="Times New Roman" w:cs="Times New Roman"/>
      <w:b/>
      <w:sz w:val="24"/>
      <w:szCs w:val="20"/>
      <w:lang w:eastAsia="cs-CZ"/>
    </w:rPr>
  </w:style>
  <w:style w:type="character" w:customStyle="1" w:styleId="ZkladntextChar">
    <w:name w:val="Základní text Char"/>
    <w:basedOn w:val="Standardnpsmoodstavce"/>
    <w:link w:val="Zkladntext"/>
    <w:rsid w:val="00A5572F"/>
    <w:rPr>
      <w:rFonts w:ascii="Times New Roman" w:eastAsia="Times New Roman" w:hAnsi="Times New Roman" w:cs="Times New Roman"/>
      <w:b/>
      <w:sz w:val="24"/>
      <w:szCs w:val="20"/>
      <w:lang w:eastAsia="cs-CZ"/>
    </w:rPr>
  </w:style>
  <w:style w:type="paragraph" w:styleId="Zpat">
    <w:name w:val="footer"/>
    <w:basedOn w:val="Normln"/>
    <w:link w:val="ZpatChar"/>
    <w:rsid w:val="00A5572F"/>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A5572F"/>
    <w:rPr>
      <w:rFonts w:ascii="Times New Roman" w:eastAsia="Times New Roman" w:hAnsi="Times New Roman" w:cs="Times New Roman"/>
      <w:sz w:val="24"/>
      <w:szCs w:val="24"/>
      <w:lang w:eastAsia="cs-CZ"/>
    </w:rPr>
  </w:style>
  <w:style w:type="character" w:styleId="slostrnky">
    <w:name w:val="page number"/>
    <w:basedOn w:val="Standardnpsmoodstavce"/>
    <w:rsid w:val="00A5572F"/>
  </w:style>
  <w:style w:type="paragraph" w:styleId="Textpoznpodarou">
    <w:name w:val="footnote text"/>
    <w:basedOn w:val="Normln"/>
    <w:link w:val="TextpoznpodarouChar"/>
    <w:semiHidden/>
    <w:rsid w:val="00A5572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A5572F"/>
    <w:rPr>
      <w:rFonts w:ascii="Times New Roman" w:eastAsia="Times New Roman" w:hAnsi="Times New Roman" w:cs="Times New Roman"/>
      <w:sz w:val="20"/>
      <w:szCs w:val="20"/>
      <w:lang w:eastAsia="cs-CZ"/>
    </w:rPr>
  </w:style>
  <w:style w:type="character" w:styleId="Znakapoznpodarou">
    <w:name w:val="footnote reference"/>
    <w:semiHidden/>
    <w:rsid w:val="00A5572F"/>
    <w:rPr>
      <w:vertAlign w:val="superscript"/>
    </w:rPr>
  </w:style>
  <w:style w:type="paragraph" w:styleId="Textbubliny">
    <w:name w:val="Balloon Text"/>
    <w:basedOn w:val="Normln"/>
    <w:link w:val="TextbublinyChar"/>
    <w:uiPriority w:val="99"/>
    <w:semiHidden/>
    <w:unhideWhenUsed/>
    <w:rsid w:val="00A5572F"/>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A5572F"/>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A5572F"/>
    <w:pPr>
      <w:spacing w:after="0" w:line="240" w:lineRule="auto"/>
      <w:ind w:left="720"/>
      <w:contextualSpacing/>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A5572F"/>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A5572F"/>
    <w:rPr>
      <w:rFonts w:ascii="Times New Roman" w:eastAsia="Times New Roman" w:hAnsi="Times New Roman" w:cs="Times New Roman"/>
      <w:sz w:val="24"/>
      <w:szCs w:val="24"/>
      <w:lang w:eastAsia="cs-CZ"/>
    </w:rPr>
  </w:style>
  <w:style w:type="paragraph" w:customStyle="1" w:styleId="Zkladntext21">
    <w:name w:val="Základní text 21"/>
    <w:basedOn w:val="Normln"/>
    <w:rsid w:val="00A5572F"/>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cs-CZ"/>
    </w:rPr>
  </w:style>
  <w:style w:type="character" w:styleId="Zdraznnjemn">
    <w:name w:val="Subtle Emphasis"/>
    <w:uiPriority w:val="19"/>
    <w:qFormat/>
    <w:rsid w:val="00A5572F"/>
    <w:rPr>
      <w:i/>
      <w:iCs/>
      <w:color w:val="808080"/>
    </w:rPr>
  </w:style>
  <w:style w:type="character" w:styleId="Odkaznakoment">
    <w:name w:val="annotation reference"/>
    <w:semiHidden/>
    <w:unhideWhenUsed/>
    <w:rsid w:val="00A5572F"/>
    <w:rPr>
      <w:sz w:val="16"/>
      <w:szCs w:val="16"/>
    </w:rPr>
  </w:style>
  <w:style w:type="paragraph" w:styleId="Textkomente">
    <w:name w:val="annotation text"/>
    <w:basedOn w:val="Normln"/>
    <w:link w:val="TextkomenteChar"/>
    <w:semiHidden/>
    <w:unhideWhenUsed/>
    <w:rsid w:val="00A5572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A5572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5572F"/>
    <w:rPr>
      <w:b/>
      <w:bCs/>
    </w:rPr>
  </w:style>
  <w:style w:type="character" w:customStyle="1" w:styleId="PedmtkomenteChar">
    <w:name w:val="Předmět komentáře Char"/>
    <w:basedOn w:val="TextkomenteChar"/>
    <w:link w:val="Pedmtkomente"/>
    <w:uiPriority w:val="99"/>
    <w:semiHidden/>
    <w:rsid w:val="00A5572F"/>
    <w:rPr>
      <w:rFonts w:ascii="Times New Roman" w:eastAsia="Times New Roman" w:hAnsi="Times New Roman" w:cs="Times New Roman"/>
      <w:b/>
      <w:bCs/>
      <w:sz w:val="20"/>
      <w:szCs w:val="20"/>
      <w:lang w:eastAsia="cs-CZ"/>
    </w:rPr>
  </w:style>
  <w:style w:type="paragraph" w:styleId="Revize">
    <w:name w:val="Revision"/>
    <w:hidden/>
    <w:uiPriority w:val="99"/>
    <w:semiHidden/>
    <w:rsid w:val="00405464"/>
    <w:pPr>
      <w:spacing w:after="0" w:line="240" w:lineRule="auto"/>
    </w:pPr>
  </w:style>
  <w:style w:type="paragraph" w:customStyle="1" w:styleId="TEXT">
    <w:name w:val="TEXT"/>
    <w:basedOn w:val="Normln"/>
    <w:link w:val="TEXTChar"/>
    <w:qFormat/>
    <w:rsid w:val="00504795"/>
    <w:pPr>
      <w:spacing w:before="60" w:after="60" w:line="288" w:lineRule="auto"/>
      <w:ind w:firstLine="425"/>
      <w:jc w:val="both"/>
    </w:pPr>
    <w:rPr>
      <w:rFonts w:ascii="Times New Roman" w:hAnsi="Times New Roman" w:cs="Arial"/>
      <w:szCs w:val="24"/>
      <w:lang w:eastAsia="cs-CZ"/>
    </w:rPr>
  </w:style>
  <w:style w:type="character" w:customStyle="1" w:styleId="TEXTChar">
    <w:name w:val="TEXT Char"/>
    <w:basedOn w:val="Standardnpsmoodstavce"/>
    <w:link w:val="TEXT"/>
    <w:rsid w:val="00504795"/>
    <w:rPr>
      <w:rFonts w:ascii="Times New Roman" w:hAnsi="Times New Roman" w:cs="Arial"/>
      <w:szCs w:val="24"/>
      <w:lang w:eastAsia="cs-CZ"/>
    </w:rPr>
  </w:style>
  <w:style w:type="paragraph" w:customStyle="1" w:styleId="NADPIS">
    <w:name w:val="NADPIS"/>
    <w:basedOn w:val="Normln"/>
    <w:link w:val="NADPISChar"/>
    <w:qFormat/>
    <w:rsid w:val="003A1F89"/>
    <w:pPr>
      <w:spacing w:before="360" w:after="60"/>
    </w:pPr>
    <w:rPr>
      <w:rFonts w:eastAsia="Times New Roman" w:cs="Arial"/>
      <w:b/>
      <w:sz w:val="28"/>
      <w:szCs w:val="28"/>
      <w:lang w:eastAsia="cs-CZ"/>
    </w:rPr>
  </w:style>
  <w:style w:type="paragraph" w:customStyle="1" w:styleId="TABOBR">
    <w:name w:val="TAB/OBR"/>
    <w:basedOn w:val="Normln"/>
    <w:link w:val="TABOBRChar"/>
    <w:qFormat/>
    <w:rsid w:val="00B326BB"/>
    <w:pPr>
      <w:spacing w:before="240" w:after="0" w:line="240" w:lineRule="auto"/>
      <w:jc w:val="both"/>
    </w:pPr>
    <w:rPr>
      <w:rFonts w:eastAsia="Times New Roman" w:cs="Arial"/>
      <w:b/>
      <w:szCs w:val="24"/>
      <w:lang w:eastAsia="cs-CZ"/>
    </w:rPr>
  </w:style>
  <w:style w:type="character" w:customStyle="1" w:styleId="NADPISChar">
    <w:name w:val="NADPIS Char"/>
    <w:basedOn w:val="Standardnpsmoodstavce"/>
    <w:link w:val="NADPIS"/>
    <w:rsid w:val="003A1F89"/>
    <w:rPr>
      <w:rFonts w:eastAsia="Times New Roman" w:cs="Arial"/>
      <w:b/>
      <w:sz w:val="28"/>
      <w:szCs w:val="28"/>
      <w:lang w:eastAsia="cs-CZ"/>
    </w:rPr>
  </w:style>
  <w:style w:type="paragraph" w:customStyle="1" w:styleId="TEXTpodTABOBR">
    <w:name w:val="TEXT (pod TAB/OBR)"/>
    <w:basedOn w:val="TEXT"/>
    <w:next w:val="TEXT"/>
    <w:link w:val="TEXTpodTABOBRChar"/>
    <w:qFormat/>
    <w:rsid w:val="003A1F89"/>
    <w:pPr>
      <w:spacing w:before="360"/>
    </w:pPr>
  </w:style>
  <w:style w:type="character" w:customStyle="1" w:styleId="TABOBRChar">
    <w:name w:val="TAB/OBR Char"/>
    <w:basedOn w:val="Standardnpsmoodstavce"/>
    <w:link w:val="TABOBR"/>
    <w:rsid w:val="00B326BB"/>
    <w:rPr>
      <w:rFonts w:eastAsia="Times New Roman" w:cs="Arial"/>
      <w:b/>
      <w:szCs w:val="24"/>
      <w:lang w:eastAsia="cs-CZ"/>
    </w:rPr>
  </w:style>
  <w:style w:type="character" w:customStyle="1" w:styleId="TEXTpodTABOBRChar">
    <w:name w:val="TEXT (pod TAB/OBR) Char"/>
    <w:basedOn w:val="TEXTChar"/>
    <w:link w:val="TEXTpodTABOBR"/>
    <w:rsid w:val="003A1F89"/>
    <w:rPr>
      <w:rFonts w:ascii="Times New Roman" w:hAnsi="Times New Roman" w:cs="Arial"/>
      <w:szCs w:val="24"/>
      <w:lang w:eastAsia="cs-CZ"/>
    </w:rPr>
  </w:style>
  <w:style w:type="table" w:customStyle="1" w:styleId="Styl2">
    <w:name w:val="Styl2"/>
    <w:basedOn w:val="Normlntabulka"/>
    <w:uiPriority w:val="99"/>
    <w:rsid w:val="00304757"/>
    <w:pPr>
      <w:spacing w:after="0" w:line="240" w:lineRule="auto"/>
    </w:pPr>
    <w:tblPr>
      <w:tblStyleRowBandSize w:val="1"/>
      <w:tblStyleColBandSize w:val="1"/>
      <w:tblBorders>
        <w:top w:val="single" w:sz="12" w:space="0" w:color="4F81BD" w:themeColor="accent1"/>
        <w:left w:val="single" w:sz="12" w:space="0" w:color="4F81BD" w:themeColor="accent1"/>
        <w:bottom w:val="single" w:sz="12" w:space="0" w:color="4F81BD" w:themeColor="accent1"/>
        <w:right w:val="single" w:sz="12" w:space="0" w:color="4F81BD" w:themeColor="accent1"/>
      </w:tblBorders>
    </w:tblPr>
    <w:tblStylePr w:type="firstRow">
      <w:rPr>
        <w:b/>
        <w:color w:val="FFFFFF" w:themeColor="background1"/>
      </w:rPr>
      <w:tblPr/>
      <w:tcPr>
        <w:shd w:val="clear" w:color="auto" w:fill="4F81BD" w:themeFill="accent1"/>
      </w:tcPr>
    </w:tblStylePr>
    <w:tblStylePr w:type="firstCol">
      <w:rPr>
        <w:b/>
      </w:rPr>
    </w:tblStylePr>
    <w:tblStylePr w:type="band2Vert">
      <w:tblPr/>
      <w:tcPr>
        <w:shd w:val="clear" w:color="auto" w:fill="DBE5F1" w:themeFill="accent1" w:themeFillTint="33"/>
      </w:tcPr>
    </w:tblStylePr>
    <w:tblStylePr w:type="band1Horz">
      <w:tblPr/>
      <w:tcPr>
        <w:shd w:val="clear" w:color="auto" w:fill="FFFFFF" w:themeFill="background1"/>
      </w:tcPr>
    </w:tblStylePr>
    <w:tblStylePr w:type="band2Horz">
      <w:tblPr/>
      <w:tcPr>
        <w:shd w:val="clear" w:color="auto" w:fill="EEF3F8"/>
      </w:tcPr>
    </w:tblStylePr>
  </w:style>
  <w:style w:type="table" w:styleId="Mkatabulky">
    <w:name w:val="Table Grid"/>
    <w:basedOn w:val="Normlntabulka"/>
    <w:uiPriority w:val="59"/>
    <w:rsid w:val="000A4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A13A4A"/>
    <w:rPr>
      <w:color w:val="0000FF" w:themeColor="hyperlink"/>
      <w:u w:val="single"/>
    </w:rPr>
  </w:style>
  <w:style w:type="paragraph" w:customStyle="1" w:styleId="OBR">
    <w:name w:val="OBR"/>
    <w:basedOn w:val="TEXT"/>
    <w:link w:val="OBRChar"/>
    <w:qFormat/>
    <w:rsid w:val="000900E1"/>
    <w:pPr>
      <w:ind w:firstLine="0"/>
    </w:pPr>
  </w:style>
  <w:style w:type="character" w:customStyle="1" w:styleId="OBRChar">
    <w:name w:val="OBR Char"/>
    <w:basedOn w:val="TEXTChar"/>
    <w:link w:val="OBR"/>
    <w:rsid w:val="000900E1"/>
    <w:rPr>
      <w:rFonts w:ascii="Times New Roman" w:hAnsi="Times New Roman" w:cs="Arial"/>
      <w:szCs w:val="24"/>
      <w:lang w:eastAsia="cs-CZ"/>
    </w:rPr>
  </w:style>
  <w:style w:type="paragraph" w:customStyle="1" w:styleId="Default">
    <w:name w:val="Default"/>
    <w:rsid w:val="009001CD"/>
    <w:pPr>
      <w:autoSpaceDE w:val="0"/>
      <w:autoSpaceDN w:val="0"/>
      <w:adjustRightInd w:val="0"/>
      <w:spacing w:after="0" w:line="240" w:lineRule="auto"/>
    </w:pPr>
    <w:rPr>
      <w:rFonts w:ascii="Calibri" w:hAnsi="Calibri" w:cs="Calibri"/>
      <w:color w:val="000000"/>
      <w:sz w:val="24"/>
      <w:szCs w:val="24"/>
    </w:rPr>
  </w:style>
  <w:style w:type="paragraph" w:customStyle="1" w:styleId="TABOBR0">
    <w:name w:val="TAB+OBR"/>
    <w:basedOn w:val="Normln"/>
    <w:link w:val="TABOBRChar0"/>
    <w:qFormat/>
    <w:rsid w:val="00A76962"/>
    <w:pPr>
      <w:spacing w:before="240" w:after="0" w:line="240" w:lineRule="auto"/>
      <w:jc w:val="both"/>
    </w:pPr>
    <w:rPr>
      <w:rFonts w:cs="Arial"/>
      <w:b/>
      <w:lang w:eastAsia="cs-CZ"/>
    </w:rPr>
  </w:style>
  <w:style w:type="character" w:customStyle="1" w:styleId="TABOBRChar0">
    <w:name w:val="TAB+OBR Char"/>
    <w:basedOn w:val="Standardnpsmoodstavce"/>
    <w:link w:val="TABOBR0"/>
    <w:rsid w:val="00A76962"/>
    <w:rPr>
      <w:rFonts w:cs="Arial"/>
      <w:b/>
      <w:lang w:eastAsia="cs-CZ"/>
    </w:rPr>
  </w:style>
  <w:style w:type="paragraph" w:customStyle="1" w:styleId="TEXT1OD">
    <w:name w:val="TEXT_1.OD"/>
    <w:basedOn w:val="Normln"/>
    <w:link w:val="TEXT1ODChar"/>
    <w:qFormat/>
    <w:rsid w:val="008710DB"/>
    <w:pPr>
      <w:spacing w:after="120" w:line="264" w:lineRule="auto"/>
      <w:jc w:val="both"/>
    </w:pPr>
    <w:rPr>
      <w:rFonts w:cs="Arial"/>
      <w:sz w:val="24"/>
      <w:szCs w:val="24"/>
      <w:lang w:eastAsia="cs-CZ"/>
    </w:rPr>
  </w:style>
  <w:style w:type="character" w:customStyle="1" w:styleId="TEXT1ODChar">
    <w:name w:val="TEXT_1.OD Char"/>
    <w:basedOn w:val="Standardnpsmoodstavce"/>
    <w:link w:val="TEXT1OD"/>
    <w:rsid w:val="008710DB"/>
    <w:rPr>
      <w:rFonts w:cs="Arial"/>
      <w:sz w:val="24"/>
      <w:szCs w:val="24"/>
      <w:lang w:eastAsia="cs-CZ"/>
    </w:rPr>
  </w:style>
  <w:style w:type="character" w:customStyle="1" w:styleId="OdstavecseseznamemChar">
    <w:name w:val="Odstavec se seznamem Char"/>
    <w:basedOn w:val="Standardnpsmoodstavce"/>
    <w:link w:val="Odstavecseseznamem"/>
    <w:uiPriority w:val="34"/>
    <w:locked/>
    <w:rsid w:val="008710DB"/>
    <w:rPr>
      <w:rFonts w:ascii="Times New Roman" w:eastAsia="Times New Roman" w:hAnsi="Times New Roman" w:cs="Times New Roman"/>
      <w:sz w:val="24"/>
      <w:szCs w:val="24"/>
      <w:lang w:eastAsia="cs-CZ"/>
    </w:rPr>
  </w:style>
  <w:style w:type="paragraph" w:customStyle="1" w:styleId="TEXTzaTAB">
    <w:name w:val="TEXT za TAB"/>
    <w:basedOn w:val="TEXT"/>
    <w:link w:val="TEXTzaTABChar"/>
    <w:qFormat/>
    <w:rsid w:val="008710DB"/>
    <w:pPr>
      <w:spacing w:before="240"/>
    </w:pPr>
    <w:rPr>
      <w:rFonts w:cs="Times New Roman"/>
      <w:spacing w:val="-4"/>
    </w:rPr>
  </w:style>
  <w:style w:type="character" w:customStyle="1" w:styleId="TEXTzaTABChar">
    <w:name w:val="TEXT za TAB Char"/>
    <w:basedOn w:val="TEXTChar"/>
    <w:link w:val="TEXTzaTAB"/>
    <w:rsid w:val="008710DB"/>
    <w:rPr>
      <w:rFonts w:ascii="Times New Roman" w:hAnsi="Times New Roman" w:cs="Times New Roman"/>
      <w:spacing w:val="-4"/>
      <w:szCs w:val="24"/>
      <w:lang w:eastAsia="cs-CZ"/>
    </w:rPr>
  </w:style>
  <w:style w:type="paragraph" w:customStyle="1" w:styleId="StylStyl11bZarovnatdoblokuTimesNewRoman">
    <w:name w:val="Styl Styl 11 b. Zarovnat do bloku + Times New Roman"/>
    <w:basedOn w:val="Normln"/>
    <w:link w:val="StylStyl11bZarovnatdoblokuTimesNewRomanChar"/>
    <w:autoRedefine/>
    <w:rsid w:val="008710DB"/>
    <w:pPr>
      <w:spacing w:before="40" w:after="40" w:line="240" w:lineRule="auto"/>
      <w:jc w:val="both"/>
    </w:pPr>
    <w:rPr>
      <w:rFonts w:ascii="Arial" w:eastAsia="Times New Roman" w:hAnsi="Arial" w:cs="Arial"/>
      <w:color w:val="0070C0"/>
      <w:lang w:eastAsia="x-none"/>
    </w:rPr>
  </w:style>
  <w:style w:type="character" w:customStyle="1" w:styleId="StylStyl11bZarovnatdoblokuTimesNewRomanChar">
    <w:name w:val="Styl Styl 11 b. Zarovnat do bloku + Times New Roman Char"/>
    <w:link w:val="StylStyl11bZarovnatdoblokuTimesNewRoman"/>
    <w:locked/>
    <w:rsid w:val="008710DB"/>
    <w:rPr>
      <w:rFonts w:ascii="Arial" w:eastAsia="Times New Roman" w:hAnsi="Arial" w:cs="Arial"/>
      <w:color w:val="0070C0"/>
      <w:lang w:eastAsia="x-none"/>
    </w:rPr>
  </w:style>
  <w:style w:type="character" w:customStyle="1" w:styleId="Styl9b">
    <w:name w:val="Styl 9 b."/>
    <w:qFormat/>
    <w:rsid w:val="008710DB"/>
    <w:rPr>
      <w:sz w:val="16"/>
    </w:rPr>
  </w:style>
  <w:style w:type="character" w:customStyle="1" w:styleId="Styl11b1">
    <w:name w:val="Styl 11 b.1"/>
    <w:rsid w:val="008710DB"/>
    <w:rPr>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10223">
      <w:bodyDiv w:val="1"/>
      <w:marLeft w:val="0"/>
      <w:marRight w:val="0"/>
      <w:marTop w:val="0"/>
      <w:marBottom w:val="0"/>
      <w:divBdr>
        <w:top w:val="none" w:sz="0" w:space="0" w:color="auto"/>
        <w:left w:val="none" w:sz="0" w:space="0" w:color="auto"/>
        <w:bottom w:val="none" w:sz="0" w:space="0" w:color="auto"/>
        <w:right w:val="none" w:sz="0" w:space="0" w:color="auto"/>
      </w:divBdr>
    </w:div>
    <w:div w:id="57477453">
      <w:bodyDiv w:val="1"/>
      <w:marLeft w:val="0"/>
      <w:marRight w:val="0"/>
      <w:marTop w:val="0"/>
      <w:marBottom w:val="0"/>
      <w:divBdr>
        <w:top w:val="none" w:sz="0" w:space="0" w:color="auto"/>
        <w:left w:val="none" w:sz="0" w:space="0" w:color="auto"/>
        <w:bottom w:val="none" w:sz="0" w:space="0" w:color="auto"/>
        <w:right w:val="none" w:sz="0" w:space="0" w:color="auto"/>
      </w:divBdr>
    </w:div>
    <w:div w:id="125969545">
      <w:bodyDiv w:val="1"/>
      <w:marLeft w:val="0"/>
      <w:marRight w:val="0"/>
      <w:marTop w:val="0"/>
      <w:marBottom w:val="0"/>
      <w:divBdr>
        <w:top w:val="none" w:sz="0" w:space="0" w:color="auto"/>
        <w:left w:val="none" w:sz="0" w:space="0" w:color="auto"/>
        <w:bottom w:val="none" w:sz="0" w:space="0" w:color="auto"/>
        <w:right w:val="none" w:sz="0" w:space="0" w:color="auto"/>
      </w:divBdr>
    </w:div>
    <w:div w:id="126974205">
      <w:bodyDiv w:val="1"/>
      <w:marLeft w:val="0"/>
      <w:marRight w:val="0"/>
      <w:marTop w:val="0"/>
      <w:marBottom w:val="0"/>
      <w:divBdr>
        <w:top w:val="none" w:sz="0" w:space="0" w:color="auto"/>
        <w:left w:val="none" w:sz="0" w:space="0" w:color="auto"/>
        <w:bottom w:val="none" w:sz="0" w:space="0" w:color="auto"/>
        <w:right w:val="none" w:sz="0" w:space="0" w:color="auto"/>
      </w:divBdr>
    </w:div>
    <w:div w:id="252128959">
      <w:bodyDiv w:val="1"/>
      <w:marLeft w:val="0"/>
      <w:marRight w:val="0"/>
      <w:marTop w:val="0"/>
      <w:marBottom w:val="0"/>
      <w:divBdr>
        <w:top w:val="none" w:sz="0" w:space="0" w:color="auto"/>
        <w:left w:val="none" w:sz="0" w:space="0" w:color="auto"/>
        <w:bottom w:val="none" w:sz="0" w:space="0" w:color="auto"/>
        <w:right w:val="none" w:sz="0" w:space="0" w:color="auto"/>
      </w:divBdr>
    </w:div>
    <w:div w:id="278680402">
      <w:bodyDiv w:val="1"/>
      <w:marLeft w:val="0"/>
      <w:marRight w:val="0"/>
      <w:marTop w:val="0"/>
      <w:marBottom w:val="0"/>
      <w:divBdr>
        <w:top w:val="none" w:sz="0" w:space="0" w:color="auto"/>
        <w:left w:val="none" w:sz="0" w:space="0" w:color="auto"/>
        <w:bottom w:val="none" w:sz="0" w:space="0" w:color="auto"/>
        <w:right w:val="none" w:sz="0" w:space="0" w:color="auto"/>
      </w:divBdr>
    </w:div>
    <w:div w:id="283848964">
      <w:bodyDiv w:val="1"/>
      <w:marLeft w:val="0"/>
      <w:marRight w:val="0"/>
      <w:marTop w:val="0"/>
      <w:marBottom w:val="0"/>
      <w:divBdr>
        <w:top w:val="none" w:sz="0" w:space="0" w:color="auto"/>
        <w:left w:val="none" w:sz="0" w:space="0" w:color="auto"/>
        <w:bottom w:val="none" w:sz="0" w:space="0" w:color="auto"/>
        <w:right w:val="none" w:sz="0" w:space="0" w:color="auto"/>
      </w:divBdr>
    </w:div>
    <w:div w:id="324867083">
      <w:bodyDiv w:val="1"/>
      <w:marLeft w:val="0"/>
      <w:marRight w:val="0"/>
      <w:marTop w:val="0"/>
      <w:marBottom w:val="0"/>
      <w:divBdr>
        <w:top w:val="none" w:sz="0" w:space="0" w:color="auto"/>
        <w:left w:val="none" w:sz="0" w:space="0" w:color="auto"/>
        <w:bottom w:val="none" w:sz="0" w:space="0" w:color="auto"/>
        <w:right w:val="none" w:sz="0" w:space="0" w:color="auto"/>
      </w:divBdr>
    </w:div>
    <w:div w:id="342249353">
      <w:bodyDiv w:val="1"/>
      <w:marLeft w:val="0"/>
      <w:marRight w:val="0"/>
      <w:marTop w:val="0"/>
      <w:marBottom w:val="0"/>
      <w:divBdr>
        <w:top w:val="none" w:sz="0" w:space="0" w:color="auto"/>
        <w:left w:val="none" w:sz="0" w:space="0" w:color="auto"/>
        <w:bottom w:val="none" w:sz="0" w:space="0" w:color="auto"/>
        <w:right w:val="none" w:sz="0" w:space="0" w:color="auto"/>
      </w:divBdr>
    </w:div>
    <w:div w:id="345518845">
      <w:bodyDiv w:val="1"/>
      <w:marLeft w:val="0"/>
      <w:marRight w:val="0"/>
      <w:marTop w:val="0"/>
      <w:marBottom w:val="0"/>
      <w:divBdr>
        <w:top w:val="none" w:sz="0" w:space="0" w:color="auto"/>
        <w:left w:val="none" w:sz="0" w:space="0" w:color="auto"/>
        <w:bottom w:val="none" w:sz="0" w:space="0" w:color="auto"/>
        <w:right w:val="none" w:sz="0" w:space="0" w:color="auto"/>
      </w:divBdr>
    </w:div>
    <w:div w:id="358317840">
      <w:bodyDiv w:val="1"/>
      <w:marLeft w:val="0"/>
      <w:marRight w:val="0"/>
      <w:marTop w:val="0"/>
      <w:marBottom w:val="0"/>
      <w:divBdr>
        <w:top w:val="none" w:sz="0" w:space="0" w:color="auto"/>
        <w:left w:val="none" w:sz="0" w:space="0" w:color="auto"/>
        <w:bottom w:val="none" w:sz="0" w:space="0" w:color="auto"/>
        <w:right w:val="none" w:sz="0" w:space="0" w:color="auto"/>
      </w:divBdr>
    </w:div>
    <w:div w:id="367141756">
      <w:bodyDiv w:val="1"/>
      <w:marLeft w:val="0"/>
      <w:marRight w:val="0"/>
      <w:marTop w:val="0"/>
      <w:marBottom w:val="0"/>
      <w:divBdr>
        <w:top w:val="none" w:sz="0" w:space="0" w:color="auto"/>
        <w:left w:val="none" w:sz="0" w:space="0" w:color="auto"/>
        <w:bottom w:val="none" w:sz="0" w:space="0" w:color="auto"/>
        <w:right w:val="none" w:sz="0" w:space="0" w:color="auto"/>
      </w:divBdr>
    </w:div>
    <w:div w:id="388503515">
      <w:bodyDiv w:val="1"/>
      <w:marLeft w:val="0"/>
      <w:marRight w:val="0"/>
      <w:marTop w:val="0"/>
      <w:marBottom w:val="0"/>
      <w:divBdr>
        <w:top w:val="none" w:sz="0" w:space="0" w:color="auto"/>
        <w:left w:val="none" w:sz="0" w:space="0" w:color="auto"/>
        <w:bottom w:val="none" w:sz="0" w:space="0" w:color="auto"/>
        <w:right w:val="none" w:sz="0" w:space="0" w:color="auto"/>
      </w:divBdr>
    </w:div>
    <w:div w:id="411005864">
      <w:bodyDiv w:val="1"/>
      <w:marLeft w:val="0"/>
      <w:marRight w:val="0"/>
      <w:marTop w:val="0"/>
      <w:marBottom w:val="0"/>
      <w:divBdr>
        <w:top w:val="none" w:sz="0" w:space="0" w:color="auto"/>
        <w:left w:val="none" w:sz="0" w:space="0" w:color="auto"/>
        <w:bottom w:val="none" w:sz="0" w:space="0" w:color="auto"/>
        <w:right w:val="none" w:sz="0" w:space="0" w:color="auto"/>
      </w:divBdr>
    </w:div>
    <w:div w:id="419063600">
      <w:bodyDiv w:val="1"/>
      <w:marLeft w:val="0"/>
      <w:marRight w:val="0"/>
      <w:marTop w:val="0"/>
      <w:marBottom w:val="0"/>
      <w:divBdr>
        <w:top w:val="none" w:sz="0" w:space="0" w:color="auto"/>
        <w:left w:val="none" w:sz="0" w:space="0" w:color="auto"/>
        <w:bottom w:val="none" w:sz="0" w:space="0" w:color="auto"/>
        <w:right w:val="none" w:sz="0" w:space="0" w:color="auto"/>
      </w:divBdr>
    </w:div>
    <w:div w:id="499547527">
      <w:bodyDiv w:val="1"/>
      <w:marLeft w:val="0"/>
      <w:marRight w:val="0"/>
      <w:marTop w:val="0"/>
      <w:marBottom w:val="0"/>
      <w:divBdr>
        <w:top w:val="none" w:sz="0" w:space="0" w:color="auto"/>
        <w:left w:val="none" w:sz="0" w:space="0" w:color="auto"/>
        <w:bottom w:val="none" w:sz="0" w:space="0" w:color="auto"/>
        <w:right w:val="none" w:sz="0" w:space="0" w:color="auto"/>
      </w:divBdr>
    </w:div>
    <w:div w:id="521554858">
      <w:bodyDiv w:val="1"/>
      <w:marLeft w:val="0"/>
      <w:marRight w:val="0"/>
      <w:marTop w:val="0"/>
      <w:marBottom w:val="0"/>
      <w:divBdr>
        <w:top w:val="none" w:sz="0" w:space="0" w:color="auto"/>
        <w:left w:val="none" w:sz="0" w:space="0" w:color="auto"/>
        <w:bottom w:val="none" w:sz="0" w:space="0" w:color="auto"/>
        <w:right w:val="none" w:sz="0" w:space="0" w:color="auto"/>
      </w:divBdr>
    </w:div>
    <w:div w:id="533156554">
      <w:bodyDiv w:val="1"/>
      <w:marLeft w:val="0"/>
      <w:marRight w:val="0"/>
      <w:marTop w:val="0"/>
      <w:marBottom w:val="0"/>
      <w:divBdr>
        <w:top w:val="none" w:sz="0" w:space="0" w:color="auto"/>
        <w:left w:val="none" w:sz="0" w:space="0" w:color="auto"/>
        <w:bottom w:val="none" w:sz="0" w:space="0" w:color="auto"/>
        <w:right w:val="none" w:sz="0" w:space="0" w:color="auto"/>
      </w:divBdr>
    </w:div>
    <w:div w:id="539514506">
      <w:bodyDiv w:val="1"/>
      <w:marLeft w:val="0"/>
      <w:marRight w:val="0"/>
      <w:marTop w:val="0"/>
      <w:marBottom w:val="0"/>
      <w:divBdr>
        <w:top w:val="none" w:sz="0" w:space="0" w:color="auto"/>
        <w:left w:val="none" w:sz="0" w:space="0" w:color="auto"/>
        <w:bottom w:val="none" w:sz="0" w:space="0" w:color="auto"/>
        <w:right w:val="none" w:sz="0" w:space="0" w:color="auto"/>
      </w:divBdr>
    </w:div>
    <w:div w:id="610669964">
      <w:bodyDiv w:val="1"/>
      <w:marLeft w:val="0"/>
      <w:marRight w:val="0"/>
      <w:marTop w:val="0"/>
      <w:marBottom w:val="0"/>
      <w:divBdr>
        <w:top w:val="none" w:sz="0" w:space="0" w:color="auto"/>
        <w:left w:val="none" w:sz="0" w:space="0" w:color="auto"/>
        <w:bottom w:val="none" w:sz="0" w:space="0" w:color="auto"/>
        <w:right w:val="none" w:sz="0" w:space="0" w:color="auto"/>
      </w:divBdr>
    </w:div>
    <w:div w:id="742141668">
      <w:bodyDiv w:val="1"/>
      <w:marLeft w:val="0"/>
      <w:marRight w:val="0"/>
      <w:marTop w:val="0"/>
      <w:marBottom w:val="0"/>
      <w:divBdr>
        <w:top w:val="none" w:sz="0" w:space="0" w:color="auto"/>
        <w:left w:val="none" w:sz="0" w:space="0" w:color="auto"/>
        <w:bottom w:val="none" w:sz="0" w:space="0" w:color="auto"/>
        <w:right w:val="none" w:sz="0" w:space="0" w:color="auto"/>
      </w:divBdr>
    </w:div>
    <w:div w:id="843859067">
      <w:bodyDiv w:val="1"/>
      <w:marLeft w:val="0"/>
      <w:marRight w:val="0"/>
      <w:marTop w:val="0"/>
      <w:marBottom w:val="0"/>
      <w:divBdr>
        <w:top w:val="none" w:sz="0" w:space="0" w:color="auto"/>
        <w:left w:val="none" w:sz="0" w:space="0" w:color="auto"/>
        <w:bottom w:val="none" w:sz="0" w:space="0" w:color="auto"/>
        <w:right w:val="none" w:sz="0" w:space="0" w:color="auto"/>
      </w:divBdr>
    </w:div>
    <w:div w:id="877082732">
      <w:bodyDiv w:val="1"/>
      <w:marLeft w:val="0"/>
      <w:marRight w:val="0"/>
      <w:marTop w:val="0"/>
      <w:marBottom w:val="0"/>
      <w:divBdr>
        <w:top w:val="none" w:sz="0" w:space="0" w:color="auto"/>
        <w:left w:val="none" w:sz="0" w:space="0" w:color="auto"/>
        <w:bottom w:val="none" w:sz="0" w:space="0" w:color="auto"/>
        <w:right w:val="none" w:sz="0" w:space="0" w:color="auto"/>
      </w:divBdr>
    </w:div>
    <w:div w:id="881600625">
      <w:bodyDiv w:val="1"/>
      <w:marLeft w:val="0"/>
      <w:marRight w:val="0"/>
      <w:marTop w:val="0"/>
      <w:marBottom w:val="0"/>
      <w:divBdr>
        <w:top w:val="none" w:sz="0" w:space="0" w:color="auto"/>
        <w:left w:val="none" w:sz="0" w:space="0" w:color="auto"/>
        <w:bottom w:val="none" w:sz="0" w:space="0" w:color="auto"/>
        <w:right w:val="none" w:sz="0" w:space="0" w:color="auto"/>
      </w:divBdr>
    </w:div>
    <w:div w:id="976374975">
      <w:bodyDiv w:val="1"/>
      <w:marLeft w:val="0"/>
      <w:marRight w:val="0"/>
      <w:marTop w:val="0"/>
      <w:marBottom w:val="0"/>
      <w:divBdr>
        <w:top w:val="none" w:sz="0" w:space="0" w:color="auto"/>
        <w:left w:val="none" w:sz="0" w:space="0" w:color="auto"/>
        <w:bottom w:val="none" w:sz="0" w:space="0" w:color="auto"/>
        <w:right w:val="none" w:sz="0" w:space="0" w:color="auto"/>
      </w:divBdr>
    </w:div>
    <w:div w:id="995572570">
      <w:bodyDiv w:val="1"/>
      <w:marLeft w:val="0"/>
      <w:marRight w:val="0"/>
      <w:marTop w:val="0"/>
      <w:marBottom w:val="0"/>
      <w:divBdr>
        <w:top w:val="none" w:sz="0" w:space="0" w:color="auto"/>
        <w:left w:val="none" w:sz="0" w:space="0" w:color="auto"/>
        <w:bottom w:val="none" w:sz="0" w:space="0" w:color="auto"/>
        <w:right w:val="none" w:sz="0" w:space="0" w:color="auto"/>
      </w:divBdr>
    </w:div>
    <w:div w:id="1057975826">
      <w:bodyDiv w:val="1"/>
      <w:marLeft w:val="0"/>
      <w:marRight w:val="0"/>
      <w:marTop w:val="0"/>
      <w:marBottom w:val="0"/>
      <w:divBdr>
        <w:top w:val="none" w:sz="0" w:space="0" w:color="auto"/>
        <w:left w:val="none" w:sz="0" w:space="0" w:color="auto"/>
        <w:bottom w:val="none" w:sz="0" w:space="0" w:color="auto"/>
        <w:right w:val="none" w:sz="0" w:space="0" w:color="auto"/>
      </w:divBdr>
    </w:div>
    <w:div w:id="1085686674">
      <w:bodyDiv w:val="1"/>
      <w:marLeft w:val="0"/>
      <w:marRight w:val="0"/>
      <w:marTop w:val="0"/>
      <w:marBottom w:val="0"/>
      <w:divBdr>
        <w:top w:val="none" w:sz="0" w:space="0" w:color="auto"/>
        <w:left w:val="none" w:sz="0" w:space="0" w:color="auto"/>
        <w:bottom w:val="none" w:sz="0" w:space="0" w:color="auto"/>
        <w:right w:val="none" w:sz="0" w:space="0" w:color="auto"/>
      </w:divBdr>
    </w:div>
    <w:div w:id="1098670895">
      <w:bodyDiv w:val="1"/>
      <w:marLeft w:val="0"/>
      <w:marRight w:val="0"/>
      <w:marTop w:val="0"/>
      <w:marBottom w:val="0"/>
      <w:divBdr>
        <w:top w:val="none" w:sz="0" w:space="0" w:color="auto"/>
        <w:left w:val="none" w:sz="0" w:space="0" w:color="auto"/>
        <w:bottom w:val="none" w:sz="0" w:space="0" w:color="auto"/>
        <w:right w:val="none" w:sz="0" w:space="0" w:color="auto"/>
      </w:divBdr>
    </w:div>
    <w:div w:id="1140852314">
      <w:bodyDiv w:val="1"/>
      <w:marLeft w:val="0"/>
      <w:marRight w:val="0"/>
      <w:marTop w:val="0"/>
      <w:marBottom w:val="0"/>
      <w:divBdr>
        <w:top w:val="none" w:sz="0" w:space="0" w:color="auto"/>
        <w:left w:val="none" w:sz="0" w:space="0" w:color="auto"/>
        <w:bottom w:val="none" w:sz="0" w:space="0" w:color="auto"/>
        <w:right w:val="none" w:sz="0" w:space="0" w:color="auto"/>
      </w:divBdr>
    </w:div>
    <w:div w:id="1238174119">
      <w:bodyDiv w:val="1"/>
      <w:marLeft w:val="0"/>
      <w:marRight w:val="0"/>
      <w:marTop w:val="0"/>
      <w:marBottom w:val="0"/>
      <w:divBdr>
        <w:top w:val="none" w:sz="0" w:space="0" w:color="auto"/>
        <w:left w:val="none" w:sz="0" w:space="0" w:color="auto"/>
        <w:bottom w:val="none" w:sz="0" w:space="0" w:color="auto"/>
        <w:right w:val="none" w:sz="0" w:space="0" w:color="auto"/>
      </w:divBdr>
    </w:div>
    <w:div w:id="1242177474">
      <w:bodyDiv w:val="1"/>
      <w:marLeft w:val="0"/>
      <w:marRight w:val="0"/>
      <w:marTop w:val="0"/>
      <w:marBottom w:val="0"/>
      <w:divBdr>
        <w:top w:val="none" w:sz="0" w:space="0" w:color="auto"/>
        <w:left w:val="none" w:sz="0" w:space="0" w:color="auto"/>
        <w:bottom w:val="none" w:sz="0" w:space="0" w:color="auto"/>
        <w:right w:val="none" w:sz="0" w:space="0" w:color="auto"/>
      </w:divBdr>
    </w:div>
    <w:div w:id="1244683785">
      <w:bodyDiv w:val="1"/>
      <w:marLeft w:val="0"/>
      <w:marRight w:val="0"/>
      <w:marTop w:val="0"/>
      <w:marBottom w:val="0"/>
      <w:divBdr>
        <w:top w:val="none" w:sz="0" w:space="0" w:color="auto"/>
        <w:left w:val="none" w:sz="0" w:space="0" w:color="auto"/>
        <w:bottom w:val="none" w:sz="0" w:space="0" w:color="auto"/>
        <w:right w:val="none" w:sz="0" w:space="0" w:color="auto"/>
      </w:divBdr>
    </w:div>
    <w:div w:id="1280262155">
      <w:bodyDiv w:val="1"/>
      <w:marLeft w:val="0"/>
      <w:marRight w:val="0"/>
      <w:marTop w:val="0"/>
      <w:marBottom w:val="0"/>
      <w:divBdr>
        <w:top w:val="none" w:sz="0" w:space="0" w:color="auto"/>
        <w:left w:val="none" w:sz="0" w:space="0" w:color="auto"/>
        <w:bottom w:val="none" w:sz="0" w:space="0" w:color="auto"/>
        <w:right w:val="none" w:sz="0" w:space="0" w:color="auto"/>
      </w:divBdr>
    </w:div>
    <w:div w:id="1341544477">
      <w:bodyDiv w:val="1"/>
      <w:marLeft w:val="0"/>
      <w:marRight w:val="0"/>
      <w:marTop w:val="0"/>
      <w:marBottom w:val="0"/>
      <w:divBdr>
        <w:top w:val="none" w:sz="0" w:space="0" w:color="auto"/>
        <w:left w:val="none" w:sz="0" w:space="0" w:color="auto"/>
        <w:bottom w:val="none" w:sz="0" w:space="0" w:color="auto"/>
        <w:right w:val="none" w:sz="0" w:space="0" w:color="auto"/>
      </w:divBdr>
    </w:div>
    <w:div w:id="1348017705">
      <w:bodyDiv w:val="1"/>
      <w:marLeft w:val="0"/>
      <w:marRight w:val="0"/>
      <w:marTop w:val="0"/>
      <w:marBottom w:val="0"/>
      <w:divBdr>
        <w:top w:val="none" w:sz="0" w:space="0" w:color="auto"/>
        <w:left w:val="none" w:sz="0" w:space="0" w:color="auto"/>
        <w:bottom w:val="none" w:sz="0" w:space="0" w:color="auto"/>
        <w:right w:val="none" w:sz="0" w:space="0" w:color="auto"/>
      </w:divBdr>
    </w:div>
    <w:div w:id="1382747145">
      <w:bodyDiv w:val="1"/>
      <w:marLeft w:val="0"/>
      <w:marRight w:val="0"/>
      <w:marTop w:val="0"/>
      <w:marBottom w:val="0"/>
      <w:divBdr>
        <w:top w:val="none" w:sz="0" w:space="0" w:color="auto"/>
        <w:left w:val="none" w:sz="0" w:space="0" w:color="auto"/>
        <w:bottom w:val="none" w:sz="0" w:space="0" w:color="auto"/>
        <w:right w:val="none" w:sz="0" w:space="0" w:color="auto"/>
      </w:divBdr>
    </w:div>
    <w:div w:id="1386295531">
      <w:bodyDiv w:val="1"/>
      <w:marLeft w:val="0"/>
      <w:marRight w:val="0"/>
      <w:marTop w:val="0"/>
      <w:marBottom w:val="0"/>
      <w:divBdr>
        <w:top w:val="none" w:sz="0" w:space="0" w:color="auto"/>
        <w:left w:val="none" w:sz="0" w:space="0" w:color="auto"/>
        <w:bottom w:val="none" w:sz="0" w:space="0" w:color="auto"/>
        <w:right w:val="none" w:sz="0" w:space="0" w:color="auto"/>
      </w:divBdr>
    </w:div>
    <w:div w:id="1401905823">
      <w:bodyDiv w:val="1"/>
      <w:marLeft w:val="0"/>
      <w:marRight w:val="0"/>
      <w:marTop w:val="0"/>
      <w:marBottom w:val="0"/>
      <w:divBdr>
        <w:top w:val="none" w:sz="0" w:space="0" w:color="auto"/>
        <w:left w:val="none" w:sz="0" w:space="0" w:color="auto"/>
        <w:bottom w:val="none" w:sz="0" w:space="0" w:color="auto"/>
        <w:right w:val="none" w:sz="0" w:space="0" w:color="auto"/>
      </w:divBdr>
    </w:div>
    <w:div w:id="1433432492">
      <w:bodyDiv w:val="1"/>
      <w:marLeft w:val="0"/>
      <w:marRight w:val="0"/>
      <w:marTop w:val="0"/>
      <w:marBottom w:val="0"/>
      <w:divBdr>
        <w:top w:val="none" w:sz="0" w:space="0" w:color="auto"/>
        <w:left w:val="none" w:sz="0" w:space="0" w:color="auto"/>
        <w:bottom w:val="none" w:sz="0" w:space="0" w:color="auto"/>
        <w:right w:val="none" w:sz="0" w:space="0" w:color="auto"/>
      </w:divBdr>
    </w:div>
    <w:div w:id="1445613234">
      <w:bodyDiv w:val="1"/>
      <w:marLeft w:val="0"/>
      <w:marRight w:val="0"/>
      <w:marTop w:val="0"/>
      <w:marBottom w:val="0"/>
      <w:divBdr>
        <w:top w:val="none" w:sz="0" w:space="0" w:color="auto"/>
        <w:left w:val="none" w:sz="0" w:space="0" w:color="auto"/>
        <w:bottom w:val="none" w:sz="0" w:space="0" w:color="auto"/>
        <w:right w:val="none" w:sz="0" w:space="0" w:color="auto"/>
      </w:divBdr>
    </w:div>
    <w:div w:id="1472550780">
      <w:bodyDiv w:val="1"/>
      <w:marLeft w:val="0"/>
      <w:marRight w:val="0"/>
      <w:marTop w:val="0"/>
      <w:marBottom w:val="0"/>
      <w:divBdr>
        <w:top w:val="none" w:sz="0" w:space="0" w:color="auto"/>
        <w:left w:val="none" w:sz="0" w:space="0" w:color="auto"/>
        <w:bottom w:val="none" w:sz="0" w:space="0" w:color="auto"/>
        <w:right w:val="none" w:sz="0" w:space="0" w:color="auto"/>
      </w:divBdr>
    </w:div>
    <w:div w:id="1524660737">
      <w:bodyDiv w:val="1"/>
      <w:marLeft w:val="0"/>
      <w:marRight w:val="0"/>
      <w:marTop w:val="0"/>
      <w:marBottom w:val="0"/>
      <w:divBdr>
        <w:top w:val="none" w:sz="0" w:space="0" w:color="auto"/>
        <w:left w:val="none" w:sz="0" w:space="0" w:color="auto"/>
        <w:bottom w:val="none" w:sz="0" w:space="0" w:color="auto"/>
        <w:right w:val="none" w:sz="0" w:space="0" w:color="auto"/>
      </w:divBdr>
    </w:div>
    <w:div w:id="1530070273">
      <w:bodyDiv w:val="1"/>
      <w:marLeft w:val="0"/>
      <w:marRight w:val="0"/>
      <w:marTop w:val="0"/>
      <w:marBottom w:val="0"/>
      <w:divBdr>
        <w:top w:val="none" w:sz="0" w:space="0" w:color="auto"/>
        <w:left w:val="none" w:sz="0" w:space="0" w:color="auto"/>
        <w:bottom w:val="none" w:sz="0" w:space="0" w:color="auto"/>
        <w:right w:val="none" w:sz="0" w:space="0" w:color="auto"/>
      </w:divBdr>
    </w:div>
    <w:div w:id="1560748298">
      <w:bodyDiv w:val="1"/>
      <w:marLeft w:val="0"/>
      <w:marRight w:val="0"/>
      <w:marTop w:val="0"/>
      <w:marBottom w:val="0"/>
      <w:divBdr>
        <w:top w:val="none" w:sz="0" w:space="0" w:color="auto"/>
        <w:left w:val="none" w:sz="0" w:space="0" w:color="auto"/>
        <w:bottom w:val="none" w:sz="0" w:space="0" w:color="auto"/>
        <w:right w:val="none" w:sz="0" w:space="0" w:color="auto"/>
      </w:divBdr>
    </w:div>
    <w:div w:id="1591574077">
      <w:bodyDiv w:val="1"/>
      <w:marLeft w:val="0"/>
      <w:marRight w:val="0"/>
      <w:marTop w:val="0"/>
      <w:marBottom w:val="0"/>
      <w:divBdr>
        <w:top w:val="none" w:sz="0" w:space="0" w:color="auto"/>
        <w:left w:val="none" w:sz="0" w:space="0" w:color="auto"/>
        <w:bottom w:val="none" w:sz="0" w:space="0" w:color="auto"/>
        <w:right w:val="none" w:sz="0" w:space="0" w:color="auto"/>
      </w:divBdr>
    </w:div>
    <w:div w:id="1725834901">
      <w:bodyDiv w:val="1"/>
      <w:marLeft w:val="0"/>
      <w:marRight w:val="0"/>
      <w:marTop w:val="0"/>
      <w:marBottom w:val="0"/>
      <w:divBdr>
        <w:top w:val="none" w:sz="0" w:space="0" w:color="auto"/>
        <w:left w:val="none" w:sz="0" w:space="0" w:color="auto"/>
        <w:bottom w:val="none" w:sz="0" w:space="0" w:color="auto"/>
        <w:right w:val="none" w:sz="0" w:space="0" w:color="auto"/>
      </w:divBdr>
    </w:div>
    <w:div w:id="1728143912">
      <w:bodyDiv w:val="1"/>
      <w:marLeft w:val="0"/>
      <w:marRight w:val="0"/>
      <w:marTop w:val="0"/>
      <w:marBottom w:val="0"/>
      <w:divBdr>
        <w:top w:val="none" w:sz="0" w:space="0" w:color="auto"/>
        <w:left w:val="none" w:sz="0" w:space="0" w:color="auto"/>
        <w:bottom w:val="none" w:sz="0" w:space="0" w:color="auto"/>
        <w:right w:val="none" w:sz="0" w:space="0" w:color="auto"/>
      </w:divBdr>
    </w:div>
    <w:div w:id="1862932042">
      <w:bodyDiv w:val="1"/>
      <w:marLeft w:val="0"/>
      <w:marRight w:val="0"/>
      <w:marTop w:val="0"/>
      <w:marBottom w:val="0"/>
      <w:divBdr>
        <w:top w:val="none" w:sz="0" w:space="0" w:color="auto"/>
        <w:left w:val="none" w:sz="0" w:space="0" w:color="auto"/>
        <w:bottom w:val="none" w:sz="0" w:space="0" w:color="auto"/>
        <w:right w:val="none" w:sz="0" w:space="0" w:color="auto"/>
      </w:divBdr>
    </w:div>
    <w:div w:id="1863857936">
      <w:bodyDiv w:val="1"/>
      <w:marLeft w:val="0"/>
      <w:marRight w:val="0"/>
      <w:marTop w:val="0"/>
      <w:marBottom w:val="0"/>
      <w:divBdr>
        <w:top w:val="none" w:sz="0" w:space="0" w:color="auto"/>
        <w:left w:val="none" w:sz="0" w:space="0" w:color="auto"/>
        <w:bottom w:val="none" w:sz="0" w:space="0" w:color="auto"/>
        <w:right w:val="none" w:sz="0" w:space="0" w:color="auto"/>
      </w:divBdr>
    </w:div>
    <w:div w:id="1895695465">
      <w:bodyDiv w:val="1"/>
      <w:marLeft w:val="0"/>
      <w:marRight w:val="0"/>
      <w:marTop w:val="0"/>
      <w:marBottom w:val="0"/>
      <w:divBdr>
        <w:top w:val="none" w:sz="0" w:space="0" w:color="auto"/>
        <w:left w:val="none" w:sz="0" w:space="0" w:color="auto"/>
        <w:bottom w:val="none" w:sz="0" w:space="0" w:color="auto"/>
        <w:right w:val="none" w:sz="0" w:space="0" w:color="auto"/>
      </w:divBdr>
    </w:div>
    <w:div w:id="1897860640">
      <w:bodyDiv w:val="1"/>
      <w:marLeft w:val="0"/>
      <w:marRight w:val="0"/>
      <w:marTop w:val="0"/>
      <w:marBottom w:val="0"/>
      <w:divBdr>
        <w:top w:val="none" w:sz="0" w:space="0" w:color="auto"/>
        <w:left w:val="none" w:sz="0" w:space="0" w:color="auto"/>
        <w:bottom w:val="none" w:sz="0" w:space="0" w:color="auto"/>
        <w:right w:val="none" w:sz="0" w:space="0" w:color="auto"/>
      </w:divBdr>
    </w:div>
    <w:div w:id="1910964395">
      <w:bodyDiv w:val="1"/>
      <w:marLeft w:val="0"/>
      <w:marRight w:val="0"/>
      <w:marTop w:val="0"/>
      <w:marBottom w:val="0"/>
      <w:divBdr>
        <w:top w:val="none" w:sz="0" w:space="0" w:color="auto"/>
        <w:left w:val="none" w:sz="0" w:space="0" w:color="auto"/>
        <w:bottom w:val="none" w:sz="0" w:space="0" w:color="auto"/>
        <w:right w:val="none" w:sz="0" w:space="0" w:color="auto"/>
      </w:divBdr>
    </w:div>
    <w:div w:id="1936287100">
      <w:bodyDiv w:val="1"/>
      <w:marLeft w:val="0"/>
      <w:marRight w:val="0"/>
      <w:marTop w:val="0"/>
      <w:marBottom w:val="0"/>
      <w:divBdr>
        <w:top w:val="none" w:sz="0" w:space="0" w:color="auto"/>
        <w:left w:val="none" w:sz="0" w:space="0" w:color="auto"/>
        <w:bottom w:val="none" w:sz="0" w:space="0" w:color="auto"/>
        <w:right w:val="none" w:sz="0" w:space="0" w:color="auto"/>
      </w:divBdr>
    </w:div>
    <w:div w:id="1992832863">
      <w:bodyDiv w:val="1"/>
      <w:marLeft w:val="0"/>
      <w:marRight w:val="0"/>
      <w:marTop w:val="0"/>
      <w:marBottom w:val="0"/>
      <w:divBdr>
        <w:top w:val="none" w:sz="0" w:space="0" w:color="auto"/>
        <w:left w:val="none" w:sz="0" w:space="0" w:color="auto"/>
        <w:bottom w:val="none" w:sz="0" w:space="0" w:color="auto"/>
        <w:right w:val="none" w:sz="0" w:space="0" w:color="auto"/>
      </w:divBdr>
    </w:div>
    <w:div w:id="2026400957">
      <w:bodyDiv w:val="1"/>
      <w:marLeft w:val="0"/>
      <w:marRight w:val="0"/>
      <w:marTop w:val="0"/>
      <w:marBottom w:val="0"/>
      <w:divBdr>
        <w:top w:val="none" w:sz="0" w:space="0" w:color="auto"/>
        <w:left w:val="none" w:sz="0" w:space="0" w:color="auto"/>
        <w:bottom w:val="none" w:sz="0" w:space="0" w:color="auto"/>
        <w:right w:val="none" w:sz="0" w:space="0" w:color="auto"/>
      </w:divBdr>
    </w:div>
    <w:div w:id="2056733689">
      <w:bodyDiv w:val="1"/>
      <w:marLeft w:val="0"/>
      <w:marRight w:val="0"/>
      <w:marTop w:val="0"/>
      <w:marBottom w:val="0"/>
      <w:divBdr>
        <w:top w:val="none" w:sz="0" w:space="0" w:color="auto"/>
        <w:left w:val="none" w:sz="0" w:space="0" w:color="auto"/>
        <w:bottom w:val="none" w:sz="0" w:space="0" w:color="auto"/>
        <w:right w:val="none" w:sz="0" w:space="0" w:color="auto"/>
      </w:divBdr>
    </w:div>
    <w:div w:id="2094743911">
      <w:bodyDiv w:val="1"/>
      <w:marLeft w:val="0"/>
      <w:marRight w:val="0"/>
      <w:marTop w:val="0"/>
      <w:marBottom w:val="0"/>
      <w:divBdr>
        <w:top w:val="none" w:sz="0" w:space="0" w:color="auto"/>
        <w:left w:val="none" w:sz="0" w:space="0" w:color="auto"/>
        <w:bottom w:val="none" w:sz="0" w:space="0" w:color="auto"/>
        <w:right w:val="none" w:sz="0" w:space="0" w:color="auto"/>
      </w:divBdr>
    </w:div>
    <w:div w:id="2134907658">
      <w:bodyDiv w:val="1"/>
      <w:marLeft w:val="0"/>
      <w:marRight w:val="0"/>
      <w:marTop w:val="0"/>
      <w:marBottom w:val="0"/>
      <w:divBdr>
        <w:top w:val="none" w:sz="0" w:space="0" w:color="auto"/>
        <w:left w:val="none" w:sz="0" w:space="0" w:color="auto"/>
        <w:bottom w:val="none" w:sz="0" w:space="0" w:color="auto"/>
        <w:right w:val="none" w:sz="0" w:space="0" w:color="auto"/>
      </w:divBdr>
    </w:div>
    <w:div w:id="214349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4.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3.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mzsfps03.mzcr.cz\Dokumenty$\cadyo\190527_vz%202018_hodnocen&#237;\VZ%202018_hodnocen&#237;_tabulky%20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zsfps03.mzcr.cz\Dokumenty$\cadyo\190527_vz%202018_hodnocen&#237;\VZ%202018_hodnocen&#237;_tabulky%20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mzsfps03.mzcr.cz\Dokumenty$\cadyo\190527_vz%202018_hodnocen&#237;\VZ%202018_hodnocen&#237;_tabulky%20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mzsfps03.mzcr.cz\Dokumenty$\cadyo\190527_vz%202018_hodnocen&#237;\VZ%202018_hodnocen&#237;_tabulky%20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5.2749653726140856E-2"/>
          <c:w val="0.85631860166221607"/>
          <c:h val="0.8443160303708771"/>
        </c:manualLayout>
      </c:layout>
      <c:lineChart>
        <c:grouping val="standard"/>
        <c:varyColors val="0"/>
        <c:ser>
          <c:idx val="0"/>
          <c:order val="0"/>
          <c:tx>
            <c:strRef>
              <c:f>TAB!$B$7</c:f>
              <c:strCache>
                <c:ptCount val="1"/>
                <c:pt idx="0">
                  <c:v>Celkové náklady</c:v>
                </c:pt>
              </c:strCache>
            </c:strRef>
          </c:tx>
          <c:spPr>
            <a:ln>
              <a:solidFill>
                <a:schemeClr val="accent4"/>
              </a:solidFill>
            </a:ln>
          </c:spPr>
          <c:marker>
            <c:symbol val="circle"/>
            <c:size val="7"/>
            <c:spPr>
              <a:solidFill>
                <a:schemeClr val="bg1"/>
              </a:solidFill>
              <a:ln w="28575">
                <a:solidFill>
                  <a:schemeClr val="accent4"/>
                </a:solidFill>
              </a:ln>
            </c:spPr>
          </c:marker>
          <c:cat>
            <c:strRef>
              <c:f>TAB!$M$3:$V$3</c:f>
              <c:strCache>
                <c:ptCount val="10"/>
                <c:pt idx="0">
                  <c:v>2009</c:v>
                </c:pt>
                <c:pt idx="1">
                  <c:v>2010</c:v>
                </c:pt>
                <c:pt idx="2">
                  <c:v>2011</c:v>
                </c:pt>
                <c:pt idx="3">
                  <c:v>2012</c:v>
                </c:pt>
                <c:pt idx="4">
                  <c:v>2013</c:v>
                </c:pt>
                <c:pt idx="5">
                  <c:v>2014</c:v>
                </c:pt>
                <c:pt idx="6">
                  <c:v>2015</c:v>
                </c:pt>
                <c:pt idx="7">
                  <c:v>2016</c:v>
                </c:pt>
                <c:pt idx="8">
                  <c:v>2017</c:v>
                </c:pt>
                <c:pt idx="9">
                  <c:v>2018</c:v>
                </c:pt>
              </c:strCache>
            </c:strRef>
          </c:cat>
          <c:val>
            <c:numRef>
              <c:f>TAB!$M$4:$V$4</c:f>
              <c:numCache>
                <c:formatCode>#,##0</c:formatCode>
                <c:ptCount val="10"/>
                <c:pt idx="0">
                  <c:v>212018.64300000001</c:v>
                </c:pt>
                <c:pt idx="1">
                  <c:v>215212.97</c:v>
                </c:pt>
                <c:pt idx="2">
                  <c:v>219164.552</c:v>
                </c:pt>
                <c:pt idx="3">
                  <c:v>223000.424</c:v>
                </c:pt>
                <c:pt idx="4">
                  <c:v>220641.61900000001</c:v>
                </c:pt>
                <c:pt idx="5">
                  <c:v>233959.19200000001</c:v>
                </c:pt>
                <c:pt idx="6">
                  <c:v>241975.46991023401</c:v>
                </c:pt>
                <c:pt idx="7">
                  <c:v>253423.701</c:v>
                </c:pt>
                <c:pt idx="8">
                  <c:v>267250.41100000002</c:v>
                </c:pt>
                <c:pt idx="9">
                  <c:v>285302.43496438005</c:v>
                </c:pt>
              </c:numCache>
            </c:numRef>
          </c:val>
          <c:smooth val="0"/>
          <c:extLst>
            <c:ext xmlns:c16="http://schemas.microsoft.com/office/drawing/2014/chart" uri="{C3380CC4-5D6E-409C-BE32-E72D297353CC}">
              <c16:uniqueId val="{00000000-FB21-4628-888D-6DCEA8A337A5}"/>
            </c:ext>
          </c:extLst>
        </c:ser>
        <c:dLbls>
          <c:showLegendKey val="0"/>
          <c:showVal val="0"/>
          <c:showCatName val="0"/>
          <c:showSerName val="0"/>
          <c:showPercent val="0"/>
          <c:showBubbleSize val="0"/>
        </c:dLbls>
        <c:marker val="1"/>
        <c:smooth val="0"/>
        <c:axId val="229217792"/>
        <c:axId val="271456896"/>
      </c:lineChart>
      <c:catAx>
        <c:axId val="22921779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271456896"/>
        <c:crosses val="autoZero"/>
        <c:auto val="1"/>
        <c:lblAlgn val="ctr"/>
        <c:lblOffset val="100"/>
        <c:noMultiLvlLbl val="0"/>
      </c:catAx>
      <c:valAx>
        <c:axId val="271456896"/>
        <c:scaling>
          <c:orientation val="minMax"/>
          <c:max val="300000"/>
          <c:min val="200000"/>
        </c:scaling>
        <c:delete val="0"/>
        <c:axPos val="l"/>
        <c:majorGridlines/>
        <c:minorGridlines>
          <c:spPr>
            <a:ln>
              <a:solidFill>
                <a:schemeClr val="bg1">
                  <a:lumMod val="75000"/>
                </a:schemeClr>
              </a:solidFill>
              <a:prstDash val="dash"/>
            </a:ln>
          </c:spPr>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en-US" sz="1050" b="1" i="0" baseline="0">
                    <a:effectLst/>
                  </a:rPr>
                  <a:t>N</a:t>
                </a:r>
                <a:r>
                  <a:rPr lang="cs-CZ" sz="1050" b="1" i="0" baseline="0">
                    <a:effectLst/>
                  </a:rPr>
                  <a:t>áklady na zdravotní služby </a:t>
                </a:r>
                <a:endParaRPr lang="cs-CZ"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0"/>
                  <a:t>(v mld. Kč)</a:t>
                </a:r>
              </a:p>
            </c:rich>
          </c:tx>
          <c:layout>
            <c:manualLayout>
              <c:xMode val="edge"/>
              <c:yMode val="edge"/>
              <c:x val="2.0938818793689268E-3"/>
              <c:y val="0.1801607562603762"/>
            </c:manualLayout>
          </c:layout>
          <c:overlay val="0"/>
        </c:title>
        <c:numFmt formatCode="#,##0" sourceLinked="0"/>
        <c:majorTickMark val="none"/>
        <c:minorTickMark val="none"/>
        <c:tickLblPos val="nextTo"/>
        <c:txPr>
          <a:bodyPr/>
          <a:lstStyle/>
          <a:p>
            <a:pPr>
              <a:defRPr sz="1050"/>
            </a:pPr>
            <a:endParaRPr lang="cs-CZ"/>
          </a:p>
        </c:txPr>
        <c:crossAx val="229217792"/>
        <c:crosses val="autoZero"/>
        <c:crossBetween val="between"/>
        <c:majorUnit val="20000"/>
        <c:minorUnit val="10000"/>
        <c:dispUnits>
          <c:builtInUnit val="thousands"/>
        </c:dispUnits>
      </c:valAx>
      <c:spPr>
        <a:solidFill>
          <a:schemeClr val="bg1"/>
        </a:solidFill>
        <a:ln>
          <a:solidFill>
            <a:schemeClr val="tx1">
              <a:lumMod val="50000"/>
              <a:lumOff val="50000"/>
            </a:schemeClr>
          </a:solidFill>
        </a:ln>
      </c:spPr>
    </c:plotArea>
    <c:plotVisOnly val="1"/>
    <c:dispBlanksAs val="gap"/>
    <c:showDLblsOverMax val="0"/>
  </c:chart>
  <c:spPr>
    <a:solidFill>
      <a:schemeClr val="bg1"/>
    </a:solid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0.12271022860099851"/>
          <c:w val="0.85631860166221607"/>
          <c:h val="0.77435545549601947"/>
        </c:manualLayout>
      </c:layout>
      <c:lineChart>
        <c:grouping val="standard"/>
        <c:varyColors val="0"/>
        <c:ser>
          <c:idx val="0"/>
          <c:order val="0"/>
          <c:tx>
            <c:strRef>
              <c:f>OBR!$L$2</c:f>
              <c:strCache>
                <c:ptCount val="1"/>
                <c:pt idx="0">
                  <c:v>Náklady na ambulantní péči</c:v>
                </c:pt>
              </c:strCache>
            </c:strRef>
          </c:tx>
          <c:spPr>
            <a:ln>
              <a:solidFill>
                <a:schemeClr val="accent2"/>
              </a:solidFill>
            </a:ln>
          </c:spPr>
          <c:marker>
            <c:symbol val="circle"/>
            <c:size val="7"/>
            <c:spPr>
              <a:solidFill>
                <a:schemeClr val="bg1"/>
              </a:solidFill>
              <a:ln w="28575">
                <a:solidFill>
                  <a:schemeClr val="accent2"/>
                </a:solidFill>
              </a:ln>
            </c:spPr>
          </c:marker>
          <c:cat>
            <c:strRef>
              <c:f>TAB!$M$3:$V$3</c:f>
              <c:strCache>
                <c:ptCount val="10"/>
                <c:pt idx="0">
                  <c:v>2009</c:v>
                </c:pt>
                <c:pt idx="1">
                  <c:v>2010</c:v>
                </c:pt>
                <c:pt idx="2">
                  <c:v>2011</c:v>
                </c:pt>
                <c:pt idx="3">
                  <c:v>2012</c:v>
                </c:pt>
                <c:pt idx="4">
                  <c:v>2013</c:v>
                </c:pt>
                <c:pt idx="5">
                  <c:v>2014</c:v>
                </c:pt>
                <c:pt idx="6">
                  <c:v>2015</c:v>
                </c:pt>
                <c:pt idx="7">
                  <c:v>2016</c:v>
                </c:pt>
                <c:pt idx="8">
                  <c:v>2017</c:v>
                </c:pt>
                <c:pt idx="9">
                  <c:v>2018</c:v>
                </c:pt>
              </c:strCache>
            </c:strRef>
          </c:cat>
          <c:val>
            <c:numRef>
              <c:f>TAB!$M$5:$V$5</c:f>
              <c:numCache>
                <c:formatCode>#,##0</c:formatCode>
                <c:ptCount val="10"/>
                <c:pt idx="0">
                  <c:v>54378.942000000003</c:v>
                </c:pt>
                <c:pt idx="1">
                  <c:v>55511.396999999997</c:v>
                </c:pt>
                <c:pt idx="2">
                  <c:v>58000.105000000003</c:v>
                </c:pt>
                <c:pt idx="3">
                  <c:v>58760.733999999997</c:v>
                </c:pt>
                <c:pt idx="4">
                  <c:v>60058.968999999997</c:v>
                </c:pt>
                <c:pt idx="5">
                  <c:v>62669.360999999997</c:v>
                </c:pt>
                <c:pt idx="6">
                  <c:v>64829.493999999999</c:v>
                </c:pt>
                <c:pt idx="7">
                  <c:v>69248.273000000001</c:v>
                </c:pt>
                <c:pt idx="8">
                  <c:v>72171.732999999993</c:v>
                </c:pt>
                <c:pt idx="9">
                  <c:v>75093.955964380002</c:v>
                </c:pt>
              </c:numCache>
            </c:numRef>
          </c:val>
          <c:smooth val="0"/>
          <c:extLst>
            <c:ext xmlns:c16="http://schemas.microsoft.com/office/drawing/2014/chart" uri="{C3380CC4-5D6E-409C-BE32-E72D297353CC}">
              <c16:uniqueId val="{00000000-F1F9-4CE7-A1C3-7BAA084D22C8}"/>
            </c:ext>
          </c:extLst>
        </c:ser>
        <c:ser>
          <c:idx val="1"/>
          <c:order val="1"/>
          <c:tx>
            <c:strRef>
              <c:f>OBR!$L$3</c:f>
              <c:strCache>
                <c:ptCount val="1"/>
                <c:pt idx="0">
                  <c:v>Náklady na lůžkovou péči</c:v>
                </c:pt>
              </c:strCache>
            </c:strRef>
          </c:tx>
          <c:spPr>
            <a:ln>
              <a:solidFill>
                <a:schemeClr val="accent1"/>
              </a:solidFill>
            </a:ln>
          </c:spPr>
          <c:marker>
            <c:symbol val="circle"/>
            <c:size val="7"/>
            <c:spPr>
              <a:solidFill>
                <a:schemeClr val="bg1"/>
              </a:solidFill>
              <a:ln w="28575">
                <a:solidFill>
                  <a:schemeClr val="accent1"/>
                </a:solidFill>
              </a:ln>
            </c:spPr>
          </c:marker>
          <c:cat>
            <c:strRef>
              <c:f>TAB!$M$3:$V$3</c:f>
              <c:strCache>
                <c:ptCount val="10"/>
                <c:pt idx="0">
                  <c:v>2009</c:v>
                </c:pt>
                <c:pt idx="1">
                  <c:v>2010</c:v>
                </c:pt>
                <c:pt idx="2">
                  <c:v>2011</c:v>
                </c:pt>
                <c:pt idx="3">
                  <c:v>2012</c:v>
                </c:pt>
                <c:pt idx="4">
                  <c:v>2013</c:v>
                </c:pt>
                <c:pt idx="5">
                  <c:v>2014</c:v>
                </c:pt>
                <c:pt idx="6">
                  <c:v>2015</c:v>
                </c:pt>
                <c:pt idx="7">
                  <c:v>2016</c:v>
                </c:pt>
                <c:pt idx="8">
                  <c:v>2017</c:v>
                </c:pt>
                <c:pt idx="9">
                  <c:v>2018</c:v>
                </c:pt>
              </c:strCache>
            </c:strRef>
          </c:cat>
          <c:val>
            <c:numRef>
              <c:f>TAB!$M$6:$V$6</c:f>
              <c:numCache>
                <c:formatCode>#,##0</c:formatCode>
                <c:ptCount val="10"/>
                <c:pt idx="0">
                  <c:v>107992.088</c:v>
                </c:pt>
                <c:pt idx="1">
                  <c:v>111815.57</c:v>
                </c:pt>
                <c:pt idx="2">
                  <c:v>113050.713</c:v>
                </c:pt>
                <c:pt idx="3">
                  <c:v>113765.701</c:v>
                </c:pt>
                <c:pt idx="4">
                  <c:v>112741.958</c:v>
                </c:pt>
                <c:pt idx="5">
                  <c:v>122547.485</c:v>
                </c:pt>
                <c:pt idx="6">
                  <c:v>127454.319910234</c:v>
                </c:pt>
                <c:pt idx="7">
                  <c:v>132958.23199999999</c:v>
                </c:pt>
                <c:pt idx="8">
                  <c:v>142609.72700000001</c:v>
                </c:pt>
                <c:pt idx="9">
                  <c:v>155361.11300000001</c:v>
                </c:pt>
              </c:numCache>
            </c:numRef>
          </c:val>
          <c:smooth val="0"/>
          <c:extLst>
            <c:ext xmlns:c16="http://schemas.microsoft.com/office/drawing/2014/chart" uri="{C3380CC4-5D6E-409C-BE32-E72D297353CC}">
              <c16:uniqueId val="{00000001-F1F9-4CE7-A1C3-7BAA084D22C8}"/>
            </c:ext>
          </c:extLst>
        </c:ser>
        <c:ser>
          <c:idx val="2"/>
          <c:order val="2"/>
          <c:tx>
            <c:strRef>
              <c:f>TAB!$B$6</c:f>
              <c:strCache>
                <c:ptCount val="1"/>
                <c:pt idx="0">
                  <c:v>Ostatní náklady</c:v>
                </c:pt>
              </c:strCache>
            </c:strRef>
          </c:tx>
          <c:spPr>
            <a:ln>
              <a:solidFill>
                <a:srgbClr val="FFC000"/>
              </a:solidFill>
            </a:ln>
          </c:spPr>
          <c:marker>
            <c:symbol val="circle"/>
            <c:size val="7"/>
            <c:spPr>
              <a:solidFill>
                <a:schemeClr val="bg1"/>
              </a:solidFill>
              <a:ln w="28575">
                <a:solidFill>
                  <a:srgbClr val="FFC000"/>
                </a:solidFill>
              </a:ln>
            </c:spPr>
          </c:marker>
          <c:cat>
            <c:strRef>
              <c:f>TAB!$M$3:$V$3</c:f>
              <c:strCache>
                <c:ptCount val="10"/>
                <c:pt idx="0">
                  <c:v>2009</c:v>
                </c:pt>
                <c:pt idx="1">
                  <c:v>2010</c:v>
                </c:pt>
                <c:pt idx="2">
                  <c:v>2011</c:v>
                </c:pt>
                <c:pt idx="3">
                  <c:v>2012</c:v>
                </c:pt>
                <c:pt idx="4">
                  <c:v>2013</c:v>
                </c:pt>
                <c:pt idx="5">
                  <c:v>2014</c:v>
                </c:pt>
                <c:pt idx="6">
                  <c:v>2015</c:v>
                </c:pt>
                <c:pt idx="7">
                  <c:v>2016</c:v>
                </c:pt>
                <c:pt idx="8">
                  <c:v>2017</c:v>
                </c:pt>
                <c:pt idx="9">
                  <c:v>2018</c:v>
                </c:pt>
              </c:strCache>
            </c:strRef>
          </c:cat>
          <c:val>
            <c:numRef>
              <c:f>TAB!$M$7:$V$7</c:f>
              <c:numCache>
                <c:formatCode>#,##0</c:formatCode>
                <c:ptCount val="10"/>
                <c:pt idx="0">
                  <c:v>49647.613000000012</c:v>
                </c:pt>
                <c:pt idx="1">
                  <c:v>47886.002999999997</c:v>
                </c:pt>
                <c:pt idx="2">
                  <c:v>48113.733999999997</c:v>
                </c:pt>
                <c:pt idx="3">
                  <c:v>50473.989000000001</c:v>
                </c:pt>
                <c:pt idx="4">
                  <c:v>47840.69200000001</c:v>
                </c:pt>
                <c:pt idx="5">
                  <c:v>48742.34600000002</c:v>
                </c:pt>
                <c:pt idx="6">
                  <c:v>49691.656000000017</c:v>
                </c:pt>
                <c:pt idx="7">
                  <c:v>51217.195999999996</c:v>
                </c:pt>
                <c:pt idx="8">
                  <c:v>52468.951000000001</c:v>
                </c:pt>
                <c:pt idx="9">
                  <c:v>54847.366000000038</c:v>
                </c:pt>
              </c:numCache>
            </c:numRef>
          </c:val>
          <c:smooth val="0"/>
          <c:extLst>
            <c:ext xmlns:c16="http://schemas.microsoft.com/office/drawing/2014/chart" uri="{C3380CC4-5D6E-409C-BE32-E72D297353CC}">
              <c16:uniqueId val="{00000002-F1F9-4CE7-A1C3-7BAA084D22C8}"/>
            </c:ext>
          </c:extLst>
        </c:ser>
        <c:dLbls>
          <c:showLegendKey val="0"/>
          <c:showVal val="0"/>
          <c:showCatName val="0"/>
          <c:showSerName val="0"/>
          <c:showPercent val="0"/>
          <c:showBubbleSize val="0"/>
        </c:dLbls>
        <c:marker val="1"/>
        <c:smooth val="0"/>
        <c:axId val="228566144"/>
        <c:axId val="228568064"/>
      </c:lineChart>
      <c:catAx>
        <c:axId val="228566144"/>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228568064"/>
        <c:crosses val="autoZero"/>
        <c:auto val="1"/>
        <c:lblAlgn val="ctr"/>
        <c:lblOffset val="100"/>
        <c:noMultiLvlLbl val="0"/>
      </c:catAx>
      <c:valAx>
        <c:axId val="228568064"/>
        <c:scaling>
          <c:orientation val="minMax"/>
          <c:max val="160000"/>
          <c:min val="40000"/>
        </c:scaling>
        <c:delete val="0"/>
        <c:axPos val="l"/>
        <c:majorGridlines/>
        <c:minorGridlines>
          <c:spPr>
            <a:ln>
              <a:solidFill>
                <a:schemeClr val="bg1">
                  <a:lumMod val="75000"/>
                </a:schemeClr>
              </a:solidFill>
              <a:prstDash val="dash"/>
            </a:ln>
          </c:spPr>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en-US" sz="1050" b="1" i="0" baseline="0">
                    <a:effectLst/>
                  </a:rPr>
                  <a:t>N</a:t>
                </a:r>
                <a:r>
                  <a:rPr lang="cs-CZ" sz="1050" b="1" i="0" baseline="0">
                    <a:effectLst/>
                  </a:rPr>
                  <a:t>áklady na zdravotní služby </a:t>
                </a:r>
                <a:endParaRPr lang="cs-CZ"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0"/>
                  <a:t>(v mld. Kč)</a:t>
                </a:r>
              </a:p>
            </c:rich>
          </c:tx>
          <c:layout>
            <c:manualLayout>
              <c:xMode val="edge"/>
              <c:yMode val="edge"/>
              <c:x val="2.0939263694067646E-3"/>
              <c:y val="0.22507852489229618"/>
            </c:manualLayout>
          </c:layout>
          <c:overlay val="0"/>
        </c:title>
        <c:numFmt formatCode="#,##0" sourceLinked="0"/>
        <c:majorTickMark val="none"/>
        <c:minorTickMark val="none"/>
        <c:tickLblPos val="nextTo"/>
        <c:txPr>
          <a:bodyPr/>
          <a:lstStyle/>
          <a:p>
            <a:pPr>
              <a:defRPr sz="1050"/>
            </a:pPr>
            <a:endParaRPr lang="cs-CZ"/>
          </a:p>
        </c:txPr>
        <c:crossAx val="228566144"/>
        <c:crosses val="autoZero"/>
        <c:crossBetween val="between"/>
        <c:majorUnit val="20000"/>
        <c:minorUnit val="10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0.11802933155746444"/>
          <c:y val="2.6235215578071628E-2"/>
          <c:w val="0.85391554554574967"/>
          <c:h val="7.9068188492793748E-2"/>
        </c:manualLayout>
      </c:layout>
      <c:overlay val="0"/>
      <c:txPr>
        <a:bodyPr/>
        <a:lstStyle/>
        <a:p>
          <a:pPr>
            <a:defRPr sz="1000"/>
          </a:pPr>
          <a:endParaRPr lang="cs-CZ"/>
        </a:p>
      </c:txPr>
    </c:legend>
    <c:plotVisOnly val="1"/>
    <c:dispBlanksAs val="gap"/>
    <c:showDLblsOverMax val="0"/>
  </c:chart>
  <c:spPr>
    <a:solidFill>
      <a:schemeClr val="bg1"/>
    </a:solid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5.2749653726140856E-2"/>
          <c:w val="0.85631860166221607"/>
          <c:h val="0.8443160303708771"/>
        </c:manualLayout>
      </c:layout>
      <c:lineChart>
        <c:grouping val="standard"/>
        <c:varyColors val="0"/>
        <c:ser>
          <c:idx val="0"/>
          <c:order val="0"/>
          <c:tx>
            <c:strRef>
              <c:f>TAB!$B$7</c:f>
              <c:strCache>
                <c:ptCount val="1"/>
                <c:pt idx="0">
                  <c:v>Celkové náklady</c:v>
                </c:pt>
              </c:strCache>
            </c:strRef>
          </c:tx>
          <c:spPr>
            <a:ln>
              <a:solidFill>
                <a:schemeClr val="accent4"/>
              </a:solidFill>
            </a:ln>
          </c:spPr>
          <c:marker>
            <c:symbol val="circle"/>
            <c:size val="7"/>
            <c:spPr>
              <a:solidFill>
                <a:schemeClr val="bg1"/>
              </a:solidFill>
              <a:ln w="28575">
                <a:solidFill>
                  <a:schemeClr val="accent4"/>
                </a:solidFill>
              </a:ln>
            </c:spPr>
          </c:marker>
          <c:cat>
            <c:strRef>
              <c:f>TAB!$L$24:$U$24</c:f>
              <c:strCache>
                <c:ptCount val="10"/>
                <c:pt idx="0">
                  <c:v>2009</c:v>
                </c:pt>
                <c:pt idx="1">
                  <c:v>2010</c:v>
                </c:pt>
                <c:pt idx="2">
                  <c:v>2011</c:v>
                </c:pt>
                <c:pt idx="3">
                  <c:v>2012</c:v>
                </c:pt>
                <c:pt idx="4">
                  <c:v>2013</c:v>
                </c:pt>
                <c:pt idx="5">
                  <c:v>2014</c:v>
                </c:pt>
                <c:pt idx="6">
                  <c:v>2015</c:v>
                </c:pt>
                <c:pt idx="7">
                  <c:v>2016</c:v>
                </c:pt>
                <c:pt idx="8">
                  <c:v>2017</c:v>
                </c:pt>
                <c:pt idx="9">
                  <c:v>2018</c:v>
                </c:pt>
              </c:strCache>
            </c:strRef>
          </c:cat>
          <c:val>
            <c:numRef>
              <c:f>TAB!$L$28:$U$28</c:f>
              <c:numCache>
                <c:formatCode>#,##0</c:formatCode>
                <c:ptCount val="10"/>
                <c:pt idx="0">
                  <c:v>20433.790797969599</c:v>
                </c:pt>
                <c:pt idx="1">
                  <c:v>20719.121007681882</c:v>
                </c:pt>
                <c:pt idx="2">
                  <c:v>21085.413682009588</c:v>
                </c:pt>
                <c:pt idx="3">
                  <c:v>21431.622346700522</c:v>
                </c:pt>
                <c:pt idx="4">
                  <c:v>21204.272290592635</c:v>
                </c:pt>
                <c:pt idx="5">
                  <c:v>22467.576896690276</c:v>
                </c:pt>
                <c:pt idx="6">
                  <c:v>23216.897734380018</c:v>
                </c:pt>
                <c:pt idx="7">
                  <c:v>24266.003004719649</c:v>
                </c:pt>
                <c:pt idx="8">
                  <c:v>25526.349264870929</c:v>
                </c:pt>
                <c:pt idx="9">
                  <c:v>27147.134975428871</c:v>
                </c:pt>
              </c:numCache>
            </c:numRef>
          </c:val>
          <c:smooth val="0"/>
          <c:extLst>
            <c:ext xmlns:c16="http://schemas.microsoft.com/office/drawing/2014/chart" uri="{C3380CC4-5D6E-409C-BE32-E72D297353CC}">
              <c16:uniqueId val="{00000000-09E7-4D87-9BF3-57ADA9AFAD40}"/>
            </c:ext>
          </c:extLst>
        </c:ser>
        <c:dLbls>
          <c:showLegendKey val="0"/>
          <c:showVal val="0"/>
          <c:showCatName val="0"/>
          <c:showSerName val="0"/>
          <c:showPercent val="0"/>
          <c:showBubbleSize val="0"/>
        </c:dLbls>
        <c:marker val="1"/>
        <c:smooth val="0"/>
        <c:axId val="228580736"/>
        <c:axId val="228587008"/>
      </c:lineChart>
      <c:catAx>
        <c:axId val="22858073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228587008"/>
        <c:crosses val="autoZero"/>
        <c:auto val="1"/>
        <c:lblAlgn val="ctr"/>
        <c:lblOffset val="100"/>
        <c:noMultiLvlLbl val="0"/>
      </c:catAx>
      <c:valAx>
        <c:axId val="228587008"/>
        <c:scaling>
          <c:orientation val="minMax"/>
          <c:max val="28000"/>
          <c:min val="20000"/>
        </c:scaling>
        <c:delete val="0"/>
        <c:axPos val="l"/>
        <c:majorGridlines/>
        <c:minorGridlines>
          <c:spPr>
            <a:ln>
              <a:solidFill>
                <a:schemeClr val="bg1">
                  <a:lumMod val="75000"/>
                </a:schemeClr>
              </a:solidFill>
              <a:prstDash val="dash"/>
            </a:ln>
          </c:spPr>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en-US" sz="1050" b="1" i="0" baseline="0">
                    <a:effectLst/>
                  </a:rPr>
                  <a:t>N</a:t>
                </a:r>
                <a:r>
                  <a:rPr lang="cs-CZ" sz="1050" b="1" i="0" baseline="0">
                    <a:effectLst/>
                  </a:rPr>
                  <a:t>áklady na zdravotní služby </a:t>
                </a:r>
                <a:endParaRPr lang="cs-CZ"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0"/>
                  <a:t>(v tis. Kč na pojištěnce)</a:t>
                </a:r>
              </a:p>
            </c:rich>
          </c:tx>
          <c:layout>
            <c:manualLayout>
              <c:xMode val="edge"/>
              <c:yMode val="edge"/>
              <c:x val="2.0938818793689268E-3"/>
              <c:y val="0.18465253771504847"/>
            </c:manualLayout>
          </c:layout>
          <c:overlay val="0"/>
        </c:title>
        <c:numFmt formatCode="#,##0" sourceLinked="0"/>
        <c:majorTickMark val="none"/>
        <c:minorTickMark val="none"/>
        <c:tickLblPos val="nextTo"/>
        <c:txPr>
          <a:bodyPr/>
          <a:lstStyle/>
          <a:p>
            <a:pPr>
              <a:defRPr sz="1050"/>
            </a:pPr>
            <a:endParaRPr lang="cs-CZ"/>
          </a:p>
        </c:txPr>
        <c:crossAx val="228580736"/>
        <c:crosses val="autoZero"/>
        <c:crossBetween val="between"/>
        <c:majorUnit val="2000"/>
        <c:minorUnit val="1000"/>
        <c:dispUnits>
          <c:builtInUnit val="thousands"/>
        </c:dispUnits>
      </c:valAx>
      <c:spPr>
        <a:solidFill>
          <a:schemeClr val="bg1"/>
        </a:solidFill>
        <a:ln>
          <a:solidFill>
            <a:schemeClr val="tx1">
              <a:lumMod val="50000"/>
              <a:lumOff val="50000"/>
            </a:schemeClr>
          </a:solidFill>
        </a:ln>
      </c:spPr>
    </c:plotArea>
    <c:plotVisOnly val="1"/>
    <c:dispBlanksAs val="gap"/>
    <c:showDLblsOverMax val="0"/>
  </c:chart>
  <c:spPr>
    <a:solidFill>
      <a:schemeClr val="bg1"/>
    </a:solid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0.12271022860099851"/>
          <c:w val="0.85631860166221607"/>
          <c:h val="0.77435545549601947"/>
        </c:manualLayout>
      </c:layout>
      <c:lineChart>
        <c:grouping val="standard"/>
        <c:varyColors val="0"/>
        <c:ser>
          <c:idx val="0"/>
          <c:order val="0"/>
          <c:tx>
            <c:strRef>
              <c:f>OBR!$L$2</c:f>
              <c:strCache>
                <c:ptCount val="1"/>
                <c:pt idx="0">
                  <c:v>Náklady na ambulantní péči</c:v>
                </c:pt>
              </c:strCache>
            </c:strRef>
          </c:tx>
          <c:spPr>
            <a:ln>
              <a:solidFill>
                <a:schemeClr val="accent2"/>
              </a:solidFill>
            </a:ln>
          </c:spPr>
          <c:marker>
            <c:symbol val="circle"/>
            <c:size val="7"/>
            <c:spPr>
              <a:solidFill>
                <a:schemeClr val="bg1"/>
              </a:solidFill>
              <a:ln w="28575">
                <a:solidFill>
                  <a:schemeClr val="accent2"/>
                </a:solidFill>
              </a:ln>
            </c:spPr>
          </c:marker>
          <c:cat>
            <c:strRef>
              <c:f>TAB!$L$24:$U$24</c:f>
              <c:strCache>
                <c:ptCount val="10"/>
                <c:pt idx="0">
                  <c:v>2009</c:v>
                </c:pt>
                <c:pt idx="1">
                  <c:v>2010</c:v>
                </c:pt>
                <c:pt idx="2">
                  <c:v>2011</c:v>
                </c:pt>
                <c:pt idx="3">
                  <c:v>2012</c:v>
                </c:pt>
                <c:pt idx="4">
                  <c:v>2013</c:v>
                </c:pt>
                <c:pt idx="5">
                  <c:v>2014</c:v>
                </c:pt>
                <c:pt idx="6">
                  <c:v>2015</c:v>
                </c:pt>
                <c:pt idx="7">
                  <c:v>2016</c:v>
                </c:pt>
                <c:pt idx="8">
                  <c:v>2017</c:v>
                </c:pt>
                <c:pt idx="9">
                  <c:v>2018</c:v>
                </c:pt>
              </c:strCache>
            </c:strRef>
          </c:cat>
          <c:val>
            <c:numRef>
              <c:f>TAB!$L$25:$U$25</c:f>
              <c:numCache>
                <c:formatCode>#,##0</c:formatCode>
                <c:ptCount val="10"/>
                <c:pt idx="0">
                  <c:v>5240.8972575252383</c:v>
                </c:pt>
                <c:pt idx="1">
                  <c:v>5344.2287969376057</c:v>
                </c:pt>
                <c:pt idx="2">
                  <c:v>5580.082163674866</c:v>
                </c:pt>
                <c:pt idx="3">
                  <c:v>5647.2442397819168</c:v>
                </c:pt>
                <c:pt idx="4">
                  <c:v>5771.8337000068068</c:v>
                </c:pt>
                <c:pt idx="5">
                  <c:v>6018.2661570054597</c:v>
                </c:pt>
                <c:pt idx="6">
                  <c:v>6220.216176986728</c:v>
                </c:pt>
                <c:pt idx="7">
                  <c:v>6630.708943397708</c:v>
                </c:pt>
                <c:pt idx="8">
                  <c:v>6893.4631633139406</c:v>
                </c:pt>
                <c:pt idx="9">
                  <c:v>7145.3500165831138</c:v>
                </c:pt>
              </c:numCache>
            </c:numRef>
          </c:val>
          <c:smooth val="0"/>
          <c:extLst>
            <c:ext xmlns:c16="http://schemas.microsoft.com/office/drawing/2014/chart" uri="{C3380CC4-5D6E-409C-BE32-E72D297353CC}">
              <c16:uniqueId val="{00000000-75C4-4F8C-8137-C9D4B14C40C5}"/>
            </c:ext>
          </c:extLst>
        </c:ser>
        <c:ser>
          <c:idx val="1"/>
          <c:order val="1"/>
          <c:tx>
            <c:strRef>
              <c:f>OBR!$L$3</c:f>
              <c:strCache>
                <c:ptCount val="1"/>
                <c:pt idx="0">
                  <c:v>Náklady na lůžkovou péči</c:v>
                </c:pt>
              </c:strCache>
            </c:strRef>
          </c:tx>
          <c:spPr>
            <a:ln>
              <a:solidFill>
                <a:schemeClr val="accent1"/>
              </a:solidFill>
            </a:ln>
          </c:spPr>
          <c:marker>
            <c:symbol val="circle"/>
            <c:size val="7"/>
            <c:spPr>
              <a:solidFill>
                <a:schemeClr val="bg1"/>
              </a:solidFill>
              <a:ln w="28575">
                <a:solidFill>
                  <a:schemeClr val="accent1"/>
                </a:solidFill>
              </a:ln>
            </c:spPr>
          </c:marker>
          <c:cat>
            <c:strRef>
              <c:f>TAB!$L$24:$U$24</c:f>
              <c:strCache>
                <c:ptCount val="10"/>
                <c:pt idx="0">
                  <c:v>2009</c:v>
                </c:pt>
                <c:pt idx="1">
                  <c:v>2010</c:v>
                </c:pt>
                <c:pt idx="2">
                  <c:v>2011</c:v>
                </c:pt>
                <c:pt idx="3">
                  <c:v>2012</c:v>
                </c:pt>
                <c:pt idx="4">
                  <c:v>2013</c:v>
                </c:pt>
                <c:pt idx="5">
                  <c:v>2014</c:v>
                </c:pt>
                <c:pt idx="6">
                  <c:v>2015</c:v>
                </c:pt>
                <c:pt idx="7">
                  <c:v>2016</c:v>
                </c:pt>
                <c:pt idx="8">
                  <c:v>2017</c:v>
                </c:pt>
                <c:pt idx="9">
                  <c:v>2018</c:v>
                </c:pt>
              </c:strCache>
            </c:strRef>
          </c:cat>
          <c:val>
            <c:numRef>
              <c:f>TAB!$L$26:$U$26</c:f>
              <c:numCache>
                <c:formatCode>#,##0</c:formatCode>
                <c:ptCount val="10"/>
                <c:pt idx="0">
                  <c:v>10407.989140973434</c:v>
                </c:pt>
                <c:pt idx="1">
                  <c:v>10764.780233147305</c:v>
                </c:pt>
                <c:pt idx="2">
                  <c:v>10876.39871000279</c:v>
                </c:pt>
                <c:pt idx="3">
                  <c:v>10933.537686186864</c:v>
                </c:pt>
                <c:pt idx="4">
                  <c:v>10834.815239488244</c:v>
                </c:pt>
                <c:pt idx="5">
                  <c:v>11768.484149720854</c:v>
                </c:pt>
                <c:pt idx="6">
                  <c:v>12228.900360266258</c:v>
                </c:pt>
                <c:pt idx="7">
                  <c:v>12731.10938117904</c:v>
                </c:pt>
                <c:pt idx="8">
                  <c:v>13621.328724429515</c:v>
                </c:pt>
                <c:pt idx="9">
                  <c:v>14782.941144790526</c:v>
                </c:pt>
              </c:numCache>
            </c:numRef>
          </c:val>
          <c:smooth val="0"/>
          <c:extLst>
            <c:ext xmlns:c16="http://schemas.microsoft.com/office/drawing/2014/chart" uri="{C3380CC4-5D6E-409C-BE32-E72D297353CC}">
              <c16:uniqueId val="{00000001-75C4-4F8C-8137-C9D4B14C40C5}"/>
            </c:ext>
          </c:extLst>
        </c:ser>
        <c:ser>
          <c:idx val="2"/>
          <c:order val="2"/>
          <c:tx>
            <c:strRef>
              <c:f>TAB!$B$6</c:f>
              <c:strCache>
                <c:ptCount val="1"/>
                <c:pt idx="0">
                  <c:v>Ostatní náklady</c:v>
                </c:pt>
              </c:strCache>
            </c:strRef>
          </c:tx>
          <c:spPr>
            <a:ln>
              <a:solidFill>
                <a:srgbClr val="FFC000"/>
              </a:solidFill>
            </a:ln>
          </c:spPr>
          <c:marker>
            <c:symbol val="circle"/>
            <c:size val="7"/>
            <c:spPr>
              <a:solidFill>
                <a:schemeClr val="bg1"/>
              </a:solidFill>
              <a:ln w="28575">
                <a:solidFill>
                  <a:srgbClr val="FFC000"/>
                </a:solidFill>
              </a:ln>
            </c:spPr>
          </c:marker>
          <c:cat>
            <c:strRef>
              <c:f>TAB!$L$24:$U$24</c:f>
              <c:strCache>
                <c:ptCount val="10"/>
                <c:pt idx="0">
                  <c:v>2009</c:v>
                </c:pt>
                <c:pt idx="1">
                  <c:v>2010</c:v>
                </c:pt>
                <c:pt idx="2">
                  <c:v>2011</c:v>
                </c:pt>
                <c:pt idx="3">
                  <c:v>2012</c:v>
                </c:pt>
                <c:pt idx="4">
                  <c:v>2013</c:v>
                </c:pt>
                <c:pt idx="5">
                  <c:v>2014</c:v>
                </c:pt>
                <c:pt idx="6">
                  <c:v>2015</c:v>
                </c:pt>
                <c:pt idx="7">
                  <c:v>2016</c:v>
                </c:pt>
                <c:pt idx="8">
                  <c:v>2017</c:v>
                </c:pt>
                <c:pt idx="9">
                  <c:v>2018</c:v>
                </c:pt>
              </c:strCache>
            </c:strRef>
          </c:cat>
          <c:val>
            <c:numRef>
              <c:f>TAB!$L$27:$U$27</c:f>
              <c:numCache>
                <c:formatCode>#,##0</c:formatCode>
                <c:ptCount val="10"/>
                <c:pt idx="0">
                  <c:v>4784.9043994709282</c:v>
                </c:pt>
                <c:pt idx="1">
                  <c:v>4610.111977596971</c:v>
                </c:pt>
                <c:pt idx="2">
                  <c:v>4628.9328083319324</c:v>
                </c:pt>
                <c:pt idx="3">
                  <c:v>4850.8404207317399</c:v>
                </c:pt>
                <c:pt idx="4">
                  <c:v>4597.6233510975871</c:v>
                </c:pt>
                <c:pt idx="5">
                  <c:v>4680.8265899639637</c:v>
                </c:pt>
                <c:pt idx="6">
                  <c:v>4767.7811971270321</c:v>
                </c:pt>
                <c:pt idx="7">
                  <c:v>4904.184680142901</c:v>
                </c:pt>
                <c:pt idx="8">
                  <c:v>5011.5573771274712</c:v>
                </c:pt>
                <c:pt idx="9">
                  <c:v>5218.8438140552298</c:v>
                </c:pt>
              </c:numCache>
            </c:numRef>
          </c:val>
          <c:smooth val="0"/>
          <c:extLst>
            <c:ext xmlns:c16="http://schemas.microsoft.com/office/drawing/2014/chart" uri="{C3380CC4-5D6E-409C-BE32-E72D297353CC}">
              <c16:uniqueId val="{00000002-75C4-4F8C-8137-C9D4B14C40C5}"/>
            </c:ext>
          </c:extLst>
        </c:ser>
        <c:dLbls>
          <c:showLegendKey val="0"/>
          <c:showVal val="0"/>
          <c:showCatName val="0"/>
          <c:showSerName val="0"/>
          <c:showPercent val="0"/>
          <c:showBubbleSize val="0"/>
        </c:dLbls>
        <c:marker val="1"/>
        <c:smooth val="0"/>
        <c:axId val="231018496"/>
        <c:axId val="231020416"/>
      </c:lineChart>
      <c:catAx>
        <c:axId val="23101849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231020416"/>
        <c:crosses val="autoZero"/>
        <c:auto val="1"/>
        <c:lblAlgn val="ctr"/>
        <c:lblOffset val="100"/>
        <c:noMultiLvlLbl val="0"/>
      </c:catAx>
      <c:valAx>
        <c:axId val="231020416"/>
        <c:scaling>
          <c:orientation val="minMax"/>
          <c:max val="16000"/>
          <c:min val="4000"/>
        </c:scaling>
        <c:delete val="0"/>
        <c:axPos val="l"/>
        <c:majorGridlines/>
        <c:minorGridlines>
          <c:spPr>
            <a:ln>
              <a:solidFill>
                <a:schemeClr val="bg1">
                  <a:lumMod val="75000"/>
                </a:schemeClr>
              </a:solidFill>
              <a:prstDash val="dash"/>
            </a:ln>
          </c:spPr>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en-US" sz="1050" b="1" i="0" baseline="0">
                    <a:effectLst/>
                  </a:rPr>
                  <a:t>N</a:t>
                </a:r>
                <a:r>
                  <a:rPr lang="cs-CZ" sz="1050" b="1" i="0" baseline="0">
                    <a:effectLst/>
                  </a:rPr>
                  <a:t>áklady na zdravotní služby </a:t>
                </a:r>
                <a:endParaRPr lang="cs-CZ"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0"/>
                  <a:t>(v tis. Kč na pojištěnce)</a:t>
                </a:r>
              </a:p>
            </c:rich>
          </c:tx>
          <c:layout>
            <c:manualLayout>
              <c:xMode val="edge"/>
              <c:yMode val="edge"/>
              <c:x val="2.0938818793689268E-3"/>
              <c:y val="0.21608055688400021"/>
            </c:manualLayout>
          </c:layout>
          <c:overlay val="0"/>
        </c:title>
        <c:numFmt formatCode="#,##0" sourceLinked="0"/>
        <c:majorTickMark val="none"/>
        <c:minorTickMark val="none"/>
        <c:tickLblPos val="nextTo"/>
        <c:txPr>
          <a:bodyPr/>
          <a:lstStyle/>
          <a:p>
            <a:pPr>
              <a:defRPr sz="1050"/>
            </a:pPr>
            <a:endParaRPr lang="cs-CZ"/>
          </a:p>
        </c:txPr>
        <c:crossAx val="231018496"/>
        <c:crosses val="autoZero"/>
        <c:crossBetween val="between"/>
        <c:minorUnit val="1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0.11802933155746444"/>
          <c:y val="2.6235215578071628E-2"/>
          <c:w val="0.85391554554574967"/>
          <c:h val="7.9068188492793748E-2"/>
        </c:manualLayout>
      </c:layout>
      <c:overlay val="0"/>
      <c:txPr>
        <a:bodyPr/>
        <a:lstStyle/>
        <a:p>
          <a:pPr>
            <a:defRPr sz="1000"/>
          </a:pPr>
          <a:endParaRPr lang="cs-CZ"/>
        </a:p>
      </c:txPr>
    </c:legend>
    <c:plotVisOnly val="1"/>
    <c:dispBlanksAs val="gap"/>
    <c:showDLblsOverMax val="0"/>
  </c:chart>
  <c:spPr>
    <a:solidFill>
      <a:schemeClr val="bg1"/>
    </a:solidFill>
    <a:ln>
      <a:noFill/>
    </a:ln>
  </c:sp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F9278-C9FB-4FF8-A168-EA6BED24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6795</Words>
  <Characters>40096</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46798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Haas Jakub Ing.</dc:creator>
  <cp:lastModifiedBy>Machová Denisa Ing.</cp:lastModifiedBy>
  <cp:revision>6</cp:revision>
  <cp:lastPrinted>2019-06-04T12:13:00Z</cp:lastPrinted>
  <dcterms:created xsi:type="dcterms:W3CDTF">2019-08-21T08:41:00Z</dcterms:created>
  <dcterms:modified xsi:type="dcterms:W3CDTF">2019-10-25T10:47:00Z</dcterms:modified>
</cp:coreProperties>
</file>