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A10" w:rsidRDefault="004A6A10" w:rsidP="004A6A10">
      <w:pPr>
        <w:pStyle w:val="ZKON"/>
      </w:pPr>
      <w:r>
        <w:t>ZÁKON</w:t>
      </w:r>
    </w:p>
    <w:p w:rsidR="006664D4" w:rsidRPr="004A6A10" w:rsidRDefault="004A6A10" w:rsidP="004A6A10">
      <w:pPr>
        <w:pStyle w:val="nadpiszkona"/>
        <w:rPr>
          <w:b w:val="0"/>
          <w:bCs/>
        </w:rPr>
      </w:pPr>
      <w:r w:rsidRPr="004A6A10">
        <w:rPr>
          <w:b w:val="0"/>
        </w:rPr>
        <w:t>ze dne             2019,</w:t>
      </w:r>
    </w:p>
    <w:p w:rsidR="006664D4" w:rsidRPr="009379B1" w:rsidRDefault="006664D4" w:rsidP="004A6A10">
      <w:pPr>
        <w:pStyle w:val="nadpiszkona"/>
      </w:pPr>
      <w:r w:rsidRPr="009379B1">
        <w:t xml:space="preserve">kterým se mění zákon č. 127/2005 Sb., o elektronických komunikacích a o změně některých souvisejících zákonů (zákon o elektronických komunikacích), </w:t>
      </w:r>
    </w:p>
    <w:p w:rsidR="006664D4" w:rsidRPr="009379B1" w:rsidRDefault="006664D4" w:rsidP="006664D4">
      <w:pPr>
        <w:autoSpaceDE w:val="0"/>
        <w:autoSpaceDN w:val="0"/>
        <w:adjustRightInd w:val="0"/>
        <w:ind w:left="709"/>
        <w:jc w:val="center"/>
        <w:rPr>
          <w:b/>
          <w:bCs/>
        </w:rPr>
      </w:pPr>
      <w:r w:rsidRPr="009379B1">
        <w:rPr>
          <w:b/>
          <w:bCs/>
        </w:rPr>
        <w:t>ve znění pozdějších předpisů</w:t>
      </w:r>
    </w:p>
    <w:p w:rsidR="004A6A10" w:rsidRDefault="004A6A10" w:rsidP="004A6A10">
      <w:pPr>
        <w:pStyle w:val="Parlament"/>
      </w:pPr>
      <w:r>
        <w:t>Parlament se usnesl na tomto zákoně České republiky:</w:t>
      </w:r>
    </w:p>
    <w:p w:rsidR="006664D4" w:rsidRPr="009379B1" w:rsidRDefault="004A6A10" w:rsidP="004A6A10">
      <w:pPr>
        <w:pStyle w:val="lnek"/>
      </w:pPr>
      <w:r>
        <w:t xml:space="preserve">Čl. </w:t>
      </w:r>
      <w:r w:rsidR="006664D4" w:rsidRPr="009379B1">
        <w:t>I</w:t>
      </w:r>
    </w:p>
    <w:p w:rsidR="006664D4" w:rsidRPr="009379B1" w:rsidRDefault="006664D4" w:rsidP="004A6A10">
      <w:pPr>
        <w:pStyle w:val="Nadpislnku"/>
      </w:pPr>
      <w:r w:rsidRPr="009379B1">
        <w:t>Změna zákona o elektronických komunikacích</w:t>
      </w:r>
    </w:p>
    <w:p w:rsidR="006664D4" w:rsidRPr="009379B1" w:rsidRDefault="006664D4" w:rsidP="004A6A10">
      <w:pPr>
        <w:pStyle w:val="Textlnku"/>
      </w:pPr>
      <w:r w:rsidRPr="009379B1">
        <w:t>Zákon č. 127/2005 Sb., o elektronických komunikacích a o změně některých souvisejících zákonů (zákon o elektronických komunikacích), ve znění zákona č. 290/2005 Sb., zákona č. 361/2005 Sb., zákona č. 186/2006 Sb., zákona č. 235/2006 Sb., zákona č. 310/2006 Sb., zákona č. 110/2007 Sb., zákona č. 261/2007 Sb., zákona č. 304/2007 Sb., zákona č.</w:t>
      </w:r>
      <w:r w:rsidR="004A6A10">
        <w:t> </w:t>
      </w:r>
      <w:r w:rsidRPr="009379B1">
        <w:t>124/2008 Sb., zákona č. 177/2008 Sb., zákona č. 189/2008 Sb., zákona č. 247/2008 Sb., zákona č. 384/2008 Sb., zákona č. 227/2009 Sb., zákona č. 281/2009 Sb., zákona č. 153/2010 Sb., nálezu Ústavního soudu, vyhlášeného pod č.</w:t>
      </w:r>
      <w:r>
        <w:t> </w:t>
      </w:r>
      <w:r w:rsidRPr="009379B1">
        <w:t>94/2011 Sb., zákona č. 137/2011 Sb., zákona č. 341/2011 Sb., zákona č. 375/2011 Sb., zákona č.</w:t>
      </w:r>
      <w:r>
        <w:t> </w:t>
      </w:r>
      <w:r w:rsidRPr="009379B1">
        <w:t>420/2011 Sb., zákona č. 457/2011 Sb., zákona č. 468/2011 Sb., zákona č. 18/2012 Sb., zákona č. 19/2012 Sb., zákona č. 142/2012 Sb., zákona č. 167/2012 Sb., zákona č. 273/2012 Sb., zákona č. 214/2013 Sb., zákona č. 303/2013 Sb., zákona č. 181/2014 Sb., zákona č. 234/2014 Sb., zákona č.</w:t>
      </w:r>
      <w:r>
        <w:t> </w:t>
      </w:r>
      <w:r w:rsidRPr="009379B1">
        <w:t>250/2014 Sb., zákona č.</w:t>
      </w:r>
      <w:r w:rsidR="004A6A10">
        <w:t> </w:t>
      </w:r>
      <w:r w:rsidRPr="009379B1">
        <w:t>258/2014 Sb., zákona č. 318/2015 Sb., zákona č. 378/2015 Sb., zákona č.</w:t>
      </w:r>
      <w:r>
        <w:t> </w:t>
      </w:r>
      <w:r w:rsidRPr="009379B1">
        <w:t>298/2016 Sb., zákona č. 183/2017 Sb., zákona č. 194/2017 Sb., zákona č. 225/2017 Sb., zákona č.</w:t>
      </w:r>
      <w:r>
        <w:t> </w:t>
      </w:r>
      <w:r w:rsidRPr="009379B1">
        <w:t>252/2017 Sb. a zákona č. 287/2018 Sb., se mění takto:</w:t>
      </w:r>
    </w:p>
    <w:p w:rsidR="006664D4" w:rsidRDefault="006664D4" w:rsidP="004A6A10">
      <w:pPr>
        <w:pStyle w:val="Novelizanbod"/>
      </w:pPr>
      <w:r w:rsidRPr="003235D4">
        <w:t>V § 34 odst. 1 se za slova „si mohl“ vkládá slovo „bezplatně“.</w:t>
      </w:r>
    </w:p>
    <w:p w:rsidR="006664D4" w:rsidRPr="009379B1" w:rsidRDefault="006664D4" w:rsidP="004A6A10">
      <w:pPr>
        <w:pStyle w:val="Novelizanbod"/>
      </w:pPr>
      <w:r w:rsidRPr="009379B1">
        <w:t>V § 34 se doplňují odstavce 6 a</w:t>
      </w:r>
      <w:r>
        <w:t>ž</w:t>
      </w:r>
      <w:r w:rsidRPr="009379B1">
        <w:t xml:space="preserve"> </w:t>
      </w:r>
      <w:r>
        <w:t>9</w:t>
      </w:r>
      <w:r w:rsidRPr="009379B1">
        <w:t>, které znějí:</w:t>
      </w:r>
    </w:p>
    <w:p w:rsidR="006664D4" w:rsidRPr="009379B1" w:rsidRDefault="006664D4" w:rsidP="004A6A10">
      <w:pPr>
        <w:pStyle w:val="Textparagrafu"/>
        <w:spacing w:before="0"/>
      </w:pPr>
      <w:r w:rsidRPr="009379B1">
        <w:t xml:space="preserve">„(6) Účastník, který hodlá uzavřít smlouvu o poskytování </w:t>
      </w:r>
      <w:r>
        <w:t>veřejně dostupné služby</w:t>
      </w:r>
      <w:r w:rsidRPr="009379B1">
        <w:t xml:space="preserve"> elektronických komunikací </w:t>
      </w:r>
      <w:r>
        <w:t xml:space="preserve">nebo připojení k veřejné komunikační síti </w:t>
      </w:r>
      <w:r w:rsidRPr="009379B1">
        <w:t>s jiným podnikatelem zajišťujícím veřejnou komunikační síť nebo poskytujícím veřejně dostupnou službu elektronických komunikací, než se kterým má uzavřenu smlouvu o</w:t>
      </w:r>
      <w:r>
        <w:t> </w:t>
      </w:r>
      <w:r w:rsidRPr="009379B1">
        <w:t xml:space="preserve">poskytování </w:t>
      </w:r>
      <w:r>
        <w:t>veřejně dostupné služby</w:t>
      </w:r>
      <w:r w:rsidRPr="009379B1">
        <w:t xml:space="preserve"> elektronických komunikací </w:t>
      </w:r>
      <w:r>
        <w:t>nebo připojení k veřejné komunikační síti</w:t>
      </w:r>
      <w:r w:rsidRPr="009379B1">
        <w:t xml:space="preserve"> (dále jen „přejímající poskytovatel služby“), může zároveň přejímajícího poskytovatele služby požádat o zajištění přenesení telefonního čísla. V žádosti uvede zejména </w:t>
      </w:r>
    </w:p>
    <w:p w:rsidR="006664D4" w:rsidRDefault="006664D4" w:rsidP="004A6A10">
      <w:pPr>
        <w:pStyle w:val="Textpsmene"/>
      </w:pPr>
      <w:bookmarkStart w:id="0" w:name="_Hlk1999138"/>
      <w:r>
        <w:t>identifikační údaje účastníka,</w:t>
      </w:r>
    </w:p>
    <w:p w:rsidR="006664D4" w:rsidRPr="009379B1" w:rsidRDefault="006664D4" w:rsidP="004A6A10">
      <w:pPr>
        <w:pStyle w:val="Textpsmene"/>
      </w:pPr>
      <w:r w:rsidRPr="009379B1">
        <w:t xml:space="preserve">podnikatele </w:t>
      </w:r>
      <w:bookmarkEnd w:id="0"/>
      <w:r>
        <w:t xml:space="preserve">doposud </w:t>
      </w:r>
      <w:r w:rsidRPr="009379B1">
        <w:t>zajišťujícího účastníkovi veřejnou komunikační síť nebo poskytujícího účastníkovi veřejně dostupnou službu elektronických komunikací</w:t>
      </w:r>
      <w:r>
        <w:t xml:space="preserve"> (dále jen „opouštěný poskytovatel služby“),</w:t>
      </w:r>
      <w:r w:rsidRPr="009379B1" w:rsidDel="00976F2E">
        <w:t xml:space="preserve"> </w:t>
      </w:r>
      <w:r w:rsidRPr="009379B1">
        <w:t xml:space="preserve"> </w:t>
      </w:r>
    </w:p>
    <w:p w:rsidR="006664D4" w:rsidRDefault="006664D4" w:rsidP="004A6A10">
      <w:pPr>
        <w:pStyle w:val="Textpsmene"/>
      </w:pPr>
      <w:r w:rsidRPr="00090BF5">
        <w:t xml:space="preserve">telefonní číslo, o jehož přenesení žádá, </w:t>
      </w:r>
    </w:p>
    <w:p w:rsidR="00C76443" w:rsidRPr="00090BF5" w:rsidRDefault="00C76443" w:rsidP="004A6A10">
      <w:pPr>
        <w:pStyle w:val="Textpsmene"/>
      </w:pPr>
      <w:r>
        <w:t>ověřovací kód účastníka pro přenesení telefonního čísla vydaný opouštěným poskytovatelem služby (dále jen „ověřovací kód účastníka“), a</w:t>
      </w:r>
    </w:p>
    <w:p w:rsidR="006664D4" w:rsidRPr="009379B1" w:rsidRDefault="006664D4" w:rsidP="004A6A10">
      <w:pPr>
        <w:pStyle w:val="Textpsmene"/>
      </w:pPr>
      <w:r w:rsidRPr="009379B1">
        <w:t xml:space="preserve">den, ke kterému má přenos telefonního čísla proběhnout; přejímající poskytovatel služby neprodleně </w:t>
      </w:r>
      <w:r>
        <w:t xml:space="preserve">po splnění podmínek přenositelnosti telefonního čísla zajistí provedení úkonů </w:t>
      </w:r>
      <w:r>
        <w:lastRenderedPageBreak/>
        <w:t xml:space="preserve">potřebných k přenesení telefonního čísla a </w:t>
      </w:r>
      <w:r w:rsidRPr="009379B1">
        <w:t xml:space="preserve">informuje účastníka o dni, ke kterému má přenos telefonního čísla proběhnout a </w:t>
      </w:r>
      <w:r>
        <w:t>který je zároveň dnem</w:t>
      </w:r>
      <w:r w:rsidRPr="009379B1">
        <w:t xml:space="preserve"> ukončení smluvního vztahu s </w:t>
      </w:r>
      <w:r w:rsidRPr="00A36D89">
        <w:t>opouštěný</w:t>
      </w:r>
      <w:r>
        <w:t>m</w:t>
      </w:r>
      <w:r w:rsidRPr="00A36D89">
        <w:t xml:space="preserve"> poskytovatel</w:t>
      </w:r>
      <w:r>
        <w:t>em</w:t>
      </w:r>
      <w:r w:rsidRPr="00A36D89">
        <w:t xml:space="preserve"> služby</w:t>
      </w:r>
      <w:r w:rsidRPr="009379B1">
        <w:t xml:space="preserve">.   </w:t>
      </w:r>
    </w:p>
    <w:p w:rsidR="006664D4" w:rsidRDefault="006664D4" w:rsidP="004A6A10">
      <w:pPr>
        <w:pStyle w:val="Textparagrafu"/>
      </w:pPr>
      <w:r w:rsidRPr="009379B1">
        <w:t xml:space="preserve">(7) Přejímající poskytovatel služby je oprávněn ověřit totožnost účastníka před tím, než jeho jménem požádá </w:t>
      </w:r>
      <w:r w:rsidRPr="00A36D89">
        <w:t>opouštěn</w:t>
      </w:r>
      <w:r>
        <w:t>ého</w:t>
      </w:r>
      <w:r w:rsidRPr="00A36D89">
        <w:t xml:space="preserve"> poskytovatel</w:t>
      </w:r>
      <w:r>
        <w:t>e</w:t>
      </w:r>
      <w:r w:rsidRPr="00A36D89">
        <w:t xml:space="preserve"> služby</w:t>
      </w:r>
      <w:r w:rsidRPr="009379B1">
        <w:t xml:space="preserve"> o přenesení telefonního čísla; neposkytne-li účastník na výzvu přejímajícího poskytovatele služby potřebnou součinnost při ověření své totožnosti, hledí se na něho, jako by o přenesení telefonního čísla nepožádal.</w:t>
      </w:r>
    </w:p>
    <w:p w:rsidR="006664D4" w:rsidRDefault="006664D4" w:rsidP="004A6A10">
      <w:pPr>
        <w:pStyle w:val="Textparagrafu"/>
      </w:pPr>
      <w:r w:rsidRPr="00BD11FE">
        <w:t xml:space="preserve">(8) Přejímající poskytovatel služby do </w:t>
      </w:r>
      <w:r>
        <w:t>jednoho pracovního dne</w:t>
      </w:r>
      <w:r w:rsidRPr="00BD11FE">
        <w:t xml:space="preserve"> od </w:t>
      </w:r>
      <w:r>
        <w:t>obdržení žádosti účastníka podle odstavce 6</w:t>
      </w:r>
      <w:r w:rsidRPr="006A5BD6">
        <w:t xml:space="preserve"> </w:t>
      </w:r>
      <w:r w:rsidRPr="00BD11FE">
        <w:t xml:space="preserve">vyrozumí </w:t>
      </w:r>
      <w:r w:rsidRPr="00414F99">
        <w:t>opouštěn</w:t>
      </w:r>
      <w:r>
        <w:t>ého</w:t>
      </w:r>
      <w:r w:rsidRPr="00414F99">
        <w:t xml:space="preserve"> poskytovatel</w:t>
      </w:r>
      <w:r>
        <w:t>e</w:t>
      </w:r>
      <w:r w:rsidRPr="00414F99">
        <w:t xml:space="preserve"> služby</w:t>
      </w:r>
      <w:r w:rsidRPr="00BD11FE">
        <w:t xml:space="preserve"> o </w:t>
      </w:r>
      <w:r>
        <w:t>žádosti účastníka o</w:t>
      </w:r>
      <w:r w:rsidR="00C76443">
        <w:t> </w:t>
      </w:r>
      <w:r>
        <w:t>přenesení telefonního čísla</w:t>
      </w:r>
      <w:r w:rsidR="00C76443">
        <w:t>, včetně ověřovacího kódu účastníka,</w:t>
      </w:r>
      <w:r>
        <w:t xml:space="preserve"> a </w:t>
      </w:r>
      <w:r w:rsidRPr="00BD11FE">
        <w:t>okamžiku zániku smlouvy podle § 63 odst. 12 a společně s ním zajistí, aby jimi poskytované služby na sebe přímo navazovaly.</w:t>
      </w:r>
    </w:p>
    <w:p w:rsidR="006664D4" w:rsidRDefault="006664D4" w:rsidP="004A6A10">
      <w:pPr>
        <w:pStyle w:val="Textparagrafu"/>
      </w:pPr>
      <w:r w:rsidRPr="003235D4">
        <w:t>(</w:t>
      </w:r>
      <w:r>
        <w:t>9</w:t>
      </w:r>
      <w:r w:rsidRPr="003235D4">
        <w:t xml:space="preserve">) </w:t>
      </w:r>
      <w:r>
        <w:t>O</w:t>
      </w:r>
      <w:r w:rsidRPr="00414F99">
        <w:t>pouštěný poskytovatel služby</w:t>
      </w:r>
      <w:r w:rsidRPr="003235D4">
        <w:t xml:space="preserve"> na žádost spotřebitele využívajícího předplacené služby podanou nejpozději do 30 dn</w:t>
      </w:r>
      <w:r>
        <w:t>ů</w:t>
      </w:r>
      <w:r w:rsidRPr="003235D4">
        <w:t xml:space="preserve"> ode dne </w:t>
      </w:r>
      <w:r>
        <w:t>ukončení smlouvy</w:t>
      </w:r>
      <w:r w:rsidRPr="003235D4">
        <w:t xml:space="preserve"> vrátí zbývající zůstatek</w:t>
      </w:r>
      <w:r>
        <w:t xml:space="preserve"> předplatného</w:t>
      </w:r>
      <w:r w:rsidRPr="003235D4">
        <w:t xml:space="preserve">. Vrácení zůstatku může být zpoplatněno, pouze pokud je tak uvedeno ve smlouvě a výše zpoplatnění musí odpovídat skutečným nákladům, které </w:t>
      </w:r>
      <w:r w:rsidRPr="00414F99">
        <w:t>opouštěn</w:t>
      </w:r>
      <w:r>
        <w:t>ému</w:t>
      </w:r>
      <w:r w:rsidRPr="00414F99">
        <w:t xml:space="preserve"> poskytovatel</w:t>
      </w:r>
      <w:r>
        <w:t>i</w:t>
      </w:r>
      <w:r w:rsidRPr="00414F99">
        <w:t xml:space="preserve"> služby</w:t>
      </w:r>
      <w:r w:rsidRPr="003235D4">
        <w:t xml:space="preserve"> prokazatelně vznikly při vrácení zůstatku.</w:t>
      </w:r>
      <w:r w:rsidRPr="006A5BD6">
        <w:t>“.</w:t>
      </w:r>
    </w:p>
    <w:p w:rsidR="006664D4" w:rsidRDefault="006664D4" w:rsidP="004A6A10">
      <w:pPr>
        <w:pStyle w:val="Novelizanbod"/>
      </w:pPr>
      <w:r w:rsidRPr="003235D4">
        <w:t>V § 55 odst. 3 se slova „§ 34 nebo“ zrušují.</w:t>
      </w:r>
    </w:p>
    <w:p w:rsidR="006664D4" w:rsidRDefault="006664D4" w:rsidP="004A6A10">
      <w:pPr>
        <w:pStyle w:val="Novelizanbod"/>
      </w:pPr>
      <w:r w:rsidRPr="003235D4">
        <w:t xml:space="preserve">V § 57 odst. 4 se slova „§ 34 nebo“ </w:t>
      </w:r>
      <w:r>
        <w:t xml:space="preserve">a poslední věta </w:t>
      </w:r>
      <w:r w:rsidRPr="003235D4">
        <w:t>zrušují.</w:t>
      </w:r>
    </w:p>
    <w:p w:rsidR="006664D4" w:rsidRDefault="006664D4" w:rsidP="004A6A10">
      <w:pPr>
        <w:pStyle w:val="Novelizanbod"/>
      </w:pPr>
      <w:r w:rsidRPr="00BC5718">
        <w:t>V § 63 odst. 1 písm</w:t>
      </w:r>
      <w:r>
        <w:t>eno</w:t>
      </w:r>
      <w:r w:rsidRPr="00BC5718">
        <w:t xml:space="preserve"> o) </w:t>
      </w:r>
      <w:r>
        <w:t>zní:</w:t>
      </w:r>
    </w:p>
    <w:p w:rsidR="006664D4" w:rsidRDefault="006664D4" w:rsidP="004A6A10">
      <w:pPr>
        <w:pStyle w:val="Psmeno"/>
      </w:pPr>
      <w:r>
        <w:t>„o)</w:t>
      </w:r>
      <w:r w:rsidR="004A6A10">
        <w:tab/>
      </w:r>
      <w:r w:rsidR="00C76443">
        <w:t>ověřovací kód účastníka a p</w:t>
      </w:r>
      <w:r>
        <w:t>odmínky pro přenesení telefonního čísla,“.</w:t>
      </w:r>
    </w:p>
    <w:p w:rsidR="006664D4" w:rsidRPr="00BD11FE" w:rsidRDefault="006664D4" w:rsidP="004A6A10">
      <w:pPr>
        <w:pStyle w:val="Novelizanbod"/>
      </w:pPr>
      <w:r w:rsidRPr="00BD11FE">
        <w:t>V § 63 odst. 1 písmeno p) zní:</w:t>
      </w:r>
    </w:p>
    <w:p w:rsidR="006664D4" w:rsidRPr="00BD11FE" w:rsidRDefault="006664D4" w:rsidP="004A6A10">
      <w:pPr>
        <w:pStyle w:val="Psmeno"/>
      </w:pPr>
      <w:r>
        <w:t>„</w:t>
      </w:r>
      <w:r w:rsidRPr="00BD11FE">
        <w:t>p)</w:t>
      </w:r>
      <w:r w:rsidR="004A6A10">
        <w:tab/>
      </w:r>
      <w:r>
        <w:t>pro případ</w:t>
      </w:r>
      <w:r w:rsidRPr="00BD11FE">
        <w:t xml:space="preserve"> ukončení smlouvy před uplynutím doby trvání, na kterou je smlouva uzavřena, ať již výpovědí, nebo dohodou smluvních stran, </w:t>
      </w:r>
    </w:p>
    <w:p w:rsidR="006664D4" w:rsidRPr="006A5BD6" w:rsidRDefault="006664D4" w:rsidP="004A6A10">
      <w:pPr>
        <w:pStyle w:val="Textbodu"/>
      </w:pPr>
      <w:r w:rsidRPr="00BD11FE">
        <w:t>informace o výši úhrady, kter</w:t>
      </w:r>
      <w:r>
        <w:t xml:space="preserve">á smí být v případě smlouvy se </w:t>
      </w:r>
      <w:r w:rsidRPr="00BD11FE">
        <w:t>spotřebitelem</w:t>
      </w:r>
      <w:r>
        <w:t xml:space="preserve"> </w:t>
      </w:r>
      <w:r w:rsidRPr="00BD11FE">
        <w:t>požadována pouze, pokud smlouva skončí do tří měsíců od uzavření, a která</w:t>
      </w:r>
      <w:r w:rsidRPr="006A5BD6">
        <w:t xml:space="preserve"> nesmí být v případě smlouvy uzavřené se spotřebitelem vyšší než jedna </w:t>
      </w:r>
      <w:r w:rsidRPr="00BD11FE">
        <w:t>dvacetina</w:t>
      </w:r>
      <w:r w:rsidRPr="006A5BD6">
        <w:rPr>
          <w:b/>
        </w:rPr>
        <w:t xml:space="preserve"> </w:t>
      </w:r>
      <w:r w:rsidRPr="006A5BD6">
        <w:t>součtu měsíčních paušálů zbývajících do kon</w:t>
      </w:r>
      <w:r w:rsidRPr="00BD11FE">
        <w:t>ce sjednané doby trvání smlouvy nebo jedna dvacetina součtu minimálních sjednaných měsíčních plnění zbývajících do konce sjednané doby trvání smlouvy, přičemž výše úhrady se počítá z částky placené v průběhu trvání smlouvy, a pokud je poskytována sleva oproti ceníkové ceně, nelze určit výši úhrady z ceníkové ceny,</w:t>
      </w:r>
      <w:r w:rsidRPr="006A5BD6">
        <w:t xml:space="preserve"> a </w:t>
      </w:r>
    </w:p>
    <w:p w:rsidR="006664D4" w:rsidRPr="00BD11FE" w:rsidRDefault="006664D4" w:rsidP="004A6A10">
      <w:pPr>
        <w:pStyle w:val="Textbodu"/>
      </w:pPr>
      <w:r w:rsidRPr="006A5BD6">
        <w:t>výše úhrady nákladů spojených s telekomunikačním koncovým zařízením, které bylo účastníkovi poskytnuto za zvý</w:t>
      </w:r>
      <w:r w:rsidRPr="00BD11FE">
        <w:t>hodněných podmínek,“.</w:t>
      </w:r>
    </w:p>
    <w:p w:rsidR="002B64B6" w:rsidRDefault="002B64B6">
      <w:pPr>
        <w:jc w:val="left"/>
      </w:pPr>
      <w:r>
        <w:br w:type="page"/>
      </w:r>
    </w:p>
    <w:p w:rsidR="006664D4" w:rsidRPr="00BD11FE" w:rsidRDefault="006664D4" w:rsidP="004A6A10">
      <w:pPr>
        <w:pStyle w:val="Novelizanbod"/>
      </w:pPr>
      <w:r w:rsidRPr="00BD11FE">
        <w:lastRenderedPageBreak/>
        <w:t xml:space="preserve">V § 63 odstavec </w:t>
      </w:r>
      <w:r>
        <w:t xml:space="preserve">12 </w:t>
      </w:r>
      <w:r w:rsidRPr="00BD11FE">
        <w:t>zní:</w:t>
      </w:r>
    </w:p>
    <w:p w:rsidR="006664D4" w:rsidRPr="00BD11FE" w:rsidRDefault="006664D4" w:rsidP="004A6A10">
      <w:pPr>
        <w:pStyle w:val="Textparagrafu"/>
        <w:spacing w:before="0"/>
      </w:pPr>
      <w:r w:rsidRPr="00BD11FE">
        <w:t xml:space="preserve">„(12) Využije-li účastník právo podle § 34 odst. 1, dojde k zániku smlouvy nejpozději </w:t>
      </w:r>
      <w:r w:rsidR="003F15E3" w:rsidRPr="00563911">
        <w:t>počátkem prvního pracovního dne následujícího po uplynutí lhůty</w:t>
      </w:r>
      <w:r w:rsidR="003F15E3" w:rsidRPr="004B7147">
        <w:t xml:space="preserve"> </w:t>
      </w:r>
      <w:r w:rsidRPr="004B7147">
        <w:t>2</w:t>
      </w:r>
      <w:r>
        <w:t xml:space="preserve"> pracovních</w:t>
      </w:r>
      <w:r w:rsidRPr="006A5BD6">
        <w:rPr>
          <w:b/>
        </w:rPr>
        <w:t xml:space="preserve"> </w:t>
      </w:r>
      <w:r w:rsidRPr="006A5BD6">
        <w:t xml:space="preserve">dnů, která začne běžet, jakmile </w:t>
      </w:r>
      <w:r w:rsidRPr="00BD11FE">
        <w:t xml:space="preserve">přejímající poskytovatel služby </w:t>
      </w:r>
      <w:r>
        <w:t xml:space="preserve">vyrozumí </w:t>
      </w:r>
      <w:r w:rsidRPr="00414F99">
        <w:t>opouštěn</w:t>
      </w:r>
      <w:r>
        <w:t>ého</w:t>
      </w:r>
      <w:r w:rsidRPr="00414F99">
        <w:t xml:space="preserve"> poskytovatel</w:t>
      </w:r>
      <w:r>
        <w:t>e</w:t>
      </w:r>
      <w:r w:rsidRPr="00414F99">
        <w:t xml:space="preserve"> služby</w:t>
      </w:r>
      <w:r>
        <w:t xml:space="preserve"> podle § 34 odst. 8</w:t>
      </w:r>
      <w:r w:rsidRPr="006A5BD6">
        <w:t>. Tato lhůta se neuplatní, pokud doba zbývající do zániku smlouvy je kratší nebo k přenesení telefonního čísla nedošlo.</w:t>
      </w:r>
      <w:r w:rsidRPr="00BD11FE">
        <w:t>“.</w:t>
      </w:r>
    </w:p>
    <w:p w:rsidR="006664D4" w:rsidRPr="00BD11FE" w:rsidRDefault="006664D4" w:rsidP="004A6A10">
      <w:pPr>
        <w:pStyle w:val="Novelizanbod"/>
      </w:pPr>
      <w:r w:rsidRPr="00BD11FE">
        <w:t>V § 63 se doplňuje odstavec 13, který zní:</w:t>
      </w:r>
    </w:p>
    <w:p w:rsidR="006664D4" w:rsidRPr="00BD11FE" w:rsidRDefault="006664D4" w:rsidP="004A6A10">
      <w:pPr>
        <w:pStyle w:val="Textparagrafu"/>
        <w:spacing w:before="0"/>
      </w:pPr>
      <w:r w:rsidRPr="00BD11FE">
        <w:t xml:space="preserve">„(13) Ustanovení odstavce 1 písm. p) a odstavců 7 a 9 až 11 se vedle spotřebitele použijí i na </w:t>
      </w:r>
      <w:r w:rsidRPr="00245A19">
        <w:t>podnikající fyzickou osobu</w:t>
      </w:r>
      <w:r w:rsidRPr="00BD11FE">
        <w:t>.</w:t>
      </w:r>
      <w:r>
        <w:t>“.</w:t>
      </w:r>
    </w:p>
    <w:p w:rsidR="006664D4" w:rsidRPr="006D41ED" w:rsidRDefault="006664D4" w:rsidP="004A6A10">
      <w:pPr>
        <w:pStyle w:val="Novelizanbod"/>
      </w:pPr>
      <w:r w:rsidRPr="006D41ED">
        <w:t>Za § 66 se vkládá nový § 66a, který zní:</w:t>
      </w:r>
    </w:p>
    <w:p w:rsidR="006664D4" w:rsidRPr="004A6A10" w:rsidRDefault="006664D4" w:rsidP="004A6A10">
      <w:pPr>
        <w:jc w:val="center"/>
      </w:pPr>
      <w:r w:rsidRPr="004A6A10">
        <w:t>„§ 66a</w:t>
      </w:r>
    </w:p>
    <w:p w:rsidR="006664D4" w:rsidRPr="006D41ED" w:rsidRDefault="006664D4" w:rsidP="004A6A10">
      <w:pPr>
        <w:pStyle w:val="Textodstavce"/>
        <w:numPr>
          <w:ilvl w:val="0"/>
          <w:numId w:val="9"/>
        </w:numPr>
      </w:pPr>
      <w:r w:rsidRPr="006D41ED">
        <w:t>Úřad zveřejní způsobem umožňujícím dálkový přístup bezplatný nezávislý srovnávací nástroj, který umožní porovnávat a posuzovat různé veřejně dostupné služby elektronických komunikací (dále jen „srovnávací nástroj“) z hlediska</w:t>
      </w:r>
    </w:p>
    <w:p w:rsidR="006664D4" w:rsidRPr="006D41ED" w:rsidRDefault="006664D4" w:rsidP="004A6A10">
      <w:pPr>
        <w:pStyle w:val="Textpsmene"/>
      </w:pPr>
      <w:r w:rsidRPr="006D41ED">
        <w:t>cen za poskytování služeb, a</w:t>
      </w:r>
    </w:p>
    <w:p w:rsidR="006664D4" w:rsidRDefault="006664D4" w:rsidP="004A6A10">
      <w:pPr>
        <w:pStyle w:val="Textpsmene"/>
      </w:pPr>
      <w:r w:rsidRPr="006D41ED">
        <w:t>kvality poskytované služby, je-li nabízena minimální kvalita služby nebo je-li poskytovatel služby povinen takové informace zveřejnit podle § 71.</w:t>
      </w:r>
    </w:p>
    <w:p w:rsidR="006664D4" w:rsidRPr="006D41ED" w:rsidRDefault="006664D4" w:rsidP="004A6A10">
      <w:pPr>
        <w:pStyle w:val="Textodstavce"/>
      </w:pPr>
      <w:r w:rsidRPr="006D41ED">
        <w:t>Srovnávací nástroj uvedený v odstavci 1 musí</w:t>
      </w:r>
    </w:p>
    <w:p w:rsidR="006664D4" w:rsidRPr="006D41ED" w:rsidRDefault="006664D4" w:rsidP="004A6A10">
      <w:pPr>
        <w:pStyle w:val="Textpsmene"/>
      </w:pPr>
      <w:r w:rsidRPr="006D41ED">
        <w:t xml:space="preserve">být provozně nezávislý na podnikatelích poskytujících veřejně dostupné služby elektronických komunikací, </w:t>
      </w:r>
    </w:p>
    <w:p w:rsidR="006664D4" w:rsidRPr="006D41ED" w:rsidRDefault="006664D4" w:rsidP="004A6A10">
      <w:pPr>
        <w:pStyle w:val="Textpsmene"/>
      </w:pPr>
      <w:r w:rsidRPr="006D41ED">
        <w:t>jasně uvádět identifikační údaje provozovatele srovnávacího nástroje,</w:t>
      </w:r>
    </w:p>
    <w:p w:rsidR="006664D4" w:rsidRPr="006D41ED" w:rsidRDefault="006664D4" w:rsidP="004A6A10">
      <w:pPr>
        <w:pStyle w:val="Textpsmene"/>
      </w:pPr>
      <w:r w:rsidRPr="006D41ED">
        <w:t>stanovit jasná a objektivní kritéria, z nichž bude porovnání vycházet,</w:t>
      </w:r>
    </w:p>
    <w:p w:rsidR="006664D4" w:rsidRPr="006D41ED" w:rsidRDefault="006664D4" w:rsidP="004A6A10">
      <w:pPr>
        <w:pStyle w:val="Textpsmene"/>
      </w:pPr>
      <w:r w:rsidRPr="006D41ED">
        <w:t>poskytovat přesné a aktuální informace a uvádět čas poslední aktualizace,</w:t>
      </w:r>
    </w:p>
    <w:p w:rsidR="006664D4" w:rsidRPr="006D41ED" w:rsidRDefault="006664D4" w:rsidP="004A6A10">
      <w:pPr>
        <w:pStyle w:val="Textpsmene"/>
      </w:pPr>
      <w:r w:rsidRPr="006D41ED">
        <w:t>být otevřený jakémukoli podnikateli poskytujícímu veřejně dostupné služby elektronických komunikací, zpřístupňovat důležité informace a obsahovat širokou škálu nabídek, jež pokrývá významnou část trhu, a v případě, že zobrazené informace nepředstavují úplný přehled trhu, zřetelné prohlášení v tomto smyslu před zobrazením výsledků,</w:t>
      </w:r>
    </w:p>
    <w:p w:rsidR="006664D4" w:rsidRPr="006D41ED" w:rsidRDefault="006664D4" w:rsidP="004A6A10">
      <w:pPr>
        <w:pStyle w:val="Textpsmene"/>
      </w:pPr>
      <w:r w:rsidRPr="006D41ED">
        <w:t>nabízet účinný postup pro nahlášení nesprávných informací,</w:t>
      </w:r>
    </w:p>
    <w:p w:rsidR="006664D4" w:rsidRPr="006D41ED" w:rsidRDefault="006664D4" w:rsidP="004A6A10">
      <w:pPr>
        <w:pStyle w:val="Textpsmene"/>
      </w:pPr>
      <w:r w:rsidRPr="006D41ED">
        <w:t>obsahovat možnost srovnání cen a kvality poskytovaných služeb mezi nabídkami dostupnými pro spotřebitele a mezi těmito nabídkami a standardními veřejně dostupnými nabídkami pro jiné koncové uživatele.</w:t>
      </w:r>
    </w:p>
    <w:p w:rsidR="006664D4" w:rsidRDefault="006664D4" w:rsidP="004A6A10">
      <w:pPr>
        <w:pStyle w:val="Textodstavce"/>
      </w:pPr>
      <w:r w:rsidRPr="006D41ED">
        <w:t xml:space="preserve">Úřad může zajistit provozování srovnávacího nástroje podle odstavce 1 certifikací poskytovatele srovnávacího nástroje, který splňuje požadavky podle odstavce 2. </w:t>
      </w:r>
    </w:p>
    <w:p w:rsidR="006664D4" w:rsidRDefault="006664D4" w:rsidP="004A6A10">
      <w:pPr>
        <w:pStyle w:val="Textodstavce"/>
      </w:pPr>
      <w:r w:rsidRPr="006D41ED">
        <w:t>Podnikatelé poskytující veřejně dostupné služby elektronických komunikací jsou povinni předávat Úřadu nebo poskytovateli srovnávacího nástroje veškeré informace nezbytné pro zajištění srovnávacího nástroje.</w:t>
      </w:r>
    </w:p>
    <w:p w:rsidR="006664D4" w:rsidRPr="006D41ED" w:rsidRDefault="006664D4" w:rsidP="004A6A10">
      <w:pPr>
        <w:pStyle w:val="Textodstavce"/>
      </w:pPr>
      <w:r w:rsidRPr="006D41ED">
        <w:t>Rozsah, formu a způsob předávání informací podle odstavce 4 stanoví prováděcí právní předpis.</w:t>
      </w:r>
    </w:p>
    <w:p w:rsidR="003F15E3" w:rsidRDefault="003F15E3" w:rsidP="004A6A10">
      <w:pPr>
        <w:pStyle w:val="Novelizanbod"/>
        <w:keepNext w:val="0"/>
      </w:pPr>
      <w:r>
        <w:rPr>
          <w:highlight w:val="white"/>
        </w:rPr>
        <w:t>V § 104 odst. 4 se za větu první vkládá věta „To platí i v případě, kdy je stavba, pro kterou se právo vyvlastňuje, zřizována nebo již byla zřízena a zřízení služebnosti nezmařil podnikatel zajišťující veřejnou komunikační síť.“.</w:t>
      </w:r>
    </w:p>
    <w:p w:rsidR="006664D4" w:rsidRDefault="006664D4" w:rsidP="004A6A10">
      <w:pPr>
        <w:pStyle w:val="Novelizanbod"/>
        <w:keepNext w:val="0"/>
      </w:pPr>
      <w:r>
        <w:t xml:space="preserve">V § 118 odst. 12 se na konci </w:t>
      </w:r>
      <w:r w:rsidRPr="00486405">
        <w:rPr>
          <w:color w:val="000000"/>
        </w:rPr>
        <w:t xml:space="preserve">textu písmene b) doplňují slova „nebo </w:t>
      </w:r>
      <w:r w:rsidRPr="003235D4">
        <w:t>§ 66a odst. 4“.</w:t>
      </w:r>
    </w:p>
    <w:p w:rsidR="00520FEB" w:rsidRDefault="00520FEB" w:rsidP="00520FEB">
      <w:pPr>
        <w:pStyle w:val="Novelizanbod"/>
      </w:pPr>
      <w:r w:rsidRPr="006A6D5F">
        <w:t>V § 118 odst. 12 písm. p) bodě 1. se slovo „nebo“ zrušuje.</w:t>
      </w:r>
    </w:p>
    <w:p w:rsidR="00520FEB" w:rsidRPr="006A6D5F" w:rsidRDefault="00520FEB" w:rsidP="00520FEB">
      <w:pPr>
        <w:pStyle w:val="Novelizanbod"/>
      </w:pPr>
      <w:r w:rsidRPr="006A6D5F">
        <w:t xml:space="preserve">V § 118 odst. 12 písm. p) se na konci bodu 3 tečka nahrazuje čárkou a doplňují se body 4 až </w:t>
      </w:r>
      <w:r>
        <w:t>8</w:t>
      </w:r>
      <w:r w:rsidRPr="006A6D5F">
        <w:t>, které znějí:</w:t>
      </w:r>
    </w:p>
    <w:p w:rsidR="00520FEB" w:rsidRPr="00520FEB" w:rsidRDefault="00520FEB" w:rsidP="00520FEB">
      <w:pPr>
        <w:ind w:left="284"/>
      </w:pPr>
      <w:r w:rsidRPr="00520FEB">
        <w:t>„4. účtuje spotřebiteli za regulovanou komunikaci v rámci Unie ceny přesahující částky stanovené tímto předpisem,</w:t>
      </w:r>
    </w:p>
    <w:p w:rsidR="00520FEB" w:rsidRPr="00520FEB" w:rsidRDefault="00520FEB" w:rsidP="00520FEB">
      <w:pPr>
        <w:ind w:left="284"/>
      </w:pPr>
      <w:r w:rsidRPr="00520FEB">
        <w:t>5. předem neinformuje spotřebitele o povaze výhod, o které by přišel volbou jiného tarifu než tarifu stanoveného tímto předpisem,</w:t>
      </w:r>
    </w:p>
    <w:p w:rsidR="00520FEB" w:rsidRPr="00520FEB" w:rsidRDefault="00520FEB" w:rsidP="00520FEB">
      <w:pPr>
        <w:ind w:left="284"/>
      </w:pPr>
      <w:r w:rsidRPr="00520FEB">
        <w:t>6. nezmění automaticky tarif spotřebitele na tarif stanovený tímto předpisem v případě, že ceny účtované na základě dosavadního tarifu spotřebitele přesahují částky stanovené tímto předpisem a spotřebitel se do dvou měsíců od nabytí účinnosti tohoto zákona nevyjádří, že si přeje dosavadní tarif ponechat,</w:t>
      </w:r>
    </w:p>
    <w:p w:rsidR="00520FEB" w:rsidRPr="00520FEB" w:rsidRDefault="00520FEB" w:rsidP="00520FEB">
      <w:pPr>
        <w:ind w:left="284"/>
      </w:pPr>
      <w:r w:rsidRPr="00520FEB">
        <w:t>7. neumožní spotřebiteli do jednoho pracovního dne od obdržení žádosti přejít z tarifu stanoveného tímto předpisem nebo na tento tarif, nebo</w:t>
      </w:r>
    </w:p>
    <w:p w:rsidR="00520FEB" w:rsidRPr="00520FEB" w:rsidRDefault="00520FEB" w:rsidP="00520FEB">
      <w:pPr>
        <w:ind w:left="284"/>
      </w:pPr>
      <w:r w:rsidRPr="00520FEB">
        <w:t>8. nezajistí, aby tento přechod nezahrnoval podmínky nebo omezení týkající se jiných prvků účastnické smlouvy, než je regulovaná komunikace v rámci Unie.“.</w:t>
      </w:r>
    </w:p>
    <w:p w:rsidR="00520FEB" w:rsidRPr="006A6D5F" w:rsidRDefault="00520FEB" w:rsidP="00520FEB">
      <w:pPr>
        <w:pStyle w:val="Novelizanbod"/>
        <w:rPr>
          <w:u w:val="single"/>
        </w:rPr>
      </w:pPr>
      <w:r w:rsidRPr="006A6D5F">
        <w:t>Poznámka pod čarou č. 69 zní:</w:t>
      </w:r>
    </w:p>
    <w:p w:rsidR="00520FEB" w:rsidRPr="00520FEB" w:rsidRDefault="00520FEB" w:rsidP="00520FEB">
      <w:pPr>
        <w:pStyle w:val="Odstavecseseznamem"/>
        <w:tabs>
          <w:tab w:val="left" w:pos="284"/>
        </w:tabs>
        <w:spacing w:after="0" w:line="240" w:lineRule="auto"/>
        <w:ind w:left="993" w:hanging="709"/>
        <w:contextualSpacing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„</w:t>
      </w:r>
      <w:r w:rsidRPr="00520FEB">
        <w:rPr>
          <w:rFonts w:ascii="Times New Roman" w:hAnsi="Times New Roman"/>
          <w:sz w:val="24"/>
          <w:szCs w:val="24"/>
          <w:vertAlign w:val="superscript"/>
          <w:lang w:eastAsia="ar-SA"/>
        </w:rPr>
        <w:t>69</w:t>
      </w:r>
      <w:r>
        <w:rPr>
          <w:rFonts w:ascii="Times New Roman" w:hAnsi="Times New Roman"/>
          <w:sz w:val="24"/>
          <w:szCs w:val="24"/>
          <w:lang w:eastAsia="ar-SA"/>
        </w:rPr>
        <w:t>)</w:t>
      </w:r>
      <w:r>
        <w:rPr>
          <w:rFonts w:ascii="Times New Roman" w:hAnsi="Times New Roman"/>
          <w:sz w:val="24"/>
          <w:szCs w:val="24"/>
          <w:lang w:eastAsia="ar-SA"/>
        </w:rPr>
        <w:tab/>
      </w:r>
      <w:r w:rsidRPr="00520FEB">
        <w:rPr>
          <w:rFonts w:ascii="Times New Roman" w:hAnsi="Times New Roman"/>
          <w:sz w:val="24"/>
          <w:szCs w:val="24"/>
          <w:lang w:eastAsia="ar-SA"/>
        </w:rPr>
        <w:t>Nařízení Evropského parlamentu a Rady (EU) 2015/2120 ze dne 25. listopadu 2015, kterým se stanoví opatření týkající se přístupu k otevřenému internetu a maloobchodní ceny za regulovanou komunikaci v rámci Unie a mění směrnice 2002/22/ES a nařízení (EU) č. 531/2012, v platném znění.“.</w:t>
      </w:r>
    </w:p>
    <w:p w:rsidR="00520FEB" w:rsidRDefault="00520FEB" w:rsidP="00520FEB">
      <w:pPr>
        <w:pStyle w:val="Novelizanbod"/>
      </w:pPr>
      <w:r w:rsidRPr="007C39E1">
        <w:t>V § 118 odst. 12 písm. p) se na konci textu bodu 2. doplňuje slovo „nebo“.</w:t>
      </w:r>
    </w:p>
    <w:p w:rsidR="00520FEB" w:rsidRPr="007C39E1" w:rsidRDefault="00520FEB" w:rsidP="00520FEB">
      <w:pPr>
        <w:pStyle w:val="Novelizanbod"/>
      </w:pPr>
      <w:r w:rsidRPr="007C39E1">
        <w:t>V § 118 odst. 12 písm. p) se body 4 až 8 zrušují.</w:t>
      </w:r>
    </w:p>
    <w:p w:rsidR="006664D4" w:rsidRPr="003235D4" w:rsidRDefault="006664D4" w:rsidP="004A6A10">
      <w:pPr>
        <w:pStyle w:val="Novelizanbod"/>
        <w:keepNext w:val="0"/>
      </w:pPr>
      <w:r w:rsidRPr="003235D4">
        <w:t xml:space="preserve">V § 118 se na konci odstavce 14 tečka nahrazuje čárkou a doplňuje se písmeno </w:t>
      </w:r>
      <w:proofErr w:type="spellStart"/>
      <w:r w:rsidRPr="003235D4">
        <w:t>af</w:t>
      </w:r>
      <w:proofErr w:type="spellEnd"/>
      <w:r w:rsidRPr="003235D4">
        <w:t>), které zní:</w:t>
      </w:r>
    </w:p>
    <w:p w:rsidR="006664D4" w:rsidRPr="00BD11FE" w:rsidRDefault="006664D4" w:rsidP="00FE1720">
      <w:pPr>
        <w:pStyle w:val="Psmeno"/>
        <w:keepNext w:val="0"/>
      </w:pPr>
      <w:r w:rsidRPr="00BD11FE">
        <w:t>„</w:t>
      </w:r>
      <w:proofErr w:type="spellStart"/>
      <w:r w:rsidRPr="00BD11FE">
        <w:t>af</w:t>
      </w:r>
      <w:proofErr w:type="spellEnd"/>
      <w:r w:rsidRPr="00BD11FE">
        <w:t>)</w:t>
      </w:r>
      <w:r w:rsidR="003842F1">
        <w:tab/>
      </w:r>
      <w:r w:rsidRPr="00BD11FE">
        <w:t xml:space="preserve">nevyrozumí </w:t>
      </w:r>
      <w:r w:rsidRPr="00414F99">
        <w:t>opouštěn</w:t>
      </w:r>
      <w:r>
        <w:t>ého</w:t>
      </w:r>
      <w:r w:rsidRPr="00414F99">
        <w:t xml:space="preserve"> poskytovatel</w:t>
      </w:r>
      <w:r>
        <w:t>e</w:t>
      </w:r>
      <w:r w:rsidRPr="00414F99">
        <w:t xml:space="preserve"> služby</w:t>
      </w:r>
      <w:r w:rsidRPr="00BD11FE">
        <w:t xml:space="preserve"> podle § 34 odst. 8 nebo v rozporu s § 34 odst. 8 nezajistí přímou návaznost služeb.“.</w:t>
      </w:r>
    </w:p>
    <w:p w:rsidR="006664D4" w:rsidRPr="003235D4" w:rsidRDefault="006664D4" w:rsidP="00FE1720">
      <w:pPr>
        <w:pStyle w:val="Novelizanbod"/>
        <w:keepNext w:val="0"/>
      </w:pPr>
      <w:r w:rsidRPr="003235D4">
        <w:t xml:space="preserve">V § 118 odst. 23 písm. b) se za slova „odstavce 14 písm. k) až ad)“ vkládají slova „nebo </w:t>
      </w:r>
      <w:proofErr w:type="spellStart"/>
      <w:r w:rsidRPr="003235D4">
        <w:t>af</w:t>
      </w:r>
      <w:proofErr w:type="spellEnd"/>
      <w:r w:rsidRPr="003235D4">
        <w:t xml:space="preserve">)“. </w:t>
      </w:r>
    </w:p>
    <w:p w:rsidR="006664D4" w:rsidRPr="003235D4" w:rsidRDefault="006664D4" w:rsidP="003842F1">
      <w:pPr>
        <w:pStyle w:val="Novelizanbod"/>
      </w:pPr>
      <w:r w:rsidRPr="003235D4">
        <w:t xml:space="preserve">V § 150 odst. 5 se za </w:t>
      </w:r>
      <w:r>
        <w:t>text</w:t>
      </w:r>
      <w:r w:rsidRPr="003235D4">
        <w:t xml:space="preserve"> „§ 64 odst. 13,“ vklád</w:t>
      </w:r>
      <w:r>
        <w:t>á</w:t>
      </w:r>
      <w:r w:rsidRPr="003235D4">
        <w:t xml:space="preserve"> </w:t>
      </w:r>
      <w:r>
        <w:t>text</w:t>
      </w:r>
      <w:r w:rsidRPr="003235D4">
        <w:t xml:space="preserve"> „§ 66a odst. 5,“.</w:t>
      </w:r>
    </w:p>
    <w:p w:rsidR="003842F1" w:rsidRDefault="003842F1" w:rsidP="003842F1"/>
    <w:p w:rsidR="006664D4" w:rsidRDefault="003842F1" w:rsidP="003842F1">
      <w:pPr>
        <w:pStyle w:val="lnek"/>
      </w:pPr>
      <w:r>
        <w:t xml:space="preserve">Čl. </w:t>
      </w:r>
      <w:r w:rsidR="006664D4">
        <w:t>II</w:t>
      </w:r>
    </w:p>
    <w:p w:rsidR="006664D4" w:rsidRPr="00531B55" w:rsidRDefault="006664D4" w:rsidP="003842F1">
      <w:pPr>
        <w:pStyle w:val="Nadpislnku"/>
      </w:pPr>
      <w:r w:rsidRPr="00531B55">
        <w:t>Přechodné ustanovení</w:t>
      </w:r>
    </w:p>
    <w:p w:rsidR="006664D4" w:rsidRDefault="006664D4" w:rsidP="003842F1">
      <w:pPr>
        <w:pStyle w:val="Textlnku"/>
      </w:pPr>
      <w:r>
        <w:t xml:space="preserve">Srovnávací nástroj podle § 66a zákona č. 127/2005 Sb., ve znění účinném ode dne nabytí účinnosti tohoto zákona, Český telekomunikační úřad v části týkající se kvality poskytované služby zveřejní nebo zajistí jeho provozování certifikací podle § 66a odst. 3 </w:t>
      </w:r>
      <w:r w:rsidRPr="008F3C8E">
        <w:t>zákona č. 127/2005 Sb., ve znění účinném ode dne nabytí účinnosti tohoto zákona</w:t>
      </w:r>
      <w:r>
        <w:t>,</w:t>
      </w:r>
      <w:r w:rsidRPr="008F3C8E">
        <w:t xml:space="preserve"> </w:t>
      </w:r>
      <w:r>
        <w:t xml:space="preserve">do 9 měsíců ode dne nabytí účinnosti tohoto zákona.  </w:t>
      </w:r>
    </w:p>
    <w:p w:rsidR="006664D4" w:rsidRDefault="006664D4" w:rsidP="003842F1"/>
    <w:p w:rsidR="006664D4" w:rsidRPr="009379B1" w:rsidRDefault="003842F1" w:rsidP="003842F1">
      <w:pPr>
        <w:pStyle w:val="lnek"/>
      </w:pPr>
      <w:r>
        <w:t xml:space="preserve">Čl. </w:t>
      </w:r>
      <w:r w:rsidR="006664D4" w:rsidRPr="009379B1">
        <w:t>II</w:t>
      </w:r>
      <w:r w:rsidR="006664D4">
        <w:t>I</w:t>
      </w:r>
    </w:p>
    <w:p w:rsidR="006664D4" w:rsidRPr="009379B1" w:rsidRDefault="006664D4" w:rsidP="003842F1">
      <w:pPr>
        <w:pStyle w:val="Nadpislnku"/>
      </w:pPr>
      <w:r w:rsidRPr="009379B1">
        <w:t>Účinnost</w:t>
      </w:r>
    </w:p>
    <w:p w:rsidR="006664D4" w:rsidRDefault="006664D4" w:rsidP="003842F1">
      <w:pPr>
        <w:pStyle w:val="Textlnku"/>
      </w:pPr>
      <w:r w:rsidRPr="009379B1">
        <w:t xml:space="preserve">Tento zákon nabývá účinnosti </w:t>
      </w:r>
      <w:r w:rsidRPr="00486405">
        <w:rPr>
          <w:color w:val="000000"/>
        </w:rPr>
        <w:t xml:space="preserve">dnem </w:t>
      </w:r>
      <w:r>
        <w:t xml:space="preserve">1. </w:t>
      </w:r>
      <w:r w:rsidR="00520FEB">
        <w:t>dubna</w:t>
      </w:r>
      <w:r>
        <w:t xml:space="preserve"> 2020</w:t>
      </w:r>
      <w:r w:rsidR="003F15E3">
        <w:t xml:space="preserve">, </w:t>
      </w:r>
      <w:r w:rsidR="003F15E3" w:rsidRPr="006A6D5F">
        <w:t xml:space="preserve">s výjimkou čl. I bodů </w:t>
      </w:r>
      <w:r w:rsidR="003F15E3">
        <w:t>1</w:t>
      </w:r>
      <w:r w:rsidR="005E3C26">
        <w:t>2</w:t>
      </w:r>
      <w:r w:rsidR="003F15E3">
        <w:t xml:space="preserve"> až 1</w:t>
      </w:r>
      <w:r w:rsidR="005E3C26">
        <w:t>4</w:t>
      </w:r>
      <w:r w:rsidR="003F15E3">
        <w:t>, které nabývají účinnosti dnem vyhlášení a bodů 1</w:t>
      </w:r>
      <w:r w:rsidR="005E3C26">
        <w:t>5</w:t>
      </w:r>
      <w:r w:rsidR="003F15E3" w:rsidRPr="006A6D5F">
        <w:t xml:space="preserve"> a </w:t>
      </w:r>
      <w:r w:rsidR="003F15E3">
        <w:t>1</w:t>
      </w:r>
      <w:r w:rsidR="005E3C26">
        <w:t>6</w:t>
      </w:r>
      <w:bookmarkStart w:id="1" w:name="_GoBack"/>
      <w:bookmarkEnd w:id="1"/>
      <w:r w:rsidR="003F15E3" w:rsidRPr="006A6D5F">
        <w:t>, které nabývají účinnosti dnem 15. května 2024</w:t>
      </w:r>
      <w:r>
        <w:t>.</w:t>
      </w:r>
    </w:p>
    <w:p w:rsidR="006664D4" w:rsidRDefault="006664D4" w:rsidP="006664D4"/>
    <w:p w:rsidR="006664D4" w:rsidRDefault="006664D4" w:rsidP="006664D4"/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4D4" w:rsidRDefault="006664D4">
      <w:r>
        <w:separator/>
      </w:r>
    </w:p>
  </w:endnote>
  <w:endnote w:type="continuationSeparator" w:id="0">
    <w:p w:rsidR="006664D4" w:rsidRDefault="0066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4D4" w:rsidRDefault="006664D4">
      <w:r>
        <w:separator/>
      </w:r>
    </w:p>
  </w:footnote>
  <w:footnote w:type="continuationSeparator" w:id="0">
    <w:p w:rsidR="006664D4" w:rsidRDefault="00666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E3C26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43CE7B85"/>
    <w:multiLevelType w:val="hybridMultilevel"/>
    <w:tmpl w:val="0EF06CC4"/>
    <w:lvl w:ilvl="0" w:tplc="F84E6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81AE3"/>
    <w:multiLevelType w:val="hybridMultilevel"/>
    <w:tmpl w:val="B48CEF38"/>
    <w:lvl w:ilvl="0" w:tplc="CBE254D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60780"/>
    <w:multiLevelType w:val="hybridMultilevel"/>
    <w:tmpl w:val="0832B776"/>
    <w:lvl w:ilvl="0" w:tplc="C9CC1D2E">
      <w:start w:val="1"/>
      <w:numFmt w:val="decimal"/>
      <w:lvlText w:val="%1."/>
      <w:lvlJc w:val="left"/>
      <w:pPr>
        <w:ind w:left="1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506" w:hanging="360"/>
      </w:pPr>
    </w:lvl>
    <w:lvl w:ilvl="2" w:tplc="0405001B" w:tentative="1">
      <w:start w:val="1"/>
      <w:numFmt w:val="lowerRoman"/>
      <w:lvlText w:val="%3."/>
      <w:lvlJc w:val="right"/>
      <w:pPr>
        <w:ind w:left="3226" w:hanging="180"/>
      </w:pPr>
    </w:lvl>
    <w:lvl w:ilvl="3" w:tplc="0405000F" w:tentative="1">
      <w:start w:val="1"/>
      <w:numFmt w:val="decimal"/>
      <w:lvlText w:val="%4."/>
      <w:lvlJc w:val="left"/>
      <w:pPr>
        <w:ind w:left="3946" w:hanging="360"/>
      </w:pPr>
    </w:lvl>
    <w:lvl w:ilvl="4" w:tplc="04050019" w:tentative="1">
      <w:start w:val="1"/>
      <w:numFmt w:val="lowerLetter"/>
      <w:lvlText w:val="%5."/>
      <w:lvlJc w:val="left"/>
      <w:pPr>
        <w:ind w:left="4666" w:hanging="360"/>
      </w:pPr>
    </w:lvl>
    <w:lvl w:ilvl="5" w:tplc="0405001B" w:tentative="1">
      <w:start w:val="1"/>
      <w:numFmt w:val="lowerRoman"/>
      <w:lvlText w:val="%6."/>
      <w:lvlJc w:val="right"/>
      <w:pPr>
        <w:ind w:left="5386" w:hanging="180"/>
      </w:pPr>
    </w:lvl>
    <w:lvl w:ilvl="6" w:tplc="0405000F" w:tentative="1">
      <w:start w:val="1"/>
      <w:numFmt w:val="decimal"/>
      <w:lvlText w:val="%7."/>
      <w:lvlJc w:val="left"/>
      <w:pPr>
        <w:ind w:left="6106" w:hanging="360"/>
      </w:pPr>
    </w:lvl>
    <w:lvl w:ilvl="7" w:tplc="04050019" w:tentative="1">
      <w:start w:val="1"/>
      <w:numFmt w:val="lowerLetter"/>
      <w:lvlText w:val="%8."/>
      <w:lvlJc w:val="left"/>
      <w:pPr>
        <w:ind w:left="6826" w:hanging="360"/>
      </w:pPr>
    </w:lvl>
    <w:lvl w:ilvl="8" w:tplc="040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8" w15:restartNumberingAfterBreak="0">
    <w:nsid w:val="61CF1436"/>
    <w:multiLevelType w:val="hybridMultilevel"/>
    <w:tmpl w:val="4E1E5BDC"/>
    <w:lvl w:ilvl="0" w:tplc="04050017">
      <w:start w:val="1"/>
      <w:numFmt w:val="lowerLetter"/>
      <w:lvlText w:val="%1)"/>
      <w:lvlJc w:val="left"/>
      <w:pPr>
        <w:ind w:left="7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51" w:hanging="360"/>
      </w:pPr>
    </w:lvl>
    <w:lvl w:ilvl="2" w:tplc="0405001B" w:tentative="1">
      <w:start w:val="1"/>
      <w:numFmt w:val="lowerRoman"/>
      <w:lvlText w:val="%3."/>
      <w:lvlJc w:val="right"/>
      <w:pPr>
        <w:ind w:left="2171" w:hanging="180"/>
      </w:pPr>
    </w:lvl>
    <w:lvl w:ilvl="3" w:tplc="0405000F" w:tentative="1">
      <w:start w:val="1"/>
      <w:numFmt w:val="decimal"/>
      <w:lvlText w:val="%4."/>
      <w:lvlJc w:val="left"/>
      <w:pPr>
        <w:ind w:left="2891" w:hanging="360"/>
      </w:pPr>
    </w:lvl>
    <w:lvl w:ilvl="4" w:tplc="04050019" w:tentative="1">
      <w:start w:val="1"/>
      <w:numFmt w:val="lowerLetter"/>
      <w:lvlText w:val="%5."/>
      <w:lvlJc w:val="left"/>
      <w:pPr>
        <w:ind w:left="3611" w:hanging="360"/>
      </w:pPr>
    </w:lvl>
    <w:lvl w:ilvl="5" w:tplc="0405001B" w:tentative="1">
      <w:start w:val="1"/>
      <w:numFmt w:val="lowerRoman"/>
      <w:lvlText w:val="%6."/>
      <w:lvlJc w:val="right"/>
      <w:pPr>
        <w:ind w:left="4331" w:hanging="180"/>
      </w:pPr>
    </w:lvl>
    <w:lvl w:ilvl="6" w:tplc="0405000F" w:tentative="1">
      <w:start w:val="1"/>
      <w:numFmt w:val="decimal"/>
      <w:lvlText w:val="%7."/>
      <w:lvlJc w:val="left"/>
      <w:pPr>
        <w:ind w:left="5051" w:hanging="360"/>
      </w:pPr>
    </w:lvl>
    <w:lvl w:ilvl="7" w:tplc="04050019" w:tentative="1">
      <w:start w:val="1"/>
      <w:numFmt w:val="lowerLetter"/>
      <w:lvlText w:val="%8."/>
      <w:lvlJc w:val="left"/>
      <w:pPr>
        <w:ind w:left="5771" w:hanging="360"/>
      </w:pPr>
    </w:lvl>
    <w:lvl w:ilvl="8" w:tplc="040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8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6664D4"/>
    <w:rsid w:val="00266D0A"/>
    <w:rsid w:val="002B64B6"/>
    <w:rsid w:val="003842F1"/>
    <w:rsid w:val="003F15E3"/>
    <w:rsid w:val="004A6A10"/>
    <w:rsid w:val="00520FEB"/>
    <w:rsid w:val="005E3C26"/>
    <w:rsid w:val="006664D4"/>
    <w:rsid w:val="00A73D85"/>
    <w:rsid w:val="00B16C4B"/>
    <w:rsid w:val="00C76443"/>
    <w:rsid w:val="00D3190E"/>
    <w:rsid w:val="00FE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B32BE7"/>
  <w15:chartTrackingRefBased/>
  <w15:docId w15:val="{CA4D3CA9-CF92-4BCE-A546-C00B3C03D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3C2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5E3C2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A6A10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A6A10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A6A10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A6A10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A6A10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A6A10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5E3C26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5E3C26"/>
  </w:style>
  <w:style w:type="paragraph" w:styleId="Zhlav">
    <w:name w:val="header"/>
    <w:basedOn w:val="Normln"/>
    <w:semiHidden/>
    <w:rsid w:val="005E3C2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5E3C2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5E3C2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5E3C2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5E3C2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5E3C2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5E3C2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5E3C2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5E3C2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5E3C2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5E3C2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5E3C2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5E3C2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5E3C26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5E3C2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5E3C2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5E3C2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5E3C2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5E3C2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5E3C26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5E3C26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5E3C26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5E3C26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5E3C2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5E3C2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5E3C2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5E3C26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6664D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5E3C2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5E3C26"/>
    <w:pPr>
      <w:ind w:left="567" w:hanging="567"/>
    </w:pPr>
  </w:style>
  <w:style w:type="character" w:styleId="slostrnky">
    <w:name w:val="page number"/>
    <w:basedOn w:val="Standardnpsmoodstavce"/>
    <w:semiHidden/>
    <w:rsid w:val="005E3C26"/>
  </w:style>
  <w:style w:type="paragraph" w:styleId="Zpat">
    <w:name w:val="footer"/>
    <w:basedOn w:val="Normln"/>
    <w:semiHidden/>
    <w:rsid w:val="005E3C2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5E3C2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5E3C26"/>
    <w:rPr>
      <w:vertAlign w:val="superscript"/>
    </w:rPr>
  </w:style>
  <w:style w:type="paragraph" w:styleId="Titulek">
    <w:name w:val="caption"/>
    <w:basedOn w:val="Normln"/>
    <w:next w:val="Normln"/>
    <w:qFormat/>
    <w:rsid w:val="005E3C2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5E3C2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5E3C26"/>
    <w:pPr>
      <w:keepNext/>
      <w:keepLines/>
      <w:spacing w:before="720"/>
      <w:jc w:val="center"/>
    </w:pPr>
  </w:style>
  <w:style w:type="character" w:customStyle="1" w:styleId="OdstavecseseznamemChar">
    <w:name w:val="Odstavec se seznamem Char"/>
    <w:link w:val="Odstavecseseznamem"/>
    <w:uiPriority w:val="34"/>
    <w:locked/>
    <w:rsid w:val="006664D4"/>
    <w:rPr>
      <w:rFonts w:ascii="Calibri" w:eastAsia="Calibri" w:hAnsi="Calibri"/>
      <w:sz w:val="22"/>
      <w:szCs w:val="22"/>
      <w:lang w:eastAsia="en-US"/>
    </w:rPr>
  </w:style>
  <w:style w:type="paragraph" w:customStyle="1" w:styleId="VARIANTA">
    <w:name w:val="VARIANTA"/>
    <w:basedOn w:val="Normln"/>
    <w:next w:val="Normln"/>
    <w:rsid w:val="005E3C2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5E3C2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5E3C26"/>
    <w:rPr>
      <w:b/>
    </w:rPr>
  </w:style>
  <w:style w:type="paragraph" w:customStyle="1" w:styleId="Nadpislnku">
    <w:name w:val="Nadpis článku"/>
    <w:basedOn w:val="lnek"/>
    <w:next w:val="Textodstavce"/>
    <w:rsid w:val="005E3C26"/>
    <w:rPr>
      <w:b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A6A1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A6A10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A6A1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A6A1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A6A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A6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13</TotalTime>
  <Pages>5</Pages>
  <Words>1598</Words>
  <Characters>8889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5</cp:revision>
  <dcterms:created xsi:type="dcterms:W3CDTF">2019-09-16T08:32:00Z</dcterms:created>
  <dcterms:modified xsi:type="dcterms:W3CDTF">2019-09-20T09:17:00Z</dcterms:modified>
  <cp:category/>
</cp:coreProperties>
</file>