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52E" w:rsidRDefault="0032652E" w:rsidP="0032652E">
      <w:pPr>
        <w:pStyle w:val="western"/>
        <w:spacing w:before="0"/>
        <w:rPr>
          <w:sz w:val="28"/>
          <w:szCs w:val="28"/>
        </w:rPr>
      </w:pPr>
    </w:p>
    <w:p w:rsidR="0032652E" w:rsidRDefault="0032652E" w:rsidP="0032652E">
      <w:pPr>
        <w:pStyle w:val="western"/>
        <w:spacing w:before="0"/>
        <w:rPr>
          <w:sz w:val="28"/>
          <w:szCs w:val="28"/>
        </w:rPr>
      </w:pPr>
      <w:r>
        <w:rPr>
          <w:sz w:val="28"/>
          <w:szCs w:val="28"/>
        </w:rPr>
        <w:t>Zpráva o peticích</w:t>
      </w:r>
    </w:p>
    <w:p w:rsidR="0032652E" w:rsidRDefault="0032652E" w:rsidP="0032652E">
      <w:pPr>
        <w:pStyle w:val="western"/>
        <w:spacing w:before="0"/>
        <w:rPr>
          <w:b w:val="0"/>
          <w:bCs w:val="0"/>
          <w:sz w:val="28"/>
          <w:szCs w:val="28"/>
        </w:rPr>
      </w:pPr>
      <w:r>
        <w:rPr>
          <w:b w:val="0"/>
          <w:bCs w:val="0"/>
          <w:sz w:val="28"/>
          <w:szCs w:val="28"/>
        </w:rPr>
        <w:t>přijatých Poslaneckou sněmovnou Parlamentu České republiky</w:t>
      </w:r>
    </w:p>
    <w:p w:rsidR="0032652E" w:rsidRDefault="0032652E" w:rsidP="0032652E">
      <w:pPr>
        <w:pStyle w:val="western"/>
        <w:spacing w:before="0"/>
        <w:rPr>
          <w:b w:val="0"/>
          <w:bCs w:val="0"/>
          <w:sz w:val="28"/>
          <w:szCs w:val="28"/>
        </w:rPr>
      </w:pPr>
      <w:r>
        <w:rPr>
          <w:b w:val="0"/>
          <w:bCs w:val="0"/>
          <w:sz w:val="28"/>
          <w:szCs w:val="28"/>
        </w:rPr>
        <w:t>v období od 1. 1. 2019 do 30. 6. 2019</w:t>
      </w:r>
    </w:p>
    <w:p w:rsidR="0032652E" w:rsidRDefault="0032652E" w:rsidP="0032652E">
      <w:pPr>
        <w:pStyle w:val="western"/>
        <w:spacing w:before="0"/>
        <w:rPr>
          <w:b w:val="0"/>
          <w:bCs w:val="0"/>
          <w:sz w:val="28"/>
          <w:szCs w:val="28"/>
        </w:rPr>
      </w:pPr>
    </w:p>
    <w:p w:rsidR="0032652E" w:rsidRDefault="0032652E" w:rsidP="0032652E">
      <w:pPr>
        <w:pStyle w:val="Normlnweb"/>
        <w:numPr>
          <w:ilvl w:val="0"/>
          <w:numId w:val="1"/>
        </w:numPr>
        <w:jc w:val="both"/>
        <w:rPr>
          <w:b/>
          <w:bCs/>
        </w:rPr>
      </w:pPr>
      <w:r>
        <w:rPr>
          <w:b/>
          <w:bCs/>
        </w:rPr>
        <w:t>Počet, obsahové zaměření a způsob vyřízení doručených petic</w:t>
      </w:r>
    </w:p>
    <w:p w:rsidR="0032652E" w:rsidRDefault="0032652E" w:rsidP="0032652E">
      <w:pPr>
        <w:pStyle w:val="Normlnweb"/>
        <w:jc w:val="both"/>
      </w:pPr>
      <w:r>
        <w:t xml:space="preserve">Poslanecké sněmovně Parlamentu České republiky (dále jen „Poslanecká sněmovna“) bylo v průběhu </w:t>
      </w:r>
      <w:r>
        <w:rPr>
          <w:b/>
          <w:bCs/>
        </w:rPr>
        <w:t>prvního pololetí roku 2019</w:t>
      </w:r>
      <w:r>
        <w:t xml:space="preserve"> doručeno celkem </w:t>
      </w:r>
      <w:r>
        <w:rPr>
          <w:b/>
          <w:bCs/>
        </w:rPr>
        <w:t>9 petic</w:t>
      </w:r>
      <w:r>
        <w:t xml:space="preserve">, ve kterých podpořilo žádosti ve věcech veřejného nebo jiného společenského zájmu </w:t>
      </w:r>
      <w:r>
        <w:rPr>
          <w:b/>
          <w:bCs/>
        </w:rPr>
        <w:t>96 700 petentů</w:t>
      </w:r>
      <w:r>
        <w:rPr>
          <w:rFonts w:ascii="Rockwell Condensed" w:hAnsi="Rockwell Condensed" w:cs="Rockwell Condensed"/>
        </w:rPr>
        <w:t xml:space="preserve">. </w:t>
      </w:r>
    </w:p>
    <w:p w:rsidR="0032652E" w:rsidRDefault="0032652E" w:rsidP="0032652E">
      <w:pPr>
        <w:jc w:val="both"/>
        <w:rPr>
          <w:rFonts w:cs="Times New Roman"/>
        </w:rPr>
      </w:pPr>
    </w:p>
    <w:p w:rsidR="0032652E" w:rsidRDefault="0032652E" w:rsidP="0032652E">
      <w:pPr>
        <w:jc w:val="both"/>
        <w:rPr>
          <w:rFonts w:cs="Times New Roman"/>
          <w:b/>
          <w:bCs/>
        </w:rPr>
      </w:pPr>
      <w:r>
        <w:rPr>
          <w:rFonts w:cs="Times New Roman"/>
        </w:rPr>
        <w:t xml:space="preserve">1. Dne 10. 1. 2019 byla do Poslanecké sněmovny doručena </w:t>
      </w:r>
      <w:r>
        <w:rPr>
          <w:rFonts w:cs="Times New Roman"/>
          <w:b/>
          <w:bCs/>
        </w:rPr>
        <w:t>petice s celkem 24 096 podpisy, ve které petenti požadovali změnu tzv. „protikuřáckého zákona“ v tom smyslu, aby majitelé restauračních zařízení mohli pro kuřáky vyčlenit místnost, kde se hosté prokazatelně nestravují.</w:t>
      </w:r>
      <w:r>
        <w:rPr>
          <w:rFonts w:cs="Times New Roman"/>
        </w:rPr>
        <w:t xml:space="preserve"> Petenti byli informováni, že se členové petičního výboru s obsahem jejich petice seznámili. K totožné petici již proběhlo v březnu 2018 veřejné slyšení, kde si petenti i zástupci Ministerstva zdravotnictví vyměnili názory a zdůvodnili svá stanoviska. </w:t>
      </w:r>
      <w:r>
        <w:rPr>
          <w:rFonts w:cs="Times New Roman"/>
          <w:b/>
          <w:bCs/>
        </w:rPr>
        <w:t>Navržené zmírnění protikuřáckého zákona bylo pak Poslaneckou sněmovnou dne 29. 5. 2018 v prvém čtení zamítnuto.</w:t>
      </w:r>
    </w:p>
    <w:p w:rsidR="0032652E" w:rsidRDefault="0032652E" w:rsidP="0032652E">
      <w:pPr>
        <w:jc w:val="both"/>
        <w:rPr>
          <w:rFonts w:cs="Times New Roman"/>
        </w:rPr>
      </w:pPr>
    </w:p>
    <w:p w:rsidR="0032652E" w:rsidRDefault="0032652E" w:rsidP="0032652E">
      <w:pPr>
        <w:jc w:val="both"/>
        <w:rPr>
          <w:rFonts w:cs="Times New Roman"/>
        </w:rPr>
      </w:pPr>
      <w:r>
        <w:rPr>
          <w:rFonts w:cs="Times New Roman"/>
        </w:rPr>
        <w:t xml:space="preserve">2. Dne 11. 1. 2019 obdržel petiční výbor </w:t>
      </w:r>
      <w:r>
        <w:rPr>
          <w:rFonts w:cs="Times New Roman"/>
          <w:b/>
          <w:bCs/>
        </w:rPr>
        <w:t xml:space="preserve">petici se 7 756 podpisy požadující zachování stávající územní působnosti obce s rozšířenou působností Turnov a vzniku okresu Turnov. </w:t>
      </w:r>
      <w:r>
        <w:rPr>
          <w:rFonts w:cs="Times New Roman"/>
        </w:rPr>
        <w:t>Petice byla postoupena k zaujetí stanoviska</w:t>
      </w:r>
      <w:r>
        <w:rPr>
          <w:rFonts w:cs="Times New Roman"/>
          <w:b/>
          <w:bCs/>
        </w:rPr>
        <w:t xml:space="preserve"> </w:t>
      </w:r>
      <w:r>
        <w:rPr>
          <w:rFonts w:cs="Times New Roman"/>
        </w:rPr>
        <w:t xml:space="preserve">Ministerstvu vnitra, neboť tato problematika se týkala právě Ministerstvem vnitra předkládaného zákona o územně správním členění státu. </w:t>
      </w:r>
      <w:r>
        <w:rPr>
          <w:rFonts w:cs="Times New Roman"/>
          <w:b/>
          <w:bCs/>
        </w:rPr>
        <w:t>Na základě obsáhlého stanoviska ministra vnitra byli petenti vyrozuměni v tom smyslu, že jejich argumenty pro zachování stávající územní působnosti obce s rozšířenou působností Turnov při hlubší analýze neobstály natolik, aby změnily připravovaný návrh novely zákona o územně správním členění státu. Požadavek petentů ohledně zřízení nového okresu Turnov by si vyžádal personální i finanční náklady neodpovídající zamýšlenému cíli, tj. efektivní a funkční správě příslušného území. Na druhé straně Ministerstvo vnitra vyslovilo ochotu vyjít petentům vstříc, pokud jde např. o zřízení pobočky Okresní správy sociálního zabezpečení v Turnově a zajištění dalších kontaktních míst v zájmu co nejvyššího komfortu při vyřizování věcí, které by jinak museli občané Turnova řešit v Semilech.</w:t>
      </w:r>
    </w:p>
    <w:p w:rsidR="0032652E" w:rsidRDefault="0032652E" w:rsidP="0032652E">
      <w:pPr>
        <w:jc w:val="both"/>
        <w:rPr>
          <w:rFonts w:cs="Times New Roman"/>
          <w:b/>
          <w:bCs/>
        </w:rPr>
      </w:pPr>
    </w:p>
    <w:p w:rsidR="0032652E" w:rsidRDefault="0032652E" w:rsidP="0032652E">
      <w:pPr>
        <w:jc w:val="both"/>
        <w:rPr>
          <w:rFonts w:cs="Times New Roman"/>
        </w:rPr>
      </w:pPr>
      <w:r>
        <w:rPr>
          <w:rFonts w:cs="Times New Roman"/>
        </w:rPr>
        <w:t xml:space="preserve">3. Dne 22. 1. 2019 byla do Poslanecké sněmovny doručena </w:t>
      </w:r>
      <w:r>
        <w:rPr>
          <w:rFonts w:cs="Times New Roman"/>
          <w:b/>
          <w:bCs/>
        </w:rPr>
        <w:t xml:space="preserve">petice s jedním podpisem </w:t>
      </w:r>
      <w:r>
        <w:rPr>
          <w:rFonts w:cs="Times New Roman"/>
        </w:rPr>
        <w:t>(+ 1 674 podpisy elektronickými),</w:t>
      </w:r>
      <w:r>
        <w:rPr>
          <w:rFonts w:cs="Times New Roman"/>
          <w:b/>
          <w:bCs/>
        </w:rPr>
        <w:t xml:space="preserve"> ve které petenti vyjádřili protest proti senátnímu návrhu na novelizaci § 23 autorského zákona a obavy z přijetí tohoto návrhu, neboť by to v důsledku znamenalo, že ceny za dílo hmotné či duševní by ovlivňoval stát dle přání vlivného uživatele nebo skupiny uživatelů přímo zákonem. V rámci projednávání novely autorského zákona (tisk č. 175) v Poslanecké sněmovně dne 23. 1. 2019 s obsahem petice vystoupily zpravodajka A. Gajdůšková a předsedkyně petičního výboru H. Válková. Na 26. schůzi dne 1. 2. 2019 pak Poslanecká sněmovna přijala usnesení, kterým schválila návrh autorského zákona ve znění, ve kterém byl postoupen Senátu (tisk č. 175/4).</w:t>
      </w:r>
    </w:p>
    <w:p w:rsidR="0032652E" w:rsidRDefault="0032652E" w:rsidP="0032652E">
      <w:pPr>
        <w:jc w:val="both"/>
        <w:rPr>
          <w:rFonts w:cs="Times New Roman"/>
          <w:b/>
          <w:bCs/>
        </w:rPr>
      </w:pPr>
    </w:p>
    <w:p w:rsidR="0032652E" w:rsidRDefault="0032652E" w:rsidP="0032652E">
      <w:pPr>
        <w:jc w:val="both"/>
        <w:rPr>
          <w:rFonts w:cs="Times New Roman"/>
        </w:rPr>
      </w:pPr>
    </w:p>
    <w:p w:rsidR="0032652E" w:rsidRDefault="0032652E" w:rsidP="0032652E">
      <w:pPr>
        <w:jc w:val="both"/>
        <w:rPr>
          <w:rFonts w:cs="Times New Roman"/>
        </w:rPr>
      </w:pPr>
    </w:p>
    <w:p w:rsidR="0032652E" w:rsidRDefault="0032652E" w:rsidP="0032652E">
      <w:pPr>
        <w:jc w:val="both"/>
        <w:rPr>
          <w:rFonts w:cs="Times New Roman"/>
          <w:b/>
          <w:bCs/>
        </w:rPr>
      </w:pPr>
      <w:r>
        <w:rPr>
          <w:rFonts w:cs="Times New Roman"/>
        </w:rPr>
        <w:lastRenderedPageBreak/>
        <w:t xml:space="preserve">4. Dne 12. 4. 2019 byla na petičním výboru Poslanecké sněmovny zaevidována </w:t>
      </w:r>
      <w:r>
        <w:rPr>
          <w:rFonts w:cs="Times New Roman"/>
          <w:b/>
          <w:bCs/>
        </w:rPr>
        <w:t xml:space="preserve">„Petice za zřízení chráněné oblasti přirozené akumulace vod v oblasti soutoku Berounky a Vltavy“ s jedním originálním podpisem </w:t>
      </w:r>
      <w:r>
        <w:rPr>
          <w:rFonts w:cs="Times New Roman"/>
        </w:rPr>
        <w:t xml:space="preserve">(+ 256 podpisy ofocenými a 271 zaslanými mailem). Ministerstvo životního prostředí zaslalo obsáhlou informaci k této problematice, z níž vyplývá, že </w:t>
      </w:r>
      <w:r>
        <w:rPr>
          <w:rFonts w:cs="Times New Roman"/>
          <w:b/>
          <w:bCs/>
        </w:rPr>
        <w:t>pro ochranu uvedeného vodního zdroje v oblasti soutoku Berounky a Vltavy se pro ochranu daného území jeví příhodnější institut ochranného pásma vodního zdroje, tzv. OPVZ. OPVZ II. stupně se na uvedeném území již nachází.</w:t>
      </w:r>
      <w:r>
        <w:rPr>
          <w:rFonts w:cs="Times New Roman"/>
        </w:rPr>
        <w:t xml:space="preserve"> </w:t>
      </w:r>
      <w:r>
        <w:rPr>
          <w:rFonts w:cs="Times New Roman"/>
          <w:b/>
          <w:bCs/>
        </w:rPr>
        <w:t>Ve smyslu tohoto stanoviska byli petenti informováni dopisem zpravodaje.</w:t>
      </w:r>
    </w:p>
    <w:p w:rsidR="0032652E" w:rsidRDefault="0032652E" w:rsidP="0032652E">
      <w:pPr>
        <w:jc w:val="both"/>
        <w:rPr>
          <w:rFonts w:cs="Times New Roman"/>
        </w:rPr>
      </w:pPr>
    </w:p>
    <w:p w:rsidR="0032652E" w:rsidRDefault="0032652E" w:rsidP="0032652E">
      <w:pPr>
        <w:jc w:val="both"/>
        <w:rPr>
          <w:rFonts w:cs="Times New Roman"/>
          <w:b/>
          <w:bCs/>
        </w:rPr>
      </w:pPr>
      <w:r>
        <w:rPr>
          <w:rFonts w:cs="Times New Roman"/>
        </w:rPr>
        <w:t xml:space="preserve">5. </w:t>
      </w:r>
      <w:r>
        <w:rPr>
          <w:rFonts w:cs="Times New Roman"/>
          <w:b/>
          <w:bCs/>
        </w:rPr>
        <w:t xml:space="preserve">Petici s jedním podpisem požadující systémové řešení problematiky tzv. „šmejdů“ </w:t>
      </w:r>
      <w:r>
        <w:rPr>
          <w:rFonts w:cs="Times New Roman"/>
        </w:rPr>
        <w:t xml:space="preserve">obdržel petiční výbor 16. 4. 2019. Pisatel v petici poukázal a na příkladech uvedl, že se problém nadále rozmáhá v mnoha dalších formách a způsobech. Upozornil, že se tento (dle petentů)„druh organizovaného zločinu“ rozrostl o „šmejdy“ s energiemi, s čističi vody, se zdravotními službami, se zázračnými matracemi, dekami, se zdravotními potřebami a pomůckami, či léky apod. Zpravodaj této petice je s pisatelem v kontaktu, petice je nadále v řešení. Dne 11. 6. 2019 odsouhlasil petiční výbor na své 21. schůzi </w:t>
      </w:r>
      <w:r>
        <w:rPr>
          <w:rFonts w:cs="Times New Roman"/>
          <w:b/>
          <w:bCs/>
        </w:rPr>
        <w:t>žádost zpravodaje o prodloužení lhůty pro projednání uvedené petice.</w:t>
      </w:r>
    </w:p>
    <w:p w:rsidR="0032652E" w:rsidRDefault="0032652E" w:rsidP="0032652E">
      <w:pPr>
        <w:jc w:val="both"/>
        <w:rPr>
          <w:rFonts w:cs="Times New Roman"/>
        </w:rPr>
      </w:pPr>
    </w:p>
    <w:p w:rsidR="0032652E" w:rsidRDefault="0032652E" w:rsidP="0032652E">
      <w:pPr>
        <w:jc w:val="both"/>
        <w:rPr>
          <w:rFonts w:cs="Times New Roman"/>
          <w:b/>
          <w:bCs/>
        </w:rPr>
      </w:pPr>
      <w:r>
        <w:rPr>
          <w:rFonts w:cs="Times New Roman"/>
        </w:rPr>
        <w:t xml:space="preserve">6. Dne 6. 5. 2019 byla Poslanecké sněmovně doručena </w:t>
      </w:r>
      <w:r>
        <w:rPr>
          <w:rFonts w:cs="Times New Roman"/>
          <w:b/>
          <w:bCs/>
        </w:rPr>
        <w:t xml:space="preserve">petice s 54 podpisy, v níž petenti požadovali oddělení vesnice Holašovice od obce Jankov v okrese České Budějovice. Mezi oběma těmito obcemi se již od roku 2005 odehrává konflikt, k jehož vyřešení žádali petenti doplnění zákona č. 128/2000 Sb., o obcích, v § 21 o tento text: „počet obyvatel potřebných pro oddělení obce se nevztahuje na obce mimořádného významu nesoucí titul Světového kulturního dědictví UNESCO“. </w:t>
      </w:r>
      <w:r>
        <w:rPr>
          <w:rFonts w:cs="Times New Roman"/>
        </w:rPr>
        <w:t xml:space="preserve">Zpravodaj s petenty opakovaně bez úspěchu jednal, poté jim doporučil, aby se obrátili na poslance a bývalého hejtmana J. Zahradníka, který celou situaci zná a který by mohl podat poslanecký návrh na změnu zákona. Zpravodaj se ale ztotožňuje se stanoviskem současné hejtmanky Jihočeského kraje I. Stráské, že navrhovaná změna zákona by narazila např. hned v Legislativní radě vlády ČR. Jako schůdnější řešení se zpravodaji jeví jednání v rámci obecního zastupitelstva - přesvědčit současné zastupitele, popř. uspořádat místní referendum. </w:t>
      </w:r>
      <w:r>
        <w:rPr>
          <w:rFonts w:cs="Times New Roman"/>
          <w:b/>
          <w:bCs/>
        </w:rPr>
        <w:t>V tomto smyslu také zpravodaj petentům odpověděl.</w:t>
      </w:r>
    </w:p>
    <w:p w:rsidR="0032652E" w:rsidRDefault="0032652E" w:rsidP="0032652E">
      <w:pPr>
        <w:jc w:val="both"/>
        <w:rPr>
          <w:rFonts w:cs="Times New Roman"/>
        </w:rPr>
      </w:pPr>
    </w:p>
    <w:p w:rsidR="0032652E" w:rsidRDefault="0032652E" w:rsidP="0032652E">
      <w:pPr>
        <w:jc w:val="both"/>
        <w:rPr>
          <w:rFonts w:cs="Times New Roman"/>
          <w:b/>
          <w:bCs/>
        </w:rPr>
      </w:pPr>
      <w:r>
        <w:rPr>
          <w:rFonts w:cs="Times New Roman"/>
        </w:rPr>
        <w:t xml:space="preserve">7. </w:t>
      </w:r>
      <w:r>
        <w:rPr>
          <w:rFonts w:cs="Times New Roman"/>
          <w:b/>
          <w:bCs/>
        </w:rPr>
        <w:t xml:space="preserve">Petice „Za řádné vyšetření okolností smrtí Marečka z Loun a za významné zvýšení trestů pro pachatele trestných činů spáchaných na dětech“ s 16 322 podpisy (+ 18 000 podpisy elektronickými) byla předaná Kanceláři prezidenta republiky. </w:t>
      </w:r>
      <w:r>
        <w:rPr>
          <w:rFonts w:cs="Times New Roman"/>
        </w:rPr>
        <w:t xml:space="preserve">Petiční výbor Poslanecké sněmovny tuto petici převzal dne 16. 5. 2019 a v rámci 21. schůze k ní dne 11. 6. 2019 uspořádal veřejné slyšení za účasti petentů, zástupců Ministerstva spravedlnosti, Ministerstva práce a sociálních věcí, Ministerstva vnitra, Výboru pro práva dítěte a Fondu ohrožených dětí. Jednání se také zúčastnila předsedkyně Stálé komise pro rodinu, rovné příležitosti a národnostní menšiny J. Pastuchová, která v diskusi navrhla jako </w:t>
      </w:r>
      <w:r>
        <w:rPr>
          <w:rFonts w:cs="Times New Roman"/>
          <w:b/>
          <w:bCs/>
        </w:rPr>
        <w:t>podnět zahájit širší osvětu, tzn. podobné případy více medializovat, aby lidé byli všímavější. S tím v závěru veřejného slyšení souhlasili petenti i přítomní zástupci státní správy. Za petenty bylo ještě doplněno, že bude také vhodné ukázat případy, kdy se na základě takové medializace konkrétního případu např. podařilo zachránit týrané nebo ohrožené dítě.</w:t>
      </w:r>
    </w:p>
    <w:p w:rsidR="0032652E" w:rsidRDefault="0032652E" w:rsidP="0032652E">
      <w:pPr>
        <w:jc w:val="both"/>
        <w:rPr>
          <w:rFonts w:cs="Times New Roman"/>
        </w:rPr>
      </w:pPr>
    </w:p>
    <w:p w:rsidR="0032652E" w:rsidRDefault="0032652E" w:rsidP="0032652E">
      <w:pPr>
        <w:jc w:val="both"/>
        <w:rPr>
          <w:rFonts w:cs="Times New Roman"/>
        </w:rPr>
      </w:pPr>
      <w:r>
        <w:rPr>
          <w:rFonts w:cs="Times New Roman"/>
        </w:rPr>
        <w:t xml:space="preserve">8. Dne 18. 6. 2019 obdržela Poslanecká sněmovna </w:t>
      </w:r>
      <w:r>
        <w:rPr>
          <w:rFonts w:cs="Times New Roman"/>
          <w:b/>
          <w:bCs/>
        </w:rPr>
        <w:t xml:space="preserve">„Petici za posílení práv společenství vlastníků jednotek a vlastníků bytových jednotek“ od Svazu českých a moravských bytových družstev s 48 468 podpisy. </w:t>
      </w:r>
      <w:r>
        <w:rPr>
          <w:rFonts w:cs="Times New Roman"/>
        </w:rPr>
        <w:t>Touto peticí se bude petiční výbor zabývat na své příští v září 2019, kdy k ní uspořádá veřejné slyšení.</w:t>
      </w:r>
    </w:p>
    <w:p w:rsidR="0032652E" w:rsidRDefault="0032652E" w:rsidP="0032652E">
      <w:pPr>
        <w:jc w:val="both"/>
        <w:rPr>
          <w:rFonts w:cs="Times New Roman"/>
        </w:rPr>
      </w:pPr>
    </w:p>
    <w:p w:rsidR="0032652E" w:rsidRDefault="0032652E" w:rsidP="0032652E">
      <w:pPr>
        <w:jc w:val="both"/>
        <w:rPr>
          <w:rFonts w:cs="Times New Roman"/>
        </w:rPr>
      </w:pPr>
      <w:r>
        <w:rPr>
          <w:rFonts w:cs="Times New Roman"/>
        </w:rPr>
        <w:lastRenderedPageBreak/>
        <w:t xml:space="preserve">9. Dne 26. 6. 2019 byl petičnímu výboru doručen jeden arch </w:t>
      </w:r>
      <w:r>
        <w:rPr>
          <w:rFonts w:cs="Times New Roman"/>
          <w:b/>
          <w:bCs/>
        </w:rPr>
        <w:t xml:space="preserve">„Petice za nediskriminační navýšení rodičovského příspěvku“ s jedním podpisem </w:t>
      </w:r>
      <w:r>
        <w:rPr>
          <w:rFonts w:cs="Times New Roman"/>
        </w:rPr>
        <w:t>(+ 226 podpisy elektronickými). Účelem petice je upozornit na - dle petentů - nespravedlivé a diskriminační řešení vládního návrhu ze dne 20. 5. 2019, které je v rozporu se stávajícím zákonem o státní sociální podpoře, jenž vytyčuje podmínky pro pobírání rodičovského příspěvku. Petenti rovněž upozorňují, že Ústavní soud se v nálezu sp. zn. PI.ÚS 31/09 ze dne 9. 1. 2013, jasně vyjádřil, že rodičovský příspěvek je dávka, která je spojována jen s jedinou právní skutečností, a tou je péče o dítě do 4 let věku. Určená zpravodajka této petice požádala prostřednictvím dopisu předsedkyně petičního výboru o stanovisko výbor pro sociální politiku. O tomto kroku a o tom, že se peticí bude zabývat petiční výbor na své zářijové schůzi, zpravodajka petentku informovala. Petice je tedy stále projednávána.</w:t>
      </w:r>
    </w:p>
    <w:p w:rsidR="0032652E" w:rsidRDefault="0032652E" w:rsidP="0032652E">
      <w:pPr>
        <w:jc w:val="both"/>
        <w:rPr>
          <w:rFonts w:cs="Times New Roman"/>
        </w:rPr>
      </w:pPr>
    </w:p>
    <w:p w:rsidR="0032652E" w:rsidRDefault="0032652E" w:rsidP="0032652E">
      <w:pPr>
        <w:jc w:val="both"/>
        <w:rPr>
          <w:rFonts w:cs="Times New Roman"/>
        </w:rPr>
      </w:pPr>
    </w:p>
    <w:p w:rsidR="0032652E" w:rsidRDefault="0032652E" w:rsidP="0032652E">
      <w:pPr>
        <w:jc w:val="both"/>
        <w:rPr>
          <w:rFonts w:cs="Times New Roman"/>
        </w:rPr>
      </w:pPr>
      <w:r>
        <w:rPr>
          <w:rFonts w:cs="Times New Roman"/>
          <w:b/>
          <w:bCs/>
        </w:rPr>
        <w:t xml:space="preserve"> II.</w:t>
      </w:r>
      <w:r>
        <w:rPr>
          <w:rFonts w:cs="Times New Roman"/>
          <w:b/>
          <w:bCs/>
        </w:rPr>
        <w:tab/>
        <w:t>Postup při vyřizování petic</w:t>
      </w:r>
    </w:p>
    <w:p w:rsidR="0032652E" w:rsidRDefault="0032652E" w:rsidP="0032652E">
      <w:pPr>
        <w:pStyle w:val="Normlnweb"/>
        <w:jc w:val="both"/>
        <w:rPr>
          <w:rFonts w:cs="Times New Roman"/>
        </w:rPr>
      </w:pPr>
      <w:r>
        <w:rPr>
          <w:rFonts w:cs="Times New Roman"/>
        </w:rPr>
        <w:t xml:space="preserve">Při vyřizování petic se postupuje dle </w:t>
      </w:r>
      <w:r>
        <w:rPr>
          <w:rFonts w:cs="Times New Roman"/>
          <w:b/>
          <w:bCs/>
        </w:rPr>
        <w:t xml:space="preserve">zákona č 85/1990 Sb., o právu petičním, zákona č. 90/1995 Sb., o jednacím řádu Poslanecké sněmovny a Zásad petičního výboru pro vyřizování petic doručených Poslanecké sněmovně a jejím orgánům, </w:t>
      </w:r>
      <w:r>
        <w:rPr>
          <w:rFonts w:cs="Times New Roman"/>
        </w:rPr>
        <w:t>který byl pro 8. volební období schválen dne 6. prosince 2017 na 2. schůzi petičního výboru</w:t>
      </w:r>
      <w:r>
        <w:rPr>
          <w:rFonts w:ascii="Consolas" w:hAnsi="Consolas" w:cs="Consolas"/>
        </w:rPr>
        <w:t>.</w:t>
      </w:r>
      <w:r>
        <w:rPr>
          <w:rFonts w:cs="Times New Roman"/>
        </w:rPr>
        <w:t xml:space="preserve"> Petiční výbor, kterému jsou vždy doručeny všechny petice adresované Poslanecké sněmovně, posoudí, zda petice obsahuje veškeré náležitosti stanovené zákonem o právu petičním a rozhoduje o postupu vyřízení došlé petice. </w:t>
      </w:r>
    </w:p>
    <w:p w:rsidR="0032652E" w:rsidRDefault="0032652E" w:rsidP="0032652E">
      <w:pPr>
        <w:pStyle w:val="Normlnweb"/>
        <w:jc w:val="both"/>
        <w:rPr>
          <w:rFonts w:cs="Times New Roman"/>
        </w:rPr>
      </w:pPr>
      <w:r>
        <w:rPr>
          <w:rFonts w:cs="Times New Roman"/>
          <w:b/>
          <w:bCs/>
        </w:rPr>
        <w:t>K peticím s více než 10 000 podpisy</w:t>
      </w:r>
      <w:r>
        <w:rPr>
          <w:rFonts w:cs="Times New Roman"/>
        </w:rPr>
        <w:t xml:space="preserve">, případně </w:t>
      </w:r>
      <w:r>
        <w:rPr>
          <w:rFonts w:cs="Times New Roman"/>
          <w:b/>
          <w:bCs/>
        </w:rPr>
        <w:t>k petici se závažným společenským tématem,</w:t>
      </w:r>
      <w:r>
        <w:rPr>
          <w:rFonts w:cs="Times New Roman"/>
        </w:rPr>
        <w:t xml:space="preserve"> je uspořádáno</w:t>
      </w:r>
      <w:r>
        <w:rPr>
          <w:rFonts w:cs="Times New Roman"/>
          <w:b/>
          <w:bCs/>
        </w:rPr>
        <w:t xml:space="preserve"> veřejné slyšení</w:t>
      </w:r>
      <w:r>
        <w:rPr>
          <w:rFonts w:ascii="Rockwell Condensed" w:hAnsi="Rockwell Condensed" w:cs="Rockwell Condensed"/>
        </w:rPr>
        <w:t>,</w:t>
      </w:r>
      <w:r>
        <w:rPr>
          <w:rFonts w:cs="Times New Roman"/>
        </w:rPr>
        <w:t xml:space="preserve"> na které jsou přizváni zástupci petentů a zástupci příslušného ministerstva a dalších dotčených orgánů.  </w:t>
      </w:r>
    </w:p>
    <w:p w:rsidR="0032652E" w:rsidRDefault="0032652E" w:rsidP="0032652E">
      <w:pPr>
        <w:pStyle w:val="Normlnweb"/>
        <w:jc w:val="both"/>
        <w:rPr>
          <w:rFonts w:cs="Times New Roman"/>
        </w:rPr>
      </w:pPr>
      <w:r>
        <w:rPr>
          <w:rFonts w:cs="Times New Roman"/>
        </w:rPr>
        <w:t>Petiční výbor dále rozhoduje o postoupení došlé petice k vyřízení nebo využití sněmovnímu výboru, který se danou problematikou zabývá. Některé petice, které požadují změnu či doplnění zákona, jsou postoupeny všem parlamentním klubům Poslanecké sněmovny jako připomínky a podněty k zákonodárné činnosti poslanců. Petice jsou také postupovány příslušnému ministerstvu, které zváží zapracování námětu do vládní předlohy zákona nebo vyhlášky. O některých významnějších a početnějších peticích jsou poslanci informováni přímo na zasedání Sněmovny. K propagaci petic přispívají informace o peticích na internetu.</w:t>
      </w:r>
    </w:p>
    <w:p w:rsidR="0032652E" w:rsidRDefault="0032652E" w:rsidP="0032652E">
      <w:pPr>
        <w:pStyle w:val="western"/>
        <w:jc w:val="both"/>
        <w:rPr>
          <w:rFonts w:cs="Times New Roman"/>
          <w:b w:val="0"/>
          <w:bCs w:val="0"/>
        </w:rPr>
      </w:pPr>
      <w:r>
        <w:rPr>
          <w:rFonts w:cs="Times New Roman"/>
          <w:b w:val="0"/>
          <w:bCs w:val="0"/>
        </w:rPr>
        <w:t xml:space="preserve">Program evidence petic byl vypracován v informačním systému Poslanecké sněmovny a je k dispozici všem poslancům a výborům Poslanecké sněmovny. Evidence je realizována v prostředí Lotus Notes s uvedením, </w:t>
      </w:r>
      <w:r>
        <w:rPr>
          <w:rFonts w:cs="Times New Roman"/>
        </w:rPr>
        <w:t>kdo petici podal, kdy byla doručena, čeho se týkala, jak, kdy a kým byla projednána a vyřízena</w:t>
      </w:r>
      <w:r>
        <w:rPr>
          <w:rFonts w:cs="Times New Roman"/>
          <w:b w:val="0"/>
          <w:bCs w:val="0"/>
        </w:rPr>
        <w:t>. Program lze využít nejen pro evidenci petic, ale i ke sledování pohybu jednotlivých dokumentů, stavu zpracování, k dotazům na jednotlivé dokumenty a selekci dokumentů dle různých klíčů. V informačním systému Poslanecké sněmovny jsou přehledně řazené pololetní zprávy tak, jak jsou projednávány petičním výborem a schváleny na plénu Poslanecké sněmovny.</w:t>
      </w:r>
    </w:p>
    <w:p w:rsidR="0032652E" w:rsidRDefault="0032652E" w:rsidP="0032652E">
      <w:pPr>
        <w:pStyle w:val="Normlnweb"/>
        <w:jc w:val="both"/>
        <w:rPr>
          <w:rFonts w:cs="Times New Roman"/>
          <w:b/>
          <w:bCs/>
          <w:i/>
          <w:iCs/>
        </w:rPr>
      </w:pPr>
      <w:r>
        <w:rPr>
          <w:rFonts w:cs="Times New Roman"/>
          <w:b/>
          <w:bCs/>
        </w:rPr>
        <w:t>Obsah petic</w:t>
      </w:r>
      <w:r>
        <w:rPr>
          <w:rFonts w:cs="Times New Roman"/>
        </w:rPr>
        <w:t xml:space="preserve"> je zachycen v tabulce, ve které se zároveň uvádí </w:t>
      </w:r>
      <w:r>
        <w:rPr>
          <w:rFonts w:cs="Times New Roman"/>
          <w:b/>
          <w:bCs/>
        </w:rPr>
        <w:t>počet petic a podpisů</w:t>
      </w:r>
      <w:r>
        <w:rPr>
          <w:rFonts w:cs="Times New Roman"/>
        </w:rPr>
        <w:t xml:space="preserve">. V tomto přehledu </w:t>
      </w:r>
      <w:r>
        <w:rPr>
          <w:rFonts w:cs="Times New Roman"/>
          <w:b/>
          <w:bCs/>
        </w:rPr>
        <w:t>jsou petice tříděny podle klasifikačních znaků přebíraných v tezauru Eurovoc</w:t>
      </w:r>
      <w:r>
        <w:rPr>
          <w:rFonts w:cs="Times New Roman"/>
        </w:rPr>
        <w:t>, které vyjadřují hlavní téma petice. Každý klasifikační znak obsahuje číslo, které slouží pro jeho přesnou identifikaci a systematické členění seznamu petic.</w:t>
      </w:r>
      <w:r>
        <w:rPr>
          <w:rFonts w:cs="Times New Roman"/>
          <w:b/>
          <w:bCs/>
          <w:i/>
          <w:iCs/>
        </w:rPr>
        <w:t xml:space="preserve"> </w:t>
      </w:r>
    </w:p>
    <w:p w:rsidR="007751A8" w:rsidRDefault="007751A8">
      <w:pPr>
        <w:rPr>
          <w:rFonts w:cs="Times New Roman"/>
          <w:color w:val="000000"/>
          <w:lang w:eastAsia="cs-CZ"/>
        </w:rPr>
      </w:pPr>
    </w:p>
    <w:p w:rsidR="005405A5" w:rsidRDefault="005405A5">
      <w:pPr>
        <w:rPr>
          <w:rFonts w:cs="Times New Roman"/>
          <w:color w:val="000000"/>
          <w:lang w:eastAsia="cs-CZ"/>
        </w:rPr>
      </w:pPr>
    </w:p>
    <w:p w:rsidR="005405A5" w:rsidRDefault="005405A5" w:rsidP="005405A5">
      <w:pPr>
        <w:jc w:val="both"/>
      </w:pPr>
    </w:p>
    <w:p w:rsidR="005405A5" w:rsidRDefault="005405A5" w:rsidP="005405A5">
      <w:pPr>
        <w:ind w:left="141"/>
        <w:rPr>
          <w:rFonts w:eastAsia="Times New Roman" w:cs="Times New Roman"/>
          <w:b/>
          <w:color w:val="000000"/>
          <w:lang w:eastAsia="cs-CZ"/>
        </w:rPr>
      </w:pPr>
      <w:r>
        <w:rPr>
          <w:rFonts w:eastAsia="Times New Roman" w:cs="Times New Roman"/>
          <w:b/>
          <w:color w:val="000000"/>
          <w:lang w:eastAsia="cs-CZ"/>
        </w:rPr>
        <w:t>III. Tabulková část</w:t>
      </w:r>
    </w:p>
    <w:p w:rsidR="005405A5" w:rsidRDefault="005405A5" w:rsidP="005405A5">
      <w:pPr>
        <w:tabs>
          <w:tab w:val="left" w:pos="1080"/>
        </w:tabs>
      </w:pPr>
    </w:p>
    <w:p w:rsidR="005405A5" w:rsidRDefault="005405A5" w:rsidP="005405A5">
      <w:pPr>
        <w:tabs>
          <w:tab w:val="left" w:pos="1080"/>
        </w:tabs>
      </w:pPr>
    </w:p>
    <w:p w:rsidR="005405A5" w:rsidRDefault="005405A5" w:rsidP="005405A5">
      <w:pPr>
        <w:tabs>
          <w:tab w:val="left" w:pos="1080"/>
        </w:tabs>
        <w:jc w:val="right"/>
        <w:rPr>
          <w:b/>
        </w:rPr>
      </w:pPr>
      <w:r>
        <w:rPr>
          <w:b/>
        </w:rPr>
        <w:t>Tabulka č. 1</w:t>
      </w:r>
    </w:p>
    <w:p w:rsidR="005405A5" w:rsidRDefault="005405A5" w:rsidP="005405A5">
      <w:pPr>
        <w:tabs>
          <w:tab w:val="left" w:pos="1080"/>
        </w:tabs>
        <w:jc w:val="right"/>
        <w:rPr>
          <w:b/>
        </w:rPr>
      </w:pPr>
    </w:p>
    <w:p w:rsidR="005405A5" w:rsidRDefault="005405A5" w:rsidP="005405A5">
      <w:pPr>
        <w:tabs>
          <w:tab w:val="left" w:pos="1080"/>
        </w:tabs>
        <w:jc w:val="right"/>
        <w:rPr>
          <w:b/>
        </w:rPr>
      </w:pPr>
    </w:p>
    <w:p w:rsidR="005405A5" w:rsidRDefault="005405A5" w:rsidP="005405A5">
      <w:pPr>
        <w:tabs>
          <w:tab w:val="left" w:pos="1080"/>
        </w:tabs>
        <w:jc w:val="right"/>
        <w:rPr>
          <w:b/>
        </w:rPr>
      </w:pPr>
    </w:p>
    <w:p w:rsidR="005405A5" w:rsidRDefault="005405A5" w:rsidP="005405A5">
      <w:pPr>
        <w:tabs>
          <w:tab w:val="left" w:pos="1080"/>
        </w:tabs>
        <w:jc w:val="center"/>
        <w:rPr>
          <w:b/>
          <w:u w:val="single"/>
        </w:rPr>
      </w:pPr>
      <w:r>
        <w:rPr>
          <w:b/>
          <w:u w:val="single"/>
        </w:rPr>
        <w:t>Přehled petic došlých Poslanecké sněmovně</w:t>
      </w:r>
    </w:p>
    <w:p w:rsidR="005405A5" w:rsidRDefault="005405A5" w:rsidP="005405A5">
      <w:pPr>
        <w:tabs>
          <w:tab w:val="left" w:pos="1286"/>
        </w:tabs>
        <w:jc w:val="center"/>
      </w:pPr>
      <w:r>
        <w:rPr>
          <w:b/>
          <w:u w:val="single"/>
        </w:rPr>
        <w:t>za období od 1. 1. 2019 do 30. 6. 2019</w:t>
      </w:r>
    </w:p>
    <w:p w:rsidR="005405A5" w:rsidRPr="000B519B" w:rsidRDefault="005405A5" w:rsidP="005405A5">
      <w:pPr>
        <w:tabs>
          <w:tab w:val="left" w:pos="1286"/>
        </w:tabs>
        <w:jc w:val="center"/>
      </w:pPr>
    </w:p>
    <w:tbl>
      <w:tblPr>
        <w:tblStyle w:val="Mkatabulky"/>
        <w:tblpPr w:leftFromText="141" w:rightFromText="141" w:vertAnchor="text" w:horzAnchor="margin" w:tblpXSpec="center" w:tblpY="438"/>
        <w:tblW w:w="9776" w:type="dxa"/>
        <w:tblLook w:val="04A0" w:firstRow="1" w:lastRow="0" w:firstColumn="1" w:lastColumn="0" w:noHBand="0" w:noVBand="1"/>
      </w:tblPr>
      <w:tblGrid>
        <w:gridCol w:w="1469"/>
        <w:gridCol w:w="1090"/>
        <w:gridCol w:w="1377"/>
        <w:gridCol w:w="1307"/>
        <w:gridCol w:w="1161"/>
        <w:gridCol w:w="821"/>
        <w:gridCol w:w="1134"/>
        <w:gridCol w:w="1417"/>
      </w:tblGrid>
      <w:tr w:rsidR="005405A5" w:rsidTr="00DF5D2B">
        <w:trPr>
          <w:trHeight w:val="419"/>
        </w:trPr>
        <w:tc>
          <w:tcPr>
            <w:tcW w:w="1469" w:type="dxa"/>
            <w:vMerge w:val="restart"/>
            <w:tcBorders>
              <w:top w:val="single" w:sz="4" w:space="0" w:color="auto"/>
              <w:left w:val="single" w:sz="4" w:space="0" w:color="auto"/>
              <w:bottom w:val="single" w:sz="4" w:space="0" w:color="auto"/>
              <w:right w:val="single" w:sz="4" w:space="0" w:color="auto"/>
            </w:tcBorders>
          </w:tcPr>
          <w:p w:rsidR="005405A5" w:rsidRDefault="005405A5" w:rsidP="00DF5D2B">
            <w:pPr>
              <w:jc w:val="both"/>
            </w:pPr>
          </w:p>
          <w:p w:rsidR="005405A5" w:rsidRDefault="005405A5" w:rsidP="00DF5D2B">
            <w:pPr>
              <w:jc w:val="both"/>
            </w:pPr>
          </w:p>
          <w:p w:rsidR="005405A5" w:rsidRDefault="005405A5" w:rsidP="00DF5D2B">
            <w:pPr>
              <w:jc w:val="both"/>
            </w:pPr>
            <w:r>
              <w:t xml:space="preserve">Výbory, komise </w:t>
            </w:r>
          </w:p>
        </w:tc>
        <w:tc>
          <w:tcPr>
            <w:tcW w:w="1090" w:type="dxa"/>
            <w:vMerge w:val="restart"/>
            <w:tcBorders>
              <w:top w:val="single" w:sz="4" w:space="0" w:color="auto"/>
              <w:left w:val="single" w:sz="4" w:space="0" w:color="auto"/>
              <w:bottom w:val="single" w:sz="4" w:space="0" w:color="auto"/>
              <w:right w:val="single" w:sz="4" w:space="0" w:color="auto"/>
            </w:tcBorders>
          </w:tcPr>
          <w:p w:rsidR="005405A5" w:rsidRDefault="005405A5" w:rsidP="00DF5D2B">
            <w:pPr>
              <w:jc w:val="both"/>
            </w:pPr>
          </w:p>
          <w:p w:rsidR="005405A5" w:rsidRDefault="005405A5" w:rsidP="00DF5D2B">
            <w:pPr>
              <w:jc w:val="both"/>
            </w:pPr>
            <w:r>
              <w:t xml:space="preserve"> </w:t>
            </w:r>
          </w:p>
          <w:p w:rsidR="005405A5" w:rsidRDefault="005405A5" w:rsidP="00DF5D2B">
            <w:pPr>
              <w:jc w:val="both"/>
            </w:pPr>
            <w:r>
              <w:t xml:space="preserve">  Došlo </w:t>
            </w:r>
          </w:p>
        </w:tc>
        <w:tc>
          <w:tcPr>
            <w:tcW w:w="5800" w:type="dxa"/>
            <w:gridSpan w:val="5"/>
            <w:tcBorders>
              <w:top w:val="single" w:sz="4" w:space="0" w:color="auto"/>
              <w:left w:val="single" w:sz="4" w:space="0" w:color="auto"/>
              <w:bottom w:val="single" w:sz="4" w:space="0" w:color="auto"/>
              <w:right w:val="single" w:sz="4" w:space="0" w:color="auto"/>
            </w:tcBorders>
          </w:tcPr>
          <w:p w:rsidR="005405A5" w:rsidRDefault="005405A5" w:rsidP="00DF5D2B">
            <w:pPr>
              <w:jc w:val="center"/>
            </w:pPr>
          </w:p>
          <w:p w:rsidR="005405A5" w:rsidRDefault="005405A5" w:rsidP="00DF5D2B">
            <w:pPr>
              <w:jc w:val="center"/>
            </w:pPr>
            <w:r>
              <w:t>Vyřízeno</w:t>
            </w:r>
          </w:p>
          <w:p w:rsidR="005405A5" w:rsidRDefault="005405A5" w:rsidP="00DF5D2B">
            <w:pPr>
              <w:jc w:val="center"/>
            </w:pPr>
          </w:p>
        </w:tc>
        <w:tc>
          <w:tcPr>
            <w:tcW w:w="1417" w:type="dxa"/>
            <w:vMerge w:val="restart"/>
            <w:tcBorders>
              <w:top w:val="single" w:sz="4" w:space="0" w:color="auto"/>
              <w:left w:val="single" w:sz="4" w:space="0" w:color="auto"/>
              <w:bottom w:val="single" w:sz="4" w:space="0" w:color="auto"/>
              <w:right w:val="single" w:sz="4" w:space="0" w:color="auto"/>
            </w:tcBorders>
          </w:tcPr>
          <w:p w:rsidR="005405A5" w:rsidRDefault="005405A5" w:rsidP="00DF5D2B"/>
          <w:p w:rsidR="005405A5" w:rsidRDefault="005405A5" w:rsidP="00DF5D2B"/>
          <w:p w:rsidR="005405A5" w:rsidRDefault="005405A5" w:rsidP="00DF5D2B">
            <w:r>
              <w:t>Dosud</w:t>
            </w:r>
          </w:p>
          <w:p w:rsidR="005405A5" w:rsidRDefault="005405A5" w:rsidP="00DF5D2B">
            <w:r>
              <w:t>nevyřízeno</w:t>
            </w:r>
          </w:p>
        </w:tc>
      </w:tr>
      <w:tr w:rsidR="005405A5" w:rsidTr="00DF5D2B">
        <w:trPr>
          <w:trHeight w:val="2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405A5" w:rsidRDefault="005405A5" w:rsidP="00DF5D2B">
            <w:pPr>
              <w:suppressAutoHyphens w:val="0"/>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405A5" w:rsidRDefault="005405A5" w:rsidP="00DF5D2B">
            <w:pPr>
              <w:suppressAutoHyphens w:val="0"/>
            </w:pPr>
          </w:p>
        </w:tc>
        <w:tc>
          <w:tcPr>
            <w:tcW w:w="137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p w:rsidR="005405A5" w:rsidRDefault="005405A5" w:rsidP="00DF5D2B">
            <w:pPr>
              <w:jc w:val="both"/>
            </w:pPr>
            <w:r>
              <w:t>postoupeno</w:t>
            </w:r>
          </w:p>
        </w:tc>
        <w:tc>
          <w:tcPr>
            <w:tcW w:w="1307"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both"/>
            </w:pPr>
            <w:r>
              <w:t>dopisem výboru</w:t>
            </w:r>
          </w:p>
        </w:tc>
        <w:tc>
          <w:tcPr>
            <w:tcW w:w="1161"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both"/>
            </w:pPr>
            <w:r>
              <w:t>veřejným</w:t>
            </w:r>
          </w:p>
          <w:p w:rsidR="005405A5" w:rsidRDefault="005405A5" w:rsidP="00DF5D2B">
            <w:pPr>
              <w:jc w:val="both"/>
            </w:pPr>
            <w:r>
              <w:t>slyšením</w:t>
            </w:r>
          </w:p>
        </w:tc>
        <w:tc>
          <w:tcPr>
            <w:tcW w:w="821"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both"/>
            </w:pPr>
            <w:r>
              <w:t xml:space="preserve">  </w:t>
            </w:r>
          </w:p>
          <w:p w:rsidR="005405A5" w:rsidRDefault="005405A5" w:rsidP="00DF5D2B">
            <w:pPr>
              <w:jc w:val="both"/>
            </w:pPr>
            <w:r>
              <w:t xml:space="preserve"> jinak </w:t>
            </w:r>
          </w:p>
        </w:tc>
        <w:tc>
          <w:tcPr>
            <w:tcW w:w="1134"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p w:rsidR="005405A5" w:rsidRDefault="005405A5" w:rsidP="00DF5D2B">
            <w:pPr>
              <w:jc w:val="both"/>
            </w:pPr>
            <w:r>
              <w:t xml:space="preserve"> celkem</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405A5" w:rsidRDefault="005405A5" w:rsidP="00DF5D2B">
            <w:pPr>
              <w:suppressAutoHyphens w:val="0"/>
            </w:pPr>
          </w:p>
        </w:tc>
      </w:tr>
      <w:tr w:rsidR="005405A5" w:rsidTr="00DF5D2B">
        <w:trPr>
          <w:trHeight w:val="255"/>
        </w:trPr>
        <w:tc>
          <w:tcPr>
            <w:tcW w:w="1469"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both"/>
            </w:pPr>
            <w:r>
              <w:t xml:space="preserve">ÚPV </w:t>
            </w:r>
          </w:p>
        </w:tc>
        <w:tc>
          <w:tcPr>
            <w:tcW w:w="1090"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7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0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6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82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34"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r>
      <w:tr w:rsidR="005405A5" w:rsidTr="00DF5D2B">
        <w:trPr>
          <w:trHeight w:val="255"/>
        </w:trPr>
        <w:tc>
          <w:tcPr>
            <w:tcW w:w="1469"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both"/>
            </w:pPr>
            <w:r>
              <w:t>VO</w:t>
            </w:r>
          </w:p>
        </w:tc>
        <w:tc>
          <w:tcPr>
            <w:tcW w:w="1090"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7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0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6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82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34"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r>
      <w:tr w:rsidR="005405A5" w:rsidTr="00DF5D2B">
        <w:trPr>
          <w:trHeight w:val="255"/>
        </w:trPr>
        <w:tc>
          <w:tcPr>
            <w:tcW w:w="1469"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both"/>
            </w:pPr>
            <w:r>
              <w:t>VOV</w:t>
            </w:r>
          </w:p>
        </w:tc>
        <w:tc>
          <w:tcPr>
            <w:tcW w:w="1090"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7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0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6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82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34"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r>
      <w:tr w:rsidR="005405A5" w:rsidTr="00DF5D2B">
        <w:trPr>
          <w:trHeight w:val="238"/>
        </w:trPr>
        <w:tc>
          <w:tcPr>
            <w:tcW w:w="1469"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both"/>
            </w:pPr>
            <w:r>
              <w:t>VB</w:t>
            </w:r>
          </w:p>
        </w:tc>
        <w:tc>
          <w:tcPr>
            <w:tcW w:w="1090"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7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0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6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82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34"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r>
      <w:tr w:rsidR="005405A5" w:rsidTr="00DF5D2B">
        <w:trPr>
          <w:trHeight w:val="255"/>
        </w:trPr>
        <w:tc>
          <w:tcPr>
            <w:tcW w:w="1469"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both"/>
            </w:pPr>
            <w:r>
              <w:t>PV</w:t>
            </w:r>
          </w:p>
        </w:tc>
        <w:tc>
          <w:tcPr>
            <w:tcW w:w="1090"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center"/>
            </w:pPr>
            <w:r>
              <w:t>9</w:t>
            </w:r>
          </w:p>
        </w:tc>
        <w:tc>
          <w:tcPr>
            <w:tcW w:w="1377"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tc>
        <w:tc>
          <w:tcPr>
            <w:tcW w:w="1307"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center"/>
            </w:pPr>
            <w:r>
              <w:t>3</w:t>
            </w:r>
          </w:p>
        </w:tc>
        <w:tc>
          <w:tcPr>
            <w:tcW w:w="1161"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center"/>
            </w:pPr>
            <w:r>
              <w:t>1</w:t>
            </w:r>
          </w:p>
        </w:tc>
        <w:tc>
          <w:tcPr>
            <w:tcW w:w="821"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center"/>
            </w:pPr>
            <w:r>
              <w:t>2</w:t>
            </w:r>
          </w:p>
        </w:tc>
        <w:tc>
          <w:tcPr>
            <w:tcW w:w="1134"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center"/>
            </w:pPr>
            <w:r>
              <w:t>6</w:t>
            </w:r>
          </w:p>
        </w:tc>
        <w:tc>
          <w:tcPr>
            <w:tcW w:w="1417"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both"/>
            </w:pPr>
            <w:r>
              <w:t xml:space="preserve">       3</w:t>
            </w:r>
          </w:p>
        </w:tc>
      </w:tr>
      <w:tr w:rsidR="005405A5" w:rsidTr="00DF5D2B">
        <w:trPr>
          <w:trHeight w:val="238"/>
        </w:trPr>
        <w:tc>
          <w:tcPr>
            <w:tcW w:w="1469"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both"/>
            </w:pPr>
            <w:r>
              <w:t>RV</w:t>
            </w:r>
          </w:p>
        </w:tc>
        <w:tc>
          <w:tcPr>
            <w:tcW w:w="1090"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7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0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6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82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34"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r>
      <w:tr w:rsidR="005405A5" w:rsidTr="00DF5D2B">
        <w:trPr>
          <w:trHeight w:val="238"/>
        </w:trPr>
        <w:tc>
          <w:tcPr>
            <w:tcW w:w="1469"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both"/>
            </w:pPr>
            <w:r>
              <w:t>KV</w:t>
            </w:r>
          </w:p>
        </w:tc>
        <w:tc>
          <w:tcPr>
            <w:tcW w:w="1090"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7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0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6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82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34"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r>
      <w:tr w:rsidR="005405A5" w:rsidTr="00DF5D2B">
        <w:trPr>
          <w:trHeight w:val="238"/>
        </w:trPr>
        <w:tc>
          <w:tcPr>
            <w:tcW w:w="1469"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both"/>
            </w:pPr>
            <w:r>
              <w:t>HV</w:t>
            </w:r>
          </w:p>
        </w:tc>
        <w:tc>
          <w:tcPr>
            <w:tcW w:w="1090"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7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0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6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82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34"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r>
      <w:tr w:rsidR="005405A5" w:rsidTr="00DF5D2B">
        <w:trPr>
          <w:trHeight w:val="238"/>
        </w:trPr>
        <w:tc>
          <w:tcPr>
            <w:tcW w:w="1469"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both"/>
            </w:pPr>
            <w:r>
              <w:t>ZEV</w:t>
            </w:r>
          </w:p>
        </w:tc>
        <w:tc>
          <w:tcPr>
            <w:tcW w:w="1090"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7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0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6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82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34"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r>
      <w:tr w:rsidR="005405A5" w:rsidTr="00DF5D2B">
        <w:trPr>
          <w:trHeight w:val="238"/>
        </w:trPr>
        <w:tc>
          <w:tcPr>
            <w:tcW w:w="1469"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both"/>
            </w:pPr>
            <w:r>
              <w:t>VVSRR</w:t>
            </w:r>
          </w:p>
        </w:tc>
        <w:tc>
          <w:tcPr>
            <w:tcW w:w="1090"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7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0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6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82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34"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r>
      <w:tr w:rsidR="005405A5" w:rsidTr="00DF5D2B">
        <w:trPr>
          <w:trHeight w:val="238"/>
        </w:trPr>
        <w:tc>
          <w:tcPr>
            <w:tcW w:w="1469"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both"/>
            </w:pPr>
            <w:r>
              <w:t>VŽP</w:t>
            </w:r>
          </w:p>
        </w:tc>
        <w:tc>
          <w:tcPr>
            <w:tcW w:w="1090"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77"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both"/>
            </w:pPr>
            <w:r>
              <w:t xml:space="preserve">        </w:t>
            </w:r>
          </w:p>
        </w:tc>
        <w:tc>
          <w:tcPr>
            <w:tcW w:w="130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6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82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34"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r>
      <w:tr w:rsidR="005405A5" w:rsidTr="00DF5D2B">
        <w:trPr>
          <w:trHeight w:val="238"/>
        </w:trPr>
        <w:tc>
          <w:tcPr>
            <w:tcW w:w="1469"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both"/>
            </w:pPr>
            <w:r>
              <w:t>VSP</w:t>
            </w:r>
          </w:p>
        </w:tc>
        <w:tc>
          <w:tcPr>
            <w:tcW w:w="1090"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77"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both"/>
            </w:pPr>
            <w:r>
              <w:t xml:space="preserve">        </w:t>
            </w:r>
          </w:p>
        </w:tc>
        <w:tc>
          <w:tcPr>
            <w:tcW w:w="130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6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82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34"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r>
      <w:tr w:rsidR="005405A5" w:rsidTr="00DF5D2B">
        <w:trPr>
          <w:trHeight w:val="238"/>
        </w:trPr>
        <w:tc>
          <w:tcPr>
            <w:tcW w:w="1469"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both"/>
            </w:pPr>
            <w:r>
              <w:t>VZ</w:t>
            </w:r>
          </w:p>
        </w:tc>
        <w:tc>
          <w:tcPr>
            <w:tcW w:w="1090"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7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0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6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82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34"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r>
      <w:tr w:rsidR="005405A5" w:rsidTr="00DF5D2B">
        <w:trPr>
          <w:trHeight w:val="238"/>
        </w:trPr>
        <w:tc>
          <w:tcPr>
            <w:tcW w:w="1469"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both"/>
            </w:pPr>
            <w:r>
              <w:t>VVVKMT</w:t>
            </w:r>
          </w:p>
        </w:tc>
        <w:tc>
          <w:tcPr>
            <w:tcW w:w="1090"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7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0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6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82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34"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r>
      <w:tr w:rsidR="005405A5" w:rsidTr="00DF5D2B">
        <w:trPr>
          <w:trHeight w:val="238"/>
        </w:trPr>
        <w:tc>
          <w:tcPr>
            <w:tcW w:w="1469"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both"/>
            </w:pPr>
            <w:r>
              <w:t>ZAV</w:t>
            </w:r>
          </w:p>
        </w:tc>
        <w:tc>
          <w:tcPr>
            <w:tcW w:w="1090"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7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0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6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82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34"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r>
      <w:tr w:rsidR="005405A5" w:rsidTr="00DF5D2B">
        <w:trPr>
          <w:trHeight w:val="238"/>
        </w:trPr>
        <w:tc>
          <w:tcPr>
            <w:tcW w:w="1469" w:type="dxa"/>
            <w:tcBorders>
              <w:top w:val="single" w:sz="4" w:space="0" w:color="auto"/>
              <w:left w:val="single" w:sz="4" w:space="0" w:color="auto"/>
              <w:bottom w:val="single" w:sz="4" w:space="0" w:color="auto"/>
              <w:right w:val="single" w:sz="4" w:space="0" w:color="auto"/>
            </w:tcBorders>
            <w:hideMark/>
          </w:tcPr>
          <w:p w:rsidR="005405A5" w:rsidRDefault="005405A5" w:rsidP="00DF5D2B">
            <w:pPr>
              <w:jc w:val="both"/>
            </w:pPr>
            <w:r>
              <w:t xml:space="preserve">VEZ </w:t>
            </w:r>
          </w:p>
        </w:tc>
        <w:tc>
          <w:tcPr>
            <w:tcW w:w="1090"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7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30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6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821"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134"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both"/>
            </w:pPr>
          </w:p>
        </w:tc>
      </w:tr>
    </w:tbl>
    <w:p w:rsidR="005405A5" w:rsidRDefault="005405A5" w:rsidP="005405A5">
      <w:pPr>
        <w:rPr>
          <w:b/>
        </w:rPr>
      </w:pPr>
    </w:p>
    <w:p w:rsidR="005405A5" w:rsidRDefault="005405A5" w:rsidP="005405A5">
      <w:pPr>
        <w:rPr>
          <w:b/>
        </w:rPr>
      </w:pPr>
    </w:p>
    <w:p w:rsidR="005405A5" w:rsidRDefault="005405A5" w:rsidP="005405A5">
      <w:pPr>
        <w:jc w:val="right"/>
        <w:rPr>
          <w:b/>
        </w:rPr>
      </w:pPr>
    </w:p>
    <w:p w:rsidR="005405A5" w:rsidRDefault="005405A5" w:rsidP="005405A5">
      <w:pPr>
        <w:jc w:val="right"/>
        <w:rPr>
          <w:b/>
        </w:rPr>
      </w:pPr>
    </w:p>
    <w:p w:rsidR="005405A5" w:rsidRDefault="005405A5" w:rsidP="005405A5">
      <w:pPr>
        <w:jc w:val="right"/>
        <w:rPr>
          <w:b/>
        </w:rPr>
      </w:pPr>
    </w:p>
    <w:p w:rsidR="005405A5" w:rsidRDefault="005405A5" w:rsidP="005405A5">
      <w:pPr>
        <w:jc w:val="right"/>
        <w:rPr>
          <w:b/>
        </w:rPr>
      </w:pPr>
    </w:p>
    <w:p w:rsidR="005405A5" w:rsidRDefault="005405A5" w:rsidP="005405A5">
      <w:pPr>
        <w:jc w:val="right"/>
        <w:rPr>
          <w:b/>
        </w:rPr>
      </w:pPr>
    </w:p>
    <w:p w:rsidR="005405A5" w:rsidRDefault="005405A5" w:rsidP="005405A5">
      <w:pPr>
        <w:jc w:val="right"/>
        <w:rPr>
          <w:b/>
        </w:rPr>
      </w:pPr>
    </w:p>
    <w:p w:rsidR="005405A5" w:rsidRDefault="005405A5" w:rsidP="005405A5">
      <w:pPr>
        <w:jc w:val="right"/>
        <w:rPr>
          <w:b/>
        </w:rPr>
      </w:pPr>
    </w:p>
    <w:p w:rsidR="005405A5" w:rsidRDefault="005405A5" w:rsidP="005405A5">
      <w:pPr>
        <w:jc w:val="right"/>
        <w:rPr>
          <w:b/>
        </w:rPr>
      </w:pPr>
    </w:p>
    <w:p w:rsidR="005405A5" w:rsidRDefault="005405A5" w:rsidP="005405A5">
      <w:pPr>
        <w:jc w:val="right"/>
        <w:rPr>
          <w:b/>
        </w:rPr>
      </w:pPr>
    </w:p>
    <w:p w:rsidR="005405A5" w:rsidRDefault="005405A5" w:rsidP="005405A5">
      <w:pPr>
        <w:jc w:val="right"/>
        <w:rPr>
          <w:b/>
        </w:rPr>
      </w:pPr>
    </w:p>
    <w:p w:rsidR="005405A5" w:rsidRDefault="005405A5" w:rsidP="005405A5">
      <w:pPr>
        <w:jc w:val="right"/>
        <w:rPr>
          <w:b/>
        </w:rPr>
      </w:pPr>
    </w:p>
    <w:p w:rsidR="005405A5" w:rsidRDefault="005405A5" w:rsidP="005405A5">
      <w:pPr>
        <w:jc w:val="right"/>
        <w:rPr>
          <w:b/>
        </w:rPr>
      </w:pPr>
    </w:p>
    <w:p w:rsidR="005405A5" w:rsidRDefault="005405A5" w:rsidP="005405A5">
      <w:pPr>
        <w:jc w:val="right"/>
        <w:rPr>
          <w:b/>
        </w:rPr>
      </w:pPr>
    </w:p>
    <w:p w:rsidR="005405A5" w:rsidRDefault="005405A5" w:rsidP="005405A5">
      <w:pPr>
        <w:jc w:val="right"/>
        <w:rPr>
          <w:b/>
        </w:rPr>
      </w:pPr>
    </w:p>
    <w:p w:rsidR="005405A5" w:rsidRDefault="005405A5" w:rsidP="005405A5">
      <w:pPr>
        <w:jc w:val="right"/>
        <w:rPr>
          <w:b/>
        </w:rPr>
      </w:pPr>
    </w:p>
    <w:p w:rsidR="005405A5" w:rsidRDefault="005405A5" w:rsidP="005405A5">
      <w:pPr>
        <w:rPr>
          <w:b/>
        </w:rPr>
      </w:pPr>
    </w:p>
    <w:p w:rsidR="005405A5" w:rsidRDefault="005405A5" w:rsidP="005405A5">
      <w:pPr>
        <w:jc w:val="right"/>
        <w:rPr>
          <w:b/>
        </w:rPr>
      </w:pPr>
      <w:r>
        <w:rPr>
          <w:b/>
        </w:rPr>
        <w:t xml:space="preserve">Tabulka č. 2 </w:t>
      </w:r>
    </w:p>
    <w:p w:rsidR="005405A5" w:rsidRDefault="005405A5" w:rsidP="005405A5">
      <w:pPr>
        <w:jc w:val="right"/>
        <w:rPr>
          <w:b/>
        </w:rPr>
      </w:pPr>
    </w:p>
    <w:p w:rsidR="005405A5" w:rsidRPr="00D416EE" w:rsidRDefault="005405A5" w:rsidP="005405A5">
      <w:r>
        <w:rPr>
          <w:b/>
          <w:u w:val="single"/>
        </w:rPr>
        <w:t>PŘEHLED PETIC DOŠLÝCH POSLANECKÉ SNĚMOVNĚ V I. POLOLETÍ 2019</w:t>
      </w:r>
      <w:bookmarkStart w:id="0" w:name="_GoBack"/>
      <w:bookmarkEnd w:id="0"/>
    </w:p>
    <w:p w:rsidR="005405A5" w:rsidRDefault="005405A5" w:rsidP="005405A5">
      <w:pPr>
        <w:framePr w:w="9067" w:hSpace="141" w:wrap="around" w:vAnchor="page" w:hAnchor="margin" w:y="2551"/>
        <w:tabs>
          <w:tab w:val="left" w:pos="1080"/>
        </w:tabs>
        <w:jc w:val="center"/>
        <w:rPr>
          <w:b/>
        </w:rPr>
      </w:pPr>
    </w:p>
    <w:p w:rsidR="005405A5" w:rsidRDefault="005405A5" w:rsidP="005405A5">
      <w:pPr>
        <w:framePr w:w="9067" w:hSpace="141" w:wrap="around" w:vAnchor="page" w:hAnchor="margin" w:y="2551"/>
        <w:jc w:val="right"/>
        <w:rPr>
          <w:b/>
        </w:rPr>
      </w:pPr>
    </w:p>
    <w:tbl>
      <w:tblPr>
        <w:tblStyle w:val="Mkatabulky"/>
        <w:tblpPr w:leftFromText="141" w:rightFromText="141" w:vertAnchor="page" w:horzAnchor="margin" w:tblpY="3013"/>
        <w:tblW w:w="8690" w:type="dxa"/>
        <w:tblLayout w:type="fixed"/>
        <w:tblLook w:val="04A0" w:firstRow="1" w:lastRow="0" w:firstColumn="1" w:lastColumn="0" w:noHBand="0" w:noVBand="1"/>
      </w:tblPr>
      <w:tblGrid>
        <w:gridCol w:w="5524"/>
        <w:gridCol w:w="1749"/>
        <w:gridCol w:w="1417"/>
      </w:tblGrid>
      <w:tr w:rsidR="005405A5" w:rsidTr="00DF5D2B">
        <w:tc>
          <w:tcPr>
            <w:tcW w:w="5524" w:type="dxa"/>
            <w:tcBorders>
              <w:top w:val="single" w:sz="4" w:space="0" w:color="auto"/>
              <w:left w:val="single" w:sz="4" w:space="0" w:color="auto"/>
              <w:bottom w:val="single" w:sz="4" w:space="0" w:color="auto"/>
              <w:right w:val="single" w:sz="4" w:space="0" w:color="auto"/>
            </w:tcBorders>
          </w:tcPr>
          <w:p w:rsidR="005405A5" w:rsidRPr="00F7437C" w:rsidRDefault="005405A5" w:rsidP="00DF5D2B">
            <w:pPr>
              <w:rPr>
                <w:b/>
              </w:rPr>
            </w:pPr>
            <w:r w:rsidRPr="00F7437C">
              <w:rPr>
                <w:b/>
              </w:rPr>
              <w:t>Název petice a datum jejího převzetí</w:t>
            </w:r>
          </w:p>
        </w:tc>
        <w:tc>
          <w:tcPr>
            <w:tcW w:w="1749" w:type="dxa"/>
            <w:tcBorders>
              <w:top w:val="single" w:sz="4" w:space="0" w:color="auto"/>
              <w:left w:val="single" w:sz="4" w:space="0" w:color="auto"/>
              <w:bottom w:val="single" w:sz="4" w:space="0" w:color="auto"/>
              <w:right w:val="single" w:sz="4" w:space="0" w:color="auto"/>
            </w:tcBorders>
          </w:tcPr>
          <w:p w:rsidR="005405A5" w:rsidRPr="00F7437C" w:rsidRDefault="005405A5" w:rsidP="00DF5D2B">
            <w:pPr>
              <w:rPr>
                <w:b/>
              </w:rPr>
            </w:pPr>
            <w:r>
              <w:t xml:space="preserve">    </w:t>
            </w:r>
            <w:r>
              <w:rPr>
                <w:b/>
              </w:rPr>
              <w:t>Počet petic</w:t>
            </w:r>
          </w:p>
        </w:tc>
        <w:tc>
          <w:tcPr>
            <w:tcW w:w="1417" w:type="dxa"/>
            <w:tcBorders>
              <w:top w:val="single" w:sz="4" w:space="0" w:color="auto"/>
              <w:left w:val="single" w:sz="4" w:space="0" w:color="auto"/>
              <w:bottom w:val="single" w:sz="4" w:space="0" w:color="auto"/>
              <w:right w:val="single" w:sz="4" w:space="0" w:color="auto"/>
            </w:tcBorders>
          </w:tcPr>
          <w:p w:rsidR="005405A5" w:rsidRPr="00F7437C" w:rsidRDefault="005405A5" w:rsidP="00DF5D2B">
            <w:pPr>
              <w:rPr>
                <w:b/>
              </w:rPr>
            </w:pPr>
            <w:r>
              <w:rPr>
                <w:b/>
              </w:rPr>
              <w:t xml:space="preserve"> Podpisy</w:t>
            </w:r>
          </w:p>
        </w:tc>
      </w:tr>
      <w:tr w:rsidR="005405A5" w:rsidTr="00DF5D2B">
        <w:tc>
          <w:tcPr>
            <w:tcW w:w="5524" w:type="dxa"/>
            <w:tcBorders>
              <w:top w:val="single" w:sz="4" w:space="0" w:color="auto"/>
              <w:left w:val="single" w:sz="4" w:space="0" w:color="auto"/>
              <w:bottom w:val="single" w:sz="4" w:space="0" w:color="auto"/>
              <w:right w:val="single" w:sz="4" w:space="0" w:color="auto"/>
            </w:tcBorders>
            <w:hideMark/>
          </w:tcPr>
          <w:p w:rsidR="005405A5" w:rsidRDefault="005405A5" w:rsidP="00DF5D2B">
            <w:pPr>
              <w:rPr>
                <w:sz w:val="20"/>
                <w:szCs w:val="20"/>
              </w:rPr>
            </w:pPr>
          </w:p>
          <w:p w:rsidR="005405A5" w:rsidRDefault="005405A5" w:rsidP="00DF5D2B">
            <w:pPr>
              <w:rPr>
                <w:b/>
              </w:rPr>
            </w:pPr>
            <w:r>
              <w:rPr>
                <w:sz w:val="20"/>
                <w:szCs w:val="20"/>
              </w:rPr>
              <w:t>2826 sociální vztahy</w:t>
            </w:r>
          </w:p>
        </w:tc>
        <w:tc>
          <w:tcPr>
            <w:tcW w:w="1749" w:type="dxa"/>
            <w:tcBorders>
              <w:top w:val="single" w:sz="4" w:space="0" w:color="auto"/>
              <w:left w:val="single" w:sz="4" w:space="0" w:color="auto"/>
              <w:bottom w:val="single" w:sz="4" w:space="0" w:color="auto"/>
              <w:right w:val="single" w:sz="4" w:space="0" w:color="auto"/>
            </w:tcBorders>
          </w:tcPr>
          <w:p w:rsidR="005405A5" w:rsidRDefault="005405A5" w:rsidP="00DF5D2B"/>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tc>
      </w:tr>
      <w:tr w:rsidR="005405A5" w:rsidTr="00DF5D2B">
        <w:tc>
          <w:tcPr>
            <w:tcW w:w="5524" w:type="dxa"/>
            <w:tcBorders>
              <w:top w:val="single" w:sz="4" w:space="0" w:color="auto"/>
              <w:left w:val="single" w:sz="4" w:space="0" w:color="auto"/>
              <w:bottom w:val="single" w:sz="4" w:space="0" w:color="auto"/>
              <w:right w:val="single" w:sz="4" w:space="0" w:color="auto"/>
            </w:tcBorders>
            <w:hideMark/>
          </w:tcPr>
          <w:p w:rsidR="005405A5" w:rsidRDefault="005405A5" w:rsidP="00DF5D2B">
            <w:pPr>
              <w:rPr>
                <w:b/>
              </w:rPr>
            </w:pPr>
          </w:p>
          <w:p w:rsidR="005405A5" w:rsidRPr="007736D5" w:rsidRDefault="005405A5" w:rsidP="00DF5D2B">
            <w:pPr>
              <w:rPr>
                <w:b/>
              </w:rPr>
            </w:pPr>
            <w:r>
              <w:rPr>
                <w:b/>
              </w:rPr>
              <w:t xml:space="preserve">Za změnu tzv. „protikuřáckého zákona“ </w:t>
            </w:r>
          </w:p>
          <w:p w:rsidR="005405A5" w:rsidRDefault="005405A5" w:rsidP="00DF5D2B">
            <w:pPr>
              <w:tabs>
                <w:tab w:val="left" w:pos="2160"/>
              </w:tabs>
              <w:jc w:val="right"/>
            </w:pPr>
            <w:r>
              <w:rPr>
                <w:sz w:val="20"/>
              </w:rPr>
              <w:t>10. 1. 2019</w:t>
            </w:r>
          </w:p>
        </w:tc>
        <w:tc>
          <w:tcPr>
            <w:tcW w:w="1749" w:type="dxa"/>
            <w:tcBorders>
              <w:top w:val="single" w:sz="4" w:space="0" w:color="auto"/>
              <w:left w:val="single" w:sz="4" w:space="0" w:color="auto"/>
              <w:bottom w:val="single" w:sz="4" w:space="0" w:color="auto"/>
              <w:right w:val="single" w:sz="4" w:space="0" w:color="auto"/>
            </w:tcBorders>
          </w:tcPr>
          <w:p w:rsidR="005405A5" w:rsidRDefault="005405A5" w:rsidP="00DF5D2B"/>
          <w:p w:rsidR="005405A5" w:rsidRDefault="005405A5" w:rsidP="00DF5D2B">
            <w:r>
              <w:t xml:space="preserve">            1</w:t>
            </w: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p w:rsidR="005405A5" w:rsidRDefault="005405A5" w:rsidP="00DF5D2B">
            <w:r>
              <w:t xml:space="preserve">  24 096</w:t>
            </w:r>
          </w:p>
          <w:p w:rsidR="005405A5" w:rsidRDefault="005405A5" w:rsidP="00DF5D2B"/>
        </w:tc>
      </w:tr>
      <w:tr w:rsidR="005405A5" w:rsidTr="00DF5D2B">
        <w:tc>
          <w:tcPr>
            <w:tcW w:w="5524" w:type="dxa"/>
            <w:tcBorders>
              <w:top w:val="single" w:sz="4" w:space="0" w:color="auto"/>
              <w:left w:val="single" w:sz="4" w:space="0" w:color="auto"/>
              <w:bottom w:val="single" w:sz="4" w:space="0" w:color="auto"/>
              <w:right w:val="single" w:sz="4" w:space="0" w:color="auto"/>
            </w:tcBorders>
            <w:hideMark/>
          </w:tcPr>
          <w:p w:rsidR="005405A5" w:rsidRDefault="005405A5" w:rsidP="00DF5D2B">
            <w:r>
              <w:rPr>
                <w:sz w:val="20"/>
                <w:szCs w:val="20"/>
              </w:rPr>
              <w:t>1616 regiony a regionální politika</w:t>
            </w:r>
          </w:p>
        </w:tc>
        <w:tc>
          <w:tcPr>
            <w:tcW w:w="1749" w:type="dxa"/>
            <w:tcBorders>
              <w:top w:val="single" w:sz="4" w:space="0" w:color="auto"/>
              <w:left w:val="single" w:sz="4" w:space="0" w:color="auto"/>
              <w:bottom w:val="single" w:sz="4" w:space="0" w:color="auto"/>
              <w:right w:val="single" w:sz="4" w:space="0" w:color="auto"/>
            </w:tcBorders>
          </w:tcPr>
          <w:p w:rsidR="005405A5" w:rsidRDefault="005405A5" w:rsidP="00DF5D2B"/>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tc>
      </w:tr>
      <w:tr w:rsidR="005405A5" w:rsidTr="00DF5D2B">
        <w:trPr>
          <w:trHeight w:val="493"/>
        </w:trPr>
        <w:tc>
          <w:tcPr>
            <w:tcW w:w="5524" w:type="dxa"/>
            <w:tcBorders>
              <w:top w:val="single" w:sz="4" w:space="0" w:color="auto"/>
              <w:left w:val="single" w:sz="4" w:space="0" w:color="auto"/>
              <w:bottom w:val="single" w:sz="4" w:space="0" w:color="auto"/>
              <w:right w:val="single" w:sz="4" w:space="0" w:color="auto"/>
            </w:tcBorders>
            <w:hideMark/>
          </w:tcPr>
          <w:p w:rsidR="005405A5" w:rsidRPr="007736D5" w:rsidRDefault="005405A5" w:rsidP="00DF5D2B">
            <w:pPr>
              <w:rPr>
                <w:b/>
                <w:szCs w:val="20"/>
              </w:rPr>
            </w:pPr>
            <w:r>
              <w:rPr>
                <w:b/>
                <w:szCs w:val="20"/>
              </w:rPr>
              <w:t xml:space="preserve">Za zachování stávající územní působnosti obce s rozšířenou působností Turnov a vzniku okresu Turnov                                                            </w:t>
            </w:r>
            <w:r>
              <w:rPr>
                <w:sz w:val="20"/>
                <w:szCs w:val="20"/>
              </w:rPr>
              <w:t xml:space="preserve">11. 1. 2019 </w:t>
            </w:r>
          </w:p>
        </w:tc>
        <w:tc>
          <w:tcPr>
            <w:tcW w:w="1749"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p w:rsidR="005405A5" w:rsidRDefault="005405A5" w:rsidP="00DF5D2B">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p w:rsidR="005405A5" w:rsidRDefault="005405A5" w:rsidP="00DF5D2B">
            <w:r>
              <w:t xml:space="preserve">    7 756</w:t>
            </w:r>
          </w:p>
        </w:tc>
      </w:tr>
      <w:tr w:rsidR="005405A5" w:rsidTr="00DF5D2B">
        <w:tc>
          <w:tcPr>
            <w:tcW w:w="5524" w:type="dxa"/>
            <w:tcBorders>
              <w:top w:val="single" w:sz="4" w:space="0" w:color="auto"/>
              <w:left w:val="single" w:sz="4" w:space="0" w:color="auto"/>
              <w:bottom w:val="single" w:sz="4" w:space="0" w:color="auto"/>
              <w:right w:val="single" w:sz="4" w:space="0" w:color="auto"/>
            </w:tcBorders>
            <w:hideMark/>
          </w:tcPr>
          <w:p w:rsidR="005405A5" w:rsidRDefault="005405A5" w:rsidP="00DF5D2B">
            <w:pPr>
              <w:rPr>
                <w:szCs w:val="20"/>
              </w:rPr>
            </w:pPr>
            <w:r>
              <w:rPr>
                <w:sz w:val="20"/>
                <w:szCs w:val="20"/>
              </w:rPr>
              <w:t>1206 prameny a odvětví práva, autorské právo</w:t>
            </w:r>
          </w:p>
        </w:tc>
        <w:tc>
          <w:tcPr>
            <w:tcW w:w="1749"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tc>
      </w:tr>
      <w:tr w:rsidR="005405A5" w:rsidTr="00DF5D2B">
        <w:tc>
          <w:tcPr>
            <w:tcW w:w="5524" w:type="dxa"/>
            <w:tcBorders>
              <w:top w:val="single" w:sz="4" w:space="0" w:color="auto"/>
              <w:left w:val="single" w:sz="4" w:space="0" w:color="auto"/>
              <w:bottom w:val="single" w:sz="4" w:space="0" w:color="auto"/>
              <w:right w:val="single" w:sz="4" w:space="0" w:color="auto"/>
            </w:tcBorders>
            <w:hideMark/>
          </w:tcPr>
          <w:p w:rsidR="005405A5" w:rsidRDefault="005405A5" w:rsidP="00DF5D2B">
            <w:pPr>
              <w:rPr>
                <w:b/>
                <w:szCs w:val="20"/>
              </w:rPr>
            </w:pPr>
            <w:r>
              <w:rPr>
                <w:b/>
                <w:szCs w:val="20"/>
              </w:rPr>
              <w:t>Proti senátnímu návrhu na novelizaci § 23 autorského zákona</w:t>
            </w:r>
          </w:p>
          <w:p w:rsidR="005405A5" w:rsidRDefault="005405A5" w:rsidP="00DF5D2B">
            <w:pPr>
              <w:jc w:val="right"/>
              <w:rPr>
                <w:sz w:val="20"/>
                <w:szCs w:val="20"/>
              </w:rPr>
            </w:pPr>
            <w:r>
              <w:rPr>
                <w:sz w:val="20"/>
              </w:rPr>
              <w:t>22. 1. 2019</w:t>
            </w:r>
          </w:p>
        </w:tc>
        <w:tc>
          <w:tcPr>
            <w:tcW w:w="1749"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p w:rsidR="005405A5" w:rsidRDefault="005405A5" w:rsidP="00DF5D2B">
            <w:pPr>
              <w:jc w:val="center"/>
            </w:pPr>
            <w:r>
              <w:t>1</w:t>
            </w:r>
          </w:p>
          <w:p w:rsidR="005405A5" w:rsidRDefault="005405A5" w:rsidP="00DF5D2B">
            <w:pPr>
              <w:jc w:val="center"/>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p w:rsidR="005405A5" w:rsidRDefault="005405A5" w:rsidP="00DF5D2B">
            <w:r>
              <w:t xml:space="preserve">           1</w:t>
            </w:r>
          </w:p>
          <w:p w:rsidR="005405A5" w:rsidRDefault="005405A5" w:rsidP="00DF5D2B">
            <w:r>
              <w:t xml:space="preserve">      </w:t>
            </w:r>
          </w:p>
        </w:tc>
      </w:tr>
      <w:tr w:rsidR="005405A5" w:rsidTr="00DF5D2B">
        <w:tc>
          <w:tcPr>
            <w:tcW w:w="5524" w:type="dxa"/>
            <w:tcBorders>
              <w:top w:val="single" w:sz="4" w:space="0" w:color="auto"/>
              <w:left w:val="single" w:sz="4" w:space="0" w:color="auto"/>
              <w:bottom w:val="single" w:sz="4" w:space="0" w:color="auto"/>
              <w:right w:val="single" w:sz="4" w:space="0" w:color="auto"/>
            </w:tcBorders>
            <w:hideMark/>
          </w:tcPr>
          <w:p w:rsidR="005405A5" w:rsidRDefault="005405A5" w:rsidP="00DF5D2B">
            <w:pPr>
              <w:rPr>
                <w:sz w:val="20"/>
                <w:szCs w:val="20"/>
              </w:rPr>
            </w:pPr>
            <w:r>
              <w:rPr>
                <w:sz w:val="20"/>
                <w:szCs w:val="20"/>
              </w:rPr>
              <w:t>5211 přírodní prostředí</w:t>
            </w:r>
          </w:p>
          <w:p w:rsidR="005405A5" w:rsidRDefault="005405A5" w:rsidP="00DF5D2B">
            <w:pPr>
              <w:rPr>
                <w:szCs w:val="20"/>
              </w:rPr>
            </w:pPr>
            <w:r>
              <w:rPr>
                <w:sz w:val="20"/>
                <w:szCs w:val="20"/>
              </w:rPr>
              <w:t>1616 regiony a regionální politika</w:t>
            </w:r>
          </w:p>
        </w:tc>
        <w:tc>
          <w:tcPr>
            <w:tcW w:w="1749"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tc>
      </w:tr>
      <w:tr w:rsidR="005405A5" w:rsidTr="00DF5D2B">
        <w:tc>
          <w:tcPr>
            <w:tcW w:w="5524" w:type="dxa"/>
            <w:tcBorders>
              <w:top w:val="single" w:sz="4" w:space="0" w:color="auto"/>
              <w:left w:val="single" w:sz="4" w:space="0" w:color="auto"/>
              <w:bottom w:val="single" w:sz="4" w:space="0" w:color="auto"/>
              <w:right w:val="single" w:sz="4" w:space="0" w:color="auto"/>
            </w:tcBorders>
            <w:hideMark/>
          </w:tcPr>
          <w:p w:rsidR="005405A5" w:rsidRDefault="005405A5" w:rsidP="00DF5D2B">
            <w:pPr>
              <w:rPr>
                <w:b/>
                <w:szCs w:val="20"/>
              </w:rPr>
            </w:pPr>
            <w:r>
              <w:rPr>
                <w:b/>
                <w:szCs w:val="20"/>
              </w:rPr>
              <w:t>Za zřízení chráněné oblasti přírodní akumulace vod v oblasti Berounky a Vltavy</w:t>
            </w:r>
          </w:p>
          <w:p w:rsidR="005405A5" w:rsidRDefault="005405A5" w:rsidP="00DF5D2B">
            <w:pPr>
              <w:jc w:val="right"/>
              <w:rPr>
                <w:sz w:val="20"/>
                <w:szCs w:val="20"/>
              </w:rPr>
            </w:pPr>
            <w:r>
              <w:rPr>
                <w:sz w:val="20"/>
                <w:szCs w:val="20"/>
              </w:rPr>
              <w:t>12. 4. 2019</w:t>
            </w:r>
          </w:p>
        </w:tc>
        <w:tc>
          <w:tcPr>
            <w:tcW w:w="1749"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p w:rsidR="005405A5" w:rsidRDefault="005405A5" w:rsidP="00DF5D2B">
            <w:pPr>
              <w:jc w:val="center"/>
            </w:pPr>
            <w:r>
              <w:t>1</w:t>
            </w:r>
          </w:p>
          <w:p w:rsidR="005405A5" w:rsidRDefault="005405A5" w:rsidP="00DF5D2B">
            <w:pPr>
              <w:jc w:val="center"/>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 w:rsidR="005405A5" w:rsidRDefault="005405A5" w:rsidP="00DF5D2B">
            <w:pPr>
              <w:jc w:val="center"/>
            </w:pPr>
            <w:r>
              <w:t xml:space="preserve">    1</w:t>
            </w:r>
          </w:p>
          <w:p w:rsidR="005405A5" w:rsidRDefault="005405A5" w:rsidP="00DF5D2B">
            <w:r>
              <w:t xml:space="preserve">           </w:t>
            </w:r>
          </w:p>
        </w:tc>
      </w:tr>
      <w:tr w:rsidR="005405A5" w:rsidTr="00DF5D2B">
        <w:tc>
          <w:tcPr>
            <w:tcW w:w="5524" w:type="dxa"/>
            <w:tcBorders>
              <w:top w:val="single" w:sz="4" w:space="0" w:color="auto"/>
              <w:left w:val="single" w:sz="4" w:space="0" w:color="auto"/>
              <w:bottom w:val="single" w:sz="4" w:space="0" w:color="auto"/>
              <w:right w:val="single" w:sz="4" w:space="0" w:color="auto"/>
            </w:tcBorders>
            <w:hideMark/>
          </w:tcPr>
          <w:p w:rsidR="005405A5" w:rsidRDefault="005405A5" w:rsidP="00DF5D2B">
            <w:pPr>
              <w:rPr>
                <w:sz w:val="20"/>
                <w:szCs w:val="20"/>
              </w:rPr>
            </w:pPr>
            <w:r>
              <w:rPr>
                <w:sz w:val="20"/>
                <w:szCs w:val="20"/>
              </w:rPr>
              <w:t>1211 občanské právo</w:t>
            </w:r>
          </w:p>
          <w:p w:rsidR="005405A5" w:rsidRDefault="005405A5" w:rsidP="00DF5D2B">
            <w:pPr>
              <w:rPr>
                <w:sz w:val="20"/>
                <w:szCs w:val="20"/>
              </w:rPr>
            </w:pPr>
            <w:r>
              <w:rPr>
                <w:sz w:val="20"/>
                <w:szCs w:val="20"/>
              </w:rPr>
              <w:t>1236 práva a svobody</w:t>
            </w:r>
          </w:p>
        </w:tc>
        <w:tc>
          <w:tcPr>
            <w:tcW w:w="1749"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tc>
      </w:tr>
      <w:tr w:rsidR="005405A5" w:rsidTr="00DF5D2B">
        <w:tc>
          <w:tcPr>
            <w:tcW w:w="5524" w:type="dxa"/>
            <w:tcBorders>
              <w:top w:val="single" w:sz="4" w:space="0" w:color="auto"/>
              <w:left w:val="single" w:sz="4" w:space="0" w:color="auto"/>
              <w:bottom w:val="single" w:sz="4" w:space="0" w:color="auto"/>
              <w:right w:val="single" w:sz="4" w:space="0" w:color="auto"/>
            </w:tcBorders>
            <w:hideMark/>
          </w:tcPr>
          <w:p w:rsidR="005405A5" w:rsidRDefault="005405A5" w:rsidP="00DF5D2B">
            <w:pPr>
              <w:rPr>
                <w:b/>
                <w:szCs w:val="20"/>
              </w:rPr>
            </w:pPr>
            <w:r>
              <w:rPr>
                <w:b/>
                <w:szCs w:val="20"/>
              </w:rPr>
              <w:t>Za systémové řešení problematiky tzv. „šmejdů“</w:t>
            </w:r>
          </w:p>
          <w:p w:rsidR="005405A5" w:rsidRDefault="005405A5" w:rsidP="00DF5D2B">
            <w:pPr>
              <w:rPr>
                <w:b/>
                <w:szCs w:val="20"/>
              </w:rPr>
            </w:pPr>
          </w:p>
          <w:p w:rsidR="005405A5" w:rsidRDefault="005405A5" w:rsidP="00DF5D2B">
            <w:pPr>
              <w:jc w:val="right"/>
              <w:rPr>
                <w:sz w:val="20"/>
                <w:szCs w:val="20"/>
              </w:rPr>
            </w:pPr>
            <w:r>
              <w:rPr>
                <w:sz w:val="20"/>
                <w:szCs w:val="20"/>
              </w:rPr>
              <w:t>16. 4. 2019</w:t>
            </w:r>
          </w:p>
        </w:tc>
        <w:tc>
          <w:tcPr>
            <w:tcW w:w="1749"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p w:rsidR="005405A5" w:rsidRDefault="005405A5" w:rsidP="00DF5D2B">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 w:rsidR="005405A5" w:rsidRDefault="005405A5" w:rsidP="00DF5D2B">
            <w:r>
              <w:t xml:space="preserve">           1</w:t>
            </w:r>
          </w:p>
          <w:p w:rsidR="005405A5" w:rsidRDefault="005405A5" w:rsidP="00DF5D2B"/>
        </w:tc>
      </w:tr>
      <w:tr w:rsidR="005405A5" w:rsidTr="00DF5D2B">
        <w:tc>
          <w:tcPr>
            <w:tcW w:w="5524" w:type="dxa"/>
            <w:tcBorders>
              <w:top w:val="single" w:sz="4" w:space="0" w:color="auto"/>
              <w:left w:val="single" w:sz="4" w:space="0" w:color="auto"/>
              <w:bottom w:val="single" w:sz="4" w:space="0" w:color="auto"/>
              <w:right w:val="single" w:sz="4" w:space="0" w:color="auto"/>
            </w:tcBorders>
            <w:hideMark/>
          </w:tcPr>
          <w:p w:rsidR="005405A5" w:rsidRDefault="005405A5" w:rsidP="00DF5D2B">
            <w:pPr>
              <w:rPr>
                <w:sz w:val="20"/>
                <w:szCs w:val="20"/>
              </w:rPr>
            </w:pPr>
            <w:r>
              <w:rPr>
                <w:sz w:val="20"/>
                <w:szCs w:val="20"/>
              </w:rPr>
              <w:t>1616 regiony a regionální politika</w:t>
            </w:r>
          </w:p>
        </w:tc>
        <w:tc>
          <w:tcPr>
            <w:tcW w:w="1749"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tc>
      </w:tr>
      <w:tr w:rsidR="005405A5" w:rsidTr="00DF5D2B">
        <w:tc>
          <w:tcPr>
            <w:tcW w:w="5524" w:type="dxa"/>
            <w:tcBorders>
              <w:top w:val="single" w:sz="4" w:space="0" w:color="auto"/>
              <w:left w:val="single" w:sz="4" w:space="0" w:color="auto"/>
              <w:bottom w:val="single" w:sz="4" w:space="0" w:color="auto"/>
              <w:right w:val="single" w:sz="4" w:space="0" w:color="auto"/>
            </w:tcBorders>
          </w:tcPr>
          <w:p w:rsidR="005405A5" w:rsidRDefault="005405A5" w:rsidP="00DF5D2B">
            <w:pPr>
              <w:rPr>
                <w:b/>
                <w:szCs w:val="20"/>
              </w:rPr>
            </w:pPr>
            <w:r>
              <w:rPr>
                <w:b/>
                <w:szCs w:val="20"/>
              </w:rPr>
              <w:t xml:space="preserve">Za oddělení vesnice Holašovice od obce Jankov </w:t>
            </w:r>
          </w:p>
          <w:p w:rsidR="005405A5" w:rsidRDefault="005405A5" w:rsidP="00DF5D2B">
            <w:pPr>
              <w:rPr>
                <w:b/>
                <w:szCs w:val="20"/>
              </w:rPr>
            </w:pPr>
            <w:r>
              <w:rPr>
                <w:b/>
                <w:szCs w:val="20"/>
              </w:rPr>
              <w:t>v okrese České Budějovice</w:t>
            </w:r>
          </w:p>
          <w:p w:rsidR="005405A5" w:rsidRDefault="005405A5" w:rsidP="00DF5D2B">
            <w:pPr>
              <w:jc w:val="right"/>
              <w:rPr>
                <w:sz w:val="20"/>
                <w:szCs w:val="20"/>
              </w:rPr>
            </w:pPr>
            <w:r>
              <w:rPr>
                <w:sz w:val="20"/>
                <w:szCs w:val="20"/>
              </w:rPr>
              <w:t xml:space="preserve">6. 5. 2019 </w:t>
            </w:r>
          </w:p>
        </w:tc>
        <w:tc>
          <w:tcPr>
            <w:tcW w:w="1749"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p w:rsidR="005405A5" w:rsidRDefault="005405A5" w:rsidP="00DF5D2B">
            <w:pPr>
              <w:jc w:val="center"/>
            </w:pPr>
            <w:r>
              <w:t>1</w:t>
            </w:r>
          </w:p>
          <w:p w:rsidR="005405A5" w:rsidRDefault="005405A5" w:rsidP="00DF5D2B">
            <w:pPr>
              <w:jc w:val="center"/>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 w:rsidR="005405A5" w:rsidRDefault="005405A5" w:rsidP="00DF5D2B">
            <w:r>
              <w:t xml:space="preserve">         54</w:t>
            </w:r>
          </w:p>
        </w:tc>
      </w:tr>
      <w:tr w:rsidR="005405A5" w:rsidTr="00DF5D2B">
        <w:tc>
          <w:tcPr>
            <w:tcW w:w="5524" w:type="dxa"/>
            <w:tcBorders>
              <w:top w:val="single" w:sz="4" w:space="0" w:color="auto"/>
              <w:left w:val="single" w:sz="4" w:space="0" w:color="auto"/>
              <w:bottom w:val="single" w:sz="4" w:space="0" w:color="auto"/>
              <w:right w:val="single" w:sz="4" w:space="0" w:color="auto"/>
            </w:tcBorders>
            <w:hideMark/>
          </w:tcPr>
          <w:p w:rsidR="005405A5" w:rsidRDefault="005405A5" w:rsidP="00DF5D2B">
            <w:pPr>
              <w:rPr>
                <w:sz w:val="20"/>
                <w:szCs w:val="20"/>
              </w:rPr>
            </w:pPr>
            <w:r>
              <w:rPr>
                <w:sz w:val="20"/>
                <w:szCs w:val="20"/>
              </w:rPr>
              <w:t>1216 trestní právo</w:t>
            </w:r>
          </w:p>
          <w:p w:rsidR="005405A5" w:rsidRDefault="005405A5" w:rsidP="00DF5D2B">
            <w:pPr>
              <w:rPr>
                <w:szCs w:val="20"/>
              </w:rPr>
            </w:pPr>
            <w:r>
              <w:rPr>
                <w:sz w:val="20"/>
                <w:szCs w:val="20"/>
              </w:rPr>
              <w:t>1221 soudnictví</w:t>
            </w:r>
          </w:p>
        </w:tc>
        <w:tc>
          <w:tcPr>
            <w:tcW w:w="1749"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tc>
      </w:tr>
      <w:tr w:rsidR="005405A5" w:rsidTr="00DF5D2B">
        <w:tc>
          <w:tcPr>
            <w:tcW w:w="5524" w:type="dxa"/>
            <w:tcBorders>
              <w:top w:val="single" w:sz="4" w:space="0" w:color="auto"/>
              <w:left w:val="single" w:sz="4" w:space="0" w:color="auto"/>
              <w:bottom w:val="single" w:sz="4" w:space="0" w:color="auto"/>
              <w:right w:val="single" w:sz="4" w:space="0" w:color="auto"/>
            </w:tcBorders>
            <w:hideMark/>
          </w:tcPr>
          <w:p w:rsidR="005405A5" w:rsidRDefault="005405A5" w:rsidP="00DF5D2B">
            <w:pPr>
              <w:rPr>
                <w:b/>
              </w:rPr>
            </w:pPr>
            <w:r>
              <w:rPr>
                <w:b/>
              </w:rPr>
              <w:t xml:space="preserve">Za řádné vyšetření okolností smrti Marečka z Loun a za významné zvýšení trestů pro pachatele trestných činů spáchaných na dětech      </w:t>
            </w:r>
          </w:p>
          <w:p w:rsidR="005405A5" w:rsidRPr="004105D3" w:rsidRDefault="005405A5" w:rsidP="00DF5D2B">
            <w:pPr>
              <w:rPr>
                <w:b/>
              </w:rPr>
            </w:pPr>
            <w:r>
              <w:rPr>
                <w:b/>
              </w:rPr>
              <w:t xml:space="preserve">                                                                         </w:t>
            </w:r>
            <w:r>
              <w:rPr>
                <w:sz w:val="20"/>
                <w:szCs w:val="20"/>
              </w:rPr>
              <w:t>16. 5. 2019</w:t>
            </w:r>
          </w:p>
        </w:tc>
        <w:tc>
          <w:tcPr>
            <w:tcW w:w="1749"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p w:rsidR="005405A5" w:rsidRDefault="005405A5" w:rsidP="00DF5D2B">
            <w:pPr>
              <w:jc w:val="center"/>
            </w:pPr>
            <w:r>
              <w:t>1</w:t>
            </w:r>
          </w:p>
          <w:p w:rsidR="005405A5" w:rsidRDefault="005405A5" w:rsidP="00DF5D2B">
            <w:pPr>
              <w:jc w:val="center"/>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 w:rsidR="005405A5" w:rsidRDefault="005405A5" w:rsidP="00DF5D2B">
            <w:r>
              <w:t xml:space="preserve">  16 322</w:t>
            </w:r>
          </w:p>
          <w:p w:rsidR="005405A5" w:rsidRDefault="005405A5" w:rsidP="00DF5D2B">
            <w:r>
              <w:t xml:space="preserve">    </w:t>
            </w:r>
          </w:p>
        </w:tc>
      </w:tr>
      <w:tr w:rsidR="005405A5" w:rsidTr="00DF5D2B">
        <w:tc>
          <w:tcPr>
            <w:tcW w:w="5524" w:type="dxa"/>
            <w:tcBorders>
              <w:top w:val="single" w:sz="4" w:space="0" w:color="auto"/>
              <w:left w:val="single" w:sz="4" w:space="0" w:color="auto"/>
              <w:bottom w:val="single" w:sz="4" w:space="0" w:color="auto"/>
              <w:right w:val="single" w:sz="4" w:space="0" w:color="auto"/>
            </w:tcBorders>
            <w:hideMark/>
          </w:tcPr>
          <w:p w:rsidR="005405A5" w:rsidRDefault="005405A5" w:rsidP="00DF5D2B">
            <w:pPr>
              <w:rPr>
                <w:szCs w:val="20"/>
              </w:rPr>
            </w:pPr>
            <w:r>
              <w:rPr>
                <w:sz w:val="20"/>
                <w:szCs w:val="20"/>
              </w:rPr>
              <w:t>1211 občanské právo</w:t>
            </w:r>
          </w:p>
        </w:tc>
        <w:tc>
          <w:tcPr>
            <w:tcW w:w="1749"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tc>
      </w:tr>
      <w:tr w:rsidR="005405A5" w:rsidTr="00DF5D2B">
        <w:tc>
          <w:tcPr>
            <w:tcW w:w="5524" w:type="dxa"/>
            <w:tcBorders>
              <w:top w:val="single" w:sz="4" w:space="0" w:color="auto"/>
              <w:left w:val="single" w:sz="4" w:space="0" w:color="auto"/>
              <w:bottom w:val="single" w:sz="4" w:space="0" w:color="auto"/>
              <w:right w:val="single" w:sz="4" w:space="0" w:color="auto"/>
            </w:tcBorders>
          </w:tcPr>
          <w:p w:rsidR="005405A5" w:rsidRDefault="005405A5" w:rsidP="00DF5D2B">
            <w:pPr>
              <w:rPr>
                <w:b/>
                <w:szCs w:val="20"/>
              </w:rPr>
            </w:pPr>
            <w:r>
              <w:rPr>
                <w:b/>
                <w:szCs w:val="20"/>
              </w:rPr>
              <w:t>Za posílení práv společenství vlastníků jednotek a vlastníků bytových jednotek</w:t>
            </w:r>
          </w:p>
          <w:p w:rsidR="005405A5" w:rsidRDefault="005405A5" w:rsidP="00DF5D2B">
            <w:pPr>
              <w:jc w:val="right"/>
              <w:rPr>
                <w:sz w:val="20"/>
                <w:szCs w:val="20"/>
              </w:rPr>
            </w:pPr>
            <w:r>
              <w:rPr>
                <w:sz w:val="20"/>
                <w:szCs w:val="20"/>
              </w:rPr>
              <w:t xml:space="preserve">                                                                          18. 6. 2019 </w:t>
            </w:r>
          </w:p>
        </w:tc>
        <w:tc>
          <w:tcPr>
            <w:tcW w:w="1749"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p w:rsidR="005405A5" w:rsidRDefault="005405A5" w:rsidP="00DF5D2B">
            <w:pPr>
              <w:jc w:val="center"/>
            </w:pPr>
            <w:r>
              <w:t>1</w:t>
            </w:r>
          </w:p>
          <w:p w:rsidR="005405A5" w:rsidRDefault="005405A5" w:rsidP="00DF5D2B">
            <w:pPr>
              <w:jc w:val="center"/>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p w:rsidR="005405A5" w:rsidRDefault="005405A5" w:rsidP="00DF5D2B">
            <w:r>
              <w:t xml:space="preserve">  48 468</w:t>
            </w:r>
          </w:p>
          <w:p w:rsidR="005405A5" w:rsidRDefault="005405A5" w:rsidP="00DF5D2B">
            <w:pPr>
              <w:jc w:val="center"/>
            </w:pPr>
            <w:r>
              <w:t xml:space="preserve"> </w:t>
            </w:r>
          </w:p>
        </w:tc>
      </w:tr>
      <w:tr w:rsidR="005405A5" w:rsidTr="00DF5D2B">
        <w:tc>
          <w:tcPr>
            <w:tcW w:w="5524" w:type="dxa"/>
            <w:tcBorders>
              <w:top w:val="single" w:sz="4" w:space="0" w:color="auto"/>
              <w:left w:val="single" w:sz="4" w:space="0" w:color="auto"/>
              <w:bottom w:val="single" w:sz="4" w:space="0" w:color="auto"/>
              <w:right w:val="single" w:sz="4" w:space="0" w:color="auto"/>
            </w:tcBorders>
            <w:hideMark/>
          </w:tcPr>
          <w:p w:rsidR="005405A5" w:rsidRDefault="005405A5" w:rsidP="00DF5D2B">
            <w:pPr>
              <w:rPr>
                <w:szCs w:val="20"/>
              </w:rPr>
            </w:pPr>
            <w:r>
              <w:rPr>
                <w:sz w:val="20"/>
                <w:szCs w:val="20"/>
              </w:rPr>
              <w:t>2826 sociální vztahy</w:t>
            </w:r>
          </w:p>
        </w:tc>
        <w:tc>
          <w:tcPr>
            <w:tcW w:w="1749"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tc>
      </w:tr>
      <w:tr w:rsidR="005405A5" w:rsidTr="00DF5D2B">
        <w:tc>
          <w:tcPr>
            <w:tcW w:w="5524" w:type="dxa"/>
            <w:tcBorders>
              <w:top w:val="single" w:sz="4" w:space="0" w:color="auto"/>
              <w:left w:val="single" w:sz="4" w:space="0" w:color="auto"/>
              <w:bottom w:val="single" w:sz="4" w:space="0" w:color="auto"/>
              <w:right w:val="single" w:sz="4" w:space="0" w:color="auto"/>
            </w:tcBorders>
            <w:hideMark/>
          </w:tcPr>
          <w:p w:rsidR="005405A5" w:rsidRDefault="005405A5" w:rsidP="00DF5D2B">
            <w:pPr>
              <w:tabs>
                <w:tab w:val="left" w:pos="1286"/>
              </w:tabs>
              <w:rPr>
                <w:b/>
                <w:szCs w:val="28"/>
              </w:rPr>
            </w:pPr>
            <w:r>
              <w:rPr>
                <w:b/>
                <w:szCs w:val="28"/>
              </w:rPr>
              <w:t>Za nediskriminační navýšení rodičovského příspěvku</w:t>
            </w:r>
          </w:p>
          <w:p w:rsidR="005405A5" w:rsidRDefault="005405A5" w:rsidP="00DF5D2B">
            <w:pPr>
              <w:jc w:val="right"/>
              <w:rPr>
                <w:sz w:val="20"/>
                <w:szCs w:val="20"/>
              </w:rPr>
            </w:pPr>
            <w:r>
              <w:rPr>
                <w:sz w:val="20"/>
              </w:rPr>
              <w:t xml:space="preserve">                 26. 6. 2019</w:t>
            </w:r>
          </w:p>
        </w:tc>
        <w:tc>
          <w:tcPr>
            <w:tcW w:w="1749"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p w:rsidR="005405A5" w:rsidRDefault="005405A5" w:rsidP="00DF5D2B">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Pr>
              <w:jc w:val="center"/>
            </w:pPr>
          </w:p>
          <w:p w:rsidR="005405A5" w:rsidRDefault="005405A5" w:rsidP="00DF5D2B">
            <w:r>
              <w:t xml:space="preserve">           1</w:t>
            </w:r>
          </w:p>
        </w:tc>
      </w:tr>
      <w:tr w:rsidR="005405A5" w:rsidTr="00DF5D2B">
        <w:tc>
          <w:tcPr>
            <w:tcW w:w="5524" w:type="dxa"/>
            <w:tcBorders>
              <w:top w:val="single" w:sz="4" w:space="0" w:color="auto"/>
              <w:left w:val="single" w:sz="4" w:space="0" w:color="auto"/>
              <w:bottom w:val="single" w:sz="4" w:space="0" w:color="auto"/>
              <w:right w:val="single" w:sz="4" w:space="0" w:color="auto"/>
            </w:tcBorders>
          </w:tcPr>
          <w:p w:rsidR="005405A5" w:rsidRDefault="005405A5" w:rsidP="00DF5D2B">
            <w:pPr>
              <w:tabs>
                <w:tab w:val="left" w:pos="1286"/>
              </w:tabs>
              <w:rPr>
                <w:b/>
              </w:rPr>
            </w:pPr>
          </w:p>
          <w:p w:rsidR="005405A5" w:rsidRDefault="005405A5" w:rsidP="00DF5D2B">
            <w:pPr>
              <w:tabs>
                <w:tab w:val="left" w:pos="1286"/>
              </w:tabs>
              <w:rPr>
                <w:b/>
              </w:rPr>
            </w:pPr>
            <w:r>
              <w:rPr>
                <w:b/>
              </w:rPr>
              <w:t>P E T I C E  CELKEM</w:t>
            </w:r>
          </w:p>
          <w:p w:rsidR="005405A5" w:rsidRDefault="005405A5" w:rsidP="00DF5D2B">
            <w:pPr>
              <w:tabs>
                <w:tab w:val="left" w:pos="1286"/>
              </w:tabs>
              <w:rPr>
                <w:b/>
              </w:rPr>
            </w:pPr>
          </w:p>
        </w:tc>
        <w:tc>
          <w:tcPr>
            <w:tcW w:w="1749" w:type="dxa"/>
            <w:tcBorders>
              <w:top w:val="single" w:sz="4" w:space="0" w:color="auto"/>
              <w:left w:val="single" w:sz="4" w:space="0" w:color="auto"/>
              <w:bottom w:val="single" w:sz="4" w:space="0" w:color="auto"/>
              <w:right w:val="single" w:sz="4" w:space="0" w:color="auto"/>
            </w:tcBorders>
            <w:hideMark/>
          </w:tcPr>
          <w:p w:rsidR="005405A5" w:rsidRDefault="005405A5" w:rsidP="00DF5D2B">
            <w:r>
              <w:t xml:space="preserve">          </w:t>
            </w:r>
          </w:p>
          <w:p w:rsidR="005405A5" w:rsidRDefault="005405A5" w:rsidP="00DF5D2B">
            <w:pPr>
              <w:rPr>
                <w:b/>
              </w:rPr>
            </w:pPr>
            <w:r>
              <w:rPr>
                <w:b/>
              </w:rPr>
              <w:t xml:space="preserve">            9</w:t>
            </w:r>
          </w:p>
        </w:tc>
        <w:tc>
          <w:tcPr>
            <w:tcW w:w="1417" w:type="dxa"/>
            <w:tcBorders>
              <w:top w:val="single" w:sz="4" w:space="0" w:color="auto"/>
              <w:left w:val="single" w:sz="4" w:space="0" w:color="auto"/>
              <w:bottom w:val="single" w:sz="4" w:space="0" w:color="auto"/>
              <w:right w:val="single" w:sz="4" w:space="0" w:color="auto"/>
            </w:tcBorders>
          </w:tcPr>
          <w:p w:rsidR="005405A5" w:rsidRDefault="005405A5" w:rsidP="00DF5D2B"/>
          <w:p w:rsidR="005405A5" w:rsidRDefault="00716165" w:rsidP="00DF5D2B">
            <w:pPr>
              <w:rPr>
                <w:b/>
              </w:rPr>
            </w:pPr>
            <w:r>
              <w:rPr>
                <w:b/>
              </w:rPr>
              <w:t xml:space="preserve">   96 70</w:t>
            </w:r>
            <w:r w:rsidR="005405A5">
              <w:rPr>
                <w:b/>
              </w:rPr>
              <w:t>0</w:t>
            </w:r>
          </w:p>
        </w:tc>
      </w:tr>
    </w:tbl>
    <w:p w:rsidR="008605DE" w:rsidRDefault="008605DE">
      <w:pPr>
        <w:rPr>
          <w:rFonts w:cs="Times New Roman"/>
          <w:color w:val="000000"/>
          <w:lang w:eastAsia="cs-CZ"/>
        </w:rPr>
      </w:pPr>
    </w:p>
    <w:sectPr w:rsidR="008605DE" w:rsidSect="00DE1E2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A98" w:rsidRDefault="00D76A98" w:rsidP="00D76A98">
      <w:r>
        <w:separator/>
      </w:r>
    </w:p>
  </w:endnote>
  <w:endnote w:type="continuationSeparator" w:id="0">
    <w:p w:rsidR="00D76A98" w:rsidRDefault="00D76A98" w:rsidP="00D76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Rockwell Condensed">
    <w:altName w:val="Century"/>
    <w:panose1 w:val="02060603050405020104"/>
    <w:charset w:val="00"/>
    <w:family w:val="roman"/>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E2B" w:rsidRDefault="00DE1E2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102509"/>
      <w:docPartObj>
        <w:docPartGallery w:val="Page Numbers (Bottom of Page)"/>
        <w:docPartUnique/>
      </w:docPartObj>
    </w:sdtPr>
    <w:sdtEndPr/>
    <w:sdtContent>
      <w:p w:rsidR="00DE1E2B" w:rsidRDefault="00DE1E2B">
        <w:pPr>
          <w:pStyle w:val="Zpat"/>
          <w:jc w:val="center"/>
        </w:pPr>
        <w:r>
          <w:fldChar w:fldCharType="begin"/>
        </w:r>
        <w:r>
          <w:instrText>PAGE   \* MERGEFORMAT</w:instrText>
        </w:r>
        <w:r>
          <w:fldChar w:fldCharType="separate"/>
        </w:r>
        <w:r w:rsidR="0032652E">
          <w:rPr>
            <w:noProof/>
          </w:rPr>
          <w:t>6</w:t>
        </w:r>
        <w:r>
          <w:fldChar w:fldCharType="end"/>
        </w:r>
      </w:p>
    </w:sdtContent>
  </w:sdt>
  <w:p w:rsidR="00DE1E2B" w:rsidRDefault="00DE1E2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E2B" w:rsidRDefault="00DE1E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A98" w:rsidRDefault="00D76A98" w:rsidP="00D76A98">
      <w:r>
        <w:separator/>
      </w:r>
    </w:p>
  </w:footnote>
  <w:footnote w:type="continuationSeparator" w:id="0">
    <w:p w:rsidR="00D76A98" w:rsidRDefault="00D76A98" w:rsidP="00D76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E2B" w:rsidRDefault="00DE1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E2B" w:rsidRDefault="00DE1E2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E2B" w:rsidRDefault="00DE1E2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804C8F"/>
    <w:multiLevelType w:val="hybridMultilevel"/>
    <w:tmpl w:val="1F0EA7DE"/>
    <w:lvl w:ilvl="0" w:tplc="8B4AF772">
      <w:start w:val="1"/>
      <w:numFmt w:val="upperRoman"/>
      <w:lvlText w:val="%1."/>
      <w:lvlJc w:val="left"/>
      <w:pPr>
        <w:ind w:left="861" w:hanging="720"/>
      </w:pPr>
      <w:rPr>
        <w:rFonts w:ascii="Times New Roman" w:hAnsi="Times New Roman" w:hint="default"/>
        <w:b/>
        <w:bCs/>
      </w:rPr>
    </w:lvl>
    <w:lvl w:ilvl="1" w:tplc="04050019">
      <w:start w:val="1"/>
      <w:numFmt w:val="lowerLetter"/>
      <w:lvlText w:val="%2."/>
      <w:lvlJc w:val="left"/>
      <w:pPr>
        <w:ind w:left="1440" w:hanging="360"/>
      </w:pPr>
      <w:rPr>
        <w:rFonts w:ascii="Times New Roman" w:hAnsi="Times New Roman"/>
      </w:rPr>
    </w:lvl>
    <w:lvl w:ilvl="2" w:tplc="0405001B">
      <w:start w:val="1"/>
      <w:numFmt w:val="lowerRoman"/>
      <w:lvlText w:val="%3."/>
      <w:lvlJc w:val="right"/>
      <w:pPr>
        <w:ind w:left="2160" w:hanging="180"/>
      </w:pPr>
      <w:rPr>
        <w:rFonts w:ascii="Times New Roman" w:hAnsi="Times New Roman"/>
      </w:rPr>
    </w:lvl>
    <w:lvl w:ilvl="3" w:tplc="0405000F">
      <w:start w:val="1"/>
      <w:numFmt w:val="decimal"/>
      <w:lvlText w:val="%4."/>
      <w:lvlJc w:val="left"/>
      <w:pPr>
        <w:ind w:left="2880" w:hanging="360"/>
      </w:pPr>
      <w:rPr>
        <w:rFonts w:ascii="Times New Roman" w:hAnsi="Times New Roman"/>
      </w:rPr>
    </w:lvl>
    <w:lvl w:ilvl="4" w:tplc="04050019">
      <w:start w:val="1"/>
      <w:numFmt w:val="lowerLetter"/>
      <w:lvlText w:val="%5."/>
      <w:lvlJc w:val="left"/>
      <w:pPr>
        <w:ind w:left="3600" w:hanging="360"/>
      </w:pPr>
      <w:rPr>
        <w:rFonts w:ascii="Times New Roman" w:hAnsi="Times New Roman"/>
      </w:rPr>
    </w:lvl>
    <w:lvl w:ilvl="5" w:tplc="0405001B">
      <w:start w:val="1"/>
      <w:numFmt w:val="lowerRoman"/>
      <w:lvlText w:val="%6."/>
      <w:lvlJc w:val="right"/>
      <w:pPr>
        <w:ind w:left="4320" w:hanging="180"/>
      </w:pPr>
      <w:rPr>
        <w:rFonts w:ascii="Times New Roman" w:hAnsi="Times New Roman"/>
      </w:rPr>
    </w:lvl>
    <w:lvl w:ilvl="6" w:tplc="0405000F">
      <w:start w:val="1"/>
      <w:numFmt w:val="decimal"/>
      <w:lvlText w:val="%7."/>
      <w:lvlJc w:val="left"/>
      <w:pPr>
        <w:ind w:left="5040" w:hanging="360"/>
      </w:pPr>
      <w:rPr>
        <w:rFonts w:ascii="Times New Roman" w:hAnsi="Times New Roman"/>
      </w:rPr>
    </w:lvl>
    <w:lvl w:ilvl="7" w:tplc="04050019">
      <w:start w:val="1"/>
      <w:numFmt w:val="lowerLetter"/>
      <w:lvlText w:val="%8."/>
      <w:lvlJc w:val="left"/>
      <w:pPr>
        <w:ind w:left="5760" w:hanging="360"/>
      </w:pPr>
      <w:rPr>
        <w:rFonts w:ascii="Times New Roman" w:hAnsi="Times New Roman"/>
      </w:rPr>
    </w:lvl>
    <w:lvl w:ilvl="8" w:tplc="0405001B">
      <w:start w:val="1"/>
      <w:numFmt w:val="lowerRoman"/>
      <w:lvlText w:val="%9."/>
      <w:lvlJc w:val="right"/>
      <w:pPr>
        <w:ind w:left="6480" w:hanging="180"/>
      </w:pPr>
      <w:rPr>
        <w:rFonts w:ascii="Times New Roman" w:hAnsi="Times New Roman"/>
      </w:rPr>
    </w:lvl>
  </w:abstractNum>
  <w:abstractNum w:abstractNumId="1" w15:restartNumberingAfterBreak="0">
    <w:nsid w:val="531D4D09"/>
    <w:multiLevelType w:val="hybridMultilevel"/>
    <w:tmpl w:val="1F0EA7DE"/>
    <w:lvl w:ilvl="0" w:tplc="8B4AF772">
      <w:start w:val="1"/>
      <w:numFmt w:val="upperRoman"/>
      <w:lvlText w:val="%1."/>
      <w:lvlJc w:val="left"/>
      <w:pPr>
        <w:ind w:left="861" w:hanging="720"/>
      </w:pPr>
      <w:rPr>
        <w:rFonts w:ascii="Times New Roman" w:hAnsi="Times New Roman" w:hint="default"/>
        <w:b/>
        <w:bCs/>
      </w:rPr>
    </w:lvl>
    <w:lvl w:ilvl="1" w:tplc="04050019">
      <w:start w:val="1"/>
      <w:numFmt w:val="lowerLetter"/>
      <w:lvlText w:val="%2."/>
      <w:lvlJc w:val="left"/>
      <w:pPr>
        <w:ind w:left="1440" w:hanging="360"/>
      </w:pPr>
      <w:rPr>
        <w:rFonts w:ascii="Times New Roman" w:hAnsi="Times New Roman"/>
      </w:rPr>
    </w:lvl>
    <w:lvl w:ilvl="2" w:tplc="0405001B">
      <w:start w:val="1"/>
      <w:numFmt w:val="lowerRoman"/>
      <w:lvlText w:val="%3."/>
      <w:lvlJc w:val="right"/>
      <w:pPr>
        <w:ind w:left="2160" w:hanging="180"/>
      </w:pPr>
      <w:rPr>
        <w:rFonts w:ascii="Times New Roman" w:hAnsi="Times New Roman"/>
      </w:rPr>
    </w:lvl>
    <w:lvl w:ilvl="3" w:tplc="0405000F">
      <w:start w:val="1"/>
      <w:numFmt w:val="decimal"/>
      <w:lvlText w:val="%4."/>
      <w:lvlJc w:val="left"/>
      <w:pPr>
        <w:ind w:left="2880" w:hanging="360"/>
      </w:pPr>
      <w:rPr>
        <w:rFonts w:ascii="Times New Roman" w:hAnsi="Times New Roman"/>
      </w:rPr>
    </w:lvl>
    <w:lvl w:ilvl="4" w:tplc="04050019">
      <w:start w:val="1"/>
      <w:numFmt w:val="lowerLetter"/>
      <w:lvlText w:val="%5."/>
      <w:lvlJc w:val="left"/>
      <w:pPr>
        <w:ind w:left="3600" w:hanging="360"/>
      </w:pPr>
      <w:rPr>
        <w:rFonts w:ascii="Times New Roman" w:hAnsi="Times New Roman"/>
      </w:rPr>
    </w:lvl>
    <w:lvl w:ilvl="5" w:tplc="0405001B">
      <w:start w:val="1"/>
      <w:numFmt w:val="lowerRoman"/>
      <w:lvlText w:val="%6."/>
      <w:lvlJc w:val="right"/>
      <w:pPr>
        <w:ind w:left="4320" w:hanging="180"/>
      </w:pPr>
      <w:rPr>
        <w:rFonts w:ascii="Times New Roman" w:hAnsi="Times New Roman"/>
      </w:rPr>
    </w:lvl>
    <w:lvl w:ilvl="6" w:tplc="0405000F">
      <w:start w:val="1"/>
      <w:numFmt w:val="decimal"/>
      <w:lvlText w:val="%7."/>
      <w:lvlJc w:val="left"/>
      <w:pPr>
        <w:ind w:left="5040" w:hanging="360"/>
      </w:pPr>
      <w:rPr>
        <w:rFonts w:ascii="Times New Roman" w:hAnsi="Times New Roman"/>
      </w:rPr>
    </w:lvl>
    <w:lvl w:ilvl="7" w:tplc="04050019">
      <w:start w:val="1"/>
      <w:numFmt w:val="lowerLetter"/>
      <w:lvlText w:val="%8."/>
      <w:lvlJc w:val="left"/>
      <w:pPr>
        <w:ind w:left="5760" w:hanging="360"/>
      </w:pPr>
      <w:rPr>
        <w:rFonts w:ascii="Times New Roman" w:hAnsi="Times New Roman"/>
      </w:rPr>
    </w:lvl>
    <w:lvl w:ilvl="8" w:tplc="0405001B">
      <w:start w:val="1"/>
      <w:numFmt w:val="lowerRoman"/>
      <w:lvlText w:val="%9."/>
      <w:lvlJc w:val="right"/>
      <w:pPr>
        <w:ind w:left="6480" w:hanging="180"/>
      </w:pPr>
      <w:rPr>
        <w:rFonts w:ascii="Times New Roman" w:hAnsi="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1A8"/>
    <w:rsid w:val="002C7461"/>
    <w:rsid w:val="0032652E"/>
    <w:rsid w:val="003F29F1"/>
    <w:rsid w:val="005405A5"/>
    <w:rsid w:val="00650222"/>
    <w:rsid w:val="00716165"/>
    <w:rsid w:val="007751A8"/>
    <w:rsid w:val="008605DE"/>
    <w:rsid w:val="00C74F43"/>
    <w:rsid w:val="00D76A98"/>
    <w:rsid w:val="00D8683A"/>
    <w:rsid w:val="00DE1E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FFE9CCFF-2BE0-4814-92D3-41E45DD68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rFonts w:ascii="Times New Roman" w:hAnsi="Times New Roman"/>
      <w:color w:val="00000A"/>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pPr>
      <w:spacing w:before="280"/>
      <w:jc w:val="center"/>
    </w:pPr>
    <w:rPr>
      <w:color w:val="000000"/>
      <w:lang w:eastAsia="cs-CZ"/>
    </w:rPr>
  </w:style>
  <w:style w:type="paragraph" w:customStyle="1" w:styleId="western">
    <w:name w:val="western"/>
    <w:basedOn w:val="Normln"/>
    <w:uiPriority w:val="99"/>
    <w:pPr>
      <w:spacing w:before="280"/>
      <w:jc w:val="center"/>
    </w:pPr>
    <w:rPr>
      <w:b/>
      <w:bCs/>
      <w:color w:val="000000"/>
      <w:lang w:eastAsia="cs-CZ"/>
    </w:rPr>
  </w:style>
  <w:style w:type="paragraph" w:styleId="Odstavecseseznamem">
    <w:name w:val="List Paragraph"/>
    <w:basedOn w:val="Normln"/>
    <w:uiPriority w:val="99"/>
    <w:qFormat/>
    <w:pPr>
      <w:ind w:left="720"/>
    </w:pPr>
  </w:style>
  <w:style w:type="paragraph" w:styleId="Textbubliny">
    <w:name w:val="Balloon Text"/>
    <w:basedOn w:val="Normln"/>
    <w:link w:val="TextbublinyChar"/>
    <w:uiPriority w:val="99"/>
    <w:rPr>
      <w:rFonts w:ascii="Segoe UI" w:hAnsi="Segoe UI" w:cs="Segoe UI"/>
      <w:sz w:val="18"/>
      <w:szCs w:val="18"/>
    </w:rPr>
  </w:style>
  <w:style w:type="character" w:customStyle="1" w:styleId="TextbublinyChar">
    <w:name w:val="Text bubliny Char"/>
    <w:basedOn w:val="Standardnpsmoodstavce"/>
    <w:link w:val="Textbubliny"/>
    <w:uiPriority w:val="99"/>
    <w:rPr>
      <w:rFonts w:ascii="Segoe UI" w:hAnsi="Segoe UI" w:cs="Segoe UI"/>
      <w:color w:val="00000A"/>
      <w:sz w:val="18"/>
      <w:szCs w:val="18"/>
    </w:rPr>
  </w:style>
  <w:style w:type="table" w:styleId="Mkatabulky">
    <w:name w:val="Table Grid"/>
    <w:basedOn w:val="Normlntabulka"/>
    <w:uiPriority w:val="39"/>
    <w:rsid w:val="005405A5"/>
    <w:rPr>
      <w:rFonts w:ascii="Times New Roman" w:eastAsiaTheme="minorHAnsi" w:hAnsi="Times New Roman"/>
      <w:sz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D76A98"/>
    <w:pPr>
      <w:tabs>
        <w:tab w:val="center" w:pos="4536"/>
        <w:tab w:val="right" w:pos="9072"/>
      </w:tabs>
    </w:pPr>
  </w:style>
  <w:style w:type="character" w:customStyle="1" w:styleId="ZhlavChar">
    <w:name w:val="Záhlaví Char"/>
    <w:basedOn w:val="Standardnpsmoodstavce"/>
    <w:link w:val="Zhlav"/>
    <w:uiPriority w:val="99"/>
    <w:rsid w:val="00D76A98"/>
    <w:rPr>
      <w:rFonts w:ascii="Times New Roman" w:hAnsi="Times New Roman"/>
      <w:color w:val="00000A"/>
      <w:sz w:val="24"/>
      <w:szCs w:val="24"/>
      <w:lang w:eastAsia="en-US"/>
    </w:rPr>
  </w:style>
  <w:style w:type="paragraph" w:styleId="Zpat">
    <w:name w:val="footer"/>
    <w:basedOn w:val="Normln"/>
    <w:link w:val="ZpatChar"/>
    <w:uiPriority w:val="99"/>
    <w:unhideWhenUsed/>
    <w:rsid w:val="00D76A98"/>
    <w:pPr>
      <w:tabs>
        <w:tab w:val="center" w:pos="4536"/>
        <w:tab w:val="right" w:pos="9072"/>
      </w:tabs>
    </w:pPr>
  </w:style>
  <w:style w:type="character" w:customStyle="1" w:styleId="ZpatChar">
    <w:name w:val="Zápatí Char"/>
    <w:basedOn w:val="Standardnpsmoodstavce"/>
    <w:link w:val="Zpat"/>
    <w:uiPriority w:val="99"/>
    <w:rsid w:val="00D76A98"/>
    <w:rPr>
      <w:rFonts w:ascii="Times New Roman" w:hAnsi="Times New Roman"/>
      <w:color w:val="00000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5C487-EB24-45FA-AC49-270F0061D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1753</Words>
  <Characters>10489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Zpráva o peticích</vt:lpstr>
    </vt:vector>
  </TitlesOfParts>
  <Company>Parlament CR</Company>
  <LinksUpToDate>false</LinksUpToDate>
  <CharactersWithSpaces>12218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Zpráva o peticích</dc:title>
  <dc:subject/>
  <dc:creator>ZelenkovaM</dc:creator>
  <cp:keywords/>
  <dc:description/>
  <cp:lastModifiedBy>Krickova Dana</cp:lastModifiedBy>
  <cp:revision>9</cp:revision>
  <cp:lastPrinted>2019-08-12T12:06:00Z</cp:lastPrinted>
  <dcterms:created xsi:type="dcterms:W3CDTF">2019-08-15T09:07:00Z</dcterms:created>
  <dcterms:modified xsi:type="dcterms:W3CDTF">2019-09-04T07:06:00Z</dcterms:modified>
</cp:coreProperties>
</file>