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A92050" w:rsidRPr="008A28FE" w:rsidRDefault="008A28FE" w:rsidP="00A92050">
      <w:pPr>
        <w:jc w:val="center"/>
        <w:rPr>
          <w:b/>
        </w:rPr>
      </w:pPr>
      <w:r>
        <w:rPr>
          <w:b/>
        </w:rPr>
        <w:t xml:space="preserve">k </w:t>
      </w:r>
      <w:r w:rsidR="00A92050">
        <w:rPr>
          <w:b/>
        </w:rPr>
        <w:t xml:space="preserve">návrhu </w:t>
      </w:r>
      <w:r>
        <w:rPr>
          <w:b/>
        </w:rPr>
        <w:t>zákona</w:t>
      </w:r>
      <w:r w:rsidRPr="008A28FE">
        <w:rPr>
          <w:b/>
        </w:rPr>
        <w:t xml:space="preserve">, </w:t>
      </w:r>
      <w:r w:rsidRPr="008A28FE">
        <w:rPr>
          <w:rFonts w:eastAsia="Calibri"/>
          <w:b/>
        </w:rPr>
        <w:t>kterým se mění zákon č. 383/2012 Sb., o podmínkách obchodování s povolenkami na emise skleníkových plynů, ve znění pozdějších předpisů, a</w:t>
      </w:r>
      <w:r w:rsidR="005C329A">
        <w:rPr>
          <w:rFonts w:eastAsia="Calibri"/>
          <w:b/>
        </w:rPr>
        <w:t> </w:t>
      </w:r>
      <w:r w:rsidRPr="008A28FE">
        <w:rPr>
          <w:rFonts w:eastAsia="Calibri"/>
          <w:b/>
        </w:rPr>
        <w:t>zákon</w:t>
      </w:r>
      <w:r w:rsidR="005C329A">
        <w:rPr>
          <w:rFonts w:eastAsia="Calibri"/>
          <w:b/>
        </w:rPr>
        <w:t> </w:t>
      </w:r>
      <w:r w:rsidRPr="008A28FE">
        <w:rPr>
          <w:rFonts w:eastAsia="Calibri"/>
          <w:b/>
        </w:rPr>
        <w:t>č.</w:t>
      </w:r>
      <w:r w:rsidR="005C329A">
        <w:rPr>
          <w:rFonts w:eastAsia="Calibri"/>
          <w:b/>
        </w:rPr>
        <w:t> </w:t>
      </w:r>
      <w:r w:rsidRPr="008A28FE">
        <w:rPr>
          <w:rFonts w:eastAsia="Calibri"/>
          <w:b/>
        </w:rPr>
        <w:t>458/2000 Sb., o podmínkách podnikání a o výkonu státní správy v</w:t>
      </w:r>
      <w:r w:rsidR="005C329A">
        <w:rPr>
          <w:rFonts w:eastAsia="Calibri"/>
          <w:b/>
        </w:rPr>
        <w:t> </w:t>
      </w:r>
      <w:r w:rsidRPr="008A28FE">
        <w:rPr>
          <w:rFonts w:eastAsia="Calibri"/>
          <w:b/>
        </w:rPr>
        <w:t>energetických odvětvích a o změně některých zákonů (energetický zákon), ve</w:t>
      </w:r>
      <w:r w:rsidR="005C329A">
        <w:rPr>
          <w:rFonts w:eastAsia="Calibri"/>
          <w:b/>
        </w:rPr>
        <w:t> </w:t>
      </w:r>
      <w:r w:rsidRPr="008A28FE">
        <w:rPr>
          <w:rFonts w:eastAsia="Calibri"/>
          <w:b/>
        </w:rPr>
        <w:t>znění</w:t>
      </w:r>
      <w:r w:rsidR="005C329A">
        <w:rPr>
          <w:rFonts w:eastAsia="Calibri"/>
          <w:b/>
        </w:rPr>
        <w:t> </w:t>
      </w:r>
      <w:r w:rsidRPr="008A28FE">
        <w:rPr>
          <w:rFonts w:eastAsia="Calibri"/>
          <w:b/>
        </w:rPr>
        <w:t>pozdějších předpisů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4B6732">
        <w:rPr>
          <w:b/>
        </w:rPr>
        <w:t>483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5C329A">
        <w:rPr>
          <w:b/>
          <w:sz w:val="28"/>
          <w:szCs w:val="28"/>
        </w:rPr>
        <w:t>27.</w:t>
      </w:r>
      <w:r w:rsidRPr="00A92050">
        <w:rPr>
          <w:b/>
          <w:sz w:val="28"/>
          <w:szCs w:val="28"/>
        </w:rPr>
        <w:t xml:space="preserve"> </w:t>
      </w:r>
      <w:r w:rsidR="00AF24B6">
        <w:rPr>
          <w:b/>
          <w:sz w:val="28"/>
          <w:szCs w:val="28"/>
        </w:rPr>
        <w:t>září</w:t>
      </w:r>
      <w:r w:rsidRPr="00A92050">
        <w:rPr>
          <w:b/>
          <w:sz w:val="28"/>
          <w:szCs w:val="28"/>
        </w:rPr>
        <w:t xml:space="preserve"> 201</w:t>
      </w:r>
      <w:r w:rsidR="005C329A">
        <w:rPr>
          <w:b/>
          <w:sz w:val="28"/>
          <w:szCs w:val="28"/>
        </w:rPr>
        <w:t>9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97114B">
      <w:pPr>
        <w:pStyle w:val="Oznaenpozmn"/>
        <w:tabs>
          <w:tab w:val="clear" w:pos="425"/>
        </w:tabs>
        <w:spacing w:after="0"/>
        <w:ind w:left="567" w:hanging="567"/>
      </w:pPr>
      <w:r>
        <w:t>Poslan</w:t>
      </w:r>
      <w:r w:rsidR="008E120F">
        <w:t xml:space="preserve">kyně Dana </w:t>
      </w:r>
      <w:r w:rsidR="005C329A">
        <w:t>Bal</w:t>
      </w:r>
      <w:r w:rsidR="008E120F">
        <w:t>c</w:t>
      </w:r>
      <w:r w:rsidR="005C329A">
        <w:t xml:space="preserve">arová </w:t>
      </w:r>
    </w:p>
    <w:p w:rsidR="0097114B" w:rsidRPr="0097114B" w:rsidRDefault="0097114B" w:rsidP="0097114B"/>
    <w:p w:rsidR="005C329A" w:rsidRPr="008E120F" w:rsidRDefault="005C329A" w:rsidP="008946F6">
      <w:pPr>
        <w:ind w:firstLine="708"/>
        <w:rPr>
          <w:i/>
        </w:rPr>
      </w:pPr>
      <w:r w:rsidRPr="008E120F">
        <w:rPr>
          <w:i/>
        </w:rPr>
        <w:t>(SD 3295)</w:t>
      </w:r>
    </w:p>
    <w:p w:rsidR="005C329A" w:rsidRDefault="008946F6" w:rsidP="0097114B">
      <w:proofErr w:type="gramStart"/>
      <w:r>
        <w:rPr>
          <w:b/>
        </w:rPr>
        <w:t>A.1.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085C79">
        <w:t xml:space="preserve">V části první čl. I </w:t>
      </w:r>
      <w:r w:rsidR="005C329A">
        <w:t>bod 20 zní:</w:t>
      </w:r>
    </w:p>
    <w:p w:rsidR="005C329A" w:rsidRDefault="005C329A" w:rsidP="008946F6">
      <w:pPr>
        <w:spacing w:before="120"/>
        <w:ind w:firstLine="709"/>
        <w:rPr>
          <w:highlight w:val="yellow"/>
        </w:rPr>
      </w:pPr>
      <w:r>
        <w:t xml:space="preserve">„20. V § 7 odst. 5 se za text „2003/87/ES“ se vkládají </w:t>
      </w:r>
      <w:proofErr w:type="gramStart"/>
      <w:r>
        <w:t>slova „</w:t>
      </w:r>
      <w:r w:rsidR="00474EF4">
        <w:t xml:space="preserve"> </w:t>
      </w:r>
      <w:r>
        <w:t>, v platném</w:t>
      </w:r>
      <w:proofErr w:type="gramEnd"/>
      <w:r>
        <w:t xml:space="preserve"> znění,“.“.</w:t>
      </w:r>
    </w:p>
    <w:p w:rsidR="0097114B" w:rsidRDefault="0097114B" w:rsidP="005C329A"/>
    <w:p w:rsidR="005C329A" w:rsidRPr="008E120F" w:rsidRDefault="005C329A" w:rsidP="00AE0F85">
      <w:pPr>
        <w:ind w:firstLine="708"/>
        <w:rPr>
          <w:i/>
        </w:rPr>
      </w:pPr>
      <w:r w:rsidRPr="008E120F">
        <w:rPr>
          <w:i/>
        </w:rPr>
        <w:t>(SD 3296)</w:t>
      </w:r>
    </w:p>
    <w:p w:rsidR="005C329A" w:rsidRDefault="008E120F" w:rsidP="0097114B">
      <w:proofErr w:type="gramStart"/>
      <w:r w:rsidRPr="008E120F">
        <w:rPr>
          <w:b/>
        </w:rPr>
        <w:t>A.2.</w:t>
      </w:r>
      <w:proofErr w:type="gramEnd"/>
      <w:r>
        <w:t xml:space="preserve"> </w:t>
      </w:r>
      <w:r>
        <w:tab/>
      </w:r>
      <w:r w:rsidR="005C329A">
        <w:t>V části první čl. I bod 19 zní:</w:t>
      </w:r>
    </w:p>
    <w:p w:rsidR="005C329A" w:rsidRDefault="005C329A" w:rsidP="008946F6">
      <w:pPr>
        <w:spacing w:before="120"/>
        <w:ind w:left="709"/>
      </w:pPr>
      <w:r>
        <w:t xml:space="preserve">„19. V § 7 odst. 4 se </w:t>
      </w:r>
      <w:proofErr w:type="gramStart"/>
      <w:r>
        <w:t>slova „</w:t>
      </w:r>
      <w:r w:rsidR="0076481D">
        <w:t xml:space="preserve"> </w:t>
      </w:r>
      <w:r>
        <w:t>, 2 a 3“ nahrazují</w:t>
      </w:r>
      <w:proofErr w:type="gramEnd"/>
      <w:r>
        <w:t xml:space="preserve"> slovy „a 2“ a za slovo „není-li“ se vkládají slova „tímto zákonem“.“.</w:t>
      </w:r>
    </w:p>
    <w:p w:rsidR="0097114B" w:rsidRDefault="0097114B" w:rsidP="005C329A"/>
    <w:p w:rsidR="005C329A" w:rsidRPr="008E120F" w:rsidRDefault="005C329A" w:rsidP="008946F6">
      <w:pPr>
        <w:ind w:firstLine="708"/>
        <w:rPr>
          <w:i/>
        </w:rPr>
      </w:pPr>
      <w:r w:rsidRPr="008E120F">
        <w:rPr>
          <w:i/>
        </w:rPr>
        <w:t>(SD 3294)</w:t>
      </w:r>
    </w:p>
    <w:p w:rsidR="0097114B" w:rsidRDefault="008E120F" w:rsidP="008946F6">
      <w:pPr>
        <w:ind w:left="708" w:hanging="708"/>
      </w:pPr>
      <w:proofErr w:type="gramStart"/>
      <w:r>
        <w:rPr>
          <w:b/>
        </w:rPr>
        <w:t>A.3.</w:t>
      </w:r>
      <w:r>
        <w:rPr>
          <w:b/>
        </w:rPr>
        <w:tab/>
      </w:r>
      <w:r w:rsidR="00474EF4">
        <w:t xml:space="preserve">V </w:t>
      </w:r>
      <w:r w:rsidR="00085C79">
        <w:t>části</w:t>
      </w:r>
      <w:proofErr w:type="gramEnd"/>
      <w:r w:rsidR="00085C79">
        <w:t xml:space="preserve"> první čl. I </w:t>
      </w:r>
      <w:r w:rsidR="0097114B">
        <w:t xml:space="preserve">bodě 28 v § 12 odstavci 4 </w:t>
      </w:r>
      <w:r w:rsidR="00085C79">
        <w:t xml:space="preserve">se </w:t>
      </w:r>
      <w:r w:rsidR="0097114B">
        <w:t xml:space="preserve">věta </w:t>
      </w:r>
      <w:r w:rsidR="00085C79">
        <w:t xml:space="preserve">druhá </w:t>
      </w:r>
      <w:r w:rsidR="0097114B">
        <w:t xml:space="preserve">nahrazuje větou </w:t>
      </w:r>
      <w:r w:rsidR="00085C79">
        <w:t>„</w:t>
      </w:r>
      <w:r w:rsidR="0097114B">
        <w:t>Radu Modernizačního fondu tvoří zástupci ministerstva životního prostředí, ministerstva průmyslu a obchodu, ministerstva financí a dále nezávislí odborníci; členy Rady Modernizačního fondu jmenuje vláda, která při výběru členů dbá na zachování principu transparentnosti nakládání s veřejnými prostředky.</w:t>
      </w:r>
      <w:r w:rsidR="00085C79">
        <w:t>“</w:t>
      </w:r>
      <w:r w:rsidR="0097114B">
        <w:t>.</w:t>
      </w:r>
    </w:p>
    <w:p w:rsidR="0097114B" w:rsidRDefault="0097114B" w:rsidP="0097114B"/>
    <w:p w:rsidR="00A92050" w:rsidRPr="00A92050" w:rsidRDefault="00A92050" w:rsidP="00A92050"/>
    <w:p w:rsidR="00A92050" w:rsidRDefault="0097114B" w:rsidP="0097114B">
      <w:pPr>
        <w:ind w:left="567" w:hanging="567"/>
        <w:rPr>
          <w:b/>
        </w:rPr>
      </w:pPr>
      <w:r w:rsidRPr="0097114B">
        <w:rPr>
          <w:b/>
        </w:rPr>
        <w:t>B</w:t>
      </w:r>
      <w:r w:rsidR="00931209">
        <w:rPr>
          <w:b/>
        </w:rPr>
        <w:t>.</w:t>
      </w:r>
      <w:r w:rsidRPr="0097114B">
        <w:rPr>
          <w:b/>
        </w:rPr>
        <w:tab/>
        <w:t xml:space="preserve">Poslanec </w:t>
      </w:r>
      <w:r w:rsidR="008E120F" w:rsidRPr="0097114B">
        <w:rPr>
          <w:b/>
        </w:rPr>
        <w:t xml:space="preserve">Petr </w:t>
      </w:r>
      <w:r w:rsidRPr="0097114B">
        <w:rPr>
          <w:b/>
        </w:rPr>
        <w:t xml:space="preserve">Třešňák </w:t>
      </w:r>
    </w:p>
    <w:p w:rsidR="0097114B" w:rsidRPr="0097114B" w:rsidRDefault="0097114B" w:rsidP="0097114B">
      <w:pPr>
        <w:ind w:left="567" w:hanging="567"/>
        <w:rPr>
          <w:b/>
        </w:rPr>
      </w:pPr>
    </w:p>
    <w:p w:rsidR="00A92050" w:rsidRPr="008E120F" w:rsidRDefault="0097114B" w:rsidP="008946F6">
      <w:pPr>
        <w:ind w:firstLine="708"/>
        <w:rPr>
          <w:i/>
        </w:rPr>
      </w:pPr>
      <w:r w:rsidRPr="008E120F">
        <w:rPr>
          <w:i/>
        </w:rPr>
        <w:t>(SD 3226)</w:t>
      </w:r>
    </w:p>
    <w:p w:rsidR="0097114B" w:rsidRDefault="008E120F" w:rsidP="00931209">
      <w:pPr>
        <w:spacing w:after="120"/>
        <w:ind w:left="709" w:hanging="709"/>
      </w:pPr>
      <w:proofErr w:type="gramStart"/>
      <w:r>
        <w:rPr>
          <w:b/>
        </w:rPr>
        <w:t>B.1.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97114B">
        <w:t>V části p</w:t>
      </w:r>
      <w:r w:rsidR="00474EF4">
        <w:t>rvní čl. I bodě 28 v § 12 odstav</w:t>
      </w:r>
      <w:r w:rsidR="0097114B">
        <w:t>c</w:t>
      </w:r>
      <w:r w:rsidR="00474EF4">
        <w:t>i</w:t>
      </w:r>
      <w:r w:rsidR="0097114B">
        <w:t xml:space="preserve"> 4</w:t>
      </w:r>
      <w:r w:rsidR="00474EF4">
        <w:t xml:space="preserve"> se věta druhá nahrazuje větou „</w:t>
      </w:r>
      <w:r w:rsidR="0097114B">
        <w:t>Rada Modernizačního fondu má 11 členů, 1 člena jmenuje ministr životního prostředí, 1 člena jmenuje ministr průmyslu a obchodu, 1 člena jmenuje ministr financí, 1 člena jmenuje Asociace krajů ČR, 1 člena jmenuje Asociace výzkumných organizací, 1 člena jmenuje Česká konference rektorů, 1 člena Akademie věd ČR, 1 člena jmenuje ministr životního prostředí na návrh spolku, jehož hlavním posláním podle stanov je ochrana přírody a krajiny a 3 členy volí Poslanecká sněmovn</w:t>
      </w:r>
      <w:r w:rsidR="00474EF4">
        <w:t>a</w:t>
      </w:r>
      <w:r w:rsidR="0097114B">
        <w:t xml:space="preserve"> Parlamentu České republiky.</w:t>
      </w:r>
      <w:r w:rsidR="00474EF4">
        <w:t>“.</w:t>
      </w:r>
    </w:p>
    <w:p w:rsidR="00474EF4" w:rsidRDefault="00474EF4" w:rsidP="0097114B"/>
    <w:p w:rsidR="0097114B" w:rsidRPr="008E120F" w:rsidRDefault="0097114B" w:rsidP="00AE0F85">
      <w:pPr>
        <w:ind w:firstLine="708"/>
        <w:rPr>
          <w:i/>
        </w:rPr>
      </w:pPr>
      <w:r w:rsidRPr="008E120F">
        <w:rPr>
          <w:i/>
        </w:rPr>
        <w:t>(SD 3227)</w:t>
      </w:r>
    </w:p>
    <w:p w:rsidR="0097114B" w:rsidRDefault="008E120F" w:rsidP="0097114B">
      <w:proofErr w:type="gramStart"/>
      <w:r>
        <w:rPr>
          <w:b/>
        </w:rPr>
        <w:t>B.2.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97114B">
        <w:t>V části první čl. I se</w:t>
      </w:r>
      <w:r w:rsidR="00474EF4">
        <w:t xml:space="preserve"> za bod 21</w:t>
      </w:r>
      <w:r w:rsidR="0097114B">
        <w:t xml:space="preserve"> vkládá </w:t>
      </w:r>
      <w:r w:rsidR="00474EF4">
        <w:t xml:space="preserve">nový </w:t>
      </w:r>
      <w:r w:rsidR="0097114B">
        <w:t>bod X., který zní:</w:t>
      </w:r>
    </w:p>
    <w:p w:rsidR="008946F6" w:rsidRDefault="008946F6" w:rsidP="0097114B"/>
    <w:p w:rsidR="0097114B" w:rsidRDefault="0097114B" w:rsidP="008E120F">
      <w:pPr>
        <w:ind w:firstLine="708"/>
      </w:pPr>
      <w:r>
        <w:t>„X.</w:t>
      </w:r>
      <w:r w:rsidR="00474EF4">
        <w:t xml:space="preserve"> </w:t>
      </w:r>
      <w:r>
        <w:t>V § 7 se doplňuje odstavec 7, který zní:</w:t>
      </w:r>
    </w:p>
    <w:p w:rsidR="0097114B" w:rsidRDefault="0097114B" w:rsidP="008E120F">
      <w:pPr>
        <w:ind w:left="708" w:firstLine="708"/>
      </w:pPr>
      <w:r>
        <w:lastRenderedPageBreak/>
        <w:t>„(7) Výnos z dražeb emisních povolenek lze též využít k provozní podpoře energeticky úsporné veřejné hromadné dopravy osob a věcí v elektrické trakci, zejména kolejové, formou úhrady kompenzace ušlého výnosu z výběru poplatku na podporu obnovitelných zdrojů energie.“.“.</w:t>
      </w:r>
    </w:p>
    <w:p w:rsidR="00585870" w:rsidRDefault="00585870" w:rsidP="008E120F">
      <w:pPr>
        <w:ind w:left="708"/>
      </w:pPr>
    </w:p>
    <w:p w:rsidR="0097114B" w:rsidRDefault="0097114B" w:rsidP="008E120F">
      <w:pPr>
        <w:ind w:left="708"/>
      </w:pPr>
      <w:r>
        <w:t>Následující body se přečíslují.</w:t>
      </w:r>
    </w:p>
    <w:p w:rsidR="0097114B" w:rsidRDefault="0097114B" w:rsidP="00A92050"/>
    <w:p w:rsidR="0097114B" w:rsidRPr="008E120F" w:rsidRDefault="0097114B" w:rsidP="00AE0F85">
      <w:pPr>
        <w:ind w:firstLine="708"/>
        <w:rPr>
          <w:i/>
        </w:rPr>
      </w:pPr>
      <w:r w:rsidRPr="008E120F">
        <w:rPr>
          <w:i/>
        </w:rPr>
        <w:t>(SD 3330)</w:t>
      </w:r>
    </w:p>
    <w:p w:rsidR="0097114B" w:rsidRDefault="008E120F" w:rsidP="0097114B">
      <w:proofErr w:type="gramStart"/>
      <w:r>
        <w:rPr>
          <w:b/>
        </w:rPr>
        <w:t>B.</w:t>
      </w:r>
      <w:r w:rsidR="0066630E">
        <w:rPr>
          <w:b/>
        </w:rPr>
        <w:t>3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97114B">
        <w:t>V části první čl</w:t>
      </w:r>
      <w:r w:rsidR="00474EF4">
        <w:t xml:space="preserve">. </w:t>
      </w:r>
      <w:r w:rsidR="0097114B">
        <w:t>I bodě 28 v § 12 se odstavec 4 zrušuje.</w:t>
      </w:r>
    </w:p>
    <w:p w:rsidR="0097114B" w:rsidRDefault="0097114B" w:rsidP="00A92050"/>
    <w:p w:rsidR="0097114B" w:rsidRPr="008E120F" w:rsidRDefault="0097114B" w:rsidP="00AE0F85">
      <w:pPr>
        <w:ind w:firstLine="708"/>
        <w:rPr>
          <w:i/>
        </w:rPr>
      </w:pPr>
      <w:r w:rsidRPr="008E120F">
        <w:rPr>
          <w:i/>
        </w:rPr>
        <w:t>(SD 3333)</w:t>
      </w:r>
    </w:p>
    <w:p w:rsidR="0097114B" w:rsidRDefault="008E120F" w:rsidP="0097114B">
      <w:proofErr w:type="gramStart"/>
      <w:r>
        <w:rPr>
          <w:b/>
        </w:rPr>
        <w:t>B.</w:t>
      </w:r>
      <w:r w:rsidR="0066630E">
        <w:rPr>
          <w:b/>
        </w:rPr>
        <w:t>4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97114B">
        <w:t>V části první čl. I bodě 28 v § 12 odstavec 2 zní:</w:t>
      </w:r>
    </w:p>
    <w:p w:rsidR="0097114B" w:rsidRDefault="0097114B" w:rsidP="0097114B">
      <w:r>
        <w:tab/>
      </w:r>
    </w:p>
    <w:p w:rsidR="0097114B" w:rsidRDefault="0097114B" w:rsidP="00931209">
      <w:pPr>
        <w:ind w:left="708" w:firstLine="708"/>
      </w:pPr>
      <w:r>
        <w:t xml:space="preserve">„(2) Prostředky Modernizačního fondu se použijí na financování projektů na snižování emisí skleníkových plynů, využití obnovitelných zdrojů energie a zvyšování energetické účinnosti. Část prostředků Modernizačního fondu, která odpovídá přiděleným prostředkům podle čl. 10d směrnice 2003/87/ES, v platném znění, se použije přednostně na podporu projektů realizovaných v regionech a lokalitách potýkajících se s následky těžby, spalování a zpracování uhlí. Část prostředků Modernizačního fondu, která odpovídá výnosu z povolenek podle čl. 10c odst. 4 směrnice 2003/87/ES, v platném znění, se použije přednostně na podporu projektů rozvoje bezemisní dopravy a projektů provozovatelů zařízení na výrobu elektřiny za účelem modernizace, diverzifikace a dekarbonizace odvětví energetiky, vyjma zdrojů spalujících nebo </w:t>
      </w:r>
      <w:proofErr w:type="spellStart"/>
      <w:r>
        <w:t>spoluspalujících</w:t>
      </w:r>
      <w:proofErr w:type="spellEnd"/>
      <w:r>
        <w:t xml:space="preserve"> odpady. Podporované projekty v regionech a lokalitách potýkajících se s  následky těžby, spalování a zpracování uhlí budou v rámci hodnocení zvýhodněny.“.</w:t>
      </w:r>
    </w:p>
    <w:p w:rsidR="0097114B" w:rsidRDefault="0097114B" w:rsidP="00A92050"/>
    <w:p w:rsidR="0097114B" w:rsidRDefault="0097114B" w:rsidP="00A92050"/>
    <w:p w:rsidR="0097114B" w:rsidRDefault="0097114B" w:rsidP="0097114B">
      <w:pPr>
        <w:ind w:left="567" w:hanging="567"/>
        <w:rPr>
          <w:b/>
        </w:rPr>
      </w:pPr>
      <w:r w:rsidRPr="0097114B">
        <w:rPr>
          <w:b/>
        </w:rPr>
        <w:t>C</w:t>
      </w:r>
      <w:r w:rsidR="00931209">
        <w:rPr>
          <w:b/>
        </w:rPr>
        <w:t>.</w:t>
      </w:r>
      <w:r w:rsidRPr="0097114B">
        <w:rPr>
          <w:b/>
        </w:rPr>
        <w:tab/>
        <w:t xml:space="preserve">Poslanec </w:t>
      </w:r>
      <w:r w:rsidR="008E120F" w:rsidRPr="0097114B">
        <w:rPr>
          <w:b/>
        </w:rPr>
        <w:t xml:space="preserve">Jan </w:t>
      </w:r>
      <w:r w:rsidRPr="0097114B">
        <w:rPr>
          <w:b/>
        </w:rPr>
        <w:t>Schil</w:t>
      </w:r>
      <w:r w:rsidR="003459BB">
        <w:rPr>
          <w:b/>
        </w:rPr>
        <w:t>l</w:t>
      </w:r>
      <w:r w:rsidRPr="0097114B">
        <w:rPr>
          <w:b/>
        </w:rPr>
        <w:t xml:space="preserve">er </w:t>
      </w:r>
    </w:p>
    <w:p w:rsidR="0097114B" w:rsidRPr="0097114B" w:rsidRDefault="0097114B" w:rsidP="0097114B">
      <w:pPr>
        <w:ind w:left="567" w:hanging="567"/>
        <w:rPr>
          <w:b/>
        </w:rPr>
      </w:pPr>
    </w:p>
    <w:p w:rsidR="0097114B" w:rsidRPr="008E120F" w:rsidRDefault="0097114B" w:rsidP="008946F6">
      <w:pPr>
        <w:ind w:firstLine="708"/>
        <w:rPr>
          <w:i/>
        </w:rPr>
      </w:pPr>
      <w:r w:rsidRPr="008E120F">
        <w:rPr>
          <w:i/>
        </w:rPr>
        <w:t>(SD 3304)</w:t>
      </w:r>
    </w:p>
    <w:p w:rsidR="003459BB" w:rsidRDefault="008E120F" w:rsidP="003459BB">
      <w:proofErr w:type="gramStart"/>
      <w:r w:rsidRPr="008E120F">
        <w:rPr>
          <w:b/>
        </w:rPr>
        <w:t>C.1.</w:t>
      </w:r>
      <w:r>
        <w:tab/>
      </w:r>
      <w:r w:rsidR="003459BB" w:rsidRPr="006F3659">
        <w:t>V části</w:t>
      </w:r>
      <w:proofErr w:type="gramEnd"/>
      <w:r w:rsidR="003459BB" w:rsidRPr="006F3659">
        <w:t xml:space="preserve"> první čl. I </w:t>
      </w:r>
      <w:r w:rsidR="003459BB">
        <w:t xml:space="preserve">se za bod 62 vkládá nový bod </w:t>
      </w:r>
      <w:r w:rsidR="00474EF4">
        <w:t>X</w:t>
      </w:r>
      <w:r w:rsidR="003459BB">
        <w:t>, který zní:</w:t>
      </w:r>
    </w:p>
    <w:p w:rsidR="003459BB" w:rsidRDefault="003459BB" w:rsidP="003459BB"/>
    <w:p w:rsidR="003459BB" w:rsidRDefault="003459BB" w:rsidP="00AE0F85">
      <w:pPr>
        <w:spacing w:after="120"/>
        <w:ind w:left="1163" w:hanging="454"/>
      </w:pPr>
      <w:r>
        <w:t>„</w:t>
      </w:r>
      <w:r w:rsidR="00474EF4">
        <w:t>X</w:t>
      </w:r>
      <w:r>
        <w:t>. V § 26 odst. 1 se na konci písmene f) tečka nahrazuje čárkou a doplňuje se písmeno g), které v</w:t>
      </w:r>
      <w:r w:rsidR="00474EF4">
        <w:t xml:space="preserve">četně poznámky pod čarou č. 32 </w:t>
      </w:r>
      <w:r>
        <w:t>zní:</w:t>
      </w:r>
    </w:p>
    <w:p w:rsidR="003459BB" w:rsidRDefault="003459BB" w:rsidP="008946F6">
      <w:pPr>
        <w:ind w:left="1106" w:hanging="397"/>
        <w:rPr>
          <w:color w:val="000000"/>
        </w:rPr>
      </w:pPr>
      <w:r w:rsidRPr="00F835A0">
        <w:t>„</w:t>
      </w:r>
      <w:r>
        <w:t>g</w:t>
      </w:r>
      <w:r w:rsidRPr="00F835A0">
        <w:t xml:space="preserve">) </w:t>
      </w:r>
      <w:r w:rsidRPr="00BA3523">
        <w:rPr>
          <w:color w:val="000000"/>
        </w:rPr>
        <w:t>vykonává působnost členského státu Evropské unie a plní úkoly v oblasti klimatu vyplývající z přímo použitelného předpisu Evropské unie upravujícího správu energetické unie a opatření v oblasti klimatu</w:t>
      </w:r>
      <w:r w:rsidRPr="00BA3523">
        <w:rPr>
          <w:color w:val="000000"/>
          <w:vertAlign w:val="superscript"/>
        </w:rPr>
        <w:t>32)</w:t>
      </w:r>
      <w:r w:rsidRPr="00BA3523">
        <w:rPr>
          <w:color w:val="000000"/>
        </w:rPr>
        <w:t>.</w:t>
      </w:r>
    </w:p>
    <w:p w:rsidR="00474EF4" w:rsidRPr="00BA3523" w:rsidRDefault="00474EF4" w:rsidP="00474EF4">
      <w:pPr>
        <w:spacing w:after="120"/>
        <w:ind w:left="709"/>
        <w:rPr>
          <w:color w:val="000000"/>
        </w:rPr>
      </w:pPr>
      <w:r>
        <w:rPr>
          <w:color w:val="000000"/>
        </w:rPr>
        <w:t>_________________</w:t>
      </w:r>
    </w:p>
    <w:p w:rsidR="003459BB" w:rsidRPr="00111741" w:rsidRDefault="003459BB" w:rsidP="00931209">
      <w:pPr>
        <w:ind w:left="993" w:hanging="284"/>
      </w:pPr>
      <w:r w:rsidRPr="003459BB">
        <w:rPr>
          <w:vertAlign w:val="superscript"/>
        </w:rPr>
        <w:t>32)</w:t>
      </w:r>
      <w:r w:rsidRPr="00111741">
        <w:t xml:space="preserve"> Nařízení Evropského parlamentu a Rady (EU) 2018/1999 ze dne 11. prosince 2018 o správě energetické unie a opatření v oblasti klimatu, kterým se mění nařízení Evropského parlamentu a Rady (ES) č. 663/2009 a (ES) č. 715/2009, směrnice Evropského parlamentu a Rady 94/22/ES, 98/70/ES, 2009/31/ES, 2009/73/ES, 2010/31/EU, 2012/27/EU a 2013/30/EU, směrnice Rady 2009/119/ES a (EU) 2015/652 a zrušuje nařízení Evropského parlamentu a Rady (EU) č. 525/2013.</w:t>
      </w:r>
      <w:r w:rsidR="008946F6">
        <w:t>“.“.</w:t>
      </w:r>
    </w:p>
    <w:p w:rsidR="003459BB" w:rsidRDefault="003459BB" w:rsidP="008E120F">
      <w:pPr>
        <w:ind w:left="708"/>
      </w:pPr>
    </w:p>
    <w:p w:rsidR="003459BB" w:rsidRPr="006F3659" w:rsidRDefault="003459BB" w:rsidP="008E120F">
      <w:pPr>
        <w:ind w:left="708"/>
      </w:pPr>
      <w:r>
        <w:t xml:space="preserve">Následující </w:t>
      </w:r>
      <w:r w:rsidR="00AE0F85">
        <w:t>b</w:t>
      </w:r>
      <w:r>
        <w:t xml:space="preserve">ody se přečíslují. </w:t>
      </w:r>
    </w:p>
    <w:p w:rsidR="0097114B" w:rsidRDefault="0097114B" w:rsidP="00A92050"/>
    <w:p w:rsidR="00AE0F85" w:rsidRDefault="00AE0F85" w:rsidP="00A92050"/>
    <w:p w:rsidR="0097114B" w:rsidRPr="008E120F" w:rsidRDefault="0097114B" w:rsidP="00AE0F85">
      <w:pPr>
        <w:ind w:firstLine="708"/>
        <w:rPr>
          <w:i/>
        </w:rPr>
      </w:pPr>
      <w:r w:rsidRPr="008E120F">
        <w:rPr>
          <w:i/>
        </w:rPr>
        <w:lastRenderedPageBreak/>
        <w:t>(SD 3305)</w:t>
      </w:r>
    </w:p>
    <w:p w:rsidR="003459BB" w:rsidRDefault="008E120F" w:rsidP="0063162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709"/>
        <w:rPr>
          <w:color w:val="000000"/>
        </w:rPr>
      </w:pPr>
      <w:proofErr w:type="gramStart"/>
      <w:r>
        <w:rPr>
          <w:b/>
          <w:color w:val="000000"/>
        </w:rPr>
        <w:t>C.2.</w:t>
      </w:r>
      <w:proofErr w:type="gramEnd"/>
      <w:r>
        <w:rPr>
          <w:b/>
          <w:color w:val="000000"/>
        </w:rPr>
        <w:t xml:space="preserve"> </w:t>
      </w:r>
      <w:r w:rsidR="00085C79">
        <w:rPr>
          <w:b/>
          <w:color w:val="000000"/>
        </w:rPr>
        <w:tab/>
      </w:r>
      <w:r w:rsidR="003459BB">
        <w:rPr>
          <w:color w:val="000000"/>
        </w:rPr>
        <w:t xml:space="preserve">V části první čl. I bodě 28 v § 12 </w:t>
      </w:r>
      <w:r w:rsidR="00AE0F85">
        <w:rPr>
          <w:color w:val="000000"/>
        </w:rPr>
        <w:t xml:space="preserve">se </w:t>
      </w:r>
      <w:r w:rsidR="003459BB">
        <w:rPr>
          <w:color w:val="000000"/>
        </w:rPr>
        <w:t>na konci odstavce 3 doplňuje věta</w:t>
      </w:r>
      <w:r w:rsidR="00AE0F85">
        <w:rPr>
          <w:color w:val="000000"/>
        </w:rPr>
        <w:t xml:space="preserve"> </w:t>
      </w:r>
      <w:r w:rsidR="003459BB">
        <w:rPr>
          <w:color w:val="000000"/>
        </w:rPr>
        <w:t>„</w:t>
      </w:r>
      <w:r w:rsidR="003459BB">
        <w:rPr>
          <w:color w:val="000000"/>
          <w:sz w:val="22"/>
          <w:szCs w:val="22"/>
        </w:rPr>
        <w:t xml:space="preserve">Při posuzování budou zvýhodněny projekty realizované v regionech postižených </w:t>
      </w:r>
      <w:r w:rsidR="003459BB">
        <w:rPr>
          <w:sz w:val="22"/>
          <w:szCs w:val="22"/>
        </w:rPr>
        <w:t xml:space="preserve">útlumem těžby </w:t>
      </w:r>
      <w:r w:rsidR="003459BB">
        <w:rPr>
          <w:color w:val="000000"/>
          <w:sz w:val="22"/>
          <w:szCs w:val="22"/>
        </w:rPr>
        <w:t>uhlí</w:t>
      </w:r>
      <w:r w:rsidR="00AE0F85">
        <w:rPr>
          <w:color w:val="000000"/>
          <w:sz w:val="22"/>
          <w:szCs w:val="22"/>
        </w:rPr>
        <w:t>.</w:t>
      </w:r>
      <w:r w:rsidR="003459BB">
        <w:rPr>
          <w:color w:val="000000"/>
          <w:sz w:val="22"/>
          <w:szCs w:val="22"/>
        </w:rPr>
        <w:t>“.</w:t>
      </w:r>
    </w:p>
    <w:p w:rsidR="0097114B" w:rsidRDefault="0097114B" w:rsidP="00A92050"/>
    <w:p w:rsidR="0097114B" w:rsidRPr="008E120F" w:rsidRDefault="0097114B" w:rsidP="00AE0F85">
      <w:pPr>
        <w:ind w:firstLine="708"/>
        <w:rPr>
          <w:i/>
        </w:rPr>
      </w:pPr>
      <w:r w:rsidRPr="008E120F">
        <w:rPr>
          <w:i/>
        </w:rPr>
        <w:t>(SD 3306)</w:t>
      </w:r>
    </w:p>
    <w:p w:rsidR="003459BB" w:rsidRPr="006F3659" w:rsidRDefault="00085C79" w:rsidP="003459BB">
      <w:pPr>
        <w:spacing w:after="120"/>
      </w:pPr>
      <w:proofErr w:type="gramStart"/>
      <w:r>
        <w:rPr>
          <w:b/>
        </w:rPr>
        <w:t>C.3.</w:t>
      </w:r>
      <w:r>
        <w:rPr>
          <w:b/>
        </w:rPr>
        <w:tab/>
      </w:r>
      <w:r w:rsidR="003459BB" w:rsidRPr="006F3659">
        <w:t>V části</w:t>
      </w:r>
      <w:proofErr w:type="gramEnd"/>
      <w:r w:rsidR="003459BB" w:rsidRPr="006F3659">
        <w:t xml:space="preserve"> první čl. I bodě </w:t>
      </w:r>
      <w:r w:rsidR="003459BB">
        <w:t xml:space="preserve">28 v </w:t>
      </w:r>
      <w:r w:rsidR="003459BB" w:rsidRPr="006F3659">
        <w:t xml:space="preserve">§ 12 </w:t>
      </w:r>
      <w:r w:rsidR="00AE0F85">
        <w:t xml:space="preserve">se </w:t>
      </w:r>
      <w:r w:rsidR="003459BB">
        <w:t xml:space="preserve">odstavec 4 zrušuje. </w:t>
      </w:r>
    </w:p>
    <w:p w:rsidR="003459BB" w:rsidRDefault="003459BB" w:rsidP="00A92050"/>
    <w:p w:rsidR="003459BB" w:rsidRDefault="003459BB" w:rsidP="00A92050"/>
    <w:p w:rsidR="003459BB" w:rsidRPr="003459BB" w:rsidRDefault="003459BB" w:rsidP="003459BB">
      <w:pPr>
        <w:tabs>
          <w:tab w:val="left" w:pos="567"/>
        </w:tabs>
        <w:ind w:left="567" w:hanging="567"/>
        <w:rPr>
          <w:b/>
        </w:rPr>
      </w:pPr>
      <w:r w:rsidRPr="003459BB">
        <w:rPr>
          <w:b/>
        </w:rPr>
        <w:t>D</w:t>
      </w:r>
      <w:r w:rsidR="00931209">
        <w:rPr>
          <w:b/>
        </w:rPr>
        <w:t>.</w:t>
      </w:r>
      <w:r w:rsidRPr="003459BB">
        <w:rPr>
          <w:b/>
        </w:rPr>
        <w:tab/>
        <w:t xml:space="preserve">Poslanec </w:t>
      </w:r>
      <w:r w:rsidR="008E120F" w:rsidRPr="003459BB">
        <w:rPr>
          <w:b/>
        </w:rPr>
        <w:t xml:space="preserve">Jan </w:t>
      </w:r>
      <w:r w:rsidRPr="003459BB">
        <w:rPr>
          <w:b/>
        </w:rPr>
        <w:t xml:space="preserve">Zahradník </w:t>
      </w:r>
    </w:p>
    <w:p w:rsidR="003459BB" w:rsidRDefault="003459BB" w:rsidP="00A92050"/>
    <w:p w:rsidR="003459BB" w:rsidRPr="008E120F" w:rsidRDefault="003459BB" w:rsidP="00AE0F85">
      <w:pPr>
        <w:ind w:firstLine="567"/>
        <w:rPr>
          <w:i/>
        </w:rPr>
      </w:pPr>
      <w:r w:rsidRPr="008E120F">
        <w:rPr>
          <w:i/>
        </w:rPr>
        <w:t>(SD 3324)</w:t>
      </w:r>
    </w:p>
    <w:p w:rsidR="002548CE" w:rsidRDefault="00AE0F85" w:rsidP="002548CE">
      <w:pPr>
        <w:widowControl w:val="0"/>
        <w:autoSpaceDE w:val="0"/>
        <w:autoSpaceDN w:val="0"/>
        <w:adjustRightInd w:val="0"/>
      </w:pPr>
      <w:r>
        <w:t xml:space="preserve">V části první čl. </w:t>
      </w:r>
      <w:r w:rsidR="002548CE">
        <w:t>bod 19</w:t>
      </w:r>
      <w:r>
        <w:t xml:space="preserve"> zní</w:t>
      </w:r>
      <w:r w:rsidR="002548CE">
        <w:t>:</w:t>
      </w:r>
    </w:p>
    <w:p w:rsidR="002548CE" w:rsidRDefault="002548CE" w:rsidP="002548CE">
      <w:pPr>
        <w:widowControl w:val="0"/>
        <w:autoSpaceDE w:val="0"/>
        <w:autoSpaceDN w:val="0"/>
        <w:adjustRightInd w:val="0"/>
        <w:rPr>
          <w:b/>
        </w:rPr>
      </w:pPr>
    </w:p>
    <w:p w:rsidR="002548CE" w:rsidRDefault="002548CE" w:rsidP="00931209">
      <w:pPr>
        <w:autoSpaceDE w:val="0"/>
        <w:autoSpaceDN w:val="0"/>
        <w:adjustRightInd w:val="0"/>
        <w:ind w:left="510" w:hanging="510"/>
      </w:pPr>
      <w:r>
        <w:t>„</w:t>
      </w:r>
      <w:r w:rsidRPr="00DD6C0E">
        <w:t xml:space="preserve">19. V § 7 odst. 4 se </w:t>
      </w:r>
      <w:proofErr w:type="gramStart"/>
      <w:r w:rsidRPr="00DD6C0E">
        <w:t>slova „</w:t>
      </w:r>
      <w:r>
        <w:t xml:space="preserve"> </w:t>
      </w:r>
      <w:r w:rsidRPr="00DD6C0E">
        <w:t>,</w:t>
      </w:r>
      <w:r>
        <w:t xml:space="preserve"> 2 a 3“ nahrazují</w:t>
      </w:r>
      <w:proofErr w:type="gramEnd"/>
      <w:r>
        <w:t xml:space="preserve"> slovy „a 2“, </w:t>
      </w:r>
      <w:r w:rsidRPr="00DD6C0E">
        <w:t>za slovo „není-li“ se vkládá slovo</w:t>
      </w:r>
      <w:r>
        <w:t xml:space="preserve"> „zákonem“ a za slova „zásobování tepelnou energií“ se vkládají slova „podpora kogenerační výroby elektřiny a tepla,“.“.</w:t>
      </w:r>
    </w:p>
    <w:p w:rsidR="003459BB" w:rsidRDefault="003459BB" w:rsidP="00A92050"/>
    <w:p w:rsidR="003459BB" w:rsidRDefault="003459BB" w:rsidP="00A92050"/>
    <w:p w:rsidR="003459BB" w:rsidRDefault="002548CE" w:rsidP="00A92050">
      <w:pPr>
        <w:rPr>
          <w:b/>
        </w:rPr>
      </w:pPr>
      <w:r w:rsidRPr="002548CE">
        <w:rPr>
          <w:b/>
        </w:rPr>
        <w:t>E</w:t>
      </w:r>
      <w:r w:rsidR="00931209">
        <w:rPr>
          <w:b/>
        </w:rPr>
        <w:t>.</w:t>
      </w:r>
      <w:r w:rsidRPr="002548CE">
        <w:rPr>
          <w:b/>
        </w:rPr>
        <w:tab/>
        <w:t xml:space="preserve">Poslanec </w:t>
      </w:r>
      <w:r w:rsidR="008E120F" w:rsidRPr="002548CE">
        <w:rPr>
          <w:b/>
        </w:rPr>
        <w:t xml:space="preserve">Jan </w:t>
      </w:r>
      <w:r w:rsidRPr="002548CE">
        <w:rPr>
          <w:b/>
        </w:rPr>
        <w:t xml:space="preserve">Čižinský </w:t>
      </w:r>
    </w:p>
    <w:p w:rsidR="002548CE" w:rsidRPr="002548CE" w:rsidRDefault="002548CE" w:rsidP="00A92050">
      <w:pPr>
        <w:rPr>
          <w:b/>
        </w:rPr>
      </w:pPr>
    </w:p>
    <w:p w:rsidR="002548CE" w:rsidRPr="008E120F" w:rsidRDefault="002548CE" w:rsidP="00931209">
      <w:pPr>
        <w:ind w:firstLine="567"/>
        <w:rPr>
          <w:i/>
        </w:rPr>
      </w:pPr>
      <w:r w:rsidRPr="008E120F">
        <w:rPr>
          <w:i/>
        </w:rPr>
        <w:t>(SD 3339)</w:t>
      </w:r>
    </w:p>
    <w:p w:rsidR="002548CE" w:rsidRPr="002548CE" w:rsidRDefault="00AE0F85" w:rsidP="00AE0F85">
      <w:pPr>
        <w:rPr>
          <w:rFonts w:eastAsia="Calibri"/>
          <w:bCs/>
        </w:rPr>
      </w:pPr>
      <w:r>
        <w:rPr>
          <w:rFonts w:eastAsia="Calibri"/>
          <w:bCs/>
        </w:rPr>
        <w:t xml:space="preserve">V části první čl. I </w:t>
      </w:r>
      <w:r w:rsidR="002548CE" w:rsidRPr="002548CE">
        <w:rPr>
          <w:rFonts w:eastAsia="Calibri"/>
          <w:bCs/>
        </w:rPr>
        <w:t>bod</w:t>
      </w:r>
      <w:r>
        <w:rPr>
          <w:rFonts w:eastAsia="Calibri"/>
          <w:bCs/>
        </w:rPr>
        <w:t>ě</w:t>
      </w:r>
      <w:r w:rsidR="002548CE" w:rsidRPr="002548CE">
        <w:rPr>
          <w:rFonts w:eastAsia="Calibri"/>
          <w:bCs/>
        </w:rPr>
        <w:t xml:space="preserve"> 20 </w:t>
      </w:r>
      <w:r>
        <w:rPr>
          <w:rFonts w:eastAsia="Calibri"/>
          <w:bCs/>
        </w:rPr>
        <w:t xml:space="preserve">se číslo „8“ nahrazuje číslem „10“. </w:t>
      </w:r>
    </w:p>
    <w:p w:rsidR="003459BB" w:rsidRPr="002548CE" w:rsidRDefault="003459BB" w:rsidP="00A92050"/>
    <w:p w:rsidR="003459BB" w:rsidRDefault="003459BB" w:rsidP="00A92050"/>
    <w:p w:rsidR="003459BB" w:rsidRPr="002548CE" w:rsidRDefault="002548CE" w:rsidP="002548CE">
      <w:pPr>
        <w:tabs>
          <w:tab w:val="left" w:pos="567"/>
        </w:tabs>
        <w:rPr>
          <w:b/>
        </w:rPr>
      </w:pPr>
      <w:r w:rsidRPr="002548CE">
        <w:rPr>
          <w:b/>
        </w:rPr>
        <w:t>F</w:t>
      </w:r>
      <w:r w:rsidR="00931209">
        <w:rPr>
          <w:b/>
        </w:rPr>
        <w:t>.</w:t>
      </w:r>
      <w:r w:rsidRPr="002548CE">
        <w:rPr>
          <w:b/>
        </w:rPr>
        <w:tab/>
        <w:t xml:space="preserve">Poslankyně </w:t>
      </w:r>
      <w:r w:rsidR="008E120F" w:rsidRPr="002548CE">
        <w:rPr>
          <w:b/>
        </w:rPr>
        <w:t xml:space="preserve">Jana </w:t>
      </w:r>
      <w:r w:rsidR="008E120F">
        <w:rPr>
          <w:b/>
        </w:rPr>
        <w:t xml:space="preserve">Mračková </w:t>
      </w:r>
      <w:proofErr w:type="spellStart"/>
      <w:r w:rsidR="008E120F">
        <w:rPr>
          <w:b/>
        </w:rPr>
        <w:t>Vildumetzová</w:t>
      </w:r>
      <w:proofErr w:type="spellEnd"/>
    </w:p>
    <w:p w:rsidR="002548CE" w:rsidRDefault="002548CE" w:rsidP="00A92050"/>
    <w:p w:rsidR="002548CE" w:rsidRPr="008E120F" w:rsidRDefault="002548CE" w:rsidP="00931209">
      <w:pPr>
        <w:ind w:firstLine="510"/>
        <w:rPr>
          <w:i/>
        </w:rPr>
      </w:pPr>
      <w:r w:rsidRPr="008E120F">
        <w:rPr>
          <w:i/>
        </w:rPr>
        <w:t>(SD 3217)</w:t>
      </w:r>
    </w:p>
    <w:p w:rsidR="00085C79" w:rsidRPr="00C57C99" w:rsidRDefault="00085C79" w:rsidP="00085C79">
      <w:pPr>
        <w:ind w:left="510" w:hanging="510"/>
      </w:pPr>
      <w:proofErr w:type="gramStart"/>
      <w:r>
        <w:rPr>
          <w:b/>
        </w:rPr>
        <w:t>F.1.</w:t>
      </w:r>
      <w:proofErr w:type="gramEnd"/>
      <w:r>
        <w:rPr>
          <w:b/>
        </w:rPr>
        <w:t xml:space="preserve"> </w:t>
      </w:r>
      <w:r w:rsidRPr="00C57C99">
        <w:t>V části první čl. I bod 19 zní:</w:t>
      </w:r>
    </w:p>
    <w:p w:rsidR="00085C79" w:rsidRDefault="00085C79" w:rsidP="00085C79">
      <w:pPr>
        <w:pStyle w:val="Normlnweb"/>
        <w:spacing w:after="159" w:line="256" w:lineRule="auto"/>
        <w:ind w:left="510" w:hanging="510"/>
        <w:jc w:val="both"/>
        <w:rPr>
          <w:bCs/>
        </w:rPr>
      </w:pPr>
      <w:r w:rsidRPr="00C57C99">
        <w:t xml:space="preserve">„19. V § </w:t>
      </w:r>
      <w:r w:rsidR="00D66748">
        <w:t>7</w:t>
      </w:r>
      <w:r w:rsidRPr="00C57C99">
        <w:t xml:space="preserve"> odst. </w:t>
      </w:r>
      <w:r w:rsidR="00D66748">
        <w:t>4</w:t>
      </w:r>
      <w:r w:rsidRPr="00C57C99">
        <w:t xml:space="preserve"> se slova „Výnos z dražeb povo</w:t>
      </w:r>
      <w:r w:rsidR="00300E76">
        <w:t xml:space="preserve">lenek podle odstavců 1, 2 a 3“ </w:t>
      </w:r>
      <w:r w:rsidRPr="00C57C99">
        <w:t>nahrazují slovy „50 % výnosu z dražeb povolenek podle odstavce 1 a 100 % výnosu z dražeb povolenek podle odstavce 2“, za slovo „není-li“ se vkládá slovo „zákonem“ a na konci odstavce se doplňují věty „</w:t>
      </w:r>
      <w:r w:rsidRPr="00C57C99">
        <w:rPr>
          <w:bCs/>
        </w:rPr>
        <w:t>Druhých 50 % výnosu z dražby povolenek dle odstavce 1 je příjmem vyšších územně samosprávných celků, ve kterých emise skleníkových plynů vznikly. Tyto prostředky jsou účelově vázány na restrukturalizaci a rozvoj infrastruktury. O celkové výši přidělených prostředků v daném roce je vyšší územní samosprávný celek informován Ministerstvem financí, které bude zároveň schvalovat seznam navrhovaných projektů vyšších územních samosprávných celků.“</w:t>
      </w:r>
      <w:r>
        <w:rPr>
          <w:bCs/>
        </w:rPr>
        <w:t>.</w:t>
      </w:r>
      <w:r w:rsidR="008946F6">
        <w:rPr>
          <w:bCs/>
        </w:rPr>
        <w:t>“.</w:t>
      </w:r>
    </w:p>
    <w:p w:rsidR="00085C79" w:rsidRDefault="00085C79" w:rsidP="00085C79">
      <w:pPr>
        <w:pStyle w:val="Normlnweb"/>
        <w:spacing w:after="159" w:line="256" w:lineRule="auto"/>
        <w:ind w:left="510" w:hanging="510"/>
        <w:jc w:val="both"/>
        <w:rPr>
          <w:bCs/>
        </w:rPr>
      </w:pPr>
      <w:proofErr w:type="gramStart"/>
      <w:r>
        <w:rPr>
          <w:b/>
          <w:bCs/>
        </w:rPr>
        <w:t>F.2.</w:t>
      </w:r>
      <w:proofErr w:type="gramEnd"/>
      <w:r>
        <w:rPr>
          <w:b/>
          <w:bCs/>
        </w:rPr>
        <w:t xml:space="preserve"> </w:t>
      </w:r>
      <w:r>
        <w:rPr>
          <w:bCs/>
        </w:rPr>
        <w:t>V části první čl. I bod 21 zní:</w:t>
      </w:r>
    </w:p>
    <w:p w:rsidR="00085C79" w:rsidRPr="00C57C99" w:rsidRDefault="00085C79" w:rsidP="00085C79">
      <w:pPr>
        <w:pStyle w:val="Normlnweb"/>
        <w:spacing w:after="159" w:line="256" w:lineRule="auto"/>
        <w:ind w:left="510" w:hanging="510"/>
        <w:jc w:val="both"/>
      </w:pPr>
      <w:r>
        <w:rPr>
          <w:bCs/>
        </w:rPr>
        <w:t>„21. V § 7 odst. 6 se za slova „Výdaje odpovídající účelově vázanému výnosu“ vkládají slova „podle odstavce 4 věty první“ a slova „Státního fondu životního prostředí“ se nahrazují slovy „kapitoly ministerstva a Státního fondu životního prostředí České republiky (dále jen „Státní fond životního prostředí“)“.“.</w:t>
      </w:r>
    </w:p>
    <w:p w:rsidR="002548CE" w:rsidRDefault="002548CE" w:rsidP="002548CE">
      <w:pPr>
        <w:pStyle w:val="Normlnweb"/>
        <w:spacing w:before="0" w:beforeAutospacing="0" w:after="0" w:line="240" w:lineRule="auto"/>
      </w:pPr>
    </w:p>
    <w:p w:rsidR="00631625" w:rsidRDefault="00631625" w:rsidP="002548CE">
      <w:pPr>
        <w:pStyle w:val="Normlnweb"/>
        <w:spacing w:before="0" w:beforeAutospacing="0" w:after="0" w:line="240" w:lineRule="auto"/>
      </w:pPr>
    </w:p>
    <w:p w:rsidR="00631625" w:rsidRDefault="00631625" w:rsidP="002548CE">
      <w:pPr>
        <w:pStyle w:val="Normlnweb"/>
        <w:spacing w:before="0" w:beforeAutospacing="0" w:after="0" w:line="240" w:lineRule="auto"/>
      </w:pPr>
    </w:p>
    <w:p w:rsidR="003459BB" w:rsidRPr="002548CE" w:rsidRDefault="002548CE" w:rsidP="00A92050">
      <w:pPr>
        <w:rPr>
          <w:b/>
        </w:rPr>
      </w:pPr>
      <w:r w:rsidRPr="002548CE">
        <w:rPr>
          <w:b/>
        </w:rPr>
        <w:lastRenderedPageBreak/>
        <w:t>G</w:t>
      </w:r>
      <w:r w:rsidR="00931209">
        <w:rPr>
          <w:b/>
        </w:rPr>
        <w:t>.</w:t>
      </w:r>
      <w:r w:rsidRPr="002548CE">
        <w:rPr>
          <w:b/>
        </w:rPr>
        <w:tab/>
        <w:t xml:space="preserve">Poslanec </w:t>
      </w:r>
      <w:r w:rsidR="008E120F" w:rsidRPr="002548CE">
        <w:rPr>
          <w:b/>
        </w:rPr>
        <w:t xml:space="preserve">Vojtěch </w:t>
      </w:r>
      <w:r w:rsidRPr="002548CE">
        <w:rPr>
          <w:b/>
        </w:rPr>
        <w:t xml:space="preserve">Munzar </w:t>
      </w:r>
    </w:p>
    <w:p w:rsidR="002548CE" w:rsidRDefault="002548CE" w:rsidP="00A92050"/>
    <w:p w:rsidR="002548CE" w:rsidRPr="008E120F" w:rsidRDefault="002548CE" w:rsidP="00585870">
      <w:pPr>
        <w:ind w:firstLine="708"/>
        <w:rPr>
          <w:i/>
        </w:rPr>
      </w:pPr>
      <w:r w:rsidRPr="008E120F">
        <w:rPr>
          <w:i/>
        </w:rPr>
        <w:t>(SD 3321)</w:t>
      </w:r>
    </w:p>
    <w:p w:rsidR="002548CE" w:rsidRDefault="00085C79" w:rsidP="00085C79">
      <w:pPr>
        <w:tabs>
          <w:tab w:val="left" w:pos="284"/>
        </w:tabs>
        <w:spacing w:line="276" w:lineRule="auto"/>
        <w:rPr>
          <w:color w:val="000000"/>
        </w:rPr>
      </w:pPr>
      <w:proofErr w:type="gramStart"/>
      <w:r>
        <w:rPr>
          <w:b/>
          <w:color w:val="000000"/>
        </w:rPr>
        <w:t>G.1.</w:t>
      </w:r>
      <w:proofErr w:type="gramEnd"/>
      <w:r>
        <w:rPr>
          <w:b/>
          <w:color w:val="000000"/>
        </w:rPr>
        <w:t xml:space="preserve"> </w:t>
      </w:r>
      <w:r w:rsidR="00AE0F85">
        <w:rPr>
          <w:color w:val="000000"/>
        </w:rPr>
        <w:t xml:space="preserve">V části první čl. I </w:t>
      </w:r>
      <w:r w:rsidR="002548CE">
        <w:rPr>
          <w:color w:val="000000"/>
        </w:rPr>
        <w:t>bod 24</w:t>
      </w:r>
      <w:r w:rsidR="00AE0F85">
        <w:rPr>
          <w:color w:val="000000"/>
        </w:rPr>
        <w:t xml:space="preserve"> z</w:t>
      </w:r>
      <w:r w:rsidR="002548CE">
        <w:rPr>
          <w:color w:val="000000"/>
        </w:rPr>
        <w:t>ní:</w:t>
      </w:r>
    </w:p>
    <w:p w:rsidR="00AE0F85" w:rsidRDefault="00AE0F85" w:rsidP="002548CE">
      <w:pPr>
        <w:tabs>
          <w:tab w:val="left" w:pos="284"/>
        </w:tabs>
        <w:rPr>
          <w:color w:val="000000"/>
        </w:rPr>
      </w:pPr>
    </w:p>
    <w:p w:rsidR="002548CE" w:rsidRDefault="002548CE" w:rsidP="00585870">
      <w:pPr>
        <w:tabs>
          <w:tab w:val="left" w:pos="284"/>
        </w:tabs>
        <w:ind w:left="738" w:hanging="454"/>
        <w:rPr>
          <w:color w:val="000000"/>
        </w:rPr>
      </w:pPr>
      <w:r>
        <w:rPr>
          <w:color w:val="000000"/>
        </w:rPr>
        <w:t xml:space="preserve">„24. V § 9 odst. 1 </w:t>
      </w:r>
      <w:r w:rsidR="00AE0F85">
        <w:rPr>
          <w:color w:val="000000"/>
        </w:rPr>
        <w:t xml:space="preserve">se </w:t>
      </w:r>
      <w:r>
        <w:rPr>
          <w:color w:val="000000"/>
        </w:rPr>
        <w:t xml:space="preserve">věta první </w:t>
      </w:r>
      <w:r w:rsidR="00AE0F85">
        <w:rPr>
          <w:color w:val="000000"/>
        </w:rPr>
        <w:t xml:space="preserve">nahrazuje větou </w:t>
      </w:r>
      <w:r>
        <w:rPr>
          <w:color w:val="000000"/>
        </w:rPr>
        <w:t>„Účastník systému obchodování nebo osoba, která byla v předchozím roce účastníkem systému obchodování, jsou povinni každý rok do 30. dubna vyřadit z obchodování postupem stanoveným přímo použitelným předpisem Evropské unie upravujícím registr Unie pro obchodování s povolenkami</w:t>
      </w:r>
      <w:r w:rsidRPr="0027294C">
        <w:rPr>
          <w:color w:val="000000"/>
          <w:vertAlign w:val="superscript"/>
        </w:rPr>
        <w:t>12</w:t>
      </w:r>
      <w:r>
        <w:rPr>
          <w:color w:val="000000"/>
        </w:rPr>
        <w:t>) množství povolenek, které odpovídá množství emisí v předchozím roce vykázanému a ověřenému způsobem stanoveným v § 15 zákona.</w:t>
      </w:r>
      <w:r w:rsidR="00AE0F85">
        <w:rPr>
          <w:color w:val="000000"/>
        </w:rPr>
        <w:t>“.</w:t>
      </w:r>
    </w:p>
    <w:p w:rsidR="00AE0F85" w:rsidRDefault="00AE0F85" w:rsidP="00585870">
      <w:pPr>
        <w:tabs>
          <w:tab w:val="left" w:pos="284"/>
        </w:tabs>
        <w:ind w:left="738" w:hanging="454"/>
        <w:rPr>
          <w:color w:val="000000"/>
        </w:rPr>
      </w:pPr>
    </w:p>
    <w:p w:rsidR="00AE0F85" w:rsidRDefault="00AE0F85" w:rsidP="00585870">
      <w:pPr>
        <w:tabs>
          <w:tab w:val="left" w:pos="284"/>
        </w:tabs>
        <w:ind w:left="1162" w:hanging="454"/>
        <w:rPr>
          <w:color w:val="000000"/>
        </w:rPr>
      </w:pPr>
      <w:r>
        <w:rPr>
          <w:color w:val="000000"/>
        </w:rPr>
        <w:t>Poznámka pod čarou č. 12 zní:</w:t>
      </w:r>
    </w:p>
    <w:p w:rsidR="002548CE" w:rsidRDefault="002548CE" w:rsidP="00585870">
      <w:pPr>
        <w:tabs>
          <w:tab w:val="left" w:pos="284"/>
        </w:tabs>
        <w:spacing w:after="120"/>
        <w:ind w:left="1163" w:hanging="454"/>
        <w:rPr>
          <w:color w:val="000000"/>
        </w:rPr>
      </w:pPr>
      <w:r>
        <w:rPr>
          <w:color w:val="000000"/>
        </w:rPr>
        <w:t>__________________________</w:t>
      </w:r>
    </w:p>
    <w:p w:rsidR="002548CE" w:rsidRPr="005B0F14" w:rsidRDefault="00AE0F85" w:rsidP="00585870">
      <w:pPr>
        <w:autoSpaceDE w:val="0"/>
        <w:autoSpaceDN w:val="0"/>
        <w:adjustRightInd w:val="0"/>
        <w:spacing w:after="120"/>
        <w:ind w:left="1163" w:hanging="454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„</w:t>
      </w:r>
      <w:r w:rsidR="002548CE" w:rsidRPr="002548CE">
        <w:rPr>
          <w:rFonts w:eastAsia="Calibri" w:cs="Calibri"/>
          <w:color w:val="000000"/>
          <w:vertAlign w:val="superscript"/>
        </w:rPr>
        <w:t>12)</w:t>
      </w:r>
      <w:r w:rsidR="002548CE" w:rsidRPr="005B0F14">
        <w:rPr>
          <w:rFonts w:eastAsia="Calibri" w:cs="Calibri"/>
          <w:color w:val="000000"/>
        </w:rPr>
        <w:t xml:space="preserve"> Nařízení Komise (EU) č. 389/2013 ze dne 2. května 2013 o vytvoření registru Unie podle směrnice Evropského parlamentu a Rady 2003/87/ES, rozhodnutí Evropského parlamentu a Rady č. 280/2004/ES a č. 406/2009 a o zrušení nařízení Komise (EU) č. 920/2010 a č. 1193/2011, v platném znění.“. </w:t>
      </w:r>
    </w:p>
    <w:p w:rsidR="002548CE" w:rsidRDefault="002548CE" w:rsidP="002548CE">
      <w:pPr>
        <w:tabs>
          <w:tab w:val="left" w:pos="284"/>
        </w:tabs>
        <w:rPr>
          <w:color w:val="000000"/>
        </w:rPr>
      </w:pPr>
    </w:p>
    <w:p w:rsidR="002548CE" w:rsidRDefault="00085C79" w:rsidP="00085C79">
      <w:pPr>
        <w:tabs>
          <w:tab w:val="left" w:pos="284"/>
        </w:tabs>
        <w:spacing w:line="276" w:lineRule="auto"/>
        <w:rPr>
          <w:color w:val="000000"/>
        </w:rPr>
      </w:pPr>
      <w:proofErr w:type="gramStart"/>
      <w:r>
        <w:rPr>
          <w:b/>
          <w:color w:val="000000"/>
        </w:rPr>
        <w:t>G.2.</w:t>
      </w:r>
      <w:proofErr w:type="gramEnd"/>
      <w:r>
        <w:rPr>
          <w:b/>
          <w:color w:val="000000"/>
        </w:rPr>
        <w:t xml:space="preserve"> </w:t>
      </w:r>
      <w:r w:rsidR="00AE0F85">
        <w:rPr>
          <w:color w:val="000000"/>
        </w:rPr>
        <w:t xml:space="preserve">V části první čl. I se za </w:t>
      </w:r>
      <w:r w:rsidR="002548CE">
        <w:rPr>
          <w:color w:val="000000"/>
        </w:rPr>
        <w:t>bod 60</w:t>
      </w:r>
      <w:r w:rsidR="00AE0F85">
        <w:rPr>
          <w:color w:val="000000"/>
        </w:rPr>
        <w:t xml:space="preserve"> vkládá nový </w:t>
      </w:r>
      <w:r w:rsidR="002548CE">
        <w:rPr>
          <w:color w:val="000000"/>
        </w:rPr>
        <w:t xml:space="preserve">bod </w:t>
      </w:r>
      <w:r w:rsidR="00AE0F85">
        <w:rPr>
          <w:color w:val="000000"/>
        </w:rPr>
        <w:t>X, který zní</w:t>
      </w:r>
      <w:r w:rsidR="002548CE">
        <w:rPr>
          <w:color w:val="000000"/>
        </w:rPr>
        <w:t>:</w:t>
      </w:r>
    </w:p>
    <w:p w:rsidR="00585870" w:rsidRDefault="00585870" w:rsidP="002548CE">
      <w:pPr>
        <w:tabs>
          <w:tab w:val="left" w:pos="284"/>
        </w:tabs>
        <w:rPr>
          <w:color w:val="000000"/>
        </w:rPr>
      </w:pPr>
    </w:p>
    <w:p w:rsidR="002548CE" w:rsidRDefault="002548CE" w:rsidP="00585870">
      <w:pPr>
        <w:tabs>
          <w:tab w:val="left" w:pos="284"/>
        </w:tabs>
        <w:ind w:left="738" w:hanging="454"/>
        <w:rPr>
          <w:color w:val="000000"/>
        </w:rPr>
      </w:pPr>
      <w:r>
        <w:rPr>
          <w:color w:val="000000"/>
        </w:rPr>
        <w:t>„</w:t>
      </w:r>
      <w:r w:rsidR="00585870">
        <w:rPr>
          <w:color w:val="000000"/>
        </w:rPr>
        <w:t>X</w:t>
      </w:r>
      <w:r>
        <w:rPr>
          <w:color w:val="000000"/>
        </w:rPr>
        <w:t>. V § 20 odst. 1 se slova „Provozovatel zařízení, provozovatel letadla“ nahrazují slovy „Účastník systému obchodování“ a slova „provozovatelem zařízení nebo letadla“ se nahrazují slovy „účastníkem systému obchodování“.</w:t>
      </w:r>
      <w:r w:rsidR="008946F6">
        <w:rPr>
          <w:color w:val="000000"/>
        </w:rPr>
        <w:t>“.“</w:t>
      </w:r>
    </w:p>
    <w:p w:rsidR="00585870" w:rsidRDefault="00585870" w:rsidP="002548CE">
      <w:pPr>
        <w:tabs>
          <w:tab w:val="left" w:pos="284"/>
        </w:tabs>
        <w:rPr>
          <w:color w:val="000000"/>
        </w:rPr>
      </w:pPr>
    </w:p>
    <w:p w:rsidR="002548CE" w:rsidRDefault="00585870" w:rsidP="002548CE">
      <w:pPr>
        <w:tabs>
          <w:tab w:val="left" w:pos="284"/>
        </w:tabs>
        <w:rPr>
          <w:color w:val="000000"/>
        </w:rPr>
      </w:pPr>
      <w:r>
        <w:rPr>
          <w:color w:val="000000"/>
        </w:rPr>
        <w:tab/>
      </w:r>
      <w:r w:rsidR="002548CE">
        <w:rPr>
          <w:color w:val="000000"/>
        </w:rPr>
        <w:t>Následující body se přečíslují.</w:t>
      </w:r>
    </w:p>
    <w:p w:rsidR="003459BB" w:rsidRDefault="003459BB" w:rsidP="00A92050"/>
    <w:p w:rsidR="003459BB" w:rsidRDefault="003459BB" w:rsidP="00A92050"/>
    <w:p w:rsidR="002548CE" w:rsidRDefault="002548CE" w:rsidP="00A92050"/>
    <w:p w:rsidR="002548CE" w:rsidRDefault="002548CE" w:rsidP="00A92050"/>
    <w:p w:rsidR="002548CE" w:rsidRPr="003459BB" w:rsidRDefault="002548CE" w:rsidP="00A92050"/>
    <w:p w:rsidR="00A92050" w:rsidRDefault="00A92050" w:rsidP="00A92050">
      <w:pPr>
        <w:jc w:val="center"/>
      </w:pPr>
      <w:r w:rsidRPr="00A92050">
        <w:t>V Praze dne</w:t>
      </w:r>
      <w:r w:rsidR="00D66748">
        <w:t xml:space="preserve"> </w:t>
      </w:r>
      <w:r w:rsidR="00CE4696">
        <w:t>1</w:t>
      </w:r>
      <w:r w:rsidR="00D66748">
        <w:t xml:space="preserve">. </w:t>
      </w:r>
      <w:r w:rsidR="00CE4696">
        <w:t>října</w:t>
      </w:r>
      <w:r w:rsidR="00621BEA">
        <w:t xml:space="preserve"> 2019</w:t>
      </w:r>
    </w:p>
    <w:p w:rsidR="00585870" w:rsidRDefault="00585870" w:rsidP="00A92050">
      <w:pPr>
        <w:jc w:val="center"/>
      </w:pPr>
    </w:p>
    <w:p w:rsidR="00585870" w:rsidRPr="00A92050" w:rsidRDefault="00585870" w:rsidP="00A92050">
      <w:pPr>
        <w:jc w:val="center"/>
      </w:pPr>
    </w:p>
    <w:p w:rsidR="00A92050" w:rsidRPr="00A92050" w:rsidRDefault="00A92050" w:rsidP="00A92050">
      <w:pPr>
        <w:jc w:val="center"/>
      </w:pPr>
    </w:p>
    <w:p w:rsidR="00A92050" w:rsidRPr="00621BEA" w:rsidRDefault="002548CE" w:rsidP="00A92050">
      <w:pPr>
        <w:jc w:val="center"/>
        <w:rPr>
          <w:b/>
        </w:rPr>
      </w:pPr>
      <w:r w:rsidRPr="00621BEA">
        <w:rPr>
          <w:b/>
        </w:rPr>
        <w:t>Ing. Pavel   P u s t ě j o v s k</w:t>
      </w:r>
      <w:r w:rsidR="00CE4696">
        <w:rPr>
          <w:b/>
        </w:rPr>
        <w:t> </w:t>
      </w:r>
      <w:r w:rsidRPr="00621BEA">
        <w:rPr>
          <w:b/>
        </w:rPr>
        <w:t>ý</w:t>
      </w:r>
      <w:r w:rsidR="00CE4696" w:rsidRPr="00CE4696">
        <w:t xml:space="preserve">, </w:t>
      </w:r>
      <w:proofErr w:type="gramStart"/>
      <w:r w:rsidR="00CE4696" w:rsidRPr="00CE4696">
        <w:t>v.r.</w:t>
      </w:r>
      <w:proofErr w:type="gramEnd"/>
    </w:p>
    <w:p w:rsidR="00A92050" w:rsidRDefault="00A92050" w:rsidP="00A92050">
      <w:pPr>
        <w:jc w:val="center"/>
      </w:pPr>
      <w:r w:rsidRPr="00A92050">
        <w:t>zpravodaj garančního</w:t>
      </w:r>
      <w:r w:rsidR="002548CE">
        <w:t xml:space="preserve"> hospodářského</w:t>
      </w:r>
      <w:r w:rsidRPr="00A92050">
        <w:t xml:space="preserve"> výboru</w:t>
      </w:r>
      <w:r w:rsidR="00AF24B6">
        <w:t xml:space="preserve"> </w:t>
      </w:r>
    </w:p>
    <w:p w:rsidR="002548CE" w:rsidRDefault="002548CE" w:rsidP="00A92050">
      <w:pPr>
        <w:jc w:val="center"/>
      </w:pPr>
    </w:p>
    <w:p w:rsidR="00585870" w:rsidRDefault="00585870" w:rsidP="00A92050">
      <w:pPr>
        <w:jc w:val="center"/>
      </w:pPr>
    </w:p>
    <w:p w:rsidR="002548CE" w:rsidRDefault="002548CE" w:rsidP="00A92050">
      <w:pPr>
        <w:jc w:val="center"/>
      </w:pPr>
    </w:p>
    <w:p w:rsidR="002548CE" w:rsidRPr="00621BEA" w:rsidRDefault="002548CE" w:rsidP="00A92050">
      <w:pPr>
        <w:jc w:val="center"/>
        <w:rPr>
          <w:b/>
        </w:rPr>
      </w:pPr>
      <w:r w:rsidRPr="00621BEA">
        <w:rPr>
          <w:b/>
        </w:rPr>
        <w:t xml:space="preserve">Ing. Dana   B a l </w:t>
      </w:r>
      <w:r w:rsidR="008E120F">
        <w:rPr>
          <w:b/>
        </w:rPr>
        <w:t>c</w:t>
      </w:r>
      <w:r w:rsidRPr="00621BEA">
        <w:rPr>
          <w:b/>
        </w:rPr>
        <w:t> a r o v</w:t>
      </w:r>
      <w:r w:rsidR="00CE4696">
        <w:rPr>
          <w:b/>
        </w:rPr>
        <w:t> </w:t>
      </w:r>
      <w:r w:rsidRPr="00621BEA">
        <w:rPr>
          <w:b/>
        </w:rPr>
        <w:t>á</w:t>
      </w:r>
      <w:bookmarkStart w:id="0" w:name="_GoBack"/>
      <w:r w:rsidR="00CE4696" w:rsidRPr="00CE4696">
        <w:t xml:space="preserve">, </w:t>
      </w:r>
      <w:proofErr w:type="gramStart"/>
      <w:r w:rsidR="00CE4696" w:rsidRPr="00CE4696">
        <w:t>v.r.</w:t>
      </w:r>
      <w:bookmarkEnd w:id="0"/>
      <w:proofErr w:type="gramEnd"/>
    </w:p>
    <w:p w:rsidR="002548CE" w:rsidRPr="00A92050" w:rsidRDefault="00621BEA" w:rsidP="00A92050">
      <w:pPr>
        <w:jc w:val="center"/>
      </w:pPr>
      <w:r>
        <w:t>z</w:t>
      </w:r>
      <w:r w:rsidR="002548CE">
        <w:t>pravodajka výboru pro životní prostředí</w:t>
      </w:r>
    </w:p>
    <w:sectPr w:rsidR="002548CE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CD8" w:rsidRDefault="00E66CD8">
      <w:r>
        <w:separator/>
      </w:r>
    </w:p>
  </w:endnote>
  <w:endnote w:type="continuationSeparator" w:id="0">
    <w:p w:rsidR="00E66CD8" w:rsidRDefault="00E6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CD8" w:rsidRDefault="00E66CD8">
      <w:r>
        <w:separator/>
      </w:r>
    </w:p>
  </w:footnote>
  <w:footnote w:type="continuationSeparator" w:id="0">
    <w:p w:rsidR="00E66CD8" w:rsidRDefault="00E6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E4696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1A9E476F"/>
    <w:multiLevelType w:val="hybridMultilevel"/>
    <w:tmpl w:val="AD0ACA5A"/>
    <w:lvl w:ilvl="0" w:tplc="6504C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85C79"/>
    <w:rsid w:val="002548CE"/>
    <w:rsid w:val="00266D0A"/>
    <w:rsid w:val="00300E76"/>
    <w:rsid w:val="00331254"/>
    <w:rsid w:val="003459BB"/>
    <w:rsid w:val="003803F5"/>
    <w:rsid w:val="00381BC1"/>
    <w:rsid w:val="00474EF4"/>
    <w:rsid w:val="004B6732"/>
    <w:rsid w:val="00585870"/>
    <w:rsid w:val="005C329A"/>
    <w:rsid w:val="00621BEA"/>
    <w:rsid w:val="00631625"/>
    <w:rsid w:val="0066630E"/>
    <w:rsid w:val="006668DB"/>
    <w:rsid w:val="0076481D"/>
    <w:rsid w:val="008946F6"/>
    <w:rsid w:val="008A28FE"/>
    <w:rsid w:val="008E120F"/>
    <w:rsid w:val="00914B54"/>
    <w:rsid w:val="00931209"/>
    <w:rsid w:val="00934EB2"/>
    <w:rsid w:val="009647CA"/>
    <w:rsid w:val="0097114B"/>
    <w:rsid w:val="00A73D85"/>
    <w:rsid w:val="00A92050"/>
    <w:rsid w:val="00AE0F85"/>
    <w:rsid w:val="00AF24B6"/>
    <w:rsid w:val="00CA4694"/>
    <w:rsid w:val="00CE4696"/>
    <w:rsid w:val="00D66748"/>
    <w:rsid w:val="00E6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41B25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Normlnweb">
    <w:name w:val="Normal (Web)"/>
    <w:basedOn w:val="Normln"/>
    <w:uiPriority w:val="99"/>
    <w:semiHidden/>
    <w:unhideWhenUsed/>
    <w:rsid w:val="002548CE"/>
    <w:pPr>
      <w:spacing w:before="100" w:beforeAutospacing="1" w:after="142" w:line="288" w:lineRule="auto"/>
      <w:jc w:val="left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316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0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4</Pages>
  <Words>1204</Words>
  <Characters>6392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3</cp:revision>
  <cp:lastPrinted>2019-09-30T06:44:00Z</cp:lastPrinted>
  <dcterms:created xsi:type="dcterms:W3CDTF">2019-09-30T09:32:00Z</dcterms:created>
  <dcterms:modified xsi:type="dcterms:W3CDTF">2019-10-01T09:48:00Z</dcterms:modified>
  <cp:category/>
</cp:coreProperties>
</file>