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DDE" w:rsidRPr="00554A21" w:rsidRDefault="00E07DDE" w:rsidP="00E07DDE">
      <w:r w:rsidRPr="00554A21">
        <w:t>Ministerstvo financí</w:t>
      </w:r>
    </w:p>
    <w:p w:rsidR="00E07DDE" w:rsidRPr="00554A21" w:rsidRDefault="00E07DDE" w:rsidP="00E07DDE">
      <w:r w:rsidRPr="00554A21">
        <w:t>Čj.: MF – 14 180/2019/1104-5</w:t>
      </w:r>
      <w:r w:rsidR="001C436B">
        <w:t>8</w:t>
      </w:r>
    </w:p>
    <w:p w:rsidR="00E07DDE" w:rsidRPr="00554A21" w:rsidRDefault="00E07DDE" w:rsidP="00E07DDE"/>
    <w:p w:rsidR="00E07DDE" w:rsidRPr="00554A21" w:rsidRDefault="00E07DDE" w:rsidP="00E07DDE"/>
    <w:p w:rsidR="00E07DDE" w:rsidRPr="00554A21" w:rsidRDefault="00E07DDE" w:rsidP="00E07DDE"/>
    <w:p w:rsidR="00E07DDE" w:rsidRPr="00554A21" w:rsidRDefault="00E07DDE" w:rsidP="00E07DDE"/>
    <w:p w:rsidR="00E07DDE" w:rsidRPr="00554A21" w:rsidRDefault="00E07DDE" w:rsidP="00E07DDE"/>
    <w:p w:rsidR="00E07DDE" w:rsidRPr="00554A21" w:rsidRDefault="00E07DDE" w:rsidP="00E07DDE"/>
    <w:p w:rsidR="00E07DDE" w:rsidRPr="00554A21" w:rsidRDefault="00E07DDE" w:rsidP="00E07DDE"/>
    <w:p w:rsidR="00E07DDE" w:rsidRPr="00554A21" w:rsidRDefault="00E07DDE" w:rsidP="00E07DDE"/>
    <w:p w:rsidR="00E07DDE" w:rsidRPr="00554A21" w:rsidRDefault="00E07DDE" w:rsidP="00E07DDE"/>
    <w:p w:rsidR="00E07DDE" w:rsidRPr="00554A21" w:rsidRDefault="00E07DDE" w:rsidP="00E07DDE"/>
    <w:p w:rsidR="00E07DDE" w:rsidRPr="00554A21" w:rsidRDefault="00E07DDE" w:rsidP="00E07DDE"/>
    <w:p w:rsidR="00E07DDE" w:rsidRPr="00554A21" w:rsidRDefault="00E07DDE" w:rsidP="00E07DDE"/>
    <w:p w:rsidR="00E07DDE" w:rsidRPr="00554A21" w:rsidRDefault="00E07DDE" w:rsidP="00E07DDE"/>
    <w:p w:rsidR="00E07DDE" w:rsidRPr="00554A21" w:rsidRDefault="00E07DDE" w:rsidP="00E07DDE">
      <w:pPr>
        <w:rPr>
          <w:sz w:val="44"/>
        </w:rPr>
      </w:pPr>
    </w:p>
    <w:p w:rsidR="00E07DDE" w:rsidRPr="00554A21" w:rsidRDefault="001C436B" w:rsidP="00E07DDE">
      <w:pPr>
        <w:jc w:val="center"/>
        <w:rPr>
          <w:b/>
          <w:bCs/>
          <w:sz w:val="44"/>
        </w:rPr>
      </w:pPr>
      <w:r>
        <w:rPr>
          <w:b/>
          <w:bCs/>
          <w:sz w:val="44"/>
        </w:rPr>
        <w:t>A</w:t>
      </w:r>
      <w:r w:rsidR="00E07DDE" w:rsidRPr="00554A21">
        <w:rPr>
          <w:b/>
          <w:bCs/>
          <w:sz w:val="44"/>
        </w:rPr>
        <w:t>.</w:t>
      </w:r>
    </w:p>
    <w:p w:rsidR="00E07DDE" w:rsidRPr="00554A21" w:rsidRDefault="00E07DDE" w:rsidP="00E07DDE">
      <w:pPr>
        <w:jc w:val="center"/>
        <w:rPr>
          <w:b/>
          <w:bCs/>
          <w:sz w:val="44"/>
        </w:rPr>
      </w:pPr>
    </w:p>
    <w:p w:rsidR="00E07DDE" w:rsidRPr="00554A21" w:rsidRDefault="00E07DDE" w:rsidP="00E07DDE">
      <w:pPr>
        <w:jc w:val="center"/>
        <w:rPr>
          <w:b/>
          <w:bCs/>
          <w:sz w:val="44"/>
        </w:rPr>
      </w:pPr>
      <w:r w:rsidRPr="00554A21">
        <w:rPr>
          <w:b/>
          <w:bCs/>
          <w:sz w:val="44"/>
        </w:rPr>
        <w:t>Makroekonomický rámec a fiskální politika</w:t>
      </w:r>
    </w:p>
    <w:p w:rsidR="00332D4D" w:rsidRPr="003B10C6" w:rsidRDefault="00332D4D" w:rsidP="00332D4D">
      <w:pPr>
        <w:spacing w:before="3480" w:after="0"/>
        <w:jc w:val="right"/>
        <w:rPr>
          <w:b/>
          <w:sz w:val="24"/>
        </w:rPr>
        <w:sectPr w:rsidR="00332D4D" w:rsidRPr="003B10C6" w:rsidSect="007A1923">
          <w:foot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32D4D" w:rsidRPr="003B10C6" w:rsidRDefault="00332D4D" w:rsidP="00332D4D">
      <w:pPr>
        <w:pStyle w:val="Nadpiszacatek"/>
      </w:pPr>
      <w:r w:rsidRPr="003B10C6">
        <w:lastRenderedPageBreak/>
        <w:t>Obsah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12"/>
      </w:tblGrid>
      <w:tr w:rsidR="00332D4D" w:rsidRPr="003B10C6" w:rsidTr="009F620F">
        <w:trPr>
          <w:trHeight w:val="2728"/>
        </w:trPr>
        <w:tc>
          <w:tcPr>
            <w:tcW w:w="9812" w:type="dxa"/>
            <w:shd w:val="clear" w:color="auto" w:fill="auto"/>
          </w:tcPr>
          <w:p w:rsidR="00B0423C" w:rsidRDefault="00332D4D">
            <w:pPr>
              <w:pStyle w:val="Obsah1"/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</w:pPr>
            <w:r w:rsidRPr="003B10C6">
              <w:fldChar w:fldCharType="begin"/>
            </w:r>
            <w:r w:rsidRPr="003B10C6">
              <w:instrText xml:space="preserve"> TOC \o "1-2" \h \z \u </w:instrText>
            </w:r>
            <w:r w:rsidRPr="003B10C6">
              <w:fldChar w:fldCharType="separate"/>
            </w:r>
            <w:hyperlink w:anchor="_Toc17733195" w:history="1">
              <w:r w:rsidR="00B0423C" w:rsidRPr="00A14A9E">
                <w:rPr>
                  <w:rStyle w:val="Hypertextovodkaz"/>
                </w:rPr>
                <w:t>1</w:t>
              </w:r>
              <w:r w:rsidR="00B0423C">
                <w:rPr>
                  <w:rFonts w:asciiTheme="minorHAnsi" w:eastAsiaTheme="minorEastAsia" w:hAnsiTheme="minorHAnsi" w:cstheme="minorBidi"/>
                  <w:b w:val="0"/>
                  <w:sz w:val="22"/>
                  <w:szCs w:val="22"/>
                </w:rPr>
                <w:tab/>
              </w:r>
              <w:r w:rsidR="00B0423C" w:rsidRPr="00A14A9E">
                <w:rPr>
                  <w:rStyle w:val="Hypertextovodkaz"/>
                </w:rPr>
                <w:t>Úvod a shrnutí</w:t>
              </w:r>
              <w:r w:rsidR="00B0423C">
                <w:rPr>
                  <w:webHidden/>
                </w:rPr>
                <w:tab/>
              </w:r>
              <w:r w:rsidR="00B0423C">
                <w:rPr>
                  <w:webHidden/>
                </w:rPr>
                <w:fldChar w:fldCharType="begin"/>
              </w:r>
              <w:r w:rsidR="00B0423C">
                <w:rPr>
                  <w:webHidden/>
                </w:rPr>
                <w:instrText xml:space="preserve"> PAGEREF _Toc17733195 \h </w:instrText>
              </w:r>
              <w:r w:rsidR="00B0423C">
                <w:rPr>
                  <w:webHidden/>
                </w:rPr>
              </w:r>
              <w:r w:rsidR="00B0423C">
                <w:rPr>
                  <w:webHidden/>
                </w:rPr>
                <w:fldChar w:fldCharType="separate"/>
              </w:r>
              <w:r w:rsidR="00E07DDE">
                <w:rPr>
                  <w:webHidden/>
                </w:rPr>
                <w:t>1</w:t>
              </w:r>
              <w:r w:rsidR="00B0423C">
                <w:rPr>
                  <w:webHidden/>
                </w:rPr>
                <w:fldChar w:fldCharType="end"/>
              </w:r>
            </w:hyperlink>
          </w:p>
          <w:p w:rsidR="00B0423C" w:rsidRDefault="009F620F">
            <w:pPr>
              <w:pStyle w:val="Obsah1"/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</w:pPr>
            <w:hyperlink w:anchor="_Toc17733196" w:history="1">
              <w:r w:rsidR="00B0423C" w:rsidRPr="00A14A9E">
                <w:rPr>
                  <w:rStyle w:val="Hypertextovodkaz"/>
                </w:rPr>
                <w:t>2</w:t>
              </w:r>
              <w:r w:rsidR="00B0423C">
                <w:rPr>
                  <w:rFonts w:asciiTheme="minorHAnsi" w:eastAsiaTheme="minorEastAsia" w:hAnsiTheme="minorHAnsi" w:cstheme="minorBidi"/>
                  <w:b w:val="0"/>
                  <w:sz w:val="22"/>
                  <w:szCs w:val="22"/>
                </w:rPr>
                <w:tab/>
              </w:r>
              <w:r w:rsidR="00B0423C" w:rsidRPr="00A14A9E">
                <w:rPr>
                  <w:rStyle w:val="Hypertextovodkaz"/>
                </w:rPr>
                <w:t>Makroekonomický rámec</w:t>
              </w:r>
              <w:r w:rsidR="00B0423C">
                <w:rPr>
                  <w:webHidden/>
                </w:rPr>
                <w:tab/>
              </w:r>
              <w:r w:rsidR="00B0423C">
                <w:rPr>
                  <w:webHidden/>
                </w:rPr>
                <w:fldChar w:fldCharType="begin"/>
              </w:r>
              <w:r w:rsidR="00B0423C">
                <w:rPr>
                  <w:webHidden/>
                </w:rPr>
                <w:instrText xml:space="preserve"> PAGEREF _Toc17733196 \h </w:instrText>
              </w:r>
              <w:r w:rsidR="00B0423C">
                <w:rPr>
                  <w:webHidden/>
                </w:rPr>
              </w:r>
              <w:r w:rsidR="00B0423C">
                <w:rPr>
                  <w:webHidden/>
                </w:rPr>
                <w:fldChar w:fldCharType="separate"/>
              </w:r>
              <w:r w:rsidR="00E07DDE">
                <w:rPr>
                  <w:webHidden/>
                </w:rPr>
                <w:t>2</w:t>
              </w:r>
              <w:r w:rsidR="00B0423C">
                <w:rPr>
                  <w:webHidden/>
                </w:rPr>
                <w:fldChar w:fldCharType="end"/>
              </w:r>
            </w:hyperlink>
          </w:p>
          <w:p w:rsidR="00B0423C" w:rsidRDefault="009F620F">
            <w:pPr>
              <w:pStyle w:val="Obsah2"/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</w:pPr>
            <w:hyperlink w:anchor="_Toc17733197" w:history="1">
              <w:r w:rsidR="00B0423C" w:rsidRPr="00A14A9E">
                <w:rPr>
                  <w:rStyle w:val="Hypertextovodkaz"/>
                  <w:noProof/>
                </w:rPr>
                <w:t>2.1</w:t>
              </w:r>
              <w:r w:rsidR="00B0423C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="00B0423C" w:rsidRPr="00A14A9E">
                <w:rPr>
                  <w:rStyle w:val="Hypertextovodkaz"/>
                  <w:noProof/>
                </w:rPr>
                <w:t>Předpoklady budoucího vývoje</w:t>
              </w:r>
              <w:r w:rsidR="00B0423C">
                <w:rPr>
                  <w:noProof/>
                  <w:webHidden/>
                </w:rPr>
                <w:tab/>
              </w:r>
              <w:r w:rsidR="00B0423C">
                <w:rPr>
                  <w:noProof/>
                  <w:webHidden/>
                </w:rPr>
                <w:fldChar w:fldCharType="begin"/>
              </w:r>
              <w:r w:rsidR="00B0423C">
                <w:rPr>
                  <w:noProof/>
                  <w:webHidden/>
                </w:rPr>
                <w:instrText xml:space="preserve"> PAGEREF _Toc17733197 \h </w:instrText>
              </w:r>
              <w:r w:rsidR="00B0423C">
                <w:rPr>
                  <w:noProof/>
                  <w:webHidden/>
                </w:rPr>
              </w:r>
              <w:r w:rsidR="00B0423C">
                <w:rPr>
                  <w:noProof/>
                  <w:webHidden/>
                </w:rPr>
                <w:fldChar w:fldCharType="separate"/>
              </w:r>
              <w:r w:rsidR="00E07DDE">
                <w:rPr>
                  <w:noProof/>
                  <w:webHidden/>
                </w:rPr>
                <w:t>2</w:t>
              </w:r>
              <w:r w:rsidR="00B0423C">
                <w:rPr>
                  <w:noProof/>
                  <w:webHidden/>
                </w:rPr>
                <w:fldChar w:fldCharType="end"/>
              </w:r>
            </w:hyperlink>
          </w:p>
          <w:p w:rsidR="00B0423C" w:rsidRDefault="009F620F">
            <w:pPr>
              <w:pStyle w:val="Obsah2"/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</w:pPr>
            <w:hyperlink w:anchor="_Toc17733198" w:history="1">
              <w:r w:rsidR="00B0423C" w:rsidRPr="00A14A9E">
                <w:rPr>
                  <w:rStyle w:val="Hypertextovodkaz"/>
                  <w:noProof/>
                </w:rPr>
                <w:t>2.2</w:t>
              </w:r>
              <w:r w:rsidR="00B0423C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="00B0423C" w:rsidRPr="00A14A9E">
                <w:rPr>
                  <w:rStyle w:val="Hypertextovodkaz"/>
                  <w:noProof/>
                </w:rPr>
                <w:t>Makroekonomický vývoj v České republice</w:t>
              </w:r>
              <w:r w:rsidR="00B0423C">
                <w:rPr>
                  <w:noProof/>
                  <w:webHidden/>
                </w:rPr>
                <w:tab/>
              </w:r>
              <w:r w:rsidR="00B0423C">
                <w:rPr>
                  <w:noProof/>
                  <w:webHidden/>
                </w:rPr>
                <w:fldChar w:fldCharType="begin"/>
              </w:r>
              <w:r w:rsidR="00B0423C">
                <w:rPr>
                  <w:noProof/>
                  <w:webHidden/>
                </w:rPr>
                <w:instrText xml:space="preserve"> PAGEREF _Toc17733198 \h </w:instrText>
              </w:r>
              <w:r w:rsidR="00B0423C">
                <w:rPr>
                  <w:noProof/>
                  <w:webHidden/>
                </w:rPr>
              </w:r>
              <w:r w:rsidR="00B0423C">
                <w:rPr>
                  <w:noProof/>
                  <w:webHidden/>
                </w:rPr>
                <w:fldChar w:fldCharType="separate"/>
              </w:r>
              <w:r w:rsidR="00E07DDE">
                <w:rPr>
                  <w:noProof/>
                  <w:webHidden/>
                </w:rPr>
                <w:t>4</w:t>
              </w:r>
              <w:r w:rsidR="00B0423C">
                <w:rPr>
                  <w:noProof/>
                  <w:webHidden/>
                </w:rPr>
                <w:fldChar w:fldCharType="end"/>
              </w:r>
            </w:hyperlink>
          </w:p>
          <w:p w:rsidR="00B0423C" w:rsidRDefault="009F620F">
            <w:pPr>
              <w:pStyle w:val="Obsah2"/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</w:pPr>
            <w:hyperlink w:anchor="_Toc17733199" w:history="1">
              <w:r w:rsidR="00B0423C" w:rsidRPr="00A14A9E">
                <w:rPr>
                  <w:rStyle w:val="Hypertextovodkaz"/>
                  <w:noProof/>
                </w:rPr>
                <w:t>2.3</w:t>
              </w:r>
              <w:r w:rsidR="00B0423C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="00B0423C" w:rsidRPr="00A14A9E">
                <w:rPr>
                  <w:rStyle w:val="Hypertextovodkaz"/>
                  <w:noProof/>
                </w:rPr>
                <w:t>Nezávislé ověření makroekonomického rámce</w:t>
              </w:r>
              <w:r w:rsidR="00B0423C">
                <w:rPr>
                  <w:noProof/>
                  <w:webHidden/>
                </w:rPr>
                <w:tab/>
              </w:r>
              <w:r w:rsidR="00B0423C">
                <w:rPr>
                  <w:noProof/>
                  <w:webHidden/>
                </w:rPr>
                <w:fldChar w:fldCharType="begin"/>
              </w:r>
              <w:r w:rsidR="00B0423C">
                <w:rPr>
                  <w:noProof/>
                  <w:webHidden/>
                </w:rPr>
                <w:instrText xml:space="preserve"> PAGEREF _Toc17733199 \h </w:instrText>
              </w:r>
              <w:r w:rsidR="00B0423C">
                <w:rPr>
                  <w:noProof/>
                  <w:webHidden/>
                </w:rPr>
              </w:r>
              <w:r w:rsidR="00B0423C">
                <w:rPr>
                  <w:noProof/>
                  <w:webHidden/>
                </w:rPr>
                <w:fldChar w:fldCharType="separate"/>
              </w:r>
              <w:r w:rsidR="00E07DDE">
                <w:rPr>
                  <w:noProof/>
                  <w:webHidden/>
                </w:rPr>
                <w:t>7</w:t>
              </w:r>
              <w:r w:rsidR="00B0423C">
                <w:rPr>
                  <w:noProof/>
                  <w:webHidden/>
                </w:rPr>
                <w:fldChar w:fldCharType="end"/>
              </w:r>
            </w:hyperlink>
          </w:p>
          <w:p w:rsidR="00B0423C" w:rsidRDefault="009F620F">
            <w:pPr>
              <w:pStyle w:val="Obsah1"/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</w:pPr>
            <w:hyperlink w:anchor="_Toc17733200" w:history="1">
              <w:r w:rsidR="00B0423C" w:rsidRPr="00A14A9E">
                <w:rPr>
                  <w:rStyle w:val="Hypertextovodkaz"/>
                </w:rPr>
                <w:t>3</w:t>
              </w:r>
              <w:r w:rsidR="00B0423C">
                <w:rPr>
                  <w:rFonts w:asciiTheme="minorHAnsi" w:eastAsiaTheme="minorEastAsia" w:hAnsiTheme="minorHAnsi" w:cstheme="minorBidi"/>
                  <w:b w:val="0"/>
                  <w:sz w:val="22"/>
                  <w:szCs w:val="22"/>
                </w:rPr>
                <w:tab/>
              </w:r>
              <w:r w:rsidR="00B0423C" w:rsidRPr="00A14A9E">
                <w:rPr>
                  <w:rStyle w:val="Hypertextovodkaz"/>
                </w:rPr>
                <w:t>Fiskální politika a veřejné finance</w:t>
              </w:r>
              <w:r w:rsidR="00B0423C">
                <w:rPr>
                  <w:webHidden/>
                </w:rPr>
                <w:tab/>
              </w:r>
              <w:r w:rsidR="00B0423C">
                <w:rPr>
                  <w:webHidden/>
                </w:rPr>
                <w:fldChar w:fldCharType="begin"/>
              </w:r>
              <w:r w:rsidR="00B0423C">
                <w:rPr>
                  <w:webHidden/>
                </w:rPr>
                <w:instrText xml:space="preserve"> PAGEREF _Toc17733200 \h </w:instrText>
              </w:r>
              <w:r w:rsidR="00B0423C">
                <w:rPr>
                  <w:webHidden/>
                </w:rPr>
              </w:r>
              <w:r w:rsidR="00B0423C">
                <w:rPr>
                  <w:webHidden/>
                </w:rPr>
                <w:fldChar w:fldCharType="separate"/>
              </w:r>
              <w:r w:rsidR="00E07DDE">
                <w:rPr>
                  <w:webHidden/>
                </w:rPr>
                <w:t>9</w:t>
              </w:r>
              <w:r w:rsidR="00B0423C">
                <w:rPr>
                  <w:webHidden/>
                </w:rPr>
                <w:fldChar w:fldCharType="end"/>
              </w:r>
            </w:hyperlink>
          </w:p>
          <w:p w:rsidR="00B0423C" w:rsidRDefault="009F620F">
            <w:pPr>
              <w:pStyle w:val="Obsah2"/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</w:pPr>
            <w:hyperlink w:anchor="_Toc17733201" w:history="1">
              <w:r w:rsidR="00B0423C" w:rsidRPr="00A14A9E">
                <w:rPr>
                  <w:rStyle w:val="Hypertextovodkaz"/>
                  <w:noProof/>
                </w:rPr>
                <w:t>3.1</w:t>
              </w:r>
              <w:r w:rsidR="00B0423C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="00B0423C" w:rsidRPr="00A14A9E">
                <w:rPr>
                  <w:rStyle w:val="Hypertextovodkaz"/>
                  <w:noProof/>
                </w:rPr>
                <w:t>Očekávané hospodaření sektoru vládních institucí v roce 2019</w:t>
              </w:r>
              <w:r w:rsidR="00B0423C">
                <w:rPr>
                  <w:noProof/>
                  <w:webHidden/>
                </w:rPr>
                <w:tab/>
              </w:r>
              <w:r w:rsidR="00B0423C">
                <w:rPr>
                  <w:noProof/>
                  <w:webHidden/>
                </w:rPr>
                <w:fldChar w:fldCharType="begin"/>
              </w:r>
              <w:r w:rsidR="00B0423C">
                <w:rPr>
                  <w:noProof/>
                  <w:webHidden/>
                </w:rPr>
                <w:instrText xml:space="preserve"> PAGEREF _Toc17733201 \h </w:instrText>
              </w:r>
              <w:r w:rsidR="00B0423C">
                <w:rPr>
                  <w:noProof/>
                  <w:webHidden/>
                </w:rPr>
              </w:r>
              <w:r w:rsidR="00B0423C">
                <w:rPr>
                  <w:noProof/>
                  <w:webHidden/>
                </w:rPr>
                <w:fldChar w:fldCharType="separate"/>
              </w:r>
              <w:r w:rsidR="00E07DDE">
                <w:rPr>
                  <w:noProof/>
                  <w:webHidden/>
                </w:rPr>
                <w:t>9</w:t>
              </w:r>
              <w:r w:rsidR="00B0423C">
                <w:rPr>
                  <w:noProof/>
                  <w:webHidden/>
                </w:rPr>
                <w:fldChar w:fldCharType="end"/>
              </w:r>
            </w:hyperlink>
          </w:p>
          <w:p w:rsidR="00B0423C" w:rsidRDefault="009F620F">
            <w:pPr>
              <w:pStyle w:val="Obsah2"/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</w:pPr>
            <w:hyperlink w:anchor="_Toc17733202" w:history="1">
              <w:r w:rsidR="00B0423C" w:rsidRPr="00A14A9E">
                <w:rPr>
                  <w:rStyle w:val="Hypertextovodkaz"/>
                  <w:noProof/>
                </w:rPr>
                <w:t>3.2</w:t>
              </w:r>
              <w:r w:rsidR="00B0423C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="00B0423C" w:rsidRPr="00A14A9E">
                <w:rPr>
                  <w:rStyle w:val="Hypertextovodkaz"/>
                  <w:noProof/>
                </w:rPr>
                <w:t>Predikce hospodaření sektoru vládních institucí v roce 2020</w:t>
              </w:r>
              <w:r w:rsidR="00B0423C">
                <w:rPr>
                  <w:noProof/>
                  <w:webHidden/>
                </w:rPr>
                <w:tab/>
              </w:r>
              <w:r w:rsidR="00B0423C">
                <w:rPr>
                  <w:noProof/>
                  <w:webHidden/>
                </w:rPr>
                <w:fldChar w:fldCharType="begin"/>
              </w:r>
              <w:r w:rsidR="00B0423C">
                <w:rPr>
                  <w:noProof/>
                  <w:webHidden/>
                </w:rPr>
                <w:instrText xml:space="preserve"> PAGEREF _Toc17733202 \h </w:instrText>
              </w:r>
              <w:r w:rsidR="00B0423C">
                <w:rPr>
                  <w:noProof/>
                  <w:webHidden/>
                </w:rPr>
              </w:r>
              <w:r w:rsidR="00B0423C">
                <w:rPr>
                  <w:noProof/>
                  <w:webHidden/>
                </w:rPr>
                <w:fldChar w:fldCharType="separate"/>
              </w:r>
              <w:r w:rsidR="00E07DDE">
                <w:rPr>
                  <w:noProof/>
                  <w:webHidden/>
                </w:rPr>
                <w:t>10</w:t>
              </w:r>
              <w:r w:rsidR="00B0423C">
                <w:rPr>
                  <w:noProof/>
                  <w:webHidden/>
                </w:rPr>
                <w:fldChar w:fldCharType="end"/>
              </w:r>
            </w:hyperlink>
          </w:p>
          <w:p w:rsidR="00332D4D" w:rsidRPr="003B10C6" w:rsidRDefault="00332D4D" w:rsidP="00BA4BBC">
            <w:r w:rsidRPr="003B10C6">
              <w:rPr>
                <w:noProof/>
              </w:rPr>
              <w:fldChar w:fldCharType="end"/>
            </w:r>
          </w:p>
        </w:tc>
        <w:bookmarkStart w:id="0" w:name="_GoBack"/>
        <w:bookmarkEnd w:id="0"/>
      </w:tr>
    </w:tbl>
    <w:p w:rsidR="00332D4D" w:rsidRPr="006813A5" w:rsidRDefault="00332D4D" w:rsidP="00332D4D">
      <w:pPr>
        <w:pStyle w:val="Nadpismal"/>
        <w:spacing w:before="0"/>
      </w:pPr>
      <w:r w:rsidRPr="006813A5">
        <w:t>Seznam tabulek</w:t>
      </w:r>
    </w:p>
    <w:p w:rsidR="00B0423C" w:rsidRDefault="00332D4D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B10C6">
        <w:rPr>
          <w:noProof/>
        </w:rPr>
        <w:fldChar w:fldCharType="begin"/>
      </w:r>
      <w:r w:rsidRPr="003B10C6">
        <w:rPr>
          <w:noProof/>
        </w:rPr>
        <w:instrText xml:space="preserve"> TOC \h \z \c "Tabulka" </w:instrText>
      </w:r>
      <w:r w:rsidRPr="003B10C6">
        <w:rPr>
          <w:noProof/>
        </w:rPr>
        <w:fldChar w:fldCharType="separate"/>
      </w:r>
      <w:hyperlink w:anchor="_Toc17733203" w:history="1">
        <w:r w:rsidR="00B0423C" w:rsidRPr="008E7300">
          <w:rPr>
            <w:rStyle w:val="Hypertextovodkaz"/>
            <w:noProof/>
          </w:rPr>
          <w:t>Tabulka 1.1: Predikce základních makroekonomických indikátorů</w:t>
        </w:r>
        <w:r w:rsidR="00B0423C">
          <w:rPr>
            <w:noProof/>
            <w:webHidden/>
          </w:rPr>
          <w:tab/>
        </w:r>
        <w:r w:rsidR="00B0423C">
          <w:rPr>
            <w:noProof/>
            <w:webHidden/>
          </w:rPr>
          <w:fldChar w:fldCharType="begin"/>
        </w:r>
        <w:r w:rsidR="00B0423C">
          <w:rPr>
            <w:noProof/>
            <w:webHidden/>
          </w:rPr>
          <w:instrText xml:space="preserve"> PAGEREF _Toc17733203 \h </w:instrText>
        </w:r>
        <w:r w:rsidR="00B0423C">
          <w:rPr>
            <w:noProof/>
            <w:webHidden/>
          </w:rPr>
        </w:r>
        <w:r w:rsidR="00B0423C">
          <w:rPr>
            <w:noProof/>
            <w:webHidden/>
          </w:rPr>
          <w:fldChar w:fldCharType="separate"/>
        </w:r>
        <w:r w:rsidR="00E07DDE">
          <w:rPr>
            <w:noProof/>
            <w:webHidden/>
          </w:rPr>
          <w:t>1</w:t>
        </w:r>
        <w:r w:rsidR="00B0423C">
          <w:rPr>
            <w:noProof/>
            <w:webHidden/>
          </w:rPr>
          <w:fldChar w:fldCharType="end"/>
        </w:r>
      </w:hyperlink>
    </w:p>
    <w:p w:rsidR="00B0423C" w:rsidRDefault="009F620F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733204" w:history="1">
        <w:r w:rsidR="00B0423C" w:rsidRPr="008E7300">
          <w:rPr>
            <w:rStyle w:val="Hypertextovodkaz"/>
            <w:noProof/>
          </w:rPr>
          <w:t>Tabulka 2.1: Ověření makroekonomického rámce nezávislými prognózami</w:t>
        </w:r>
        <w:r w:rsidR="00B0423C">
          <w:rPr>
            <w:noProof/>
            <w:webHidden/>
          </w:rPr>
          <w:tab/>
        </w:r>
        <w:r w:rsidR="00B0423C">
          <w:rPr>
            <w:noProof/>
            <w:webHidden/>
          </w:rPr>
          <w:fldChar w:fldCharType="begin"/>
        </w:r>
        <w:r w:rsidR="00B0423C">
          <w:rPr>
            <w:noProof/>
            <w:webHidden/>
          </w:rPr>
          <w:instrText xml:space="preserve"> PAGEREF _Toc17733204 \h </w:instrText>
        </w:r>
        <w:r w:rsidR="00B0423C">
          <w:rPr>
            <w:noProof/>
            <w:webHidden/>
          </w:rPr>
        </w:r>
        <w:r w:rsidR="00B0423C">
          <w:rPr>
            <w:noProof/>
            <w:webHidden/>
          </w:rPr>
          <w:fldChar w:fldCharType="separate"/>
        </w:r>
        <w:r w:rsidR="00E07DDE">
          <w:rPr>
            <w:noProof/>
            <w:webHidden/>
          </w:rPr>
          <w:t>8</w:t>
        </w:r>
        <w:r w:rsidR="00B0423C">
          <w:rPr>
            <w:noProof/>
            <w:webHidden/>
          </w:rPr>
          <w:fldChar w:fldCharType="end"/>
        </w:r>
      </w:hyperlink>
    </w:p>
    <w:p w:rsidR="00B0423C" w:rsidRDefault="009F620F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733205" w:history="1">
        <w:r w:rsidR="00B0423C" w:rsidRPr="008E7300">
          <w:rPr>
            <w:rStyle w:val="Hypertextovodkaz"/>
            <w:noProof/>
          </w:rPr>
          <w:t>Tabulka 2.3: Porovnání prognóz Ministerstva financí a Evropské komise</w:t>
        </w:r>
        <w:r w:rsidR="00B0423C">
          <w:rPr>
            <w:noProof/>
            <w:webHidden/>
          </w:rPr>
          <w:tab/>
        </w:r>
        <w:r w:rsidR="00B0423C">
          <w:rPr>
            <w:noProof/>
            <w:webHidden/>
          </w:rPr>
          <w:fldChar w:fldCharType="begin"/>
        </w:r>
        <w:r w:rsidR="00B0423C">
          <w:rPr>
            <w:noProof/>
            <w:webHidden/>
          </w:rPr>
          <w:instrText xml:space="preserve"> PAGEREF _Toc17733205 \h </w:instrText>
        </w:r>
        <w:r w:rsidR="00B0423C">
          <w:rPr>
            <w:noProof/>
            <w:webHidden/>
          </w:rPr>
        </w:r>
        <w:r w:rsidR="00B0423C">
          <w:rPr>
            <w:noProof/>
            <w:webHidden/>
          </w:rPr>
          <w:fldChar w:fldCharType="separate"/>
        </w:r>
        <w:r w:rsidR="00E07DDE">
          <w:rPr>
            <w:noProof/>
            <w:webHidden/>
          </w:rPr>
          <w:t>8</w:t>
        </w:r>
        <w:r w:rsidR="00B0423C">
          <w:rPr>
            <w:noProof/>
            <w:webHidden/>
          </w:rPr>
          <w:fldChar w:fldCharType="end"/>
        </w:r>
      </w:hyperlink>
    </w:p>
    <w:p w:rsidR="00B0423C" w:rsidRDefault="009F620F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733206" w:history="1">
        <w:r w:rsidR="00B0423C" w:rsidRPr="008E7300">
          <w:rPr>
            <w:rStyle w:val="Hypertextovodkaz"/>
            <w:noProof/>
          </w:rPr>
          <w:t>Tabulka 3.1: Saldo a dluh sektoru vládních institucí</w:t>
        </w:r>
        <w:r w:rsidR="00B0423C">
          <w:rPr>
            <w:noProof/>
            <w:webHidden/>
          </w:rPr>
          <w:tab/>
        </w:r>
        <w:r w:rsidR="00B0423C">
          <w:rPr>
            <w:noProof/>
            <w:webHidden/>
          </w:rPr>
          <w:fldChar w:fldCharType="begin"/>
        </w:r>
        <w:r w:rsidR="00B0423C">
          <w:rPr>
            <w:noProof/>
            <w:webHidden/>
          </w:rPr>
          <w:instrText xml:space="preserve"> PAGEREF _Toc17733206 \h </w:instrText>
        </w:r>
        <w:r w:rsidR="00B0423C">
          <w:rPr>
            <w:noProof/>
            <w:webHidden/>
          </w:rPr>
        </w:r>
        <w:r w:rsidR="00B0423C">
          <w:rPr>
            <w:noProof/>
            <w:webHidden/>
          </w:rPr>
          <w:fldChar w:fldCharType="separate"/>
        </w:r>
        <w:r w:rsidR="00E07DDE">
          <w:rPr>
            <w:noProof/>
            <w:webHidden/>
          </w:rPr>
          <w:t>9</w:t>
        </w:r>
        <w:r w:rsidR="00B0423C">
          <w:rPr>
            <w:noProof/>
            <w:webHidden/>
          </w:rPr>
          <w:fldChar w:fldCharType="end"/>
        </w:r>
      </w:hyperlink>
    </w:p>
    <w:p w:rsidR="00332D4D" w:rsidRPr="003B10C6" w:rsidRDefault="00332D4D" w:rsidP="00332D4D">
      <w:pPr>
        <w:pStyle w:val="Seznamobrzk"/>
      </w:pPr>
      <w:r w:rsidRPr="003B10C6">
        <w:rPr>
          <w:noProof/>
        </w:rPr>
        <w:fldChar w:fldCharType="end"/>
      </w:r>
    </w:p>
    <w:p w:rsidR="00332D4D" w:rsidRPr="003B10C6" w:rsidRDefault="00332D4D" w:rsidP="00332D4D">
      <w:pPr>
        <w:pStyle w:val="Nadpismal"/>
      </w:pPr>
      <w:r w:rsidRPr="003B10C6">
        <w:t xml:space="preserve">Seznam </w:t>
      </w:r>
      <w:r>
        <w:t>obrázků</w:t>
      </w:r>
    </w:p>
    <w:p w:rsidR="00B0423C" w:rsidRDefault="00332D4D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"Obrázek" </w:instrText>
      </w:r>
      <w:r>
        <w:fldChar w:fldCharType="separate"/>
      </w:r>
      <w:hyperlink w:anchor="_Toc17733207" w:history="1">
        <w:r w:rsidR="00B0423C" w:rsidRPr="00F0498D">
          <w:rPr>
            <w:rStyle w:val="Hypertextovodkaz"/>
            <w:noProof/>
          </w:rPr>
          <w:t>Obrázek 2.1: Reálný hrubý domácí produkt eurozóny</w:t>
        </w:r>
        <w:r w:rsidR="00B0423C">
          <w:rPr>
            <w:noProof/>
            <w:webHidden/>
          </w:rPr>
          <w:tab/>
        </w:r>
        <w:r w:rsidR="00B0423C">
          <w:rPr>
            <w:noProof/>
            <w:webHidden/>
          </w:rPr>
          <w:fldChar w:fldCharType="begin"/>
        </w:r>
        <w:r w:rsidR="00B0423C">
          <w:rPr>
            <w:noProof/>
            <w:webHidden/>
          </w:rPr>
          <w:instrText xml:space="preserve"> PAGEREF _Toc17733207 \h </w:instrText>
        </w:r>
        <w:r w:rsidR="00B0423C">
          <w:rPr>
            <w:noProof/>
            <w:webHidden/>
          </w:rPr>
        </w:r>
        <w:r w:rsidR="00B0423C">
          <w:rPr>
            <w:noProof/>
            <w:webHidden/>
          </w:rPr>
          <w:fldChar w:fldCharType="separate"/>
        </w:r>
        <w:r w:rsidR="00E07DDE">
          <w:rPr>
            <w:noProof/>
            <w:webHidden/>
          </w:rPr>
          <w:t>3</w:t>
        </w:r>
        <w:r w:rsidR="00B0423C">
          <w:rPr>
            <w:noProof/>
            <w:webHidden/>
          </w:rPr>
          <w:fldChar w:fldCharType="end"/>
        </w:r>
      </w:hyperlink>
    </w:p>
    <w:p w:rsidR="00B0423C" w:rsidRDefault="009F620F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733208" w:history="1">
        <w:r w:rsidR="00B0423C" w:rsidRPr="00F0498D">
          <w:rPr>
            <w:rStyle w:val="Hypertextovodkaz"/>
            <w:noProof/>
          </w:rPr>
          <w:t>Obrázek 2.2: Cena ropy Brent</w:t>
        </w:r>
        <w:r w:rsidR="00B0423C">
          <w:rPr>
            <w:noProof/>
            <w:webHidden/>
          </w:rPr>
          <w:tab/>
        </w:r>
        <w:r w:rsidR="00B0423C">
          <w:rPr>
            <w:noProof/>
            <w:webHidden/>
          </w:rPr>
          <w:fldChar w:fldCharType="begin"/>
        </w:r>
        <w:r w:rsidR="00B0423C">
          <w:rPr>
            <w:noProof/>
            <w:webHidden/>
          </w:rPr>
          <w:instrText xml:space="preserve"> PAGEREF _Toc17733208 \h </w:instrText>
        </w:r>
        <w:r w:rsidR="00B0423C">
          <w:rPr>
            <w:noProof/>
            <w:webHidden/>
          </w:rPr>
        </w:r>
        <w:r w:rsidR="00B0423C">
          <w:rPr>
            <w:noProof/>
            <w:webHidden/>
          </w:rPr>
          <w:fldChar w:fldCharType="separate"/>
        </w:r>
        <w:r w:rsidR="00E07DDE">
          <w:rPr>
            <w:noProof/>
            <w:webHidden/>
          </w:rPr>
          <w:t>3</w:t>
        </w:r>
        <w:r w:rsidR="00B0423C">
          <w:rPr>
            <w:noProof/>
            <w:webHidden/>
          </w:rPr>
          <w:fldChar w:fldCharType="end"/>
        </w:r>
      </w:hyperlink>
    </w:p>
    <w:p w:rsidR="00B0423C" w:rsidRDefault="009F620F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733209" w:history="1">
        <w:r w:rsidR="00B0423C" w:rsidRPr="00F0498D">
          <w:rPr>
            <w:rStyle w:val="Hypertextovodkaz"/>
            <w:noProof/>
          </w:rPr>
          <w:t>Obrázek 2.3: Měnový kurz CZK/EUR</w:t>
        </w:r>
        <w:r w:rsidR="00B0423C">
          <w:rPr>
            <w:noProof/>
            <w:webHidden/>
          </w:rPr>
          <w:tab/>
        </w:r>
        <w:r w:rsidR="00B0423C">
          <w:rPr>
            <w:noProof/>
            <w:webHidden/>
          </w:rPr>
          <w:fldChar w:fldCharType="begin"/>
        </w:r>
        <w:r w:rsidR="00B0423C">
          <w:rPr>
            <w:noProof/>
            <w:webHidden/>
          </w:rPr>
          <w:instrText xml:space="preserve"> PAGEREF _Toc17733209 \h </w:instrText>
        </w:r>
        <w:r w:rsidR="00B0423C">
          <w:rPr>
            <w:noProof/>
            <w:webHidden/>
          </w:rPr>
        </w:r>
        <w:r w:rsidR="00B0423C">
          <w:rPr>
            <w:noProof/>
            <w:webHidden/>
          </w:rPr>
          <w:fldChar w:fldCharType="separate"/>
        </w:r>
        <w:r w:rsidR="00E07DDE">
          <w:rPr>
            <w:noProof/>
            <w:webHidden/>
          </w:rPr>
          <w:t>4</w:t>
        </w:r>
        <w:r w:rsidR="00B0423C">
          <w:rPr>
            <w:noProof/>
            <w:webHidden/>
          </w:rPr>
          <w:fldChar w:fldCharType="end"/>
        </w:r>
      </w:hyperlink>
    </w:p>
    <w:p w:rsidR="00B0423C" w:rsidRDefault="009F620F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733210" w:history="1">
        <w:r w:rsidR="00B0423C" w:rsidRPr="00F0498D">
          <w:rPr>
            <w:rStyle w:val="Hypertextovodkaz"/>
            <w:noProof/>
          </w:rPr>
          <w:t>Obrázek 2.4: Reálný hrubý domácí produkt</w:t>
        </w:r>
        <w:r w:rsidR="00B0423C">
          <w:rPr>
            <w:noProof/>
            <w:webHidden/>
          </w:rPr>
          <w:tab/>
        </w:r>
        <w:r w:rsidR="00B0423C">
          <w:rPr>
            <w:noProof/>
            <w:webHidden/>
          </w:rPr>
          <w:fldChar w:fldCharType="begin"/>
        </w:r>
        <w:r w:rsidR="00B0423C">
          <w:rPr>
            <w:noProof/>
            <w:webHidden/>
          </w:rPr>
          <w:instrText xml:space="preserve"> PAGEREF _Toc17733210 \h </w:instrText>
        </w:r>
        <w:r w:rsidR="00B0423C">
          <w:rPr>
            <w:noProof/>
            <w:webHidden/>
          </w:rPr>
        </w:r>
        <w:r w:rsidR="00B0423C">
          <w:rPr>
            <w:noProof/>
            <w:webHidden/>
          </w:rPr>
          <w:fldChar w:fldCharType="separate"/>
        </w:r>
        <w:r w:rsidR="00E07DDE">
          <w:rPr>
            <w:noProof/>
            <w:webHidden/>
          </w:rPr>
          <w:t>4</w:t>
        </w:r>
        <w:r w:rsidR="00B0423C">
          <w:rPr>
            <w:noProof/>
            <w:webHidden/>
          </w:rPr>
          <w:fldChar w:fldCharType="end"/>
        </w:r>
      </w:hyperlink>
    </w:p>
    <w:p w:rsidR="00B0423C" w:rsidRDefault="009F620F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733211" w:history="1">
        <w:r w:rsidR="00B0423C" w:rsidRPr="00F0498D">
          <w:rPr>
            <w:rStyle w:val="Hypertextovodkaz"/>
            <w:noProof/>
          </w:rPr>
          <w:t>Obrázek 2.5: Spotřebitelské ceny</w:t>
        </w:r>
        <w:r w:rsidR="00B0423C">
          <w:rPr>
            <w:noProof/>
            <w:webHidden/>
          </w:rPr>
          <w:tab/>
        </w:r>
        <w:r w:rsidR="00B0423C">
          <w:rPr>
            <w:noProof/>
            <w:webHidden/>
          </w:rPr>
          <w:fldChar w:fldCharType="begin"/>
        </w:r>
        <w:r w:rsidR="00B0423C">
          <w:rPr>
            <w:noProof/>
            <w:webHidden/>
          </w:rPr>
          <w:instrText xml:space="preserve"> PAGEREF _Toc17733211 \h </w:instrText>
        </w:r>
        <w:r w:rsidR="00B0423C">
          <w:rPr>
            <w:noProof/>
            <w:webHidden/>
          </w:rPr>
        </w:r>
        <w:r w:rsidR="00B0423C">
          <w:rPr>
            <w:noProof/>
            <w:webHidden/>
          </w:rPr>
          <w:fldChar w:fldCharType="separate"/>
        </w:r>
        <w:r w:rsidR="00E07DDE">
          <w:rPr>
            <w:noProof/>
            <w:webHidden/>
          </w:rPr>
          <w:t>5</w:t>
        </w:r>
        <w:r w:rsidR="00B0423C">
          <w:rPr>
            <w:noProof/>
            <w:webHidden/>
          </w:rPr>
          <w:fldChar w:fldCharType="end"/>
        </w:r>
      </w:hyperlink>
    </w:p>
    <w:p w:rsidR="00B0423C" w:rsidRDefault="009F620F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733212" w:history="1">
        <w:r w:rsidR="00B0423C" w:rsidRPr="00F0498D">
          <w:rPr>
            <w:rStyle w:val="Hypertextovodkaz"/>
            <w:noProof/>
          </w:rPr>
          <w:t>Obrázek 2.6: Zaměstnanost</w:t>
        </w:r>
        <w:r w:rsidR="00B0423C">
          <w:rPr>
            <w:noProof/>
            <w:webHidden/>
          </w:rPr>
          <w:tab/>
        </w:r>
        <w:r w:rsidR="00B0423C">
          <w:rPr>
            <w:noProof/>
            <w:webHidden/>
          </w:rPr>
          <w:fldChar w:fldCharType="begin"/>
        </w:r>
        <w:r w:rsidR="00B0423C">
          <w:rPr>
            <w:noProof/>
            <w:webHidden/>
          </w:rPr>
          <w:instrText xml:space="preserve"> PAGEREF _Toc17733212 \h </w:instrText>
        </w:r>
        <w:r w:rsidR="00B0423C">
          <w:rPr>
            <w:noProof/>
            <w:webHidden/>
          </w:rPr>
        </w:r>
        <w:r w:rsidR="00B0423C">
          <w:rPr>
            <w:noProof/>
            <w:webHidden/>
          </w:rPr>
          <w:fldChar w:fldCharType="separate"/>
        </w:r>
        <w:r w:rsidR="00E07DDE">
          <w:rPr>
            <w:noProof/>
            <w:webHidden/>
          </w:rPr>
          <w:t>6</w:t>
        </w:r>
        <w:r w:rsidR="00B0423C">
          <w:rPr>
            <w:noProof/>
            <w:webHidden/>
          </w:rPr>
          <w:fldChar w:fldCharType="end"/>
        </w:r>
      </w:hyperlink>
    </w:p>
    <w:p w:rsidR="00B0423C" w:rsidRDefault="009F620F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733213" w:history="1">
        <w:r w:rsidR="00B0423C" w:rsidRPr="00F0498D">
          <w:rPr>
            <w:rStyle w:val="Hypertextovodkaz"/>
            <w:noProof/>
          </w:rPr>
          <w:t>Obrázek 2.7: Míra nezaměstnanosti</w:t>
        </w:r>
        <w:r w:rsidR="00B0423C">
          <w:rPr>
            <w:noProof/>
            <w:webHidden/>
          </w:rPr>
          <w:tab/>
        </w:r>
        <w:r w:rsidR="00B0423C">
          <w:rPr>
            <w:noProof/>
            <w:webHidden/>
          </w:rPr>
          <w:fldChar w:fldCharType="begin"/>
        </w:r>
        <w:r w:rsidR="00B0423C">
          <w:rPr>
            <w:noProof/>
            <w:webHidden/>
          </w:rPr>
          <w:instrText xml:space="preserve"> PAGEREF _Toc17733213 \h </w:instrText>
        </w:r>
        <w:r w:rsidR="00B0423C">
          <w:rPr>
            <w:noProof/>
            <w:webHidden/>
          </w:rPr>
        </w:r>
        <w:r w:rsidR="00B0423C">
          <w:rPr>
            <w:noProof/>
            <w:webHidden/>
          </w:rPr>
          <w:fldChar w:fldCharType="separate"/>
        </w:r>
        <w:r w:rsidR="00E07DDE">
          <w:rPr>
            <w:noProof/>
            <w:webHidden/>
          </w:rPr>
          <w:t>6</w:t>
        </w:r>
        <w:r w:rsidR="00B0423C">
          <w:rPr>
            <w:noProof/>
            <w:webHidden/>
          </w:rPr>
          <w:fldChar w:fldCharType="end"/>
        </w:r>
      </w:hyperlink>
    </w:p>
    <w:p w:rsidR="00B0423C" w:rsidRDefault="009F620F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733214" w:history="1">
        <w:r w:rsidR="00B0423C" w:rsidRPr="00F0498D">
          <w:rPr>
            <w:rStyle w:val="Hypertextovodkaz"/>
            <w:noProof/>
          </w:rPr>
          <w:t>Obrázek 2.8: Objem mezd a platů</w:t>
        </w:r>
        <w:r w:rsidR="00B0423C">
          <w:rPr>
            <w:noProof/>
            <w:webHidden/>
          </w:rPr>
          <w:tab/>
        </w:r>
        <w:r w:rsidR="00B0423C">
          <w:rPr>
            <w:noProof/>
            <w:webHidden/>
          </w:rPr>
          <w:fldChar w:fldCharType="begin"/>
        </w:r>
        <w:r w:rsidR="00B0423C">
          <w:rPr>
            <w:noProof/>
            <w:webHidden/>
          </w:rPr>
          <w:instrText xml:space="preserve"> PAGEREF _Toc17733214 \h </w:instrText>
        </w:r>
        <w:r w:rsidR="00B0423C">
          <w:rPr>
            <w:noProof/>
            <w:webHidden/>
          </w:rPr>
        </w:r>
        <w:r w:rsidR="00B0423C">
          <w:rPr>
            <w:noProof/>
            <w:webHidden/>
          </w:rPr>
          <w:fldChar w:fldCharType="separate"/>
        </w:r>
        <w:r w:rsidR="00E07DDE">
          <w:rPr>
            <w:noProof/>
            <w:webHidden/>
          </w:rPr>
          <w:t>6</w:t>
        </w:r>
        <w:r w:rsidR="00B0423C">
          <w:rPr>
            <w:noProof/>
            <w:webHidden/>
          </w:rPr>
          <w:fldChar w:fldCharType="end"/>
        </w:r>
      </w:hyperlink>
    </w:p>
    <w:p w:rsidR="00B0423C" w:rsidRDefault="009F620F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733215" w:history="1">
        <w:r w:rsidR="00B0423C" w:rsidRPr="00F0498D">
          <w:rPr>
            <w:rStyle w:val="Hypertextovodkaz"/>
            <w:noProof/>
          </w:rPr>
          <w:t>Obrázek 2.9: Saldo běžného účtu platební bilance</w:t>
        </w:r>
        <w:r w:rsidR="00B0423C">
          <w:rPr>
            <w:noProof/>
            <w:webHidden/>
          </w:rPr>
          <w:tab/>
        </w:r>
        <w:r w:rsidR="00B0423C">
          <w:rPr>
            <w:noProof/>
            <w:webHidden/>
          </w:rPr>
          <w:fldChar w:fldCharType="begin"/>
        </w:r>
        <w:r w:rsidR="00B0423C">
          <w:rPr>
            <w:noProof/>
            <w:webHidden/>
          </w:rPr>
          <w:instrText xml:space="preserve"> PAGEREF _Toc17733215 \h </w:instrText>
        </w:r>
        <w:r w:rsidR="00B0423C">
          <w:rPr>
            <w:noProof/>
            <w:webHidden/>
          </w:rPr>
        </w:r>
        <w:r w:rsidR="00B0423C">
          <w:rPr>
            <w:noProof/>
            <w:webHidden/>
          </w:rPr>
          <w:fldChar w:fldCharType="separate"/>
        </w:r>
        <w:r w:rsidR="00E07DDE">
          <w:rPr>
            <w:noProof/>
            <w:webHidden/>
          </w:rPr>
          <w:t>7</w:t>
        </w:r>
        <w:r w:rsidR="00B0423C">
          <w:rPr>
            <w:noProof/>
            <w:webHidden/>
          </w:rPr>
          <w:fldChar w:fldCharType="end"/>
        </w:r>
      </w:hyperlink>
    </w:p>
    <w:p w:rsidR="00332D4D" w:rsidRDefault="00332D4D" w:rsidP="008F140B">
      <w:pPr>
        <w:pStyle w:val="Nadpismal"/>
      </w:pPr>
      <w:r>
        <w:fldChar w:fldCharType="end"/>
      </w:r>
    </w:p>
    <w:p w:rsidR="00332D4D" w:rsidRDefault="00332D4D" w:rsidP="00332D4D">
      <w:pPr>
        <w:sectPr w:rsidR="00332D4D" w:rsidSect="007A1923">
          <w:headerReference w:type="default" r:id="rId10"/>
          <w:footerReference w:type="default" r:id="rId11"/>
          <w:type w:val="oddPage"/>
          <w:pgSz w:w="11906" w:h="16838" w:code="9"/>
          <w:pgMar w:top="1134" w:right="1134" w:bottom="1418" w:left="1134" w:header="709" w:footer="709" w:gutter="0"/>
          <w:pgNumType w:start="1"/>
          <w:cols w:space="709"/>
          <w:docGrid w:linePitch="360"/>
        </w:sectPr>
      </w:pPr>
    </w:p>
    <w:p w:rsidR="00A53081" w:rsidRDefault="00337956" w:rsidP="00C43D9D">
      <w:pPr>
        <w:pStyle w:val="Nadpis1"/>
      </w:pPr>
      <w:bookmarkStart w:id="1" w:name="_Toc17733195"/>
      <w:bookmarkStart w:id="2" w:name="_Toc525714682"/>
      <w:bookmarkStart w:id="3" w:name="_Toc14695473"/>
      <w:r>
        <w:lastRenderedPageBreak/>
        <w:t>Úvod a shrnutí</w:t>
      </w:r>
      <w:bookmarkEnd w:id="1"/>
    </w:p>
    <w:p w:rsidR="00702082" w:rsidRDefault="00702082" w:rsidP="00702082">
      <w:r>
        <w:t>N</w:t>
      </w:r>
      <w:r w:rsidRPr="009D1153">
        <w:t>a pozadí narůstajících rizik ve vnějším prostředí</w:t>
      </w:r>
      <w:r>
        <w:t xml:space="preserve">, </w:t>
      </w:r>
      <w:r w:rsidRPr="009D1153">
        <w:t>zpomal</w:t>
      </w:r>
      <w:r>
        <w:t xml:space="preserve">ování </w:t>
      </w:r>
      <w:r w:rsidRPr="009D1153">
        <w:t xml:space="preserve">růstu ekonomické aktivity v zemích Evropské unie </w:t>
      </w:r>
      <w:r>
        <w:t>a</w:t>
      </w:r>
      <w:r w:rsidR="0020417E">
        <w:t> </w:t>
      </w:r>
      <w:r>
        <w:t xml:space="preserve">nerovnováhy na českém trhu práce oslabuje i dynamika domácího </w:t>
      </w:r>
      <w:r w:rsidRPr="009D1153">
        <w:t>hospodářství</w:t>
      </w:r>
      <w:r>
        <w:t>. Přesto se ekonomika České republ</w:t>
      </w:r>
      <w:r>
        <w:t>i</w:t>
      </w:r>
      <w:r>
        <w:t xml:space="preserve">ky </w:t>
      </w:r>
      <w:r w:rsidRPr="009D1153">
        <w:t xml:space="preserve">nachází </w:t>
      </w:r>
      <w:r>
        <w:t xml:space="preserve">stále </w:t>
      </w:r>
      <w:r w:rsidRPr="009D1153">
        <w:t>v</w:t>
      </w:r>
      <w:r w:rsidR="00070A44">
        <w:t xml:space="preserve"> prostředí kladné mezery výstupu</w:t>
      </w:r>
      <w:r w:rsidR="002D2CA9">
        <w:t xml:space="preserve">, ve středním horizontu však očekáváme </w:t>
      </w:r>
      <w:r w:rsidR="00070A44">
        <w:t xml:space="preserve">její postupné </w:t>
      </w:r>
      <w:r w:rsidR="002D2CA9">
        <w:t>uzavření</w:t>
      </w:r>
      <w:r w:rsidRPr="009D1153">
        <w:t>.</w:t>
      </w:r>
    </w:p>
    <w:p w:rsidR="00241F17" w:rsidRDefault="00241F17" w:rsidP="00F74DE4">
      <w:r w:rsidRPr="00E663E3">
        <w:t>Z hlediska směru působení hospodářských politik je nutné odlišit nastavení fiskální a měnové politiky. Pro plán a real</w:t>
      </w:r>
      <w:r w:rsidRPr="00E663E3">
        <w:t>i</w:t>
      </w:r>
      <w:r w:rsidRPr="00E663E3">
        <w:t xml:space="preserve">zaci </w:t>
      </w:r>
      <w:r w:rsidRPr="00E663E3">
        <w:rPr>
          <w:bCs/>
        </w:rPr>
        <w:t>fiskální politiky</w:t>
      </w:r>
      <w:r w:rsidRPr="00E663E3">
        <w:t xml:space="preserve"> jsou od roku 2017 mantinely dány zákonem o pravidlech rozpočtové odpovědnosti. </w:t>
      </w:r>
      <w:r>
        <w:t xml:space="preserve">V jejich rámci lze </w:t>
      </w:r>
      <w:r w:rsidRPr="00241F17">
        <w:t>fiskální politik</w:t>
      </w:r>
      <w:r>
        <w:t xml:space="preserve">u následujících let </w:t>
      </w:r>
      <w:r w:rsidRPr="00241F17">
        <w:t>charakterizovat jako neutrální až mírně expanzivní, což je plně v souladu s realitou zpomalování ekonomického růstu.</w:t>
      </w:r>
      <w:r w:rsidR="00F74DE4">
        <w:t xml:space="preserve"> U měnových podmínek o</w:t>
      </w:r>
      <w:r w:rsidRPr="00E663E3">
        <w:t>čekáv</w:t>
      </w:r>
      <w:r w:rsidR="00F74DE4">
        <w:t xml:space="preserve">áme </w:t>
      </w:r>
      <w:r w:rsidR="0020417E">
        <w:t xml:space="preserve">pozvolné </w:t>
      </w:r>
      <w:r w:rsidRPr="00E663E3">
        <w:t xml:space="preserve">posilování </w:t>
      </w:r>
      <w:r w:rsidR="00F74DE4">
        <w:t xml:space="preserve">kurzu české </w:t>
      </w:r>
      <w:r w:rsidRPr="00E663E3">
        <w:t xml:space="preserve">koruny </w:t>
      </w:r>
      <w:r w:rsidR="00F74DE4">
        <w:t>a</w:t>
      </w:r>
      <w:r w:rsidRPr="00E663E3">
        <w:t xml:space="preserve"> stab</w:t>
      </w:r>
      <w:r w:rsidRPr="00E663E3">
        <w:t>i</w:t>
      </w:r>
      <w:r w:rsidRPr="00E663E3">
        <w:t>litu primárních úrokových sazeb</w:t>
      </w:r>
      <w:r w:rsidR="00F74DE4">
        <w:t>.</w:t>
      </w:r>
    </w:p>
    <w:p w:rsidR="00C43D9D" w:rsidRPr="00E663E3" w:rsidRDefault="00702082" w:rsidP="00C43D9D">
      <w:r w:rsidRPr="00702082">
        <w:t xml:space="preserve">Makroekonomický rámec je zatížen řadou rizik, která v úhrnu </w:t>
      </w:r>
      <w:r w:rsidRPr="004D1096">
        <w:t>vnímáme</w:t>
      </w:r>
      <w:r w:rsidRPr="00702082">
        <w:t xml:space="preserve"> jako výrazně negativní.</w:t>
      </w:r>
      <w:r w:rsidR="00F06376">
        <w:t xml:space="preserve"> Za podstatn</w:t>
      </w:r>
      <w:r w:rsidR="0020417E">
        <w:t>ý</w:t>
      </w:r>
      <w:r w:rsidR="00F06376">
        <w:t xml:space="preserve"> </w:t>
      </w:r>
      <w:r w:rsidR="0020417E">
        <w:t xml:space="preserve">faktor považujeme </w:t>
      </w:r>
      <w:r w:rsidR="00F06376">
        <w:t xml:space="preserve">zejména </w:t>
      </w:r>
      <w:r w:rsidR="007526FD">
        <w:t xml:space="preserve">odchod Spojeného království </w:t>
      </w:r>
      <w:r w:rsidR="007526FD" w:rsidRPr="00111630">
        <w:t>z Evropské unie</w:t>
      </w:r>
      <w:r w:rsidR="004D1096">
        <w:t xml:space="preserve"> a zavádění celních či jiných bariér v mezinárodním obchodě</w:t>
      </w:r>
      <w:r w:rsidR="00E663E3">
        <w:t>.</w:t>
      </w:r>
      <w:r w:rsidR="007526FD" w:rsidRPr="00111630">
        <w:t xml:space="preserve"> </w:t>
      </w:r>
      <w:r w:rsidR="004D1096">
        <w:t>P</w:t>
      </w:r>
      <w:r w:rsidR="0020417E">
        <w:t xml:space="preserve">redikce </w:t>
      </w:r>
      <w:r w:rsidR="007526FD">
        <w:t xml:space="preserve">je </w:t>
      </w:r>
      <w:r w:rsidR="00DA669D">
        <w:t>postaven</w:t>
      </w:r>
      <w:r w:rsidR="007526FD">
        <w:t>a</w:t>
      </w:r>
      <w:r w:rsidR="00DA669D">
        <w:t xml:space="preserve"> na předpokladu</w:t>
      </w:r>
      <w:r w:rsidR="00111630">
        <w:t xml:space="preserve"> </w:t>
      </w:r>
      <w:r w:rsidR="00111630" w:rsidRPr="00111630">
        <w:t xml:space="preserve">odchodu Spojeného </w:t>
      </w:r>
      <w:r w:rsidR="00111630" w:rsidRPr="00E663E3">
        <w:t>království z Evropské unie s</w:t>
      </w:r>
      <w:r w:rsidR="00E663E3" w:rsidRPr="00E663E3">
        <w:t> </w:t>
      </w:r>
      <w:r w:rsidR="00111630" w:rsidRPr="00E663E3">
        <w:t>dohodou, která n</w:t>
      </w:r>
      <w:r w:rsidR="00111630" w:rsidRPr="00E663E3">
        <w:t>e</w:t>
      </w:r>
      <w:r w:rsidR="00111630" w:rsidRPr="00E663E3">
        <w:t>naruší voln</w:t>
      </w:r>
      <w:r w:rsidR="00864777" w:rsidRPr="00E663E3">
        <w:t>ý</w:t>
      </w:r>
      <w:r w:rsidR="00111630" w:rsidRPr="00E663E3">
        <w:t xml:space="preserve"> pohyb zboží a služeb</w:t>
      </w:r>
      <w:r w:rsidR="004D1096">
        <w:t>, stejně jako na předpokladu urovnání obchodních sporů</w:t>
      </w:r>
      <w:r w:rsidR="00111630" w:rsidRPr="00E663E3">
        <w:t>.</w:t>
      </w:r>
    </w:p>
    <w:p w:rsidR="00337956" w:rsidRPr="00E663E3" w:rsidRDefault="00337956" w:rsidP="00C43D9D">
      <w:pPr>
        <w:sectPr w:rsidR="00337956" w:rsidRPr="00E663E3" w:rsidSect="00A53081">
          <w:headerReference w:type="default" r:id="rId12"/>
          <w:footerReference w:type="even" r:id="rId13"/>
          <w:footerReference w:type="default" r:id="rId14"/>
          <w:type w:val="continuous"/>
          <w:pgSz w:w="11906" w:h="16838" w:code="9"/>
          <w:pgMar w:top="1134" w:right="1134" w:bottom="1418" w:left="1134" w:header="709" w:footer="709" w:gutter="0"/>
          <w:pgNumType w:start="1"/>
          <w:cols w:space="397"/>
          <w:docGrid w:linePitch="360"/>
        </w:sectPr>
      </w:pPr>
    </w:p>
    <w:bookmarkEnd w:id="2"/>
    <w:bookmarkEnd w:id="3"/>
    <w:p w:rsidR="00F74DE4" w:rsidRDefault="00F74DE4" w:rsidP="00B41B9D">
      <w:r>
        <w:lastRenderedPageBreak/>
        <w:t>Výkon české ekonomiky</w:t>
      </w:r>
      <w:r w:rsidR="004D1096">
        <w:t>,</w:t>
      </w:r>
      <w:r>
        <w:t xml:space="preserve"> měřený růstem reálného hrubého domácího produktu</w:t>
      </w:r>
      <w:r w:rsidR="004D1096">
        <w:t>,</w:t>
      </w:r>
      <w:r>
        <w:t xml:space="preserve"> by měl </w:t>
      </w:r>
      <w:r w:rsidRPr="002D2CA9">
        <w:t>mírně zpomalovat z 2,4 % v roce 2019 na 2,</w:t>
      </w:r>
      <w:r w:rsidR="00FC425E">
        <w:t>2</w:t>
      </w:r>
      <w:r w:rsidRPr="002D2CA9">
        <w:t> % v roce 202</w:t>
      </w:r>
      <w:r w:rsidR="00FC425E">
        <w:t>0</w:t>
      </w:r>
      <w:r w:rsidRPr="002D2CA9">
        <w:t>. Hlavním t</w:t>
      </w:r>
      <w:r w:rsidRPr="002D2CA9">
        <w:t>a</w:t>
      </w:r>
      <w:r w:rsidRPr="002D2CA9">
        <w:t>hounem ekonomiky by měla zůstat domácí poptávka.</w:t>
      </w:r>
      <w:r>
        <w:t xml:space="preserve"> Reálnou dynamiku </w:t>
      </w:r>
      <w:r w:rsidR="00D32E8A">
        <w:t>výdajů na konečnou spotřebu d</w:t>
      </w:r>
      <w:r w:rsidR="00D32E8A">
        <w:t>o</w:t>
      </w:r>
      <w:r w:rsidR="00D32E8A">
        <w:t xml:space="preserve">mácností </w:t>
      </w:r>
      <w:r>
        <w:t>bud</w:t>
      </w:r>
      <w:r w:rsidR="00071457">
        <w:t>e</w:t>
      </w:r>
      <w:r>
        <w:t xml:space="preserve"> patrně přechodně ovlivňovat vyšší </w:t>
      </w:r>
      <w:r w:rsidR="00071457">
        <w:t>míra inflace</w:t>
      </w:r>
      <w:r>
        <w:t>, kter</w:t>
      </w:r>
      <w:r w:rsidR="00071457">
        <w:t>á</w:t>
      </w:r>
      <w:r>
        <w:t xml:space="preserve"> by </w:t>
      </w:r>
      <w:r w:rsidR="00071457">
        <w:t xml:space="preserve">z </w:t>
      </w:r>
      <w:r>
        <w:t>2,7</w:t>
      </w:r>
      <w:r w:rsidR="00071457">
        <w:t> </w:t>
      </w:r>
      <w:r>
        <w:t xml:space="preserve">% </w:t>
      </w:r>
      <w:r w:rsidR="00071457">
        <w:t xml:space="preserve">v letošním roce </w:t>
      </w:r>
      <w:r w:rsidR="00FC425E">
        <w:t>měla klesnout n</w:t>
      </w:r>
      <w:r>
        <w:t>a 2,4</w:t>
      </w:r>
      <w:r w:rsidR="00071457">
        <w:t> </w:t>
      </w:r>
      <w:r>
        <w:t>% v roce 2020</w:t>
      </w:r>
      <w:r w:rsidR="00FC425E">
        <w:t>.</w:t>
      </w:r>
      <w:r>
        <w:t xml:space="preserve"> S uzavíráním produkční mezery souvisí i vývoj na trhu práce, kde očekáváme postupné zmírňování tlaků a </w:t>
      </w:r>
      <w:r w:rsidR="00220B5A">
        <w:t>u míry nezaměstnanosti i růstu pr</w:t>
      </w:r>
      <w:r w:rsidR="00220B5A">
        <w:t>ů</w:t>
      </w:r>
      <w:r w:rsidR="00220B5A">
        <w:t xml:space="preserve">měrných mezd </w:t>
      </w:r>
      <w:r>
        <w:t xml:space="preserve">přiblížení </w:t>
      </w:r>
      <w:r w:rsidR="00220B5A">
        <w:t xml:space="preserve">k </w:t>
      </w:r>
      <w:r w:rsidRPr="00E663E3">
        <w:t>dlouhodobé</w:t>
      </w:r>
      <w:r>
        <w:t>,</w:t>
      </w:r>
      <w:r w:rsidRPr="00E663E3">
        <w:t xml:space="preserve"> přirozené úro</w:t>
      </w:r>
      <w:r w:rsidRPr="00E663E3">
        <w:t>v</w:t>
      </w:r>
      <w:r w:rsidRPr="00E663E3">
        <w:t>ni.</w:t>
      </w:r>
      <w:r>
        <w:t xml:space="preserve"> Z hlediska vnější rovnováhy české ekonomiky odh</w:t>
      </w:r>
      <w:r>
        <w:t>a</w:t>
      </w:r>
      <w:r>
        <w:t xml:space="preserve">dujeme, že saldo běžného účtu platební bilance zůstane </w:t>
      </w:r>
      <w:r>
        <w:lastRenderedPageBreak/>
        <w:t xml:space="preserve">mírně </w:t>
      </w:r>
      <w:r w:rsidR="00071457">
        <w:t>kladné, přičemž se přebytky budou nepatrně zvyšovat.</w:t>
      </w:r>
    </w:p>
    <w:p w:rsidR="00B41B9D" w:rsidRPr="00E663E3" w:rsidRDefault="00F64A9B" w:rsidP="00B41B9D">
      <w:r w:rsidRPr="00E663E3">
        <w:t xml:space="preserve">Ve světle </w:t>
      </w:r>
      <w:r w:rsidR="004C7187" w:rsidRPr="00E663E3">
        <w:t>postupného zvolňování</w:t>
      </w:r>
      <w:r w:rsidRPr="00E663E3">
        <w:t xml:space="preserve"> růstu ekonomiky a</w:t>
      </w:r>
      <w:r w:rsidR="00A61669">
        <w:t> </w:t>
      </w:r>
      <w:r w:rsidRPr="00E663E3">
        <w:t xml:space="preserve">uzavírání produkční mezery je cílem vlády </w:t>
      </w:r>
      <w:r w:rsidR="00241F17">
        <w:t>podpořit</w:t>
      </w:r>
      <w:r w:rsidR="00D32E8A">
        <w:t>,</w:t>
      </w:r>
      <w:r w:rsidR="00C825FA" w:rsidRPr="00E663E3">
        <w:t xml:space="preserve"> </w:t>
      </w:r>
      <w:r w:rsidR="00241F17">
        <w:t>v rámci limitu střednědobého rozpočtového cíle</w:t>
      </w:r>
      <w:r w:rsidR="00D32E8A">
        <w:t>,</w:t>
      </w:r>
      <w:r w:rsidR="00241F17">
        <w:t xml:space="preserve"> inkl</w:t>
      </w:r>
      <w:r w:rsidR="00241F17">
        <w:t>u</w:t>
      </w:r>
      <w:r w:rsidR="00241F17">
        <w:t xml:space="preserve">zivní růst </w:t>
      </w:r>
      <w:r w:rsidR="00C825FA" w:rsidRPr="00E663E3">
        <w:t>a investice zv</w:t>
      </w:r>
      <w:r w:rsidR="00241F17">
        <w:t>yšující potenciál české ekonom</w:t>
      </w:r>
      <w:r w:rsidR="00241F17">
        <w:t>i</w:t>
      </w:r>
      <w:r w:rsidR="00241F17">
        <w:t xml:space="preserve">ky. </w:t>
      </w:r>
      <w:r w:rsidRPr="00E663E3">
        <w:t>Predikce hospodaření sektoru vládních institucí oč</w:t>
      </w:r>
      <w:r w:rsidRPr="00E663E3">
        <w:t>e</w:t>
      </w:r>
      <w:r w:rsidRPr="00E663E3">
        <w:t>kává v roce 20</w:t>
      </w:r>
      <w:r w:rsidR="00FC425E">
        <w:t>19</w:t>
      </w:r>
      <w:r w:rsidRPr="00E663E3">
        <w:t xml:space="preserve"> saldo 0,</w:t>
      </w:r>
      <w:r w:rsidR="00FC425E">
        <w:t>3</w:t>
      </w:r>
      <w:r w:rsidRPr="00E663E3">
        <w:t> % HDP</w:t>
      </w:r>
      <w:r w:rsidR="00FC425E">
        <w:t xml:space="preserve"> a 0,4 % HDP</w:t>
      </w:r>
      <w:r w:rsidR="00D32E8A">
        <w:t xml:space="preserve"> </w:t>
      </w:r>
      <w:r w:rsidRPr="00E663E3">
        <w:t>v</w:t>
      </w:r>
      <w:r w:rsidR="00D32E8A">
        <w:t> roce 202</w:t>
      </w:r>
      <w:r w:rsidR="00FC425E">
        <w:t>0</w:t>
      </w:r>
      <w:r w:rsidRPr="00E663E3">
        <w:t>. Strukturální salda by měla být poměrně stabilní, těsně pod vyrovnanou úrovní. Z hlediska nastavení fi</w:t>
      </w:r>
      <w:r w:rsidRPr="00E663E3">
        <w:t>s</w:t>
      </w:r>
      <w:r w:rsidRPr="00E663E3">
        <w:t>kální politiky tak očekáváme, že její působení bude v</w:t>
      </w:r>
      <w:r w:rsidRPr="00E663E3">
        <w:t>í</w:t>
      </w:r>
      <w:r w:rsidRPr="00E663E3">
        <w:t>ceméně neutrální</w:t>
      </w:r>
      <w:r w:rsidR="00241F17">
        <w:t xml:space="preserve"> až mírně expanzivní</w:t>
      </w:r>
      <w:r w:rsidRPr="00E663E3">
        <w:t>.</w:t>
      </w:r>
    </w:p>
    <w:p w:rsidR="00B41B9D" w:rsidRDefault="00B41B9D" w:rsidP="00332D4D"/>
    <w:p w:rsidR="00B41B9D" w:rsidRDefault="00B41B9D" w:rsidP="00332D4D">
      <w:pPr>
        <w:sectPr w:rsidR="00B41B9D" w:rsidSect="007A1923">
          <w:type w:val="continuous"/>
          <w:pgSz w:w="11906" w:h="16838" w:code="9"/>
          <w:pgMar w:top="1134" w:right="1134" w:bottom="1418" w:left="1134" w:header="709" w:footer="709" w:gutter="0"/>
          <w:cols w:num="2" w:space="397"/>
          <w:docGrid w:linePitch="360"/>
        </w:sectPr>
      </w:pPr>
    </w:p>
    <w:p w:rsidR="00332D4D" w:rsidRDefault="00332D4D" w:rsidP="00A53081">
      <w:pPr>
        <w:pStyle w:val="Titulek"/>
      </w:pPr>
      <w:bookmarkStart w:id="4" w:name="_Toc17733203"/>
      <w:proofErr w:type="gramStart"/>
      <w:r w:rsidRPr="00B87A57">
        <w:lastRenderedPageBreak/>
        <w:t xml:space="preserve">Tabulka </w:t>
      </w:r>
      <w:fldSimple w:instr=" STYLEREF 1 \s ">
        <w:r w:rsidR="00E07DDE">
          <w:rPr>
            <w:noProof/>
          </w:rPr>
          <w:t>1</w:t>
        </w:r>
      </w:fldSimple>
      <w:r w:rsidRPr="00B87A57">
        <w:t>.</w:t>
      </w:r>
      <w:fldSimple w:instr=" SEQ Tabulka \* ARABIC \s 1 ">
        <w:r w:rsidR="00E07DDE">
          <w:rPr>
            <w:noProof/>
          </w:rPr>
          <w:t>1</w:t>
        </w:r>
      </w:fldSimple>
      <w:r w:rsidRPr="00B87A57">
        <w:t>:</w:t>
      </w:r>
      <w:proofErr w:type="gramEnd"/>
      <w:r w:rsidRPr="00877BE7">
        <w:t xml:space="preserve"> </w:t>
      </w:r>
      <w:r w:rsidRPr="00383A1A">
        <w:t xml:space="preserve">Predikce základních </w:t>
      </w:r>
      <w:r w:rsidRPr="00A53081">
        <w:t>makroekonomických</w:t>
      </w:r>
      <w:r w:rsidRPr="00383A1A">
        <w:t xml:space="preserve"> indikátorů</w:t>
      </w:r>
      <w:bookmarkEnd w:id="4"/>
    </w:p>
    <w:p w:rsidR="00A53081" w:rsidRDefault="00B0423C" w:rsidP="00A53081">
      <w:pPr>
        <w:spacing w:after="0"/>
        <w:rPr>
          <w:noProof/>
        </w:rPr>
      </w:pPr>
      <w:r w:rsidRPr="00B0423C">
        <w:rPr>
          <w:noProof/>
        </w:rPr>
        <w:drawing>
          <wp:inline distT="0" distB="0" distL="0" distR="0" wp14:anchorId="47A1E384" wp14:editId="28A22262">
            <wp:extent cx="6120130" cy="3382894"/>
            <wp:effectExtent l="0" t="0" r="0" b="825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82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ED2" w:rsidRDefault="00332D4D" w:rsidP="00A53081">
      <w:pPr>
        <w:pStyle w:val="Zdrojpodtabulkounebografem"/>
      </w:pPr>
      <w:r w:rsidRPr="00B87A57">
        <w:t xml:space="preserve">Zdroj: </w:t>
      </w:r>
      <w:r w:rsidRPr="00383A1A">
        <w:t>MF</w:t>
      </w:r>
      <w:r w:rsidR="00A53081">
        <w:t> ČR</w:t>
      </w:r>
      <w:r w:rsidRPr="00383A1A">
        <w:t>: Makroekonomická predikce ČR</w:t>
      </w:r>
      <w:r w:rsidR="00A53081">
        <w:t xml:space="preserve"> (</w:t>
      </w:r>
      <w:r w:rsidRPr="00383A1A">
        <w:t>červenec 201</w:t>
      </w:r>
      <w:r w:rsidR="00940983">
        <w:t>9</w:t>
      </w:r>
      <w:r w:rsidR="00A53081">
        <w:t>),</w:t>
      </w:r>
      <w:r w:rsidR="00940983" w:rsidRPr="0058437E">
        <w:t xml:space="preserve"> aktualizace k 21. srpnu 2019</w:t>
      </w:r>
      <w:r w:rsidRPr="0058437E">
        <w:t>.</w:t>
      </w:r>
    </w:p>
    <w:p w:rsidR="00337956" w:rsidRDefault="00337956" w:rsidP="00337956">
      <w:pPr>
        <w:pStyle w:val="Nadpis1"/>
      </w:pPr>
      <w:bookmarkStart w:id="5" w:name="_Toc17733196"/>
      <w:r>
        <w:lastRenderedPageBreak/>
        <w:t>Makroekonomický rámec</w:t>
      </w:r>
      <w:bookmarkEnd w:id="5"/>
    </w:p>
    <w:p w:rsidR="00337956" w:rsidRDefault="00337956" w:rsidP="00337956">
      <w:r w:rsidRPr="008F140B">
        <w:t xml:space="preserve">Makroekonomický rámec </w:t>
      </w:r>
      <w:r w:rsidR="00F651F7">
        <w:t>návrhu</w:t>
      </w:r>
      <w:r w:rsidRPr="008F140B">
        <w:t xml:space="preserve"> státního rozpočtu na rok 202</w:t>
      </w:r>
      <w:r w:rsidR="00F651F7">
        <w:t>0</w:t>
      </w:r>
      <w:r w:rsidRPr="008F140B">
        <w:t xml:space="preserve"> vychází z</w:t>
      </w:r>
      <w:r>
        <w:t xml:space="preserve">e srpnové aktualizace červencové </w:t>
      </w:r>
      <w:r w:rsidRPr="008F140B">
        <w:t>Makroek</w:t>
      </w:r>
      <w:r w:rsidRPr="008F140B">
        <w:t>o</w:t>
      </w:r>
      <w:r w:rsidRPr="008F140B">
        <w:t>nomické predikce Ministerstva financí</w:t>
      </w:r>
      <w:r>
        <w:t>.</w:t>
      </w:r>
      <w:r w:rsidRPr="008F140B">
        <w:t xml:space="preserve"> Makroekonomický rámec byl dne </w:t>
      </w:r>
      <w:r>
        <w:t>29</w:t>
      </w:r>
      <w:r w:rsidRPr="008F140B">
        <w:t>.</w:t>
      </w:r>
      <w:r>
        <w:t> </w:t>
      </w:r>
      <w:r w:rsidRPr="008F140B">
        <w:t>srpna 201</w:t>
      </w:r>
      <w:r>
        <w:t>9</w:t>
      </w:r>
      <w:r w:rsidR="00F06376">
        <w:t>,</w:t>
      </w:r>
      <w:r w:rsidRPr="008F140B">
        <w:t xml:space="preserve"> v souladu se zákonem č.</w:t>
      </w:r>
      <w:r>
        <w:t> </w:t>
      </w:r>
      <w:r w:rsidRPr="008F140B">
        <w:t xml:space="preserve">23/2017 Sb., o pravidlech rozpočtové odpovědnosti, </w:t>
      </w:r>
      <w:r w:rsidR="00F06376" w:rsidRPr="008F140B">
        <w:t xml:space="preserve">posouzen </w:t>
      </w:r>
      <w:r w:rsidRPr="008F140B">
        <w:t xml:space="preserve">Výborem pro rozpočtové prognózy. </w:t>
      </w:r>
      <w:r w:rsidR="00775509" w:rsidRPr="00257980">
        <w:t xml:space="preserve">Výbor vyhodnotil makroekonomickou prognózu jako </w:t>
      </w:r>
      <w:r w:rsidR="00775509" w:rsidRPr="00257980">
        <w:rPr>
          <w:b/>
        </w:rPr>
        <w:t>realistickou</w:t>
      </w:r>
      <w:r w:rsidR="00775509" w:rsidRPr="00257980">
        <w:t>.</w:t>
      </w:r>
      <w:r w:rsidRPr="00C43D9D">
        <w:t xml:space="preserve"> </w:t>
      </w:r>
    </w:p>
    <w:p w:rsidR="00337956" w:rsidRDefault="00F06376" w:rsidP="00337956">
      <w:r>
        <w:t>Makroekonomický rámec byl rovněž porovnán s </w:t>
      </w:r>
      <w:r w:rsidRPr="00F06376">
        <w:t>pr</w:t>
      </w:r>
      <w:r>
        <w:t xml:space="preserve">ognózami </w:t>
      </w:r>
      <w:r w:rsidRPr="00F06376">
        <w:t>ostatních institucí zabývajících se předpovídáním budo</w:t>
      </w:r>
      <w:r w:rsidRPr="00F06376">
        <w:t>u</w:t>
      </w:r>
      <w:r w:rsidRPr="00F06376">
        <w:t>cího vývoje české ekonomiky.</w:t>
      </w:r>
      <w:r>
        <w:t xml:space="preserve"> Ve většině případů nevybočuje scénář makroekonomického rámce z intervalu sledov</w:t>
      </w:r>
      <w:r>
        <w:t>a</w:t>
      </w:r>
      <w:r>
        <w:t>ných prognóz.</w:t>
      </w:r>
    </w:p>
    <w:p w:rsidR="00A53081" w:rsidRPr="00A53081" w:rsidRDefault="00A53081" w:rsidP="00A53081">
      <w:pPr>
        <w:sectPr w:rsidR="00A53081" w:rsidRPr="00A53081" w:rsidSect="007A1923">
          <w:type w:val="continuous"/>
          <w:pgSz w:w="11906" w:h="16838" w:code="9"/>
          <w:pgMar w:top="1134" w:right="1134" w:bottom="1418" w:left="1134" w:header="709" w:footer="709" w:gutter="0"/>
          <w:cols w:space="397"/>
          <w:docGrid w:linePitch="360"/>
        </w:sectPr>
      </w:pPr>
    </w:p>
    <w:p w:rsidR="007526FD" w:rsidRDefault="007526FD" w:rsidP="00111630">
      <w:r>
        <w:lastRenderedPageBreak/>
        <w:t>Růst hrubého domácího produktu, tažený spotřebou domácností a investiční aktivitou, zůstává i přes zvolnění poměrně dynamický. Český trh práce je v nerovnováze, neboť i přes setrvalé zvyšování zaměstnanosti a rekor</w:t>
      </w:r>
      <w:r>
        <w:t>d</w:t>
      </w:r>
      <w:r>
        <w:t>ně nízkou nezaměstnanost dosahuje počet volných pr</w:t>
      </w:r>
      <w:r>
        <w:t>a</w:t>
      </w:r>
      <w:r>
        <w:t>covních míst historických maxim. S uvedeným vývojem pak koresponduje silný růst výdělků a vyšší jádrová infl</w:t>
      </w:r>
      <w:r>
        <w:t>a</w:t>
      </w:r>
      <w:r>
        <w:t>ce. Celková míra růstu spotřebitelských cen se pohybuje v horní polovině tolerančního pásma inflačního cíle Če</w:t>
      </w:r>
      <w:r>
        <w:t>s</w:t>
      </w:r>
      <w:r>
        <w:t>ké národní banky.</w:t>
      </w:r>
    </w:p>
    <w:p w:rsidR="00575C6F" w:rsidRDefault="00575C6F" w:rsidP="00111630">
      <w:r w:rsidRPr="00575C6F">
        <w:t xml:space="preserve">V </w:t>
      </w:r>
      <w:r w:rsidRPr="00575C6F">
        <w:rPr>
          <w:b/>
        </w:rPr>
        <w:t>makroekonomickém rámci</w:t>
      </w:r>
      <w:r w:rsidRPr="00575C6F">
        <w:t xml:space="preserve"> je očekáváno postupné mírné zvolňování ekonomického růstu. Průměrná míra inflace by do konce roku 2020 měla oscilovat v horní polovině tolerančního pásma inflačního cíle. Tenze na trhu práce by měly postupně slábnout a vést ke zpom</w:t>
      </w:r>
      <w:r w:rsidRPr="00575C6F">
        <w:t>a</w:t>
      </w:r>
      <w:r w:rsidRPr="00575C6F">
        <w:t>lení dynamiky růstu objemu mezd a platů. Běžný účet platební bilance by měl zůstat v malém přebytku.</w:t>
      </w:r>
    </w:p>
    <w:p w:rsidR="00AE7EC9" w:rsidRDefault="00B41B9D" w:rsidP="00B41B9D">
      <w:r>
        <w:t>Makroekonomický rámec</w:t>
      </w:r>
      <w:r w:rsidRPr="00AC4C22">
        <w:t xml:space="preserve"> je zatížen řadou </w:t>
      </w:r>
      <w:r w:rsidRPr="00AC4C22">
        <w:rPr>
          <w:b/>
        </w:rPr>
        <w:t>rizik</w:t>
      </w:r>
      <w:r w:rsidRPr="00AC4C22">
        <w:t xml:space="preserve">, která </w:t>
      </w:r>
      <w:r>
        <w:t>v </w:t>
      </w:r>
      <w:r w:rsidRPr="00AC4C22">
        <w:t>úhrnu</w:t>
      </w:r>
      <w:r>
        <w:t xml:space="preserve"> vnímáme jako</w:t>
      </w:r>
      <w:r w:rsidRPr="00AC4C22">
        <w:t xml:space="preserve"> </w:t>
      </w:r>
      <w:r>
        <w:rPr>
          <w:b/>
        </w:rPr>
        <w:t xml:space="preserve">výrazně </w:t>
      </w:r>
      <w:r w:rsidR="00111630">
        <w:rPr>
          <w:b/>
        </w:rPr>
        <w:t>negativní</w:t>
      </w:r>
      <w:r w:rsidRPr="00AC4C22">
        <w:t>.</w:t>
      </w:r>
      <w:r w:rsidR="00F74DE4">
        <w:t xml:space="preserve"> </w:t>
      </w:r>
      <w:r w:rsidR="0079562F">
        <w:t>Zásadním</w:t>
      </w:r>
      <w:r w:rsidRPr="00216AAC">
        <w:t xml:space="preserve"> zdroj</w:t>
      </w:r>
      <w:r w:rsidR="0079562F">
        <w:t>em</w:t>
      </w:r>
      <w:r w:rsidRPr="00216AAC">
        <w:t xml:space="preserve"> nejistot je vyvrcholení procesu </w:t>
      </w:r>
      <w:r w:rsidRPr="00216AAC">
        <w:rPr>
          <w:b/>
        </w:rPr>
        <w:t>vystoupení Spojeného království z Evropské unie</w:t>
      </w:r>
      <w:r w:rsidRPr="00216AAC">
        <w:t xml:space="preserve">. Zatím platí, že termín vystoupení byl odložen na 31. října 2019. Je </w:t>
      </w:r>
      <w:r w:rsidR="00B06530">
        <w:t xml:space="preserve">však </w:t>
      </w:r>
      <w:r w:rsidRPr="00216AAC">
        <w:t xml:space="preserve">otázkou, zda se k tomuto datu podaří nalézt všeobecně přijatelné </w:t>
      </w:r>
      <w:r w:rsidR="00111630" w:rsidRPr="00216AAC">
        <w:t>východisko</w:t>
      </w:r>
      <w:r w:rsidR="00111630">
        <w:t>, a že</w:t>
      </w:r>
      <w:r w:rsidR="00206B9F">
        <w:t xml:space="preserve"> </w:t>
      </w:r>
      <w:r w:rsidR="00111630">
        <w:t xml:space="preserve">bude </w:t>
      </w:r>
      <w:r w:rsidR="00206B9F">
        <w:t>následně uspokojivě vyřešena podoba</w:t>
      </w:r>
      <w:r w:rsidR="00206B9F" w:rsidRPr="00216AAC">
        <w:t xml:space="preserve"> </w:t>
      </w:r>
      <w:r w:rsidR="00206B9F" w:rsidRPr="00FE1D24">
        <w:t xml:space="preserve">budoucího uspořádání </w:t>
      </w:r>
      <w:r w:rsidR="00206B9F" w:rsidRPr="00216AAC">
        <w:t>vztahů mezi Spojeným královstvím a E</w:t>
      </w:r>
      <w:r w:rsidR="00A414BF">
        <w:t>vropskou unií</w:t>
      </w:r>
      <w:r w:rsidR="00206B9F">
        <w:t>.</w:t>
      </w:r>
    </w:p>
    <w:p w:rsidR="00B41B9D" w:rsidRPr="00AC4C22" w:rsidRDefault="00B41B9D" w:rsidP="00B41B9D">
      <w:r w:rsidRPr="00AC4C22">
        <w:t xml:space="preserve">Pro silně exportně orientovanou českou ekonomiku </w:t>
      </w:r>
      <w:r>
        <w:t>představuje</w:t>
      </w:r>
      <w:r w:rsidR="00AA1A89">
        <w:t xml:space="preserve"> další</w:t>
      </w:r>
      <w:r w:rsidR="00AE7EC9">
        <w:t xml:space="preserve"> </w:t>
      </w:r>
      <w:r w:rsidRPr="00AC4C22">
        <w:t>negativní rizik</w:t>
      </w:r>
      <w:r>
        <w:t>o</w:t>
      </w:r>
      <w:r w:rsidRPr="00AC4C22">
        <w:t xml:space="preserve"> </w:t>
      </w:r>
      <w:r w:rsidR="00F74DE4">
        <w:t xml:space="preserve">zostřující se </w:t>
      </w:r>
      <w:r w:rsidRPr="00A63D73">
        <w:rPr>
          <w:b/>
        </w:rPr>
        <w:t xml:space="preserve">napětí </w:t>
      </w:r>
      <w:r w:rsidRPr="00A63D73">
        <w:rPr>
          <w:b/>
        </w:rPr>
        <w:lastRenderedPageBreak/>
        <w:t>v</w:t>
      </w:r>
      <w:r w:rsidR="00F74DE4">
        <w:rPr>
          <w:b/>
        </w:rPr>
        <w:t> </w:t>
      </w:r>
      <w:r w:rsidRPr="00A63D73">
        <w:rPr>
          <w:b/>
        </w:rPr>
        <w:t>obchodních vztazích</w:t>
      </w:r>
      <w:r w:rsidRPr="00216AAC">
        <w:t xml:space="preserve"> mezi Spojenými státy americkými a Čínou</w:t>
      </w:r>
      <w:r>
        <w:t>.</w:t>
      </w:r>
      <w:r w:rsidRPr="00216AAC">
        <w:t xml:space="preserve"> </w:t>
      </w:r>
      <w:r>
        <w:t>P</w:t>
      </w:r>
      <w:r w:rsidRPr="00216AAC">
        <w:t>rotekcionistická opatření by však mohla ovli</w:t>
      </w:r>
      <w:r w:rsidRPr="00216AAC">
        <w:t>v</w:t>
      </w:r>
      <w:r w:rsidRPr="00216AAC">
        <w:t>nit i</w:t>
      </w:r>
      <w:r w:rsidR="00641F19">
        <w:t> </w:t>
      </w:r>
      <w:r w:rsidRPr="00216AAC">
        <w:t xml:space="preserve">vzájemný obchod mezi </w:t>
      </w:r>
      <w:r w:rsidR="00A414BF">
        <w:t>Spojenými státy americkými</w:t>
      </w:r>
      <w:r w:rsidR="00A414BF" w:rsidRPr="00216AAC">
        <w:t xml:space="preserve"> </w:t>
      </w:r>
      <w:r w:rsidRPr="00216AAC">
        <w:t xml:space="preserve">a Evropskou unií. </w:t>
      </w:r>
      <w:r w:rsidR="00F74DE4">
        <w:t>Z</w:t>
      </w:r>
      <w:r w:rsidRPr="00216AAC">
        <w:t>výšení existujících dovozních cel či jejich uvalení na nové druhy zboží by kromě nepříznivých dopadů na objem zahraničního obchodu, a z něj plyno</w:t>
      </w:r>
      <w:r w:rsidRPr="00216AAC">
        <w:t>u</w:t>
      </w:r>
      <w:r w:rsidRPr="00216AAC">
        <w:t>cích přínosů, vedlo k dalšímu poklesu důvěry ekonomi</w:t>
      </w:r>
      <w:r w:rsidRPr="00216AAC">
        <w:t>c</w:t>
      </w:r>
      <w:r w:rsidRPr="00216AAC">
        <w:t xml:space="preserve">kých subjektů. Vyšší nejistota by pak mohla vyústit </w:t>
      </w:r>
      <w:r w:rsidR="00B06530">
        <w:t>v</w:t>
      </w:r>
      <w:r w:rsidR="00F74DE4">
        <w:t> </w:t>
      </w:r>
      <w:r w:rsidRPr="00216AAC">
        <w:t xml:space="preserve">odložení </w:t>
      </w:r>
      <w:r w:rsidR="00B06530">
        <w:t xml:space="preserve">či zrušení </w:t>
      </w:r>
      <w:r w:rsidRPr="00216AAC">
        <w:t>některých investičních rozhodnutí. Cla by měla vliv také na ceny dováženého zboží a kupní sílu spotřebitelů.</w:t>
      </w:r>
    </w:p>
    <w:p w:rsidR="00B41B9D" w:rsidRDefault="00B41B9D" w:rsidP="00B41B9D">
      <w:r w:rsidRPr="00A63D73">
        <w:t xml:space="preserve">Vzhledem k významu </w:t>
      </w:r>
      <w:r w:rsidRPr="00A63D73">
        <w:rPr>
          <w:b/>
        </w:rPr>
        <w:t>automobilového průmyslu</w:t>
      </w:r>
      <w:r w:rsidRPr="00A63D73">
        <w:t xml:space="preserve"> pro českou ekonomiku pak riziko představuje </w:t>
      </w:r>
      <w:r w:rsidR="0061619B">
        <w:t xml:space="preserve">jeho značná exportní expozice a </w:t>
      </w:r>
      <w:r w:rsidRPr="00A63D73">
        <w:t xml:space="preserve">silná </w:t>
      </w:r>
      <w:proofErr w:type="spellStart"/>
      <w:r w:rsidRPr="00A63D73">
        <w:t>procykličnost</w:t>
      </w:r>
      <w:proofErr w:type="spellEnd"/>
      <w:r w:rsidRPr="00A63D73">
        <w:t xml:space="preserve">. Ve středním až dlouhodobém horizontu </w:t>
      </w:r>
      <w:r>
        <w:t>budou rizika prohloubena</w:t>
      </w:r>
      <w:r w:rsidRPr="00A63D73">
        <w:t xml:space="preserve"> strukturální</w:t>
      </w:r>
      <w:r>
        <w:t>mi</w:t>
      </w:r>
      <w:r w:rsidRPr="00A63D73">
        <w:t xml:space="preserve"> změn</w:t>
      </w:r>
      <w:r>
        <w:t>ami</w:t>
      </w:r>
      <w:r w:rsidRPr="00A63D73">
        <w:t xml:space="preserve">, k nimž </w:t>
      </w:r>
      <w:r>
        <w:t>patrně bude muset dojít</w:t>
      </w:r>
      <w:r w:rsidRPr="00A63D73">
        <w:t xml:space="preserve"> kvůli postupnému zpřísňování emisních norem. Přechod na alternativní druh</w:t>
      </w:r>
      <w:r w:rsidR="00B06530">
        <w:t>y</w:t>
      </w:r>
      <w:r w:rsidRPr="00A63D73">
        <w:t xml:space="preserve"> pohonu si však vyžádá enormní investice do vývoje technologií, strojů a zařízení či i</w:t>
      </w:r>
      <w:r w:rsidRPr="00A63D73">
        <w:t>n</w:t>
      </w:r>
      <w:r w:rsidRPr="00A63D73">
        <w:t>frastruktury. Lze také očekávat dopad na zaměstnanost, dodavatelsko-odběratelské vztahy či ceny energií.</w:t>
      </w:r>
    </w:p>
    <w:p w:rsidR="008B0ED2" w:rsidRPr="008B0ED2" w:rsidRDefault="00B06530" w:rsidP="00B41B9D">
      <w:r>
        <w:t>Nezanedbatelným rizikem pro</w:t>
      </w:r>
      <w:r w:rsidR="00DE2C93">
        <w:t xml:space="preserve"> </w:t>
      </w:r>
      <w:r w:rsidR="00B41B9D">
        <w:t>česk</w:t>
      </w:r>
      <w:r>
        <w:t>ou</w:t>
      </w:r>
      <w:r w:rsidR="00B41B9D">
        <w:t xml:space="preserve"> ekonomi</w:t>
      </w:r>
      <w:r>
        <w:t>ku by</w:t>
      </w:r>
      <w:r w:rsidR="00B41B9D">
        <w:t xml:space="preserve"> mohl</w:t>
      </w:r>
      <w:r>
        <w:t>o být</w:t>
      </w:r>
      <w:r w:rsidR="00B41B9D">
        <w:t xml:space="preserve"> pokračování </w:t>
      </w:r>
      <w:r w:rsidR="00B41B9D" w:rsidRPr="00655A38">
        <w:rPr>
          <w:b/>
        </w:rPr>
        <w:t>dynamického růstu cen nemov</w:t>
      </w:r>
      <w:r w:rsidR="00B41B9D" w:rsidRPr="00655A38">
        <w:rPr>
          <w:b/>
        </w:rPr>
        <w:t>i</w:t>
      </w:r>
      <w:r w:rsidR="00B41B9D" w:rsidRPr="00655A38">
        <w:rPr>
          <w:b/>
        </w:rPr>
        <w:t>tostí</w:t>
      </w:r>
      <w:r w:rsidR="00B41B9D">
        <w:t xml:space="preserve">, </w:t>
      </w:r>
      <w:r w:rsidR="00B41B9D" w:rsidRPr="00655A38">
        <w:t>jelikož některé domácnosti by při zhoršení ekon</w:t>
      </w:r>
      <w:r w:rsidR="00B41B9D" w:rsidRPr="00655A38">
        <w:t>o</w:t>
      </w:r>
      <w:r w:rsidR="00B41B9D" w:rsidRPr="00655A38">
        <w:t>mické situace či zvýšení tržních sazeb nemusely být schopny úvěr splácet, což by m</w:t>
      </w:r>
      <w:r>
        <w:t>ohlo mít</w:t>
      </w:r>
      <w:r w:rsidR="00B41B9D" w:rsidRPr="00655A38">
        <w:t xml:space="preserve"> dopad i na f</w:t>
      </w:r>
      <w:r w:rsidR="00B41B9D" w:rsidRPr="00655A38">
        <w:t>i</w:t>
      </w:r>
      <w:r w:rsidR="00B41B9D" w:rsidRPr="00655A38">
        <w:t>nanční sektor.</w:t>
      </w:r>
    </w:p>
    <w:p w:rsidR="008B0ED2" w:rsidRDefault="008B0ED2" w:rsidP="00332D4D">
      <w:pPr>
        <w:pStyle w:val="Nadpis2"/>
        <w:sectPr w:rsidR="008B0ED2" w:rsidSect="008B0ED2">
          <w:type w:val="continuous"/>
          <w:pgSz w:w="11906" w:h="16838" w:code="9"/>
          <w:pgMar w:top="1134" w:right="1134" w:bottom="1418" w:left="1134" w:header="709" w:footer="709" w:gutter="0"/>
          <w:cols w:num="2" w:space="397"/>
          <w:docGrid w:linePitch="360"/>
        </w:sectPr>
      </w:pPr>
      <w:bookmarkStart w:id="6" w:name="_Toc515545974"/>
      <w:bookmarkStart w:id="7" w:name="_Toc525714683"/>
    </w:p>
    <w:p w:rsidR="00332D4D" w:rsidRDefault="008B0ED2" w:rsidP="00332D4D">
      <w:pPr>
        <w:pStyle w:val="Nadpis2"/>
      </w:pPr>
      <w:bookmarkStart w:id="8" w:name="_Toc525714684"/>
      <w:bookmarkStart w:id="9" w:name="_Toc14695474"/>
      <w:bookmarkStart w:id="10" w:name="_Toc17733197"/>
      <w:bookmarkEnd w:id="6"/>
      <w:bookmarkEnd w:id="7"/>
      <w:r>
        <w:lastRenderedPageBreak/>
        <w:t>Předpoklady budoucího vývoje</w:t>
      </w:r>
      <w:bookmarkEnd w:id="8"/>
      <w:bookmarkEnd w:id="9"/>
      <w:bookmarkEnd w:id="10"/>
    </w:p>
    <w:p w:rsidR="00332D4D" w:rsidRDefault="00332D4D" w:rsidP="00332D4D">
      <w:pPr>
        <w:sectPr w:rsidR="00332D4D" w:rsidSect="007A1923">
          <w:type w:val="continuous"/>
          <w:pgSz w:w="11906" w:h="16838" w:code="9"/>
          <w:pgMar w:top="1134" w:right="1134" w:bottom="1418" w:left="1134" w:header="709" w:footer="709" w:gutter="0"/>
          <w:cols w:space="709"/>
          <w:docGrid w:linePitch="360"/>
        </w:sectPr>
      </w:pPr>
    </w:p>
    <w:p w:rsidR="00332D4D" w:rsidRDefault="008B0ED2" w:rsidP="00027D0D">
      <w:pPr>
        <w:pStyle w:val="Nadpis3"/>
        <w:spacing w:before="0"/>
      </w:pPr>
      <w:bookmarkStart w:id="11" w:name="_Toc525714685"/>
      <w:r>
        <w:lastRenderedPageBreak/>
        <w:t>Vnější prostředí</w:t>
      </w:r>
      <w:bookmarkEnd w:id="11"/>
    </w:p>
    <w:p w:rsidR="00436E35" w:rsidRDefault="00436E35" w:rsidP="00436E35">
      <w:r w:rsidRPr="009D56E0">
        <w:t xml:space="preserve">Růst </w:t>
      </w:r>
      <w:r w:rsidRPr="00CB7D0E">
        <w:rPr>
          <w:b/>
        </w:rPr>
        <w:t>světové ekonomiky</w:t>
      </w:r>
      <w:r w:rsidRPr="009D56E0">
        <w:t xml:space="preserve"> </w:t>
      </w:r>
      <w:r>
        <w:t>se</w:t>
      </w:r>
      <w:r w:rsidR="009F034A">
        <w:t xml:space="preserve"> již</w:t>
      </w:r>
      <w:r>
        <w:t xml:space="preserve"> od roku 2012 pohybuje v</w:t>
      </w:r>
      <w:r w:rsidR="0058437E">
        <w:t> </w:t>
      </w:r>
      <w:r>
        <w:t>úzkém intervalu 3,2 a</w:t>
      </w:r>
      <w:r w:rsidR="00F74DE4">
        <w:t>ž</w:t>
      </w:r>
      <w:r>
        <w:t> 3,8 %. V horizontu makroek</w:t>
      </w:r>
      <w:r>
        <w:t>o</w:t>
      </w:r>
      <w:r>
        <w:t>nomického rámce</w:t>
      </w:r>
      <w:r w:rsidRPr="008F5763">
        <w:t xml:space="preserve"> </w:t>
      </w:r>
      <w:r>
        <w:t>by měl i nadále dosahovat přibližně 3,5</w:t>
      </w:r>
      <w:r w:rsidR="00623FA9">
        <w:t> </w:t>
      </w:r>
      <w:r>
        <w:t xml:space="preserve">%, přičemž výrazně vyšší tempa by </w:t>
      </w:r>
      <w:r w:rsidRPr="00F06376">
        <w:t xml:space="preserve">měly vykazovat </w:t>
      </w:r>
      <w:r w:rsidR="009D378D" w:rsidRPr="00F06376">
        <w:t xml:space="preserve">zvláště asijské </w:t>
      </w:r>
      <w:r w:rsidRPr="00F06376">
        <w:t>rozvíjející se ekonomiky. Předpokládáme, že hlavním tahounem globálního výkonu zůstane</w:t>
      </w:r>
      <w:r>
        <w:t xml:space="preserve"> Čína, naopak nejpomaleji porostou některé země eurozóny a Japonsko.</w:t>
      </w:r>
    </w:p>
    <w:p w:rsidR="00436E35" w:rsidRDefault="00436E35" w:rsidP="00436E35">
      <w:r>
        <w:t xml:space="preserve">V důsledku odeznívání fiskálního stimulu výkon </w:t>
      </w:r>
      <w:r>
        <w:rPr>
          <w:b/>
        </w:rPr>
        <w:t>ameri</w:t>
      </w:r>
      <w:r>
        <w:rPr>
          <w:b/>
        </w:rPr>
        <w:t>c</w:t>
      </w:r>
      <w:r>
        <w:rPr>
          <w:b/>
        </w:rPr>
        <w:t>ké</w:t>
      </w:r>
      <w:r>
        <w:t xml:space="preserve"> ekonomiky zvolna zpomaluje</w:t>
      </w:r>
      <w:r w:rsidR="00A96FCE">
        <w:t>.</w:t>
      </w:r>
      <w:r>
        <w:t xml:space="preserve"> </w:t>
      </w:r>
      <w:r w:rsidR="00A96FCE">
        <w:t>V</w:t>
      </w:r>
      <w:r>
        <w:t xml:space="preserve"> horizontu rámce by měl hospodářský růst činit zhruba 2,0 %. </w:t>
      </w:r>
      <w:r w:rsidR="00BF6C29">
        <w:t>Předpoklád</w:t>
      </w:r>
      <w:r w:rsidR="00BF6C29">
        <w:t>á</w:t>
      </w:r>
      <w:r w:rsidR="00BF6C29">
        <w:t xml:space="preserve">me, že </w:t>
      </w:r>
      <w:r>
        <w:t>dominantním faktorem růstu</w:t>
      </w:r>
      <w:r w:rsidR="00BF6C29">
        <w:t xml:space="preserve"> ekonomické aktivity zůstane spotřeba domácností. Tu</w:t>
      </w:r>
      <w:r>
        <w:t xml:space="preserve"> podpoří </w:t>
      </w:r>
      <w:r w:rsidR="00623FA9">
        <w:t>především</w:t>
      </w:r>
      <w:r>
        <w:t xml:space="preserve"> </w:t>
      </w:r>
      <w:r>
        <w:lastRenderedPageBreak/>
        <w:t xml:space="preserve">přetrvávající situace na trhu práce, </w:t>
      </w:r>
      <w:r w:rsidR="0099203E">
        <w:t xml:space="preserve">kde se </w:t>
      </w:r>
      <w:r>
        <w:t>nedostatek zaměstnanců s </w:t>
      </w:r>
      <w:r w:rsidRPr="002C492D">
        <w:t>vhodnou kvalifikací odráží v pozvolné akceleraci průměrné mzdy.</w:t>
      </w:r>
      <w:r>
        <w:t xml:space="preserve"> V krátkém období </w:t>
      </w:r>
      <w:r w:rsidR="00F74DE4">
        <w:t>by mělo</w:t>
      </w:r>
      <w:r>
        <w:t xml:space="preserve"> investiční a exportní aktivit</w:t>
      </w:r>
      <w:r w:rsidR="00F74DE4">
        <w:t>u</w:t>
      </w:r>
      <w:r>
        <w:t xml:space="preserve"> nepříznivě ovlivňov</w:t>
      </w:r>
      <w:r w:rsidR="00F74DE4">
        <w:t xml:space="preserve">at </w:t>
      </w:r>
      <w:r w:rsidR="00027D0D">
        <w:t>vyos</w:t>
      </w:r>
      <w:r w:rsidR="00027D0D">
        <w:t>t</w:t>
      </w:r>
      <w:r w:rsidR="00027D0D">
        <w:t xml:space="preserve">řování v </w:t>
      </w:r>
      <w:r>
        <w:t>obchodních vzta</w:t>
      </w:r>
      <w:r w:rsidR="00027D0D">
        <w:t xml:space="preserve">zích </w:t>
      </w:r>
      <w:r>
        <w:t xml:space="preserve">s Čínou. </w:t>
      </w:r>
      <w:r w:rsidR="009D378D">
        <w:t>Předpokladem je</w:t>
      </w:r>
      <w:r>
        <w:t xml:space="preserve">, že mezi oběma zeměmi </w:t>
      </w:r>
      <w:r w:rsidR="00623FA9">
        <w:t xml:space="preserve">nakonec </w:t>
      </w:r>
      <w:r>
        <w:t xml:space="preserve">dojde k dohodě a v horizontu rámce </w:t>
      </w:r>
      <w:r w:rsidR="00623FA9">
        <w:t>tak i </w:t>
      </w:r>
      <w:r>
        <w:t xml:space="preserve">k oživení růstu investic i vývozu. </w:t>
      </w:r>
      <w:r w:rsidRPr="005000A6">
        <w:t xml:space="preserve">V reakci na </w:t>
      </w:r>
      <w:r>
        <w:t xml:space="preserve">uvedené vyostření obchodních vztahů </w:t>
      </w:r>
      <w:r w:rsidR="009D378D">
        <w:t>poz</w:t>
      </w:r>
      <w:r w:rsidR="009D378D">
        <w:t>a</w:t>
      </w:r>
      <w:r w:rsidR="009D378D">
        <w:t xml:space="preserve">stavil </w:t>
      </w:r>
      <w:r w:rsidRPr="005000A6">
        <w:t xml:space="preserve">Federální rezervní systém </w:t>
      </w:r>
      <w:r>
        <w:t xml:space="preserve">další zvyšování úrokové sazby. V případě nárůstu nejistot a zeslabení inflačních tlaků </w:t>
      </w:r>
      <w:r w:rsidR="00623FA9">
        <w:t>nao</w:t>
      </w:r>
      <w:r>
        <w:t>pak hodlá podniknout nezbytné kroky k podpoře ekonomického růstu.</w:t>
      </w:r>
    </w:p>
    <w:p w:rsidR="00436E35" w:rsidRDefault="00027D0D" w:rsidP="00436E35">
      <w:pPr>
        <w:rPr>
          <w:szCs w:val="18"/>
        </w:rPr>
      </w:pPr>
      <w:r>
        <w:t>Dosud nebyla schválena dohoda o v</w:t>
      </w:r>
      <w:r w:rsidR="00436E35">
        <w:t xml:space="preserve">ystoupení </w:t>
      </w:r>
      <w:r w:rsidR="00436E35">
        <w:rPr>
          <w:b/>
        </w:rPr>
        <w:t>Spojen</w:t>
      </w:r>
      <w:r w:rsidR="00436E35">
        <w:rPr>
          <w:b/>
        </w:rPr>
        <w:t>é</w:t>
      </w:r>
      <w:r w:rsidR="00436E35">
        <w:rPr>
          <w:b/>
        </w:rPr>
        <w:t xml:space="preserve">ho království </w:t>
      </w:r>
      <w:r w:rsidR="00436E35">
        <w:t>z</w:t>
      </w:r>
      <w:r w:rsidR="0099203E">
        <w:t> </w:t>
      </w:r>
      <w:r w:rsidR="00436E35">
        <w:t>E</w:t>
      </w:r>
      <w:r w:rsidR="0099203E">
        <w:t>vropské unie</w:t>
      </w:r>
      <w:r>
        <w:t xml:space="preserve">. </w:t>
      </w:r>
      <w:r w:rsidR="00436E35">
        <w:t>Další vývoj je tak mim</w:t>
      </w:r>
      <w:r w:rsidR="00436E35">
        <w:t>o</w:t>
      </w:r>
      <w:r w:rsidR="00436E35">
        <w:lastRenderedPageBreak/>
        <w:t xml:space="preserve">řádně nejistý a riziko „tvrdého </w:t>
      </w:r>
      <w:proofErr w:type="spellStart"/>
      <w:r w:rsidR="00436E35">
        <w:t>brexitu</w:t>
      </w:r>
      <w:proofErr w:type="spellEnd"/>
      <w:r w:rsidR="00436E35">
        <w:t>“ značné. Předp</w:t>
      </w:r>
      <w:r w:rsidR="00436E35">
        <w:t>o</w:t>
      </w:r>
      <w:r w:rsidR="00436E35">
        <w:t>kládáme však, že obě</w:t>
      </w:r>
      <w:r w:rsidR="00436E35" w:rsidRPr="005000A6">
        <w:t xml:space="preserve"> strany </w:t>
      </w:r>
      <w:r w:rsidR="00436E35">
        <w:t>budou mít</w:t>
      </w:r>
      <w:r w:rsidR="00436E35" w:rsidRPr="005000A6">
        <w:t xml:space="preserve"> zájem </w:t>
      </w:r>
      <w:r w:rsidR="00436E35">
        <w:t>se doho</w:t>
      </w:r>
      <w:r w:rsidR="00436E35">
        <w:t>d</w:t>
      </w:r>
      <w:r w:rsidR="00436E35">
        <w:t xml:space="preserve">nout a </w:t>
      </w:r>
      <w:r w:rsidR="00436E35" w:rsidRPr="009440FD">
        <w:t>k odchodu Spojeného království bez uzavřené dohody o vystoupení nedojde</w:t>
      </w:r>
      <w:r w:rsidR="00436E35">
        <w:t>. Lze</w:t>
      </w:r>
      <w:r w:rsidR="00436E35" w:rsidRPr="005000A6">
        <w:rPr>
          <w:szCs w:val="18"/>
        </w:rPr>
        <w:t xml:space="preserve"> nicméně očekávat, že nové nastavení bude pro Spojené království méně v</w:t>
      </w:r>
      <w:r w:rsidR="00436E35" w:rsidRPr="005000A6">
        <w:rPr>
          <w:szCs w:val="18"/>
        </w:rPr>
        <w:t>ý</w:t>
      </w:r>
      <w:r w:rsidR="00436E35" w:rsidRPr="005000A6">
        <w:rPr>
          <w:szCs w:val="18"/>
        </w:rPr>
        <w:t>hodné než členství v </w:t>
      </w:r>
      <w:r w:rsidR="00436E35">
        <w:rPr>
          <w:szCs w:val="18"/>
        </w:rPr>
        <w:t>EU</w:t>
      </w:r>
      <w:r w:rsidR="00436E35" w:rsidRPr="005000A6">
        <w:rPr>
          <w:szCs w:val="18"/>
        </w:rPr>
        <w:t xml:space="preserve">. V horizontu </w:t>
      </w:r>
      <w:r w:rsidR="00E500ED">
        <w:rPr>
          <w:szCs w:val="18"/>
        </w:rPr>
        <w:t>rámce</w:t>
      </w:r>
      <w:r w:rsidR="00436E35" w:rsidRPr="005000A6">
        <w:rPr>
          <w:szCs w:val="18"/>
        </w:rPr>
        <w:t xml:space="preserve"> </w:t>
      </w:r>
      <w:r w:rsidR="00436E35">
        <w:rPr>
          <w:szCs w:val="18"/>
        </w:rPr>
        <w:t xml:space="preserve">by </w:t>
      </w:r>
      <w:r w:rsidR="00436E35" w:rsidRPr="005000A6">
        <w:rPr>
          <w:szCs w:val="18"/>
        </w:rPr>
        <w:t xml:space="preserve">se </w:t>
      </w:r>
      <w:r w:rsidR="00456C0A">
        <w:rPr>
          <w:szCs w:val="18"/>
        </w:rPr>
        <w:t>proto</w:t>
      </w:r>
      <w:r w:rsidR="00456C0A" w:rsidRPr="005000A6">
        <w:rPr>
          <w:szCs w:val="18"/>
        </w:rPr>
        <w:t xml:space="preserve"> </w:t>
      </w:r>
      <w:r w:rsidR="00436E35" w:rsidRPr="005000A6">
        <w:rPr>
          <w:szCs w:val="18"/>
        </w:rPr>
        <w:t xml:space="preserve">měl hospodářský růst </w:t>
      </w:r>
      <w:r w:rsidR="00436E35" w:rsidRPr="000236DD">
        <w:rPr>
          <w:szCs w:val="18"/>
        </w:rPr>
        <w:t>Spojené</w:t>
      </w:r>
      <w:r w:rsidR="00436E35">
        <w:rPr>
          <w:szCs w:val="18"/>
        </w:rPr>
        <w:t>ho</w:t>
      </w:r>
      <w:r w:rsidR="00436E35" w:rsidRPr="000236DD">
        <w:rPr>
          <w:szCs w:val="18"/>
        </w:rPr>
        <w:t xml:space="preserve"> království </w:t>
      </w:r>
      <w:r w:rsidR="00436E35" w:rsidRPr="005000A6">
        <w:rPr>
          <w:szCs w:val="18"/>
        </w:rPr>
        <w:t>pohybovat v rozmezí 1,</w:t>
      </w:r>
      <w:r w:rsidR="00E500ED">
        <w:rPr>
          <w:szCs w:val="18"/>
        </w:rPr>
        <w:t>1</w:t>
      </w:r>
      <w:r w:rsidR="00436E35" w:rsidRPr="005000A6">
        <w:rPr>
          <w:szCs w:val="18"/>
        </w:rPr>
        <w:t> až 1,</w:t>
      </w:r>
      <w:r w:rsidR="00E500ED">
        <w:rPr>
          <w:szCs w:val="18"/>
        </w:rPr>
        <w:t>4</w:t>
      </w:r>
      <w:r w:rsidR="00436E35" w:rsidRPr="005000A6">
        <w:rPr>
          <w:szCs w:val="18"/>
        </w:rPr>
        <w:t xml:space="preserve"> %.</w:t>
      </w:r>
    </w:p>
    <w:p w:rsidR="00436E35" w:rsidRDefault="00436E35" w:rsidP="00436E35">
      <w:r>
        <w:rPr>
          <w:szCs w:val="18"/>
        </w:rPr>
        <w:t>Po dosažení svého desetiletého maxima v roce 2017 hospodářský růst v </w:t>
      </w:r>
      <w:r>
        <w:rPr>
          <w:b/>
          <w:szCs w:val="18"/>
        </w:rPr>
        <w:t>eurozóně</w:t>
      </w:r>
      <w:r>
        <w:rPr>
          <w:szCs w:val="18"/>
        </w:rPr>
        <w:t xml:space="preserve"> </w:t>
      </w:r>
      <w:r w:rsidR="001B4449">
        <w:rPr>
          <w:szCs w:val="18"/>
        </w:rPr>
        <w:t>notně</w:t>
      </w:r>
      <w:r>
        <w:rPr>
          <w:szCs w:val="18"/>
        </w:rPr>
        <w:t xml:space="preserve"> zpomalil. Ve vývoji jednotlivých ekonomik navíc přetrvává značná d</w:t>
      </w:r>
      <w:r w:rsidRPr="005000A6">
        <w:t>ifere</w:t>
      </w:r>
      <w:r w:rsidRPr="005000A6">
        <w:t>n</w:t>
      </w:r>
      <w:r w:rsidRPr="005000A6">
        <w:t xml:space="preserve">covanost, v horizontu rámce by se </w:t>
      </w:r>
      <w:r>
        <w:t xml:space="preserve">však </w:t>
      </w:r>
      <w:r w:rsidRPr="005000A6">
        <w:t xml:space="preserve">tempa růstu měla sbližovat. V řadě států </w:t>
      </w:r>
      <w:r w:rsidR="00337AD5">
        <w:t xml:space="preserve">(např. ve Francii či v Itálii) </w:t>
      </w:r>
      <w:r w:rsidRPr="00655BFF">
        <w:t>brzdí</w:t>
      </w:r>
      <w:r>
        <w:t xml:space="preserve"> ekonomický výkon strukturální problémy, </w:t>
      </w:r>
      <w:r w:rsidRPr="002C492D">
        <w:t>nízký růst produktivity práce, ztráta konkurenceschopnosti či vysoká zadluženost vládního a soukromého sektoru.</w:t>
      </w:r>
      <w:r>
        <w:t xml:space="preserve"> </w:t>
      </w:r>
      <w:r w:rsidR="00EE68CB">
        <w:t>Mezi negativní vnější faktory pak patří zpomalující gl</w:t>
      </w:r>
      <w:r w:rsidR="00EE68CB">
        <w:t>o</w:t>
      </w:r>
      <w:r w:rsidR="00EE68CB">
        <w:t>bální obchod a</w:t>
      </w:r>
      <w:r w:rsidR="00CA20FD">
        <w:t> </w:t>
      </w:r>
      <w:r w:rsidR="00EE68CB">
        <w:t xml:space="preserve">nárůst protekcionistických opatření. </w:t>
      </w:r>
      <w:r>
        <w:t>Příznivě naopak působí stále ještě klesající míra nez</w:t>
      </w:r>
      <w:r>
        <w:t>a</w:t>
      </w:r>
      <w:r>
        <w:t>městnanosti, která v</w:t>
      </w:r>
      <w:r w:rsidR="00CA20FD">
        <w:t> </w:t>
      </w:r>
      <w:r>
        <w:t>řadě států</w:t>
      </w:r>
      <w:r w:rsidRPr="0038307B">
        <w:t xml:space="preserve"> </w:t>
      </w:r>
      <w:r>
        <w:t>dosáhla v roce 2018 svého historického minima, což se však projevuje ned</w:t>
      </w:r>
      <w:r>
        <w:t>o</w:t>
      </w:r>
      <w:r>
        <w:t>statkem pracovníků s vhodnou kvalifikací.</w:t>
      </w:r>
    </w:p>
    <w:p w:rsidR="00D838C1" w:rsidRDefault="00436E35" w:rsidP="00436E35">
      <w:pPr>
        <w:spacing w:after="0"/>
        <w:rPr>
          <w:rFonts w:ascii="Times New Roman" w:eastAsiaTheme="minorHAnsi" w:hAnsi="Times New Roman"/>
          <w:sz w:val="24"/>
          <w:szCs w:val="24"/>
        </w:rPr>
      </w:pPr>
      <w:r>
        <w:t>Krátkodobě by ekonomiku eurozón</w:t>
      </w:r>
      <w:r w:rsidR="004965E8">
        <w:t>y</w:t>
      </w:r>
      <w:r>
        <w:t xml:space="preserve"> měla ještě podpořit přetrvávající uvolněná měnová politika. Evropská ce</w:t>
      </w:r>
      <w:r>
        <w:t>n</w:t>
      </w:r>
      <w:r>
        <w:t>trální banka</w:t>
      </w:r>
      <w:r w:rsidRPr="00177ED1">
        <w:t xml:space="preserve"> </w:t>
      </w:r>
      <w:r>
        <w:t xml:space="preserve">drží </w:t>
      </w:r>
      <w:r w:rsidRPr="006864AA">
        <w:t>hlavní refinanční sazbu na úrov</w:t>
      </w:r>
      <w:r>
        <w:t>ni 0,00 % a depozitní sazbu na úrovni −</w:t>
      </w:r>
      <w:r w:rsidRPr="006864AA">
        <w:t>0,40</w:t>
      </w:r>
      <w:r>
        <w:t> %</w:t>
      </w:r>
      <w:r w:rsidRPr="00D9211D">
        <w:t xml:space="preserve"> </w:t>
      </w:r>
      <w:r>
        <w:t>již od března 2016</w:t>
      </w:r>
      <w:r w:rsidR="00027D0D">
        <w:t>;</w:t>
      </w:r>
      <w:r>
        <w:t xml:space="preserve"> na uvedených úrovních by měly setrvat alespoň do pol</w:t>
      </w:r>
      <w:r>
        <w:t>o</w:t>
      </w:r>
      <w:r>
        <w:t xml:space="preserve">viny roku 2020. </w:t>
      </w:r>
      <w:r w:rsidRPr="002C492D">
        <w:t xml:space="preserve">V případě zhoršení výhledu již </w:t>
      </w:r>
      <w:r>
        <w:t xml:space="preserve">Evropská centrální banka </w:t>
      </w:r>
      <w:r w:rsidRPr="002C492D">
        <w:t>signalizovala možné snížení depozitní sazby či nové nákupy aktiv. Od září 2019 do března 2021 navíc uskuteční další sérii cílených dlouhodobějších ref</w:t>
      </w:r>
      <w:r w:rsidRPr="002C492D">
        <w:t>i</w:t>
      </w:r>
      <w:r w:rsidRPr="002C492D">
        <w:t>nančních operací se splatností dva roky.</w:t>
      </w:r>
      <w:r>
        <w:t xml:space="preserve"> Očekáváme, že po celý horizont rámce se ekonomický výkon eurozóny bude pohybovat pod </w:t>
      </w:r>
      <w:r w:rsidR="00E500ED">
        <w:t>1,5</w:t>
      </w:r>
      <w:r>
        <w:t xml:space="preserve"> %.</w:t>
      </w:r>
      <w:r w:rsidR="00D838C1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7513C2" w:rsidRDefault="00F52D6C" w:rsidP="00F52D6C">
      <w:pPr>
        <w:pStyle w:val="Titulek"/>
      </w:pPr>
      <w:bookmarkStart w:id="12" w:name="_Toc17733207"/>
      <w:proofErr w:type="gramStart"/>
      <w:r>
        <w:t xml:space="preserve">Obrázek </w:t>
      </w:r>
      <w:fldSimple w:instr=" STYLEREF 1 \s ">
        <w:r w:rsidR="00E07DDE">
          <w:rPr>
            <w:noProof/>
          </w:rPr>
          <w:t>2</w:t>
        </w:r>
      </w:fldSimple>
      <w:r>
        <w:t>.</w:t>
      </w:r>
      <w:fldSimple w:instr=" SEQ Obrázek \* ARABIC \s 1 ">
        <w:r w:rsidR="00E07DDE">
          <w:rPr>
            <w:noProof/>
          </w:rPr>
          <w:t>1</w:t>
        </w:r>
      </w:fldSimple>
      <w:r w:rsidR="007513C2">
        <w:t>:</w:t>
      </w:r>
      <w:proofErr w:type="gramEnd"/>
      <w:r w:rsidR="007513C2">
        <w:t xml:space="preserve"> Reálný hrubý domácí produkt eurozóny</w:t>
      </w:r>
      <w:bookmarkEnd w:id="12"/>
    </w:p>
    <w:p w:rsidR="007513C2" w:rsidRPr="005876A1" w:rsidRDefault="007513C2" w:rsidP="00343525">
      <w:pPr>
        <w:pStyle w:val="Jednotka"/>
      </w:pPr>
      <w:r w:rsidRPr="005876A1">
        <w:t>(</w:t>
      </w:r>
      <w:r>
        <w:t>růst proti předchozímu roku v %</w:t>
      </w:r>
      <w:r w:rsidRPr="005876A1">
        <w:t>)</w:t>
      </w:r>
    </w:p>
    <w:p w:rsidR="007513C2" w:rsidRPr="00C407BB" w:rsidRDefault="00967CD8" w:rsidP="00DE136D">
      <w:pPr>
        <w:pStyle w:val="Zdrojpodtabulkounebografem"/>
        <w:spacing w:after="120"/>
      </w:pPr>
      <w:r>
        <w:rPr>
          <w:noProof/>
        </w:rPr>
        <w:drawing>
          <wp:inline distT="0" distB="0" distL="0" distR="0" wp14:anchorId="6F0DE4DD" wp14:editId="0311D545">
            <wp:extent cx="2933700" cy="1752772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7513C2" w:rsidRPr="00C407BB">
        <w:t>Zdroj:</w:t>
      </w:r>
      <w:r w:rsidR="007513C2">
        <w:t xml:space="preserve"> </w:t>
      </w:r>
      <w:proofErr w:type="spellStart"/>
      <w:r w:rsidR="007513C2">
        <w:t>Eurostat</w:t>
      </w:r>
      <w:proofErr w:type="spellEnd"/>
      <w:r w:rsidR="007513C2">
        <w:t>. Výpočty a predikce MF ČR.</w:t>
      </w:r>
      <w:r w:rsidR="007513C2" w:rsidRPr="00C407BB">
        <w:t xml:space="preserve"> </w:t>
      </w:r>
    </w:p>
    <w:p w:rsidR="00490CAF" w:rsidRDefault="00BC4DE6" w:rsidP="00D838C1">
      <w:r>
        <w:t>Vzhledem k</w:t>
      </w:r>
      <w:r w:rsidR="0005737B">
        <w:t>e slabší poptávce z Asie a přetrvávajícím potížím v automobilovém průmyslu</w:t>
      </w:r>
      <w:r>
        <w:t xml:space="preserve"> aktivita </w:t>
      </w:r>
      <w:r w:rsidR="003E00A3">
        <w:rPr>
          <w:b/>
        </w:rPr>
        <w:t xml:space="preserve">německé </w:t>
      </w:r>
      <w:r w:rsidR="003E00A3">
        <w:t>ekonomiky výrazně zpomaluje.</w:t>
      </w:r>
      <w:r>
        <w:t xml:space="preserve"> Nepříznivě působí neji</w:t>
      </w:r>
      <w:r>
        <w:t>s</w:t>
      </w:r>
      <w:r>
        <w:t xml:space="preserve">tota spojená s vystoupením Spojeného království a </w:t>
      </w:r>
      <w:r w:rsidR="001B4449">
        <w:t>n</w:t>
      </w:r>
      <w:r w:rsidR="001B4449">
        <w:t>á</w:t>
      </w:r>
      <w:r w:rsidR="001B4449">
        <w:t>růstem</w:t>
      </w:r>
      <w:r>
        <w:t xml:space="preserve"> protekcionism</w:t>
      </w:r>
      <w:r w:rsidR="001B4449">
        <w:t>u</w:t>
      </w:r>
      <w:r w:rsidR="00206B9F">
        <w:t>.</w:t>
      </w:r>
      <w:r>
        <w:t xml:space="preserve"> </w:t>
      </w:r>
      <w:r w:rsidR="00513704">
        <w:t>H</w:t>
      </w:r>
      <w:r w:rsidR="007A1923">
        <w:t xml:space="preserve">ospodářský růst </w:t>
      </w:r>
      <w:r>
        <w:t>b</w:t>
      </w:r>
      <w:r w:rsidR="00513704">
        <w:t>y měl být i</w:t>
      </w:r>
      <w:r w:rsidR="00CA20FD">
        <w:t> </w:t>
      </w:r>
      <w:r w:rsidR="005303DE">
        <w:t xml:space="preserve">nadále </w:t>
      </w:r>
      <w:r w:rsidR="007A1923">
        <w:t xml:space="preserve">tažen domácí poptávkou. Spotřebu domácností </w:t>
      </w:r>
      <w:r w:rsidR="0026078A">
        <w:t xml:space="preserve">krátkodobě </w:t>
      </w:r>
      <w:r w:rsidR="007A1923">
        <w:t xml:space="preserve">podpoří řada </w:t>
      </w:r>
      <w:r w:rsidR="0026078A">
        <w:t>fiskálních opatření, dlouhod</w:t>
      </w:r>
      <w:r w:rsidR="0026078A">
        <w:t>o</w:t>
      </w:r>
      <w:r w:rsidR="0026078A">
        <w:t>běj</w:t>
      </w:r>
      <w:r w:rsidR="00447C3E">
        <w:t>ší</w:t>
      </w:r>
      <w:r w:rsidR="005303DE">
        <w:t xml:space="preserve"> však bude </w:t>
      </w:r>
      <w:r w:rsidR="00447C3E">
        <w:t>vliv</w:t>
      </w:r>
      <w:r w:rsidR="005303DE">
        <w:t xml:space="preserve"> růst</w:t>
      </w:r>
      <w:r w:rsidR="00447C3E">
        <w:t>u</w:t>
      </w:r>
      <w:r w:rsidR="005303DE">
        <w:t xml:space="preserve"> mezd související s</w:t>
      </w:r>
      <w:r w:rsidR="00513704">
        <w:t xml:space="preserve"> obdobnou </w:t>
      </w:r>
      <w:r w:rsidR="00513704">
        <w:lastRenderedPageBreak/>
        <w:t>situací na trhu práce jako v české ekonomice</w:t>
      </w:r>
      <w:r w:rsidR="00D838C1">
        <w:t>.</w:t>
      </w:r>
      <w:r w:rsidR="00490CAF">
        <w:t xml:space="preserve"> </w:t>
      </w:r>
      <w:r w:rsidR="00447C3E">
        <w:t>I</w:t>
      </w:r>
      <w:r w:rsidR="00490CAF">
        <w:t xml:space="preserve">nvestice budou příznivě </w:t>
      </w:r>
      <w:r w:rsidR="00447C3E">
        <w:t>ovlivňovány</w:t>
      </w:r>
      <w:r w:rsidR="00490CAF">
        <w:t xml:space="preserve"> nízk</w:t>
      </w:r>
      <w:r w:rsidR="00447C3E">
        <w:t>ými</w:t>
      </w:r>
      <w:r w:rsidR="00490CAF">
        <w:t xml:space="preserve"> sazb</w:t>
      </w:r>
      <w:r w:rsidR="00447C3E">
        <w:t>ami</w:t>
      </w:r>
      <w:r w:rsidR="00490CAF">
        <w:t xml:space="preserve"> Evropské centrální banky. Růst HDP by se tak mohl pohybovat mezi </w:t>
      </w:r>
      <w:r w:rsidR="00E500ED">
        <w:t>0</w:t>
      </w:r>
      <w:r w:rsidR="00490CAF">
        <w:t>,</w:t>
      </w:r>
      <w:r w:rsidR="00E500ED">
        <w:t>9</w:t>
      </w:r>
      <w:r w:rsidR="00490CAF">
        <w:t xml:space="preserve"> až 1,5 %.</w:t>
      </w:r>
    </w:p>
    <w:p w:rsidR="00B418CB" w:rsidRDefault="00EE68CB" w:rsidP="00D838C1">
      <w:r>
        <w:t xml:space="preserve">V roce 2018 </w:t>
      </w:r>
      <w:r w:rsidR="00456C0A">
        <w:t xml:space="preserve">hospodářský výkon </w:t>
      </w:r>
      <w:r>
        <w:t xml:space="preserve">ve většině </w:t>
      </w:r>
      <w:r w:rsidR="00D838C1">
        <w:t xml:space="preserve">velkých zemí eurozóny </w:t>
      </w:r>
      <w:r>
        <w:t>zpomalil.</w:t>
      </w:r>
      <w:r w:rsidR="00551CED">
        <w:t xml:space="preserve"> </w:t>
      </w:r>
      <w:r w:rsidR="00E8319A">
        <w:t xml:space="preserve">Očekáváme, že ve </w:t>
      </w:r>
      <w:r w:rsidR="00E8319A" w:rsidRPr="00E8319A">
        <w:rPr>
          <w:b/>
        </w:rPr>
        <w:t>Francii</w:t>
      </w:r>
      <w:r w:rsidR="00E8319A">
        <w:t xml:space="preserve"> dojde k </w:t>
      </w:r>
      <w:r w:rsidR="00E83D5A">
        <w:t>postupné</w:t>
      </w:r>
      <w:r w:rsidR="00E8319A">
        <w:t>mu</w:t>
      </w:r>
      <w:r w:rsidR="00E83D5A">
        <w:t xml:space="preserve"> upevnění růstu</w:t>
      </w:r>
      <w:r w:rsidR="00E8319A">
        <w:t xml:space="preserve">, a to díky efektům </w:t>
      </w:r>
      <w:r w:rsidR="00D838C1">
        <w:t>řady reforem.</w:t>
      </w:r>
      <w:r w:rsidR="00551CED">
        <w:t xml:space="preserve"> Naopak v </w:t>
      </w:r>
      <w:r w:rsidR="00551CED">
        <w:rPr>
          <w:b/>
        </w:rPr>
        <w:t>Itálii</w:t>
      </w:r>
      <w:r w:rsidR="00551CED">
        <w:t>, která</w:t>
      </w:r>
      <w:r w:rsidR="000E29BA">
        <w:t xml:space="preserve"> </w:t>
      </w:r>
      <w:r w:rsidR="00551CED">
        <w:t>balancuje na hranici rec</w:t>
      </w:r>
      <w:r w:rsidR="00551CED">
        <w:t>e</w:t>
      </w:r>
      <w:r w:rsidR="00551CED">
        <w:t xml:space="preserve">se, by měl </w:t>
      </w:r>
      <w:r w:rsidR="000E29BA">
        <w:t>eko</w:t>
      </w:r>
      <w:r w:rsidR="007D641B">
        <w:t xml:space="preserve">nomický výkon zůstat slabý a </w:t>
      </w:r>
      <w:r w:rsidR="00551CED">
        <w:t>nevýrazný.</w:t>
      </w:r>
    </w:p>
    <w:p w:rsidR="00B418CB" w:rsidRPr="002B1D10" w:rsidRDefault="00B418CB" w:rsidP="002B1D10">
      <w:pPr>
        <w:pStyle w:val="Nadpis3"/>
        <w:rPr>
          <w:b w:val="0"/>
        </w:rPr>
      </w:pPr>
      <w:r w:rsidRPr="002B1D10">
        <w:t>Cena ropy</w:t>
      </w:r>
    </w:p>
    <w:p w:rsidR="00AF52E8" w:rsidRDefault="00735040" w:rsidP="00B418CB">
      <w:r>
        <w:t>V</w:t>
      </w:r>
      <w:r w:rsidR="00A9547A">
        <w:t> důsledku vyostření geopolitického napětí, odstoupení Spojených států amerických od jaderné dohody s Íránem a poklesu produkce ropy vlivem hospodářské a pol</w:t>
      </w:r>
      <w:r>
        <w:t xml:space="preserve">itické nestability ve Venezuele </w:t>
      </w:r>
      <w:r w:rsidR="00E83D5A">
        <w:t>se cena ropy v roce 2018 zvýš</w:t>
      </w:r>
      <w:r w:rsidR="00E83D5A">
        <w:t>i</w:t>
      </w:r>
      <w:r w:rsidR="00E83D5A">
        <w:t>la</w:t>
      </w:r>
      <w:r>
        <w:t>. K</w:t>
      </w:r>
      <w:r w:rsidR="00E83D5A">
        <w:t xml:space="preserve"> jejímu </w:t>
      </w:r>
      <w:r>
        <w:t xml:space="preserve">nárůstu </w:t>
      </w:r>
      <w:r w:rsidR="00E83D5A">
        <w:t>rovněž</w:t>
      </w:r>
      <w:r>
        <w:t xml:space="preserve"> přispělo plnění </w:t>
      </w:r>
      <w:r w:rsidRPr="00E91E29">
        <w:t>dohody</w:t>
      </w:r>
      <w:r>
        <w:t xml:space="preserve"> členů Organizace zemí vyvážejících ropu, </w:t>
      </w:r>
      <w:r w:rsidR="00E83D5A">
        <w:t>která</w:t>
      </w:r>
      <w:r>
        <w:t xml:space="preserve"> byla prodlo</w:t>
      </w:r>
      <w:r>
        <w:t>u</w:t>
      </w:r>
      <w:r>
        <w:t>žena a</w:t>
      </w:r>
      <w:r w:rsidR="00401E95">
        <w:t>ž do konce 1. čtvrtletí 2020.</w:t>
      </w:r>
      <w:r w:rsidR="00401E95" w:rsidRPr="00401E95">
        <w:t xml:space="preserve"> </w:t>
      </w:r>
      <w:r w:rsidR="00E83D5A">
        <w:t>Opačným směrem působila</w:t>
      </w:r>
      <w:r w:rsidR="008A1BC6">
        <w:t xml:space="preserve"> rostoucí těžb</w:t>
      </w:r>
      <w:r w:rsidR="00E83D5A">
        <w:t>a</w:t>
      </w:r>
      <w:r w:rsidR="008A1BC6">
        <w:t xml:space="preserve"> ve Spojených státech ameri</w:t>
      </w:r>
      <w:r w:rsidR="008A1BC6">
        <w:t>c</w:t>
      </w:r>
      <w:r w:rsidR="008A1BC6">
        <w:t>kých</w:t>
      </w:r>
      <w:r w:rsidR="007D641B">
        <w:t>,</w:t>
      </w:r>
      <w:r w:rsidR="00E83D5A">
        <w:t xml:space="preserve"> a dolarová cena ropy tak v první polovině roku 2019 </w:t>
      </w:r>
      <w:r w:rsidR="009B674C">
        <w:t xml:space="preserve">meziročně mírně </w:t>
      </w:r>
      <w:r w:rsidR="00E83D5A">
        <w:t>klesla</w:t>
      </w:r>
      <w:r w:rsidR="008A1BC6">
        <w:t xml:space="preserve">. </w:t>
      </w:r>
      <w:r w:rsidR="00401E95" w:rsidRPr="00D34CCD">
        <w:t xml:space="preserve">Na termínovém trhu </w:t>
      </w:r>
      <w:r w:rsidR="008A1BC6">
        <w:t>pak</w:t>
      </w:r>
      <w:r w:rsidR="00401E95">
        <w:t xml:space="preserve"> </w:t>
      </w:r>
      <w:r w:rsidR="00401E95" w:rsidRPr="00D34CCD">
        <w:t xml:space="preserve">přetrvává situace, kdy </w:t>
      </w:r>
      <w:r w:rsidR="009B674C">
        <w:t xml:space="preserve">se cena </w:t>
      </w:r>
      <w:r w:rsidR="00401E95" w:rsidRPr="00D34CCD">
        <w:t>rop</w:t>
      </w:r>
      <w:r w:rsidR="009B674C">
        <w:t>y</w:t>
      </w:r>
      <w:r w:rsidR="00401E95" w:rsidRPr="00D34CCD">
        <w:t xml:space="preserve"> s</w:t>
      </w:r>
      <w:r w:rsidR="009B674C">
        <w:t> </w:t>
      </w:r>
      <w:r w:rsidR="00401E95" w:rsidRPr="00D34CCD">
        <w:t>p</w:t>
      </w:r>
      <w:r w:rsidR="009B674C">
        <w:t xml:space="preserve">rodlužujícím se kontraktem nepatrně </w:t>
      </w:r>
      <w:r w:rsidR="009D378D">
        <w:t>snižuje.</w:t>
      </w:r>
    </w:p>
    <w:p w:rsidR="00B418CB" w:rsidRDefault="00B418CB" w:rsidP="00B418CB">
      <w:pPr>
        <w:pStyle w:val="Titulek"/>
        <w:spacing w:before="120"/>
      </w:pPr>
      <w:bookmarkStart w:id="13" w:name="_Toc17733208"/>
      <w:proofErr w:type="gramStart"/>
      <w:r>
        <w:t>Obrázek</w:t>
      </w:r>
      <w:r w:rsidR="00DD5764">
        <w:t xml:space="preserve"> </w:t>
      </w:r>
      <w:fldSimple w:instr=" STYLEREF 1 \s ">
        <w:r w:rsidR="00E07DDE">
          <w:rPr>
            <w:noProof/>
          </w:rPr>
          <w:t>2</w:t>
        </w:r>
      </w:fldSimple>
      <w:r w:rsidR="00F52D6C">
        <w:t>.</w:t>
      </w:r>
      <w:fldSimple w:instr=" SEQ Obrázek \* ARABIC \s 1 ">
        <w:r w:rsidR="00E07DDE">
          <w:rPr>
            <w:noProof/>
          </w:rPr>
          <w:t>2</w:t>
        </w:r>
      </w:fldSimple>
      <w:r>
        <w:t>:</w:t>
      </w:r>
      <w:proofErr w:type="gramEnd"/>
      <w:r>
        <w:t xml:space="preserve"> Cena ropy Brent</w:t>
      </w:r>
      <w:bookmarkEnd w:id="13"/>
    </w:p>
    <w:p w:rsidR="00B418CB" w:rsidRPr="005876A1" w:rsidRDefault="00B418CB" w:rsidP="00343525">
      <w:pPr>
        <w:pStyle w:val="Jednotka"/>
      </w:pPr>
      <w:r>
        <w:t>(USD/barel</w:t>
      </w:r>
      <w:r w:rsidRPr="005876A1">
        <w:t>)</w:t>
      </w:r>
    </w:p>
    <w:p w:rsidR="007513C2" w:rsidRPr="00C407BB" w:rsidRDefault="00967CD8" w:rsidP="00DE136D">
      <w:pPr>
        <w:pStyle w:val="Zdrojpodtabulkounebografem"/>
        <w:spacing w:after="120"/>
      </w:pPr>
      <w:r>
        <w:rPr>
          <w:noProof/>
        </w:rPr>
        <w:drawing>
          <wp:inline distT="0" distB="0" distL="0" distR="0" wp14:anchorId="5E2F6998" wp14:editId="5BF2C888">
            <wp:extent cx="2933700" cy="1752772"/>
            <wp:effectExtent l="0" t="0" r="0" b="0"/>
            <wp:docPr id="13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="00B418CB" w:rsidRPr="005F3E29">
        <w:t xml:space="preserve">Zdroj: U. S. </w:t>
      </w:r>
      <w:proofErr w:type="spellStart"/>
      <w:r w:rsidR="00B418CB" w:rsidRPr="005F3E29">
        <w:t>Energy</w:t>
      </w:r>
      <w:proofErr w:type="spellEnd"/>
      <w:r w:rsidR="00B418CB" w:rsidRPr="005F3E29">
        <w:t xml:space="preserve"> </w:t>
      </w:r>
      <w:proofErr w:type="spellStart"/>
      <w:r w:rsidR="00B418CB" w:rsidRPr="005F3E29">
        <w:t>Information</w:t>
      </w:r>
      <w:proofErr w:type="spellEnd"/>
      <w:r w:rsidR="00B418CB" w:rsidRPr="005F3E29">
        <w:t xml:space="preserve"> </w:t>
      </w:r>
      <w:proofErr w:type="spellStart"/>
      <w:r w:rsidR="00B418CB" w:rsidRPr="005F3E29">
        <w:t>Administration</w:t>
      </w:r>
      <w:proofErr w:type="spellEnd"/>
      <w:r w:rsidR="00B418CB" w:rsidRPr="005F3E29">
        <w:t>. Výpočty a predikce MF ČR.</w:t>
      </w:r>
    </w:p>
    <w:p w:rsidR="008A1BC6" w:rsidRDefault="009B674C" w:rsidP="00D838C1">
      <w:r>
        <w:t>Předpokládáme, že</w:t>
      </w:r>
      <w:r w:rsidR="008A1BC6">
        <w:t xml:space="preserve"> za celý rok 2019 cena ropy Brent v průměru dosáhne 64 USD/barel, </w:t>
      </w:r>
      <w:r w:rsidR="00A62A40">
        <w:t>čímž se</w:t>
      </w:r>
      <w:r w:rsidR="002B1D10">
        <w:t xml:space="preserve"> </w:t>
      </w:r>
      <w:r w:rsidR="008A1BC6">
        <w:t xml:space="preserve">meziročně sníží přibližně o 10 %. V souladu s mírně klesající křivkou cen kontraktů </w:t>
      </w:r>
      <w:proofErr w:type="spellStart"/>
      <w:r w:rsidR="008A1BC6">
        <w:t>futures</w:t>
      </w:r>
      <w:proofErr w:type="spellEnd"/>
      <w:r w:rsidR="008A1BC6">
        <w:t xml:space="preserve"> pak </w:t>
      </w:r>
      <w:r w:rsidR="00C96A6C">
        <w:t>počítáme s</w:t>
      </w:r>
      <w:r w:rsidR="008A1BC6">
        <w:t xml:space="preserve"> pozvolný</w:t>
      </w:r>
      <w:r w:rsidR="00C96A6C">
        <w:t>m</w:t>
      </w:r>
      <w:r w:rsidR="008A1BC6">
        <w:t xml:space="preserve"> pokl</w:t>
      </w:r>
      <w:r w:rsidR="008A1BC6">
        <w:t>e</w:t>
      </w:r>
      <w:r w:rsidR="008A1BC6">
        <w:t>s</w:t>
      </w:r>
      <w:r w:rsidR="00C96A6C">
        <w:t>em</w:t>
      </w:r>
      <w:r w:rsidR="008A1BC6">
        <w:t xml:space="preserve"> ceny ropy </w:t>
      </w:r>
      <w:r w:rsidR="00E500ED">
        <w:t>na 60 USD/barel v roce 2020.</w:t>
      </w:r>
    </w:p>
    <w:p w:rsidR="007513C2" w:rsidRDefault="00D838C1" w:rsidP="00D838C1">
      <w:r>
        <w:t>Budoucí vývoj je zatí</w:t>
      </w:r>
      <w:r w:rsidR="00FE41FF">
        <w:t>žen velkým množstvím nejistot a </w:t>
      </w:r>
      <w:r>
        <w:t>pro prezentovaný scénář lze formulovat rizika oběma směry. Ve směru poklesu ceny by mohl</w:t>
      </w:r>
      <w:r w:rsidR="00070A44">
        <w:t>o</w:t>
      </w:r>
      <w:r>
        <w:t xml:space="preserve"> působit další </w:t>
      </w:r>
      <w:r w:rsidR="00070A44">
        <w:t xml:space="preserve">snižování </w:t>
      </w:r>
      <w:r>
        <w:t>nákladů těžby ropy z břidlic ve Spojených st</w:t>
      </w:r>
      <w:r>
        <w:t>á</w:t>
      </w:r>
      <w:r>
        <w:t>tech amerických</w:t>
      </w:r>
      <w:r w:rsidR="007D641B">
        <w:t xml:space="preserve"> nebo výraznější zpomalení světové ekonomiky (např. kvůli protekcionismu)</w:t>
      </w:r>
      <w:r>
        <w:t>. Naopak k růstu ceny by mohlo přispět zejména vyostření bezpečnostní situace v některých zemích produkujících ropu.</w:t>
      </w:r>
    </w:p>
    <w:p w:rsidR="00B418CB" w:rsidRDefault="00B418CB" w:rsidP="00B418CB">
      <w:pPr>
        <w:pStyle w:val="Nadpis3"/>
        <w:tabs>
          <w:tab w:val="left" w:pos="567"/>
        </w:tabs>
      </w:pPr>
      <w:r>
        <w:t>Měnová politika a měnové kurzy</w:t>
      </w:r>
    </w:p>
    <w:p w:rsidR="00A76B24" w:rsidRDefault="00A76B24" w:rsidP="00A76B24">
      <w:r>
        <w:t xml:space="preserve">Dvoutýdenní </w:t>
      </w:r>
      <w:proofErr w:type="spellStart"/>
      <w:r>
        <w:t>repo</w:t>
      </w:r>
      <w:proofErr w:type="spellEnd"/>
      <w:r>
        <w:t xml:space="preserve"> sazba byla z 0,05 % v době ukončení kurzového závazku </w:t>
      </w:r>
      <w:r w:rsidR="003F4A43">
        <w:t xml:space="preserve">v roce 2017 </w:t>
      </w:r>
      <w:r>
        <w:t>postupně zvyšována až na 2,00 % v</w:t>
      </w:r>
      <w:r w:rsidR="003F4A43">
        <w:t>e 2. čtvrtletí 2019. Vzhledem k </w:t>
      </w:r>
      <w:r>
        <w:t>předpokláda</w:t>
      </w:r>
      <w:r w:rsidR="00814ED7">
        <w:softHyphen/>
      </w:r>
      <w:r>
        <w:lastRenderedPageBreak/>
        <w:t xml:space="preserve">nému </w:t>
      </w:r>
      <w:r w:rsidR="009B674C">
        <w:t>nastavení měnové politiky a </w:t>
      </w:r>
      <w:r>
        <w:t>očekávanému p</w:t>
      </w:r>
      <w:r>
        <w:t>o</w:t>
      </w:r>
      <w:r>
        <w:t>zvolnému posilování koruny by v horizontu makroek</w:t>
      </w:r>
      <w:r>
        <w:t>o</w:t>
      </w:r>
      <w:r>
        <w:t>nomického rámce mělo docházet k</w:t>
      </w:r>
      <w:r w:rsidR="009B674C">
        <w:t xml:space="preserve"> mírnému</w:t>
      </w:r>
      <w:r>
        <w:t xml:space="preserve"> zpřísňování měnových podmínek v kurzové složce.</w:t>
      </w:r>
    </w:p>
    <w:p w:rsidR="00B418CB" w:rsidRPr="00B418CB" w:rsidRDefault="00A76B24" w:rsidP="0006144B">
      <w:r w:rsidRPr="000D52FF">
        <w:rPr>
          <w:b/>
        </w:rPr>
        <w:t>Měnový kurz</w:t>
      </w:r>
      <w:r w:rsidRPr="00C56EC1">
        <w:t xml:space="preserve"> koruny vůči euru </w:t>
      </w:r>
      <w:r>
        <w:t xml:space="preserve">se během první poloviny roku 2019 </w:t>
      </w:r>
      <w:r w:rsidR="00814ED7">
        <w:t xml:space="preserve">pohyboval </w:t>
      </w:r>
      <w:r>
        <w:t>bez výraznějších výkyvů okolo 25,7 CZK/EUR.</w:t>
      </w:r>
      <w:r w:rsidRPr="00C56EC1">
        <w:t xml:space="preserve"> </w:t>
      </w:r>
      <w:r>
        <w:t>Koruna tak po většinu tohoto období byla meziročně slabší, a to navzdory dalšímu rozšíření kla</w:t>
      </w:r>
      <w:r>
        <w:t>d</w:t>
      </w:r>
      <w:r>
        <w:t>ného úrokového diferenciálu vůči eurozóně. Předpokl</w:t>
      </w:r>
      <w:r>
        <w:t>á</w:t>
      </w:r>
      <w:r>
        <w:t>dáme nicméně, že koruna bude v celém horizontu ma</w:t>
      </w:r>
      <w:r>
        <w:t>k</w:t>
      </w:r>
      <w:r>
        <w:t xml:space="preserve">roekonomického rámce trendově pozvolna posilovat. </w:t>
      </w:r>
      <w:r w:rsidR="00E500ED">
        <w:t>V průměru by se koruna měla letos obchodovat za 25,6 CZK/EUR, koncem roku 2020 by se kurz měl poh</w:t>
      </w:r>
      <w:r w:rsidR="00E500ED">
        <w:t>y</w:t>
      </w:r>
      <w:r w:rsidR="00E500ED">
        <w:t xml:space="preserve">bovat již kolem 25,0 CZK/EUR. </w:t>
      </w:r>
      <w:r>
        <w:t xml:space="preserve">Tento vývoj </w:t>
      </w:r>
      <w:r w:rsidRPr="00F47E86">
        <w:t>by měl</w:t>
      </w:r>
      <w:r>
        <w:t xml:space="preserve"> být podpořen</w:t>
      </w:r>
      <w:r w:rsidRPr="00F47E86">
        <w:t xml:space="preserve"> </w:t>
      </w:r>
      <w:r>
        <w:t xml:space="preserve">nejen </w:t>
      </w:r>
      <w:r w:rsidRPr="00F47E86">
        <w:t>pokračující konvergencí</w:t>
      </w:r>
      <w:r>
        <w:t xml:space="preserve"> české ekonom</w:t>
      </w:r>
      <w:r>
        <w:t>i</w:t>
      </w:r>
      <w:r>
        <w:lastRenderedPageBreak/>
        <w:t>ky k hospodářské úrovni eurozóny,</w:t>
      </w:r>
      <w:r w:rsidRPr="00F47E86">
        <w:t xml:space="preserve"> a</w:t>
      </w:r>
      <w:r>
        <w:t>le i</w:t>
      </w:r>
      <w:r w:rsidRPr="00F47E86">
        <w:t xml:space="preserve"> kladným úrok</w:t>
      </w:r>
      <w:r w:rsidRPr="00F47E86">
        <w:t>o</w:t>
      </w:r>
      <w:r w:rsidRPr="00F47E86">
        <w:t xml:space="preserve">vým diferenciálem vůči </w:t>
      </w:r>
      <w:r w:rsidR="00814ED7">
        <w:t>eurozóně</w:t>
      </w:r>
      <w:r w:rsidRPr="00F47E86">
        <w:t>.</w:t>
      </w:r>
    </w:p>
    <w:p w:rsidR="0006144B" w:rsidRDefault="0006144B" w:rsidP="0006144B">
      <w:pPr>
        <w:pStyle w:val="Titulek"/>
        <w:spacing w:before="120"/>
      </w:pPr>
      <w:bookmarkStart w:id="14" w:name="_Toc17733209"/>
      <w:proofErr w:type="gramStart"/>
      <w:r>
        <w:t xml:space="preserve">Obrázek </w:t>
      </w:r>
      <w:fldSimple w:instr=" STYLEREF 1 \s ">
        <w:r w:rsidR="00E07DDE">
          <w:rPr>
            <w:noProof/>
          </w:rPr>
          <w:t>2</w:t>
        </w:r>
      </w:fldSimple>
      <w:r w:rsidR="00F52D6C">
        <w:t>.</w:t>
      </w:r>
      <w:fldSimple w:instr=" SEQ Obrázek \* ARABIC \s 1 ">
        <w:r w:rsidR="00E07DDE">
          <w:rPr>
            <w:noProof/>
          </w:rPr>
          <w:t>3</w:t>
        </w:r>
      </w:fldSimple>
      <w:r>
        <w:t>:</w:t>
      </w:r>
      <w:proofErr w:type="gramEnd"/>
      <w:r>
        <w:t xml:space="preserve"> Měnový kurz CZK/EUR</w:t>
      </w:r>
      <w:bookmarkEnd w:id="14"/>
    </w:p>
    <w:p w:rsidR="003F4A43" w:rsidRPr="003F4A43" w:rsidRDefault="003F4A43" w:rsidP="00BD088A">
      <w:pPr>
        <w:pStyle w:val="Jednotka"/>
      </w:pPr>
      <w:r w:rsidRPr="003F4A43">
        <w:t>(</w:t>
      </w:r>
      <w:r>
        <w:t>průměr roku</w:t>
      </w:r>
      <w:r w:rsidRPr="003F4A43">
        <w:t>)</w:t>
      </w:r>
    </w:p>
    <w:p w:rsidR="00DD3453" w:rsidRDefault="00967CD8" w:rsidP="00027D0D">
      <w:pPr>
        <w:pStyle w:val="Zdrojpodtabulkounebografem"/>
      </w:pPr>
      <w:r>
        <w:rPr>
          <w:noProof/>
        </w:rPr>
        <w:drawing>
          <wp:inline distT="0" distB="0" distL="0" distR="0" wp14:anchorId="0C03F1DC" wp14:editId="0E624058">
            <wp:extent cx="2933700" cy="1752772"/>
            <wp:effectExtent l="0" t="0" r="0" b="0"/>
            <wp:docPr id="14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="0006144B" w:rsidRPr="005F3E29">
        <w:t>Zdroj: ČNB.</w:t>
      </w:r>
      <w:r w:rsidR="0006144B" w:rsidRPr="0006144B">
        <w:t xml:space="preserve"> Výpočty a predikce MF ČR.</w:t>
      </w:r>
    </w:p>
    <w:p w:rsidR="0006144B" w:rsidRPr="0006144B" w:rsidRDefault="0006144B" w:rsidP="0006144B">
      <w:pPr>
        <w:rPr>
          <w:i/>
          <w:iCs/>
          <w:color w:val="000000"/>
          <w:sz w:val="16"/>
          <w:szCs w:val="16"/>
        </w:rPr>
        <w:sectPr w:rsidR="0006144B" w:rsidRPr="0006144B" w:rsidSect="007A1923">
          <w:type w:val="continuous"/>
          <w:pgSz w:w="11906" w:h="16838" w:code="9"/>
          <w:pgMar w:top="1134" w:right="1134" w:bottom="1418" w:left="1134" w:header="709" w:footer="709" w:gutter="0"/>
          <w:cols w:num="2" w:space="397"/>
          <w:docGrid w:linePitch="360"/>
        </w:sectPr>
      </w:pPr>
    </w:p>
    <w:p w:rsidR="0006144B" w:rsidRDefault="0006144B" w:rsidP="00B0423C">
      <w:pPr>
        <w:pStyle w:val="Nadpis2"/>
      </w:pPr>
      <w:bookmarkStart w:id="15" w:name="_Toc14695475"/>
      <w:bookmarkStart w:id="16" w:name="_Toc17733198"/>
      <w:r>
        <w:lastRenderedPageBreak/>
        <w:t>Makroekonomický vývoj v České republice</w:t>
      </w:r>
      <w:bookmarkEnd w:id="15"/>
      <w:bookmarkEnd w:id="16"/>
    </w:p>
    <w:p w:rsidR="0006144B" w:rsidRDefault="0006144B" w:rsidP="0006144B">
      <w:pPr>
        <w:sectPr w:rsidR="0006144B" w:rsidSect="007A1923">
          <w:type w:val="continuous"/>
          <w:pgSz w:w="11906" w:h="16838" w:code="9"/>
          <w:pgMar w:top="1134" w:right="1134" w:bottom="1418" w:left="1134" w:header="709" w:footer="709" w:gutter="0"/>
          <w:cols w:space="709"/>
          <w:docGrid w:linePitch="360"/>
        </w:sectPr>
      </w:pPr>
    </w:p>
    <w:p w:rsidR="0006144B" w:rsidRDefault="0006144B" w:rsidP="00027D0D">
      <w:pPr>
        <w:pStyle w:val="Nadpis3"/>
        <w:spacing w:before="0"/>
      </w:pPr>
      <w:r>
        <w:lastRenderedPageBreak/>
        <w:t>Ekonomický výkon</w:t>
      </w:r>
    </w:p>
    <w:p w:rsidR="00343525" w:rsidRDefault="002E3C4D" w:rsidP="00343525">
      <w:r>
        <w:t xml:space="preserve">Reálný </w:t>
      </w:r>
      <w:r w:rsidR="003164A9">
        <w:t>HDP</w:t>
      </w:r>
      <w:r w:rsidR="00C503F4">
        <w:t xml:space="preserve"> </w:t>
      </w:r>
      <w:r w:rsidR="003164A9">
        <w:t>se v roce 2018 zvýšil o 3,0 %. Růst byl tažen výhradně domácí poptávkou, zejména tvorbou hrubého fixního kapitálu a výdaji domácností na konečnou sp</w:t>
      </w:r>
      <w:r w:rsidR="003164A9">
        <w:t>o</w:t>
      </w:r>
      <w:r w:rsidR="003164A9">
        <w:t>třebu. Zvýšila se také spotřeba vládních institucí. Změna stavu zásob naopak ekonomický růst tlumila, stejně jako saldo zahraničního obchodu. Na straně vývozu se proj</w:t>
      </w:r>
      <w:r w:rsidR="003164A9">
        <w:t>e</w:t>
      </w:r>
      <w:r w:rsidR="003164A9">
        <w:t>vilo zpomalení exportních trhů</w:t>
      </w:r>
      <w:r w:rsidR="00D93437">
        <w:t xml:space="preserve"> i </w:t>
      </w:r>
      <w:r w:rsidR="003164A9">
        <w:t>výrazně nižší navýšení exportní výkonnosti. Dovoz si naopak udržel svou dyn</w:t>
      </w:r>
      <w:r w:rsidR="003164A9">
        <w:t>a</w:t>
      </w:r>
      <w:r w:rsidR="003164A9">
        <w:t xml:space="preserve">miku, a to </w:t>
      </w:r>
      <w:r w:rsidR="00744833">
        <w:t>především</w:t>
      </w:r>
      <w:r w:rsidR="003164A9">
        <w:t xml:space="preserve"> díky robustním investicím, které se vyznačují vysokou dovozní náročností.</w:t>
      </w:r>
    </w:p>
    <w:p w:rsidR="00343525" w:rsidRDefault="00343525" w:rsidP="00343525">
      <w:r>
        <w:t xml:space="preserve">V horizontu makroekonomického rámce by měl </w:t>
      </w:r>
      <w:r w:rsidRPr="000D52FF">
        <w:rPr>
          <w:b/>
        </w:rPr>
        <w:t>růst</w:t>
      </w:r>
      <w:r>
        <w:t xml:space="preserve"> </w:t>
      </w:r>
      <w:r w:rsidRPr="00D424D4">
        <w:rPr>
          <w:b/>
        </w:rPr>
        <w:t>HDP</w:t>
      </w:r>
      <w:r>
        <w:t xml:space="preserve"> mírně zpomal</w:t>
      </w:r>
      <w:r w:rsidR="003E589D">
        <w:t>i</w:t>
      </w:r>
      <w:r>
        <w:t>t z 2,</w:t>
      </w:r>
      <w:r w:rsidR="008138A1">
        <w:t>4</w:t>
      </w:r>
      <w:r>
        <w:t> % v roce 2019 na 2,</w:t>
      </w:r>
      <w:r w:rsidR="003E589D">
        <w:t>2</w:t>
      </w:r>
      <w:r>
        <w:t> % v roce 202</w:t>
      </w:r>
      <w:r w:rsidR="003E589D">
        <w:t>0</w:t>
      </w:r>
      <w:r>
        <w:t xml:space="preserve">. </w:t>
      </w:r>
      <w:r w:rsidRPr="006343E0">
        <w:t xml:space="preserve">Hlavním tahounem </w:t>
      </w:r>
      <w:r>
        <w:t xml:space="preserve">ekonomiky </w:t>
      </w:r>
      <w:r w:rsidRPr="006343E0">
        <w:t xml:space="preserve">by měla </w:t>
      </w:r>
      <w:r>
        <w:t>zůstat</w:t>
      </w:r>
      <w:r w:rsidRPr="006343E0">
        <w:t xml:space="preserve"> domácí poptávka</w:t>
      </w:r>
      <w:r>
        <w:t>, ovšem i s</w:t>
      </w:r>
      <w:r w:rsidRPr="000C68B0">
        <w:t xml:space="preserve">aldo zahraničního obchodu by na dynamiku HDP mělo působit </w:t>
      </w:r>
      <w:r>
        <w:t xml:space="preserve">mírně </w:t>
      </w:r>
      <w:r w:rsidRPr="000C68B0">
        <w:t>pozitivně</w:t>
      </w:r>
      <w:r w:rsidRPr="006343E0">
        <w:t>.</w:t>
      </w:r>
    </w:p>
    <w:p w:rsidR="0006144B" w:rsidRPr="0006144B" w:rsidRDefault="0006144B" w:rsidP="0006144B">
      <w:pPr>
        <w:pStyle w:val="Titulek"/>
        <w:spacing w:before="120"/>
        <w:rPr>
          <w:color w:val="000000" w:themeColor="text1"/>
        </w:rPr>
      </w:pPr>
      <w:bookmarkStart w:id="17" w:name="_Toc17733210"/>
      <w:proofErr w:type="gramStart"/>
      <w:r w:rsidRPr="0006144B">
        <w:rPr>
          <w:color w:val="000000" w:themeColor="text1"/>
        </w:rPr>
        <w:t xml:space="preserve">Obrázek </w:t>
      </w:r>
      <w:r w:rsidR="00F52D6C">
        <w:rPr>
          <w:color w:val="000000" w:themeColor="text1"/>
        </w:rPr>
        <w:fldChar w:fldCharType="begin"/>
      </w:r>
      <w:r w:rsidR="00F52D6C">
        <w:rPr>
          <w:color w:val="000000" w:themeColor="text1"/>
        </w:rPr>
        <w:instrText xml:space="preserve"> STYLEREF 1 \s </w:instrText>
      </w:r>
      <w:r w:rsidR="00F52D6C">
        <w:rPr>
          <w:color w:val="000000" w:themeColor="text1"/>
        </w:rPr>
        <w:fldChar w:fldCharType="separate"/>
      </w:r>
      <w:r w:rsidR="00E07DDE">
        <w:rPr>
          <w:noProof/>
          <w:color w:val="000000" w:themeColor="text1"/>
        </w:rPr>
        <w:t>2</w:t>
      </w:r>
      <w:r w:rsidR="00F52D6C">
        <w:rPr>
          <w:color w:val="000000" w:themeColor="text1"/>
        </w:rPr>
        <w:fldChar w:fldCharType="end"/>
      </w:r>
      <w:r w:rsidR="00F52D6C">
        <w:rPr>
          <w:color w:val="000000" w:themeColor="text1"/>
        </w:rPr>
        <w:t>.</w:t>
      </w:r>
      <w:r w:rsidR="00F52D6C">
        <w:rPr>
          <w:color w:val="000000" w:themeColor="text1"/>
        </w:rPr>
        <w:fldChar w:fldCharType="begin"/>
      </w:r>
      <w:r w:rsidR="00F52D6C">
        <w:rPr>
          <w:color w:val="000000" w:themeColor="text1"/>
        </w:rPr>
        <w:instrText xml:space="preserve"> SEQ Obrázek \* ARABIC \s 1 </w:instrText>
      </w:r>
      <w:r w:rsidR="00F52D6C">
        <w:rPr>
          <w:color w:val="000000" w:themeColor="text1"/>
        </w:rPr>
        <w:fldChar w:fldCharType="separate"/>
      </w:r>
      <w:r w:rsidR="00E07DDE">
        <w:rPr>
          <w:noProof/>
          <w:color w:val="000000" w:themeColor="text1"/>
        </w:rPr>
        <w:t>4</w:t>
      </w:r>
      <w:r w:rsidR="00F52D6C">
        <w:rPr>
          <w:color w:val="000000" w:themeColor="text1"/>
        </w:rPr>
        <w:fldChar w:fldCharType="end"/>
      </w:r>
      <w:r w:rsidRPr="0006144B">
        <w:rPr>
          <w:color w:val="000000" w:themeColor="text1"/>
        </w:rPr>
        <w:t>:</w:t>
      </w:r>
      <w:proofErr w:type="gramEnd"/>
      <w:r w:rsidRPr="0006144B">
        <w:rPr>
          <w:color w:val="000000" w:themeColor="text1"/>
        </w:rPr>
        <w:t xml:space="preserve"> Reálný hrubý domácí produkt</w:t>
      </w:r>
      <w:bookmarkEnd w:id="17"/>
    </w:p>
    <w:p w:rsidR="0006144B" w:rsidRPr="0006144B" w:rsidRDefault="0006144B" w:rsidP="0006144B">
      <w:pPr>
        <w:pStyle w:val="Titulek-jednotkypodnadpisemgrafunebotabulky"/>
        <w:rPr>
          <w:color w:val="000000" w:themeColor="text1"/>
        </w:rPr>
      </w:pPr>
      <w:r>
        <w:t>(růst proti předchozímu roku v %)</w:t>
      </w:r>
    </w:p>
    <w:p w:rsidR="0006144B" w:rsidRDefault="00024E98" w:rsidP="0006144B">
      <w:pPr>
        <w:rPr>
          <w:i/>
          <w:iCs/>
          <w:color w:val="000000"/>
          <w:sz w:val="16"/>
          <w:szCs w:val="16"/>
        </w:rPr>
      </w:pPr>
      <w:r>
        <w:rPr>
          <w:noProof/>
        </w:rPr>
        <w:drawing>
          <wp:inline distT="0" distB="0" distL="0" distR="0" wp14:anchorId="6A4B2504" wp14:editId="5FD7FB5E">
            <wp:extent cx="2933700" cy="1752772"/>
            <wp:effectExtent l="0" t="0" r="0" b="0"/>
            <wp:docPr id="15" name="Graf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06144B" w:rsidRPr="005F3E29">
        <w:rPr>
          <w:i/>
          <w:sz w:val="16"/>
          <w:szCs w:val="16"/>
        </w:rPr>
        <w:t>Zdroj:</w:t>
      </w:r>
      <w:r w:rsidR="0006144B" w:rsidRPr="005F3E29">
        <w:rPr>
          <w:i/>
          <w:iCs/>
          <w:color w:val="000000"/>
          <w:sz w:val="16"/>
          <w:szCs w:val="16"/>
        </w:rPr>
        <w:t xml:space="preserve"> ČSÚ.</w:t>
      </w:r>
      <w:r w:rsidR="0006144B" w:rsidRPr="0006144B">
        <w:rPr>
          <w:i/>
          <w:iCs/>
          <w:color w:val="000000"/>
          <w:sz w:val="16"/>
          <w:szCs w:val="16"/>
        </w:rPr>
        <w:t xml:space="preserve"> Výpočty a predikce MF ČR.</w:t>
      </w:r>
    </w:p>
    <w:p w:rsidR="003164A9" w:rsidRPr="006343E0" w:rsidRDefault="003164A9" w:rsidP="00571E42">
      <w:r w:rsidRPr="004C5283">
        <w:rPr>
          <w:b/>
        </w:rPr>
        <w:t>Spotřeba domácností</w:t>
      </w:r>
      <w:r>
        <w:t xml:space="preserve"> bude nadále podporována růstem </w:t>
      </w:r>
      <w:r w:rsidRPr="008677CE">
        <w:t>disponibilního důchodu</w:t>
      </w:r>
      <w:r>
        <w:t xml:space="preserve">, </w:t>
      </w:r>
      <w:r w:rsidR="00C503F4">
        <w:t>k jehož dynamice přispěje i řada diskrečních změn v sociální oblasti v letech 2019 a 2020.</w:t>
      </w:r>
      <w:r w:rsidR="00571E42">
        <w:t xml:space="preserve"> Růst reálného disponibilního důchodu </w:t>
      </w:r>
      <w:r>
        <w:t>by však měl být pomalejší než v roce 2018 v důsledku nižšího růstu př</w:t>
      </w:r>
      <w:r>
        <w:t>í</w:t>
      </w:r>
      <w:r>
        <w:t xml:space="preserve">jmů z práce a podnikání a </w:t>
      </w:r>
      <w:r w:rsidR="00844634">
        <w:t xml:space="preserve">vyšší </w:t>
      </w:r>
      <w:r w:rsidR="00571E42">
        <w:t>inflac</w:t>
      </w:r>
      <w:r w:rsidR="00337AD5">
        <w:t>e</w:t>
      </w:r>
      <w:r w:rsidR="00571E42">
        <w:t>. V reálné spotř</w:t>
      </w:r>
      <w:r w:rsidR="00571E42">
        <w:t>e</w:t>
      </w:r>
      <w:r w:rsidR="00571E42">
        <w:t>bě domácností by se pak v roc</w:t>
      </w:r>
      <w:r>
        <w:t>e 2020 mělo projevit vyš</w:t>
      </w:r>
      <w:r w:rsidR="00CA20FD">
        <w:t xml:space="preserve">ší </w:t>
      </w:r>
      <w:r w:rsidR="00CA20FD">
        <w:lastRenderedPageBreak/>
        <w:t xml:space="preserve">zdanění tabákových výrobků a </w:t>
      </w:r>
      <w:r>
        <w:t>lih</w:t>
      </w:r>
      <w:r w:rsidR="00571E42">
        <w:t>ovin</w:t>
      </w:r>
      <w:r>
        <w:t>. Růst výdajů d</w:t>
      </w:r>
      <w:r>
        <w:t>o</w:t>
      </w:r>
      <w:r>
        <w:t>mácností na konečnou spotřebu by měl dále brzdit p</w:t>
      </w:r>
      <w:r>
        <w:t>o</w:t>
      </w:r>
      <w:r>
        <w:t xml:space="preserve">kračující nárůst míry úspor, </w:t>
      </w:r>
      <w:r w:rsidR="00027D0D">
        <w:t>ovšem méně</w:t>
      </w:r>
      <w:r>
        <w:t xml:space="preserve"> výrazný </w:t>
      </w:r>
      <w:r w:rsidR="00070A44">
        <w:t xml:space="preserve">než </w:t>
      </w:r>
      <w:r>
        <w:t>v roce 2018. Proto by reálná spotřeba domácností měla v porovnání s</w:t>
      </w:r>
      <w:r w:rsidR="00CA20FD">
        <w:t xml:space="preserve"> </w:t>
      </w:r>
      <w:r>
        <w:t>dynamikou disponibilního důchodu</w:t>
      </w:r>
      <w:r w:rsidR="00057C96">
        <w:t xml:space="preserve"> zp</w:t>
      </w:r>
      <w:r w:rsidR="00057C96">
        <w:t>o</w:t>
      </w:r>
      <w:r w:rsidR="00057C96">
        <w:t>malit méně, a</w:t>
      </w:r>
      <w:r w:rsidR="00CA20FD">
        <w:t xml:space="preserve"> </w:t>
      </w:r>
      <w:r w:rsidR="00057C96">
        <w:t>to na 2,</w:t>
      </w:r>
      <w:r w:rsidR="00912DC5">
        <w:t>6</w:t>
      </w:r>
      <w:r w:rsidR="00057C96">
        <w:t> % v </w:t>
      </w:r>
      <w:r>
        <w:t>roce 2019 a 2,</w:t>
      </w:r>
      <w:r w:rsidR="00912DC5">
        <w:t>4</w:t>
      </w:r>
      <w:r>
        <w:t> % v roce 2020.</w:t>
      </w:r>
      <w:r w:rsidRPr="006343E0">
        <w:t xml:space="preserve"> </w:t>
      </w:r>
      <w:r>
        <w:t>S ohledem na cenový vývoj by se nominální růst spotřeby domácností měl zpomal</w:t>
      </w:r>
      <w:r w:rsidR="003E589D">
        <w:t>i</w:t>
      </w:r>
      <w:r>
        <w:t xml:space="preserve">t, a to z 5,6 % v roce 2019 </w:t>
      </w:r>
      <w:r w:rsidR="003E589D">
        <w:t>na 4,9 % v roce 2020.</w:t>
      </w:r>
    </w:p>
    <w:p w:rsidR="003164A9" w:rsidRPr="006343E0" w:rsidRDefault="003164A9" w:rsidP="003164A9">
      <w:r>
        <w:t>R</w:t>
      </w:r>
      <w:r w:rsidRPr="006343E0">
        <w:t xml:space="preserve">ůst </w:t>
      </w:r>
      <w:r>
        <w:t xml:space="preserve">reálné </w:t>
      </w:r>
      <w:r w:rsidRPr="000D52FF">
        <w:rPr>
          <w:b/>
        </w:rPr>
        <w:t xml:space="preserve">spotřeby </w:t>
      </w:r>
      <w:r>
        <w:rPr>
          <w:b/>
        </w:rPr>
        <w:t xml:space="preserve">sektoru </w:t>
      </w:r>
      <w:r w:rsidRPr="000D52FF">
        <w:rPr>
          <w:b/>
        </w:rPr>
        <w:t>vládních institucí</w:t>
      </w:r>
      <w:r w:rsidRPr="006343E0">
        <w:t xml:space="preserve"> </w:t>
      </w:r>
      <w:r>
        <w:t xml:space="preserve">by </w:t>
      </w:r>
      <w:r w:rsidR="00027D0D">
        <w:t xml:space="preserve">letos </w:t>
      </w:r>
      <w:r>
        <w:t>mohl primárně kvůli vyšší zaměstnanosti dosáhnout 2,4 %, v</w:t>
      </w:r>
      <w:r w:rsidR="003E589D">
        <w:t> roce 2020 by</w:t>
      </w:r>
      <w:r>
        <w:t xml:space="preserve"> se měl pohybovat těsně pod 2 %. </w:t>
      </w:r>
      <w:r w:rsidR="003E589D">
        <w:t>V </w:t>
      </w:r>
      <w:r w:rsidR="00070A44">
        <w:t>nominálním vyjádření by se výdaje vládních institucí na konečnou spotřebu měly v letošním roce zvýšit o 6,9 %, v</w:t>
      </w:r>
      <w:r w:rsidR="003E589D">
        <w:t> </w:t>
      </w:r>
      <w:r w:rsidR="00070A44">
        <w:t>další</w:t>
      </w:r>
      <w:r w:rsidR="003E589D">
        <w:t xml:space="preserve">m roce </w:t>
      </w:r>
      <w:r w:rsidR="00070A44">
        <w:t>pak o 4,3 %.</w:t>
      </w:r>
      <w:r>
        <w:t xml:space="preserve"> K jejich růstu bude přispívat zejména vývoj náhrad zaměstnancům v sektoru vládních institucí, v menší míře pak také dynamika </w:t>
      </w:r>
      <w:proofErr w:type="spellStart"/>
      <w:r>
        <w:t>mez</w:t>
      </w:r>
      <w:r>
        <w:t>i</w:t>
      </w:r>
      <w:r>
        <w:t>spotřeby</w:t>
      </w:r>
      <w:proofErr w:type="spellEnd"/>
      <w:r>
        <w:t xml:space="preserve"> a naturálních sociálních dávek.</w:t>
      </w:r>
    </w:p>
    <w:p w:rsidR="003164A9" w:rsidRDefault="003164A9" w:rsidP="003164A9">
      <w:pPr>
        <w:rPr>
          <w:color w:val="000000"/>
        </w:rPr>
      </w:pPr>
      <w:r>
        <w:t xml:space="preserve">Očekávané výrazné snížení dynamiky </w:t>
      </w:r>
      <w:r w:rsidRPr="008E2117">
        <w:rPr>
          <w:b/>
        </w:rPr>
        <w:t>tvorby hrubého fixního kapitálu</w:t>
      </w:r>
      <w:r>
        <w:t xml:space="preserve"> ze 7,2 % v roce 2018 na 2,5 % v roce 2019 odráží </w:t>
      </w:r>
      <w:r w:rsidR="00571E42">
        <w:t>méně uvolněné</w:t>
      </w:r>
      <w:r>
        <w:t xml:space="preserve"> měnové podmínky</w:t>
      </w:r>
      <w:r w:rsidR="00571E42">
        <w:t xml:space="preserve"> v</w:t>
      </w:r>
      <w:r w:rsidR="00CA20FD">
        <w:t xml:space="preserve"> </w:t>
      </w:r>
      <w:r w:rsidR="00571E42">
        <w:t>úrok</w:t>
      </w:r>
      <w:r w:rsidR="00571E42">
        <w:t>o</w:t>
      </w:r>
      <w:r w:rsidR="00571E42">
        <w:t>vé složce</w:t>
      </w:r>
      <w:r>
        <w:t xml:space="preserve"> </w:t>
      </w:r>
      <w:r w:rsidR="007817CC">
        <w:t xml:space="preserve">a </w:t>
      </w:r>
      <w:r>
        <w:t>pomalejší růst ekonomik hlavních obcho</w:t>
      </w:r>
      <w:r>
        <w:t>d</w:t>
      </w:r>
      <w:r>
        <w:t>ních partnerů</w:t>
      </w:r>
      <w:r w:rsidR="007817CC">
        <w:t>.</w:t>
      </w:r>
      <w:r>
        <w:t xml:space="preserve"> </w:t>
      </w:r>
      <w:r w:rsidR="007817CC">
        <w:t>Z</w:t>
      </w:r>
      <w:r>
        <w:t>pomal</w:t>
      </w:r>
      <w:r w:rsidR="007817CC">
        <w:t>it by však měly</w:t>
      </w:r>
      <w:r>
        <w:t xml:space="preserve"> </w:t>
      </w:r>
      <w:r w:rsidR="007817CC">
        <w:t xml:space="preserve">i </w:t>
      </w:r>
      <w:r>
        <w:t>investic</w:t>
      </w:r>
      <w:r w:rsidR="007817CC">
        <w:t>e</w:t>
      </w:r>
      <w:r>
        <w:t xml:space="preserve"> sektoru vládních institucí. Zejména u nich představuje výše i</w:t>
      </w:r>
      <w:r>
        <w:t>n</w:t>
      </w:r>
      <w:r>
        <w:t>vestic z roku 2018 vysokou srovnávací základnu, a to nejenom z titu</w:t>
      </w:r>
      <w:r w:rsidR="00571E42">
        <w:t>lu rozpočtovaných částek, ale i </w:t>
      </w:r>
      <w:r>
        <w:t>skutečnosti, že pro</w:t>
      </w:r>
      <w:r w:rsidR="00CA20FD">
        <w:t>středky z </w:t>
      </w:r>
      <w:r>
        <w:t xml:space="preserve">fondů </w:t>
      </w:r>
      <w:r w:rsidR="001C5E5D">
        <w:t xml:space="preserve">Evropské unie </w:t>
      </w:r>
      <w:r>
        <w:t>al</w:t>
      </w:r>
      <w:r>
        <w:t>o</w:t>
      </w:r>
      <w:r>
        <w:t>kované pro roky 2014 a 2015 bylo možné čerpat jen do konce</w:t>
      </w:r>
      <w:r w:rsidR="00A46C13">
        <w:t xml:space="preserve"> minulého roku. V </w:t>
      </w:r>
      <w:r w:rsidR="003E589D">
        <w:t>roce</w:t>
      </w:r>
      <w:r w:rsidR="00A46C13">
        <w:t xml:space="preserve"> 2020 </w:t>
      </w:r>
      <w:r>
        <w:t>by celkové investice mohly růst obdobným tempem jako v roce leto</w:t>
      </w:r>
      <w:r w:rsidR="00A46C13">
        <w:t>šním</w:t>
      </w:r>
      <w:r w:rsidR="003E589D">
        <w:t>.</w:t>
      </w:r>
      <w:r>
        <w:t xml:space="preserve"> P</w:t>
      </w:r>
      <w:r>
        <w:rPr>
          <w:color w:val="000000"/>
        </w:rPr>
        <w:t>ozitivně by na vývoj investic měla působit investiční aktivita jak soukromého sektoru, tak vládních institucí.</w:t>
      </w:r>
      <w:r w:rsidRPr="00106F13">
        <w:rPr>
          <w:color w:val="000000"/>
        </w:rPr>
        <w:t xml:space="preserve"> </w:t>
      </w:r>
      <w:r>
        <w:rPr>
          <w:color w:val="000000"/>
        </w:rPr>
        <w:t>Soukromé investice stimuluje mírně nadprůměrné využ</w:t>
      </w:r>
      <w:r>
        <w:rPr>
          <w:color w:val="000000"/>
        </w:rPr>
        <w:t>i</w:t>
      </w:r>
      <w:r>
        <w:rPr>
          <w:color w:val="000000"/>
        </w:rPr>
        <w:t>tí výrobních kapaci</w:t>
      </w:r>
      <w:r w:rsidR="003F4A43">
        <w:rPr>
          <w:color w:val="000000"/>
        </w:rPr>
        <w:t>t ve zpracovatelském průmyslu a</w:t>
      </w:r>
      <w:r w:rsidR="00BD088A">
        <w:rPr>
          <w:color w:val="000000"/>
        </w:rPr>
        <w:t xml:space="preserve"> </w:t>
      </w:r>
      <w:r>
        <w:rPr>
          <w:color w:val="000000"/>
        </w:rPr>
        <w:t xml:space="preserve">pokračující, byť </w:t>
      </w:r>
      <w:r w:rsidR="003F4A43">
        <w:rPr>
          <w:color w:val="000000"/>
        </w:rPr>
        <w:t>pozvolnější, hospodářský růst v </w:t>
      </w:r>
      <w:r>
        <w:rPr>
          <w:color w:val="000000"/>
        </w:rPr>
        <w:t xml:space="preserve">zahraničí. Rovněž </w:t>
      </w:r>
      <w:r w:rsidR="00663E1D">
        <w:rPr>
          <w:color w:val="000000"/>
        </w:rPr>
        <w:t>přetrvávající</w:t>
      </w:r>
      <w:r>
        <w:rPr>
          <w:color w:val="000000"/>
        </w:rPr>
        <w:t xml:space="preserve"> nedostatek zaměstna</w:t>
      </w:r>
      <w:r>
        <w:rPr>
          <w:color w:val="000000"/>
        </w:rPr>
        <w:t>n</w:t>
      </w:r>
      <w:r>
        <w:rPr>
          <w:color w:val="000000"/>
        </w:rPr>
        <w:t xml:space="preserve">ců a klesající relativní cena kapitálu vůči ceně práce </w:t>
      </w:r>
      <w:r>
        <w:rPr>
          <w:color w:val="000000"/>
        </w:rPr>
        <w:lastRenderedPageBreak/>
        <w:t>motivují firmy k investicím zvyšujícím produktivitu. M</w:t>
      </w:r>
      <w:r>
        <w:rPr>
          <w:color w:val="000000"/>
        </w:rPr>
        <w:t>ě</w:t>
      </w:r>
      <w:r>
        <w:rPr>
          <w:color w:val="000000"/>
        </w:rPr>
        <w:t>nové podmínky by na investiční aktivit</w:t>
      </w:r>
      <w:r w:rsidR="00BD164E">
        <w:rPr>
          <w:color w:val="000000"/>
        </w:rPr>
        <w:t>u</w:t>
      </w:r>
      <w:r>
        <w:rPr>
          <w:color w:val="000000"/>
        </w:rPr>
        <w:t xml:space="preserve"> měly působit </w:t>
      </w:r>
      <w:r w:rsidR="00597E9E">
        <w:rPr>
          <w:color w:val="000000"/>
        </w:rPr>
        <w:t>téměř</w:t>
      </w:r>
      <w:r>
        <w:rPr>
          <w:color w:val="000000"/>
        </w:rPr>
        <w:t xml:space="preserve"> neutrálně. Soukromé investice by naopak mohlo zbrzdit naplnění některých výrazně negativních rizik ve vnějším prostředí. U investic sektoru vládních institucí počítáme s růstem investičních výdajů financovaných z</w:t>
      </w:r>
      <w:r w:rsidR="00BF5107">
        <w:rPr>
          <w:color w:val="000000"/>
        </w:rPr>
        <w:t> </w:t>
      </w:r>
      <w:r>
        <w:rPr>
          <w:color w:val="000000"/>
        </w:rPr>
        <w:t>národních zdrojů. Výrazné riziko směrem vzhůru pře</w:t>
      </w:r>
      <w:r>
        <w:rPr>
          <w:color w:val="000000"/>
        </w:rPr>
        <w:t>d</w:t>
      </w:r>
      <w:r>
        <w:rPr>
          <w:color w:val="000000"/>
        </w:rPr>
        <w:t>stavují plánované akvizice arm</w:t>
      </w:r>
      <w:r w:rsidR="00A46C13">
        <w:rPr>
          <w:color w:val="000000"/>
        </w:rPr>
        <w:t>ádní techniky v hodnotě přes 80 </w:t>
      </w:r>
      <w:r w:rsidR="00CA20FD">
        <w:rPr>
          <w:color w:val="000000"/>
        </w:rPr>
        <w:t>mld. </w:t>
      </w:r>
      <w:r w:rsidR="00BD164E">
        <w:rPr>
          <w:color w:val="000000"/>
        </w:rPr>
        <w:t>Kč.</w:t>
      </w:r>
    </w:p>
    <w:p w:rsidR="00663E1D" w:rsidRPr="000D0F2C" w:rsidRDefault="00663E1D" w:rsidP="00663E1D">
      <w:r w:rsidRPr="00F51175">
        <w:t xml:space="preserve">Dynamika </w:t>
      </w:r>
      <w:r w:rsidRPr="00F51175">
        <w:rPr>
          <w:b/>
        </w:rPr>
        <w:t>vývozu zboží a služeb</w:t>
      </w:r>
      <w:r w:rsidRPr="00F51175">
        <w:t xml:space="preserve"> by v roce 2019 měla být oproti předchozímu roku nižší vlivem poklesu exportní výkonnosti, na níž se </w:t>
      </w:r>
      <w:r>
        <w:t xml:space="preserve">mimo jiné </w:t>
      </w:r>
      <w:r w:rsidRPr="00F51175">
        <w:t>negativně podepsal pokles výroby automobilů v 1. polovině 2019. Vývoj exportní výkonnosti rovněž odráží rostoucí jednotkové náklady práce</w:t>
      </w:r>
      <w:r w:rsidR="00CA20FD">
        <w:t xml:space="preserve">, očekávané posilování koruny a </w:t>
      </w:r>
      <w:r w:rsidRPr="00F51175">
        <w:t>nedost</w:t>
      </w:r>
      <w:r w:rsidRPr="00F51175">
        <w:t>a</w:t>
      </w:r>
      <w:r w:rsidRPr="00F51175">
        <w:t xml:space="preserve">tek kvalifikované pracovní síly. </w:t>
      </w:r>
      <w:r>
        <w:t>Opačným směrem na</w:t>
      </w:r>
      <w:r>
        <w:t>o</w:t>
      </w:r>
      <w:r>
        <w:t xml:space="preserve">pak na vývoz zboží působí růst exportních trhů ovlivněný zejména silnými dovozy do Spojeného království, kde může jít o předzásobení v souvislosti s riziky vystoupení z EU. </w:t>
      </w:r>
      <w:r w:rsidRPr="00F51175">
        <w:t>Očekáváme, že se vývoz zboží a</w:t>
      </w:r>
      <w:r>
        <w:t> </w:t>
      </w:r>
      <w:r w:rsidRPr="00F51175">
        <w:t>služeb v roce 2019 zvýší o 3,6 %</w:t>
      </w:r>
      <w:r>
        <w:t>. V souvislosti se zpomalením růstu expor</w:t>
      </w:r>
      <w:r>
        <w:t>t</w:t>
      </w:r>
      <w:r>
        <w:t>ních trhů v roce 2020 vlivem nižší dynamiky</w:t>
      </w:r>
      <w:r w:rsidRPr="0069335F">
        <w:t xml:space="preserve"> dovozní náročnosti (dané odezněním silných dovozů do Spojen</w:t>
      </w:r>
      <w:r w:rsidRPr="0069335F">
        <w:t>é</w:t>
      </w:r>
      <w:r w:rsidRPr="0069335F">
        <w:t>ho království)</w:t>
      </w:r>
      <w:r>
        <w:t xml:space="preserve"> počítáme s růstem vývozu </w:t>
      </w:r>
      <w:r w:rsidR="002E3C4D">
        <w:t xml:space="preserve">o </w:t>
      </w:r>
      <w:r>
        <w:t xml:space="preserve">3,3 %. </w:t>
      </w:r>
      <w:r w:rsidRPr="00F51175">
        <w:t>Zpom</w:t>
      </w:r>
      <w:r w:rsidRPr="00F51175">
        <w:t>a</w:t>
      </w:r>
      <w:r w:rsidRPr="00F51175">
        <w:t xml:space="preserve">lení vývozu a dovozně náročné investiční poptávky se odrazí v nižším tempu </w:t>
      </w:r>
      <w:r w:rsidRPr="00F51175">
        <w:rPr>
          <w:b/>
        </w:rPr>
        <w:t>dovozu zboží a služeb</w:t>
      </w:r>
      <w:r w:rsidRPr="00F51175">
        <w:t>. Dovoz tak letos i v příštím roce pravděpodobně vzroste o 3,4 %.</w:t>
      </w:r>
    </w:p>
    <w:p w:rsidR="003164A9" w:rsidRPr="006343E0" w:rsidRDefault="003164A9" w:rsidP="003164A9">
      <w:r w:rsidRPr="006343E0">
        <w:t xml:space="preserve">Česká ekonomika </w:t>
      </w:r>
      <w:r>
        <w:t xml:space="preserve">se již od poloviny roku 2017 pohybuje mírně nad svým potenciálem, </w:t>
      </w:r>
      <w:r w:rsidRPr="00023B07">
        <w:rPr>
          <w:b/>
        </w:rPr>
        <w:t>produkční mezera</w:t>
      </w:r>
      <w:r>
        <w:t xml:space="preserve"> je v</w:t>
      </w:r>
      <w:r>
        <w:t>í</w:t>
      </w:r>
      <w:r>
        <w:t>ceméně stabilní na úrovni okolo 1,6 % potenciálního produktu.</w:t>
      </w:r>
      <w:r w:rsidRPr="006343E0">
        <w:t xml:space="preserve"> </w:t>
      </w:r>
      <w:r w:rsidRPr="007739BD">
        <w:t xml:space="preserve">Vzhledem k predikci </w:t>
      </w:r>
      <w:r>
        <w:t>hospodářského</w:t>
      </w:r>
      <w:r w:rsidRPr="007739BD">
        <w:t xml:space="preserve"> růstu a</w:t>
      </w:r>
      <w:r w:rsidR="00CA20FD">
        <w:t> </w:t>
      </w:r>
      <w:r w:rsidRPr="007739BD">
        <w:t xml:space="preserve">předpokládanému vývoji potenciálního produktu by </w:t>
      </w:r>
      <w:r>
        <w:t>v horizontu makro</w:t>
      </w:r>
      <w:r w:rsidR="00CA20FD">
        <w:t>ekonomického rámce mělo dojít k </w:t>
      </w:r>
      <w:r>
        <w:t>pozvolnému uzav</w:t>
      </w:r>
      <w:r w:rsidR="00570B0D">
        <w:t>írání</w:t>
      </w:r>
      <w:r>
        <w:t xml:space="preserve"> produkční mezery.</w:t>
      </w:r>
    </w:p>
    <w:p w:rsidR="0006144B" w:rsidRDefault="003164A9" w:rsidP="003164A9">
      <w:r w:rsidRPr="006343E0">
        <w:t xml:space="preserve">Růst </w:t>
      </w:r>
      <w:r w:rsidRPr="006D5542">
        <w:rPr>
          <w:b/>
        </w:rPr>
        <w:t>nominálního HDP</w:t>
      </w:r>
      <w:r w:rsidRPr="006343E0">
        <w:t xml:space="preserve"> je dán vývojem reálného ekon</w:t>
      </w:r>
      <w:r w:rsidRPr="006343E0">
        <w:t>o</w:t>
      </w:r>
      <w:r w:rsidRPr="006343E0">
        <w:t xml:space="preserve">mického výkonu a cenové složky HDP. </w:t>
      </w:r>
      <w:r>
        <w:t>D</w:t>
      </w:r>
      <w:r w:rsidRPr="006343E0">
        <w:t xml:space="preserve">eflátor hrubých domácích výdajů by </w:t>
      </w:r>
      <w:r>
        <w:t xml:space="preserve">v tomto roce mohl vzrůst </w:t>
      </w:r>
      <w:r w:rsidR="00A46C13">
        <w:t>o </w:t>
      </w:r>
      <w:r w:rsidR="00801B86">
        <w:t>3,0</w:t>
      </w:r>
      <w:r>
        <w:t> %, v </w:t>
      </w:r>
      <w:r w:rsidR="00570B0D">
        <w:t>roce</w:t>
      </w:r>
      <w:r>
        <w:t xml:space="preserve"> 2020 by jeho dynamika mohla být přibližně o 1 p. b. </w:t>
      </w:r>
      <w:proofErr w:type="gramStart"/>
      <w:r>
        <w:t>nižší</w:t>
      </w:r>
      <w:proofErr w:type="gramEnd"/>
      <w:r>
        <w:t>.</w:t>
      </w:r>
      <w:r w:rsidRPr="006343E0">
        <w:t xml:space="preserve"> </w:t>
      </w:r>
      <w:r>
        <w:t>Dominantním faktorem bude vývoj deflát</w:t>
      </w:r>
      <w:r>
        <w:t>o</w:t>
      </w:r>
      <w:r>
        <w:t>ru spotřeby domácností (odrážející vývoj spotřebite</w:t>
      </w:r>
      <w:r>
        <w:t>l</w:t>
      </w:r>
      <w:r>
        <w:t>ských cen, viz níže) a deflátoru spotřeby sektoru vlá</w:t>
      </w:r>
      <w:r>
        <w:t>d</w:t>
      </w:r>
      <w:r>
        <w:t>ních institucí, jehož růst bude do značné míry determ</w:t>
      </w:r>
      <w:r>
        <w:t>i</w:t>
      </w:r>
      <w:r>
        <w:t xml:space="preserve">nován dynamikou náhrad zaměstnancům </w:t>
      </w:r>
      <w:r w:rsidR="00A46C13">
        <w:t>v </w:t>
      </w:r>
      <w:r>
        <w:t>sektoru vládních institucí. Směnné relace by se letos mohly zle</w:t>
      </w:r>
      <w:r>
        <w:t>p</w:t>
      </w:r>
      <w:r w:rsidR="00C91F8B">
        <w:t>šit o 0,2 %, v dalším</w:t>
      </w:r>
      <w:r>
        <w:t xml:space="preserve"> </w:t>
      </w:r>
      <w:r w:rsidR="00C91F8B">
        <w:t xml:space="preserve">roce </w:t>
      </w:r>
      <w:r>
        <w:t xml:space="preserve">by se měly </w:t>
      </w:r>
      <w:r w:rsidR="00C91F8B">
        <w:t xml:space="preserve">zvýšit </w:t>
      </w:r>
      <w:r>
        <w:t>o</w:t>
      </w:r>
      <w:r w:rsidR="00D13E36">
        <w:t> </w:t>
      </w:r>
      <w:r>
        <w:t>0,3 %.</w:t>
      </w:r>
      <w:r w:rsidRPr="00EC52C5">
        <w:t xml:space="preserve"> </w:t>
      </w:r>
      <w:r>
        <w:t xml:space="preserve">Na směnné relace bude mít klíčový vliv vývoj </w:t>
      </w:r>
      <w:r w:rsidRPr="00EC52C5">
        <w:t>cen</w:t>
      </w:r>
      <w:r>
        <w:t>y</w:t>
      </w:r>
      <w:r w:rsidRPr="00EC52C5">
        <w:t xml:space="preserve"> ropy</w:t>
      </w:r>
      <w:r>
        <w:t xml:space="preserve"> a měnového kurzu. V úhrnu by tak růst n</w:t>
      </w:r>
      <w:r w:rsidRPr="006343E0">
        <w:t>ominální</w:t>
      </w:r>
      <w:r>
        <w:t>ho</w:t>
      </w:r>
      <w:r w:rsidRPr="006343E0">
        <w:t xml:space="preserve"> HDP mohl </w:t>
      </w:r>
      <w:r>
        <w:t xml:space="preserve">letos dosáhnout 5,6 % a dále </w:t>
      </w:r>
      <w:r w:rsidRPr="006343E0">
        <w:t xml:space="preserve">by </w:t>
      </w:r>
      <w:r>
        <w:t xml:space="preserve">se měl zpomalit </w:t>
      </w:r>
      <w:r w:rsidR="00C91F8B">
        <w:t>na</w:t>
      </w:r>
      <w:r>
        <w:t xml:space="preserve"> 4,5 % v roce 2020</w:t>
      </w:r>
      <w:r w:rsidRPr="006343E0">
        <w:t>.</w:t>
      </w:r>
    </w:p>
    <w:p w:rsidR="0006144B" w:rsidRDefault="0006144B" w:rsidP="0006144B">
      <w:pPr>
        <w:pStyle w:val="Nadpis3"/>
      </w:pPr>
      <w:r>
        <w:t>Spotřebitelské ceny</w:t>
      </w:r>
    </w:p>
    <w:p w:rsidR="00B91DAA" w:rsidRDefault="00B91DAA" w:rsidP="00B91DAA">
      <w:r w:rsidRPr="0080711E">
        <w:t>V</w:t>
      </w:r>
      <w:r>
        <w:t> první polovině roku</w:t>
      </w:r>
      <w:r w:rsidRPr="0080711E">
        <w:t xml:space="preserve"> 201</w:t>
      </w:r>
      <w:r>
        <w:t>9</w:t>
      </w:r>
      <w:r w:rsidRPr="0080711E">
        <w:t xml:space="preserve"> se </w:t>
      </w:r>
      <w:r>
        <w:t>v</w:t>
      </w:r>
      <w:r w:rsidR="00C96A6C">
        <w:t>e vývoji</w:t>
      </w:r>
      <w:r>
        <w:t xml:space="preserve"> </w:t>
      </w:r>
      <w:r w:rsidR="00D13E36" w:rsidRPr="00BD088A">
        <w:rPr>
          <w:b/>
        </w:rPr>
        <w:t xml:space="preserve">spotřebitelských </w:t>
      </w:r>
      <w:r w:rsidRPr="00BD088A">
        <w:rPr>
          <w:b/>
        </w:rPr>
        <w:t xml:space="preserve">cen </w:t>
      </w:r>
      <w:r w:rsidRPr="0080711E">
        <w:t>pro</w:t>
      </w:r>
      <w:r>
        <w:t>mítl</w:t>
      </w:r>
      <w:r w:rsidR="00D13E36">
        <w:t>y</w:t>
      </w:r>
      <w:r w:rsidRPr="0080711E">
        <w:t xml:space="preserve"> </w:t>
      </w:r>
      <w:r>
        <w:t>postupně</w:t>
      </w:r>
      <w:r w:rsidRPr="0080711E">
        <w:t xml:space="preserve"> </w:t>
      </w:r>
      <w:r w:rsidR="00C96A6C">
        <w:t>narůstající</w:t>
      </w:r>
      <w:r>
        <w:t xml:space="preserve"> </w:t>
      </w:r>
      <w:r w:rsidR="00D13E36">
        <w:t>ceny</w:t>
      </w:r>
      <w:r>
        <w:t xml:space="preserve"> potravin</w:t>
      </w:r>
      <w:r w:rsidR="00BD088A">
        <w:t xml:space="preserve"> a </w:t>
      </w:r>
      <w:r w:rsidRPr="0080711E">
        <w:t>nea</w:t>
      </w:r>
      <w:r w:rsidRPr="0080711E">
        <w:t>l</w:t>
      </w:r>
      <w:r w:rsidRPr="0080711E">
        <w:t>koholick</w:t>
      </w:r>
      <w:r w:rsidR="00D13E36">
        <w:t>ých</w:t>
      </w:r>
      <w:r w:rsidRPr="0080711E">
        <w:t xml:space="preserve"> nápoj</w:t>
      </w:r>
      <w:r w:rsidR="00D13E36">
        <w:t>ů</w:t>
      </w:r>
      <w:r w:rsidRPr="0080711E">
        <w:t xml:space="preserve">, </w:t>
      </w:r>
      <w:r>
        <w:t>stejně jako regulovaných cen (př</w:t>
      </w:r>
      <w:r>
        <w:t>e</w:t>
      </w:r>
      <w:r>
        <w:t>devším elektřiny)</w:t>
      </w:r>
      <w:r w:rsidRPr="0080711E">
        <w:t xml:space="preserve">. </w:t>
      </w:r>
      <w:r>
        <w:t>Silně p</w:t>
      </w:r>
      <w:r w:rsidRPr="0080711E">
        <w:t xml:space="preserve">roinflačně by </w:t>
      </w:r>
      <w:r>
        <w:t xml:space="preserve">po celý rok </w:t>
      </w:r>
      <w:r w:rsidRPr="0080711E">
        <w:t>měl</w:t>
      </w:r>
      <w:r>
        <w:t>a</w:t>
      </w:r>
      <w:r w:rsidRPr="0080711E">
        <w:t xml:space="preserve"> působit </w:t>
      </w:r>
      <w:r>
        <w:t>pokračující výrazná</w:t>
      </w:r>
      <w:r w:rsidRPr="0080711E">
        <w:t xml:space="preserve"> dynamika jednotkových nákladů práce </w:t>
      </w:r>
      <w:r>
        <w:t>a zvyšující se spotřeba domácností v</w:t>
      </w:r>
      <w:r w:rsidR="00BD088A">
        <w:t xml:space="preserve"> </w:t>
      </w:r>
      <w:r>
        <w:t>pr</w:t>
      </w:r>
      <w:r>
        <w:t>o</w:t>
      </w:r>
      <w:r>
        <w:lastRenderedPageBreak/>
        <w:t>střed</w:t>
      </w:r>
      <w:r w:rsidRPr="0080711E">
        <w:t xml:space="preserve">í kladné produkční mezery. </w:t>
      </w:r>
      <w:r w:rsidR="006D27C2">
        <w:t>C</w:t>
      </w:r>
      <w:r>
        <w:t>ena ropy</w:t>
      </w:r>
      <w:r w:rsidR="006D27C2">
        <w:t xml:space="preserve"> by měla mít protiinflační efekt</w:t>
      </w:r>
      <w:r>
        <w:t>, vývoj měnového kurzu</w:t>
      </w:r>
      <w:r w:rsidR="006D27C2">
        <w:t xml:space="preserve"> pak přibližně neutrální</w:t>
      </w:r>
      <w:r w:rsidRPr="0080711E">
        <w:t>.</w:t>
      </w:r>
    </w:p>
    <w:p w:rsidR="0006144B" w:rsidRDefault="00AA0B04" w:rsidP="00B91DAA">
      <w:r>
        <w:t>Předpokládaným</w:t>
      </w:r>
      <w:r w:rsidR="00B91DAA">
        <w:t xml:space="preserve"> hlavním faktorem v roce 2020 budou oslabené poptávkové inflační tlaky plynoucí ze zpomal</w:t>
      </w:r>
      <w:r w:rsidR="00B91DAA">
        <w:t>e</w:t>
      </w:r>
      <w:r w:rsidR="00B91DAA">
        <w:t>ní</w:t>
      </w:r>
      <w:r w:rsidR="006D27C2">
        <w:t xml:space="preserve"> </w:t>
      </w:r>
      <w:r w:rsidR="00B91DAA">
        <w:t xml:space="preserve">nárůstu příjmů domácností a jejich poptávky. Mírně protiinflačně by měla působit cena ropy a posílení české koruny k oběma hlavním světovým měnám. Vývoj cen bude také ovlivněn změnami nepřímých daní, </w:t>
      </w:r>
      <w:r w:rsidR="006D27C2">
        <w:t>jejichž celkový vliv bude</w:t>
      </w:r>
      <w:r w:rsidR="00B91DAA">
        <w:t xml:space="preserve"> mírně proinflačn</w:t>
      </w:r>
      <w:r w:rsidR="006D27C2">
        <w:t>í</w:t>
      </w:r>
      <w:r w:rsidR="00B91DAA">
        <w:t xml:space="preserve">. Dopad </w:t>
      </w:r>
      <w:r w:rsidR="00B91DAA" w:rsidRPr="001908DB">
        <w:t>přesun</w:t>
      </w:r>
      <w:r w:rsidR="00B91DAA">
        <w:t>u</w:t>
      </w:r>
      <w:r w:rsidR="00B91DAA" w:rsidRPr="001908DB">
        <w:t xml:space="preserve"> </w:t>
      </w:r>
      <w:r w:rsidR="00B91DAA">
        <w:t xml:space="preserve">vybraných cenových reprezentantů </w:t>
      </w:r>
      <w:r w:rsidR="00B91DAA" w:rsidRPr="001908DB">
        <w:t>do druhé snížené sazby daně z přidané hodnoty</w:t>
      </w:r>
      <w:r w:rsidR="00B91DAA">
        <w:t xml:space="preserve"> by měl být více než ko</w:t>
      </w:r>
      <w:r w:rsidR="00B91DAA">
        <w:t>m</w:t>
      </w:r>
      <w:r w:rsidR="00B91DAA">
        <w:t>penzován zvýšením spotřebních daní z tabákových v</w:t>
      </w:r>
      <w:r w:rsidR="00B91DAA">
        <w:t>ý</w:t>
      </w:r>
      <w:r w:rsidR="00B91DAA">
        <w:t>robků a lihu. Průměrná míra inflace by mohla v roce 2019 mírně zrychlit na 2,</w:t>
      </w:r>
      <w:r w:rsidR="00912DC5">
        <w:t>7</w:t>
      </w:r>
      <w:r w:rsidR="00B91DAA">
        <w:t> % a v roce 2020 klesnout na 2,</w:t>
      </w:r>
      <w:r w:rsidR="00912DC5">
        <w:t>4</w:t>
      </w:r>
      <w:r w:rsidR="00B91DAA">
        <w:t xml:space="preserve"> %. </w:t>
      </w:r>
    </w:p>
    <w:p w:rsidR="0006144B" w:rsidRPr="0006144B" w:rsidRDefault="0006144B" w:rsidP="0006144B">
      <w:pPr>
        <w:pStyle w:val="Titulek"/>
        <w:spacing w:before="120"/>
        <w:rPr>
          <w:color w:val="000000" w:themeColor="text1"/>
        </w:rPr>
      </w:pPr>
      <w:bookmarkStart w:id="18" w:name="_Toc17733211"/>
      <w:proofErr w:type="gramStart"/>
      <w:r w:rsidRPr="0006144B">
        <w:rPr>
          <w:color w:val="000000" w:themeColor="text1"/>
        </w:rPr>
        <w:t xml:space="preserve">Obrázek </w:t>
      </w:r>
      <w:r w:rsidR="00F52D6C">
        <w:rPr>
          <w:color w:val="000000" w:themeColor="text1"/>
        </w:rPr>
        <w:fldChar w:fldCharType="begin"/>
      </w:r>
      <w:r w:rsidR="00F52D6C">
        <w:rPr>
          <w:color w:val="000000" w:themeColor="text1"/>
        </w:rPr>
        <w:instrText xml:space="preserve"> STYLEREF 1 \s </w:instrText>
      </w:r>
      <w:r w:rsidR="00F52D6C">
        <w:rPr>
          <w:color w:val="000000" w:themeColor="text1"/>
        </w:rPr>
        <w:fldChar w:fldCharType="separate"/>
      </w:r>
      <w:r w:rsidR="00E07DDE">
        <w:rPr>
          <w:noProof/>
          <w:color w:val="000000" w:themeColor="text1"/>
        </w:rPr>
        <w:t>2</w:t>
      </w:r>
      <w:r w:rsidR="00F52D6C">
        <w:rPr>
          <w:color w:val="000000" w:themeColor="text1"/>
        </w:rPr>
        <w:fldChar w:fldCharType="end"/>
      </w:r>
      <w:r w:rsidR="00F52D6C">
        <w:rPr>
          <w:color w:val="000000" w:themeColor="text1"/>
        </w:rPr>
        <w:t>.</w:t>
      </w:r>
      <w:r w:rsidR="00F52D6C">
        <w:rPr>
          <w:color w:val="000000" w:themeColor="text1"/>
        </w:rPr>
        <w:fldChar w:fldCharType="begin"/>
      </w:r>
      <w:r w:rsidR="00F52D6C">
        <w:rPr>
          <w:color w:val="000000" w:themeColor="text1"/>
        </w:rPr>
        <w:instrText xml:space="preserve"> SEQ Obrázek \* ARABIC \s 1 </w:instrText>
      </w:r>
      <w:r w:rsidR="00F52D6C">
        <w:rPr>
          <w:color w:val="000000" w:themeColor="text1"/>
        </w:rPr>
        <w:fldChar w:fldCharType="separate"/>
      </w:r>
      <w:r w:rsidR="00E07DDE">
        <w:rPr>
          <w:noProof/>
          <w:color w:val="000000" w:themeColor="text1"/>
        </w:rPr>
        <w:t>5</w:t>
      </w:r>
      <w:r w:rsidR="00F52D6C">
        <w:rPr>
          <w:color w:val="000000" w:themeColor="text1"/>
        </w:rPr>
        <w:fldChar w:fldCharType="end"/>
      </w:r>
      <w:r w:rsidRPr="0006144B">
        <w:rPr>
          <w:color w:val="000000" w:themeColor="text1"/>
        </w:rPr>
        <w:t>:</w:t>
      </w:r>
      <w:proofErr w:type="gramEnd"/>
      <w:r w:rsidRPr="0006144B">
        <w:rPr>
          <w:color w:val="000000" w:themeColor="text1"/>
        </w:rPr>
        <w:t xml:space="preserve"> </w:t>
      </w:r>
      <w:r>
        <w:rPr>
          <w:color w:val="000000" w:themeColor="text1"/>
        </w:rPr>
        <w:t>Spotřebitelské ceny</w:t>
      </w:r>
      <w:bookmarkEnd w:id="18"/>
    </w:p>
    <w:p w:rsidR="0006144B" w:rsidRPr="0006144B" w:rsidRDefault="0006144B" w:rsidP="0006144B">
      <w:pPr>
        <w:pStyle w:val="Titulek-jednotkypodnadpisemgrafunebotabulky"/>
        <w:rPr>
          <w:color w:val="000000" w:themeColor="text1"/>
        </w:rPr>
      </w:pPr>
      <w:r>
        <w:t>(průměrná míra inflace v %)</w:t>
      </w:r>
    </w:p>
    <w:p w:rsidR="0006144B" w:rsidRDefault="00024E98" w:rsidP="0006144B">
      <w:r>
        <w:rPr>
          <w:noProof/>
        </w:rPr>
        <w:drawing>
          <wp:inline distT="0" distB="0" distL="0" distR="0" wp14:anchorId="7BD33B15" wp14:editId="718E9115">
            <wp:extent cx="2933700" cy="1752772"/>
            <wp:effectExtent l="0" t="0" r="0" b="0"/>
            <wp:docPr id="16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06144B" w:rsidRPr="005F3E29">
        <w:rPr>
          <w:i/>
          <w:sz w:val="16"/>
          <w:szCs w:val="16"/>
        </w:rPr>
        <w:t>Zdroj:</w:t>
      </w:r>
      <w:r w:rsidR="0006144B" w:rsidRPr="005F3E29">
        <w:rPr>
          <w:i/>
          <w:iCs/>
          <w:color w:val="000000"/>
          <w:sz w:val="16"/>
          <w:szCs w:val="16"/>
        </w:rPr>
        <w:t xml:space="preserve"> ČSÚ</w:t>
      </w:r>
      <w:r w:rsidR="0006144B" w:rsidRPr="0006144B">
        <w:rPr>
          <w:i/>
          <w:iCs/>
          <w:color w:val="000000"/>
          <w:sz w:val="16"/>
          <w:szCs w:val="16"/>
        </w:rPr>
        <w:t>. Výpočty a predikce MF ČR.</w:t>
      </w:r>
    </w:p>
    <w:p w:rsidR="005F3E29" w:rsidRDefault="005F3E29" w:rsidP="005C6EB8">
      <w:pPr>
        <w:pStyle w:val="Nadpis3"/>
        <w:spacing w:before="0"/>
      </w:pPr>
      <w:r>
        <w:t>Trh práce</w:t>
      </w:r>
    </w:p>
    <w:p w:rsidR="00B91DAA" w:rsidRDefault="00CA73E5" w:rsidP="00B91DAA">
      <w:bookmarkStart w:id="19" w:name="_Toc458517019"/>
      <w:bookmarkStart w:id="20" w:name="_Toc490651294"/>
      <w:bookmarkStart w:id="21" w:name="_Toc490651389"/>
      <w:bookmarkStart w:id="22" w:name="_Toc491699844"/>
      <w:bookmarkStart w:id="23" w:name="_Toc491699879"/>
      <w:bookmarkStart w:id="24" w:name="_Toc520798480"/>
      <w:bookmarkStart w:id="25" w:name="_Toc522209684"/>
      <w:r w:rsidRPr="00BD088A">
        <w:t>Demografický a e</w:t>
      </w:r>
      <w:bookmarkEnd w:id="19"/>
      <w:bookmarkEnd w:id="20"/>
      <w:bookmarkEnd w:id="21"/>
      <w:bookmarkEnd w:id="22"/>
      <w:bookmarkEnd w:id="23"/>
      <w:bookmarkEnd w:id="24"/>
      <w:bookmarkEnd w:id="25"/>
      <w:r w:rsidR="00B91DAA">
        <w:t>konomický vývoj</w:t>
      </w:r>
      <w:r w:rsidR="00B91DAA" w:rsidRPr="00EB7865">
        <w:t xml:space="preserve"> se odráží v</w:t>
      </w:r>
      <w:r w:rsidR="00FE3A4A">
        <w:t> napjaté situaci na trhu práce</w:t>
      </w:r>
      <w:r w:rsidR="00B91DAA" w:rsidRPr="00EB7865">
        <w:t>.</w:t>
      </w:r>
      <w:r w:rsidR="00B91DAA">
        <w:t xml:space="preserve"> Vysoká poptávka po pracovní síle naráží na nedostatek dostupných uchazečů, což vede k mimořádně vysokému počtu volných pracovních míst. Nedostatek pracovníků</w:t>
      </w:r>
      <w:r>
        <w:t>, i přes značné nárůsty particip</w:t>
      </w:r>
      <w:r>
        <w:t>a</w:t>
      </w:r>
      <w:r>
        <w:t>ce,</w:t>
      </w:r>
      <w:r w:rsidR="00B91DAA">
        <w:t xml:space="preserve"> představuje významnou překážku pro </w:t>
      </w:r>
      <w:r>
        <w:t xml:space="preserve">extenzivní </w:t>
      </w:r>
      <w:r w:rsidR="00B91DAA">
        <w:t>ekonomický růst.</w:t>
      </w:r>
    </w:p>
    <w:p w:rsidR="0006144B" w:rsidRDefault="00B91DAA" w:rsidP="00B91DAA">
      <w:r w:rsidRPr="008E34A6">
        <w:t>V souvislosti</w:t>
      </w:r>
      <w:r>
        <w:t xml:space="preserve"> s</w:t>
      </w:r>
      <w:r w:rsidR="008E34A6">
        <w:t>e snížením dynamiky hospodářského růstu</w:t>
      </w:r>
      <w:r>
        <w:t xml:space="preserve"> a velmi omezeným prostorem pro vyšší zapojení praco</w:t>
      </w:r>
      <w:r>
        <w:t>v</w:t>
      </w:r>
      <w:r>
        <w:t xml:space="preserve">ní síly očekáváme v roce 2019 </w:t>
      </w:r>
      <w:r w:rsidRPr="008E34A6">
        <w:t>zpomalení</w:t>
      </w:r>
      <w:r>
        <w:t xml:space="preserve"> růstu </w:t>
      </w:r>
      <w:r w:rsidRPr="00F81FFA">
        <w:rPr>
          <w:b/>
        </w:rPr>
        <w:t>zaměs</w:t>
      </w:r>
      <w:r w:rsidRPr="00F81FFA">
        <w:rPr>
          <w:b/>
        </w:rPr>
        <w:t>t</w:t>
      </w:r>
      <w:r w:rsidRPr="00F81FFA">
        <w:rPr>
          <w:b/>
        </w:rPr>
        <w:t>nanosti</w:t>
      </w:r>
      <w:r>
        <w:t xml:space="preserve"> </w:t>
      </w:r>
      <w:r w:rsidR="00D13E36">
        <w:t>(</w:t>
      </w:r>
      <w:r w:rsidR="00D13E36" w:rsidRPr="00D13E36">
        <w:t>metodika Výběrového šetření pracovních sil</w:t>
      </w:r>
      <w:r w:rsidR="00D13E36">
        <w:t xml:space="preserve">) </w:t>
      </w:r>
      <w:r>
        <w:t>na 0,7 %. Pro rok 2020 počítáme s pouze nepatrným nárů</w:t>
      </w:r>
      <w:r>
        <w:t>s</w:t>
      </w:r>
      <w:r>
        <w:t>t</w:t>
      </w:r>
      <w:r w:rsidR="00B03E53">
        <w:t>em</w:t>
      </w:r>
      <w:r>
        <w:t xml:space="preserve"> </w:t>
      </w:r>
      <w:r w:rsidR="00B03E53">
        <w:t>zaměstnanosti okolo 0,3</w:t>
      </w:r>
      <w:r w:rsidR="00FE3A4A">
        <w:t> %</w:t>
      </w:r>
      <w:r>
        <w:t>. Její dynamika by měla být podpořena prodlužováním statutárního i efektivního věku odchodu do důchodu a zapojením dosud neakti</w:t>
      </w:r>
      <w:r>
        <w:t>v</w:t>
      </w:r>
      <w:r>
        <w:t xml:space="preserve">ních osob v důsledku rostoucí ceny práce. Pozitivní </w:t>
      </w:r>
      <w:r w:rsidR="00D717CF">
        <w:t xml:space="preserve">efekt </w:t>
      </w:r>
      <w:r>
        <w:t>posunu struktury populace ve prospěch věkových skupin s přirozeně vysokou mírou participace</w:t>
      </w:r>
      <w:r w:rsidR="00FE3A4A">
        <w:t xml:space="preserve"> (40</w:t>
      </w:r>
      <w:r w:rsidR="00B0423C">
        <w:t>–</w:t>
      </w:r>
      <w:r w:rsidR="00FE3A4A">
        <w:t>50 let)</w:t>
      </w:r>
      <w:r>
        <w:t xml:space="preserve"> by měl postupně odezní</w:t>
      </w:r>
      <w:r w:rsidR="006D27C2">
        <w:t>va</w:t>
      </w:r>
      <w:r>
        <w:t>t.</w:t>
      </w:r>
    </w:p>
    <w:p w:rsidR="005F3E29" w:rsidRPr="0006144B" w:rsidRDefault="005F3E29" w:rsidP="005F3E29">
      <w:pPr>
        <w:pStyle w:val="Titulek"/>
        <w:spacing w:before="120"/>
        <w:rPr>
          <w:color w:val="000000" w:themeColor="text1"/>
        </w:rPr>
      </w:pPr>
      <w:bookmarkStart w:id="26" w:name="_Toc17733212"/>
      <w:proofErr w:type="gramStart"/>
      <w:r w:rsidRPr="0006144B">
        <w:rPr>
          <w:color w:val="000000" w:themeColor="text1"/>
        </w:rPr>
        <w:lastRenderedPageBreak/>
        <w:t xml:space="preserve">Obrázek </w:t>
      </w:r>
      <w:r w:rsidR="00F52D6C">
        <w:rPr>
          <w:color w:val="000000" w:themeColor="text1"/>
        </w:rPr>
        <w:fldChar w:fldCharType="begin"/>
      </w:r>
      <w:r w:rsidR="00F52D6C">
        <w:rPr>
          <w:color w:val="000000" w:themeColor="text1"/>
        </w:rPr>
        <w:instrText xml:space="preserve"> STYLEREF 1 \s </w:instrText>
      </w:r>
      <w:r w:rsidR="00F52D6C">
        <w:rPr>
          <w:color w:val="000000" w:themeColor="text1"/>
        </w:rPr>
        <w:fldChar w:fldCharType="separate"/>
      </w:r>
      <w:r w:rsidR="00E07DDE">
        <w:rPr>
          <w:noProof/>
          <w:color w:val="000000" w:themeColor="text1"/>
        </w:rPr>
        <w:t>2</w:t>
      </w:r>
      <w:r w:rsidR="00F52D6C">
        <w:rPr>
          <w:color w:val="000000" w:themeColor="text1"/>
        </w:rPr>
        <w:fldChar w:fldCharType="end"/>
      </w:r>
      <w:r w:rsidR="00F52D6C">
        <w:rPr>
          <w:color w:val="000000" w:themeColor="text1"/>
        </w:rPr>
        <w:t>.</w:t>
      </w:r>
      <w:r w:rsidR="00F52D6C">
        <w:rPr>
          <w:color w:val="000000" w:themeColor="text1"/>
        </w:rPr>
        <w:fldChar w:fldCharType="begin"/>
      </w:r>
      <w:r w:rsidR="00F52D6C">
        <w:rPr>
          <w:color w:val="000000" w:themeColor="text1"/>
        </w:rPr>
        <w:instrText xml:space="preserve"> SEQ Obrázek \* ARABIC \s 1 </w:instrText>
      </w:r>
      <w:r w:rsidR="00F52D6C">
        <w:rPr>
          <w:color w:val="000000" w:themeColor="text1"/>
        </w:rPr>
        <w:fldChar w:fldCharType="separate"/>
      </w:r>
      <w:r w:rsidR="00E07DDE">
        <w:rPr>
          <w:noProof/>
          <w:color w:val="000000" w:themeColor="text1"/>
        </w:rPr>
        <w:t>6</w:t>
      </w:r>
      <w:r w:rsidR="00F52D6C">
        <w:rPr>
          <w:color w:val="000000" w:themeColor="text1"/>
        </w:rPr>
        <w:fldChar w:fldCharType="end"/>
      </w:r>
      <w:r w:rsidRPr="0006144B">
        <w:rPr>
          <w:color w:val="000000" w:themeColor="text1"/>
        </w:rPr>
        <w:t>:</w:t>
      </w:r>
      <w:proofErr w:type="gramEnd"/>
      <w:r w:rsidRPr="0006144B">
        <w:rPr>
          <w:color w:val="000000" w:themeColor="text1"/>
        </w:rPr>
        <w:t xml:space="preserve"> </w:t>
      </w:r>
      <w:r>
        <w:rPr>
          <w:color w:val="000000" w:themeColor="text1"/>
        </w:rPr>
        <w:t>Zaměstnanost</w:t>
      </w:r>
      <w:bookmarkEnd w:id="26"/>
    </w:p>
    <w:p w:rsidR="005F3E29" w:rsidRPr="0006144B" w:rsidRDefault="005F3E29" w:rsidP="005F3E29">
      <w:pPr>
        <w:pStyle w:val="Titulek-jednotkypodnadpisemgrafunebotabulky"/>
        <w:rPr>
          <w:color w:val="000000" w:themeColor="text1"/>
        </w:rPr>
      </w:pPr>
      <w:r>
        <w:t>(růst proti předchozímu roku v %)</w:t>
      </w:r>
    </w:p>
    <w:p w:rsidR="005F3E29" w:rsidRPr="005F3E29" w:rsidRDefault="00024E98" w:rsidP="00D0560E">
      <w:pPr>
        <w:spacing w:after="0"/>
        <w:rPr>
          <w:i/>
          <w:iCs/>
          <w:color w:val="000000"/>
          <w:sz w:val="16"/>
          <w:szCs w:val="16"/>
        </w:rPr>
      </w:pPr>
      <w:r>
        <w:rPr>
          <w:noProof/>
        </w:rPr>
        <w:drawing>
          <wp:inline distT="0" distB="0" distL="0" distR="0" wp14:anchorId="0560C799" wp14:editId="6CD5DA86">
            <wp:extent cx="2933700" cy="1725669"/>
            <wp:effectExtent l="0" t="0" r="0" b="0"/>
            <wp:docPr id="17" name="Graf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6144B" w:rsidRDefault="005F3E29" w:rsidP="005F3E29">
      <w:r w:rsidRPr="005F3E29">
        <w:rPr>
          <w:i/>
          <w:sz w:val="16"/>
          <w:szCs w:val="16"/>
        </w:rPr>
        <w:t>Zdroj:</w:t>
      </w:r>
      <w:r w:rsidRPr="005F3E29">
        <w:rPr>
          <w:i/>
          <w:iCs/>
          <w:color w:val="000000"/>
          <w:sz w:val="16"/>
          <w:szCs w:val="16"/>
        </w:rPr>
        <w:t xml:space="preserve"> ČSÚ. Výpočty </w:t>
      </w:r>
      <w:r w:rsidRPr="0006144B">
        <w:rPr>
          <w:i/>
          <w:iCs/>
          <w:color w:val="000000"/>
          <w:sz w:val="16"/>
          <w:szCs w:val="16"/>
        </w:rPr>
        <w:t>a predikce MF ČR.</w:t>
      </w:r>
    </w:p>
    <w:p w:rsidR="00B91DAA" w:rsidRDefault="00B91DAA" w:rsidP="00B91DAA">
      <w:r w:rsidRPr="00D5126E">
        <w:rPr>
          <w:b/>
        </w:rPr>
        <w:t>Míra nezaměstnanosti</w:t>
      </w:r>
      <w:r>
        <w:t xml:space="preserve"> </w:t>
      </w:r>
      <w:r w:rsidR="007C148B">
        <w:t>(</w:t>
      </w:r>
      <w:r w:rsidR="007C148B" w:rsidRPr="00D13E36">
        <w:t>Výběrové šetření pracovních sil</w:t>
      </w:r>
      <w:r w:rsidR="007C148B">
        <w:t xml:space="preserve">) </w:t>
      </w:r>
      <w:r>
        <w:t>se vlivem výše uvedených faktorů pohybuje okolo</w:t>
      </w:r>
      <w:r w:rsidR="006D27C2">
        <w:t xml:space="preserve"> 2%, což je v historickém i mezi</w:t>
      </w:r>
      <w:r>
        <w:t xml:space="preserve">národním </w:t>
      </w:r>
      <w:r w:rsidR="006D27C2">
        <w:t>kontextu extrémně nízká hodnota</w:t>
      </w:r>
      <w:r>
        <w:t xml:space="preserve">. Možnosti </w:t>
      </w:r>
      <w:r w:rsidR="00AA0B04">
        <w:t>pro j</w:t>
      </w:r>
      <w:r>
        <w:t>ejí</w:t>
      </w:r>
      <w:r w:rsidR="00AA0B04">
        <w:t xml:space="preserve"> další pokles</w:t>
      </w:r>
      <w:r>
        <w:t xml:space="preserve"> jsou </w:t>
      </w:r>
      <w:r w:rsidR="00AA0B04">
        <w:t xml:space="preserve">již </w:t>
      </w:r>
      <w:r>
        <w:t xml:space="preserve">značně omezené a týkají se převážně osob vyššího věku či s nízkou kvalifikací. </w:t>
      </w:r>
      <w:r w:rsidR="008B5113">
        <w:t>Očekáváme</w:t>
      </w:r>
      <w:r>
        <w:t>, že míra nezaměstn</w:t>
      </w:r>
      <w:r>
        <w:t>a</w:t>
      </w:r>
      <w:r>
        <w:t>nosti v roce 2019 dosáhne v průměru 2,2 %.</w:t>
      </w:r>
    </w:p>
    <w:p w:rsidR="0006144B" w:rsidRDefault="00027B66" w:rsidP="00B91DAA">
      <w:r w:rsidRPr="008E34A6">
        <w:t>V</w:t>
      </w:r>
      <w:r w:rsidR="008E34A6">
        <w:t> návaznosti na postupné</w:t>
      </w:r>
      <w:r w:rsidRPr="00060CB0">
        <w:t xml:space="preserve"> zpomalování </w:t>
      </w:r>
      <w:r w:rsidR="00597E9E">
        <w:t xml:space="preserve">růstu </w:t>
      </w:r>
      <w:r w:rsidRPr="00060CB0">
        <w:t>ekonomiky a</w:t>
      </w:r>
      <w:r w:rsidR="008E34A6">
        <w:t> </w:t>
      </w:r>
      <w:r w:rsidRPr="00060CB0">
        <w:t>částečně i v důsledku předchozích investic ke zvýšení produktivity by růst poptávky po práci měl slábnout. Nabídka práce by však vlivem demografických a</w:t>
      </w:r>
      <w:r w:rsidR="00BD088A">
        <w:t xml:space="preserve"> </w:t>
      </w:r>
      <w:r w:rsidRPr="00060CB0">
        <w:t>strukt</w:t>
      </w:r>
      <w:r w:rsidRPr="00060CB0">
        <w:t>u</w:t>
      </w:r>
      <w:r w:rsidRPr="00060CB0">
        <w:t>rálních faktorů (zvyšování statutárního věku odchodu do důchodu) měla růst rychleji než poptávka.</w:t>
      </w:r>
      <w:r>
        <w:t xml:space="preserve"> M</w:t>
      </w:r>
      <w:r w:rsidR="00B91DAA">
        <w:t>íra nez</w:t>
      </w:r>
      <w:r w:rsidR="00B91DAA">
        <w:t>a</w:t>
      </w:r>
      <w:r w:rsidR="00B91DAA">
        <w:t xml:space="preserve">městnanosti v roce 2020 by </w:t>
      </w:r>
      <w:r>
        <w:t xml:space="preserve">tak </w:t>
      </w:r>
      <w:r w:rsidR="00B91DAA">
        <w:t xml:space="preserve">mohla činit 2,3 %. </w:t>
      </w:r>
      <w:r w:rsidR="00D717CF">
        <w:t>S uzavíráním produkční mezery se tedy míra nezaměs</w:t>
      </w:r>
      <w:r w:rsidR="00D717CF">
        <w:t>t</w:t>
      </w:r>
      <w:r w:rsidR="00D717CF">
        <w:t xml:space="preserve">nanosti bude přibližovat </w:t>
      </w:r>
      <w:r w:rsidR="001D4F8A">
        <w:t>její dlouhodobé přirozené úrovni. V</w:t>
      </w:r>
      <w:r w:rsidR="00B91DAA">
        <w:t>ýraznější</w:t>
      </w:r>
      <w:r w:rsidR="001D4F8A">
        <w:t>mu</w:t>
      </w:r>
      <w:r w:rsidR="00B91DAA">
        <w:t xml:space="preserve"> zvýšení míry nezaměstnanosti </w:t>
      </w:r>
      <w:r w:rsidR="001D4F8A">
        <w:t xml:space="preserve">by mělo bránit </w:t>
      </w:r>
      <w:r w:rsidR="00B91DAA">
        <w:t>vysok</w:t>
      </w:r>
      <w:r w:rsidR="001D4F8A">
        <w:t>é</w:t>
      </w:r>
      <w:r w:rsidR="00B91DAA">
        <w:t xml:space="preserve"> množství volných pracovních míst a také nezanedbatelný poč</w:t>
      </w:r>
      <w:r w:rsidR="001D4F8A">
        <w:t>e</w:t>
      </w:r>
      <w:r w:rsidR="00B91DAA">
        <w:t>t zahraničních pracovníků.</w:t>
      </w:r>
    </w:p>
    <w:p w:rsidR="005F3E29" w:rsidRPr="0006144B" w:rsidRDefault="005F3E29" w:rsidP="005F3E29">
      <w:pPr>
        <w:pStyle w:val="Titulek"/>
        <w:spacing w:before="120"/>
        <w:rPr>
          <w:color w:val="000000" w:themeColor="text1"/>
        </w:rPr>
      </w:pPr>
      <w:bookmarkStart w:id="27" w:name="_Toc17733213"/>
      <w:proofErr w:type="gramStart"/>
      <w:r w:rsidRPr="0006144B">
        <w:rPr>
          <w:color w:val="000000" w:themeColor="text1"/>
        </w:rPr>
        <w:t xml:space="preserve">Obrázek </w:t>
      </w:r>
      <w:r w:rsidR="00F52D6C">
        <w:rPr>
          <w:color w:val="000000" w:themeColor="text1"/>
        </w:rPr>
        <w:fldChar w:fldCharType="begin"/>
      </w:r>
      <w:r w:rsidR="00F52D6C">
        <w:rPr>
          <w:color w:val="000000" w:themeColor="text1"/>
        </w:rPr>
        <w:instrText xml:space="preserve"> STYLEREF 1 \s </w:instrText>
      </w:r>
      <w:r w:rsidR="00F52D6C">
        <w:rPr>
          <w:color w:val="000000" w:themeColor="text1"/>
        </w:rPr>
        <w:fldChar w:fldCharType="separate"/>
      </w:r>
      <w:r w:rsidR="00E07DDE">
        <w:rPr>
          <w:noProof/>
          <w:color w:val="000000" w:themeColor="text1"/>
        </w:rPr>
        <w:t>2</w:t>
      </w:r>
      <w:r w:rsidR="00F52D6C">
        <w:rPr>
          <w:color w:val="000000" w:themeColor="text1"/>
        </w:rPr>
        <w:fldChar w:fldCharType="end"/>
      </w:r>
      <w:r w:rsidR="00F52D6C">
        <w:rPr>
          <w:color w:val="000000" w:themeColor="text1"/>
        </w:rPr>
        <w:t>.</w:t>
      </w:r>
      <w:r w:rsidR="00F52D6C">
        <w:rPr>
          <w:color w:val="000000" w:themeColor="text1"/>
        </w:rPr>
        <w:fldChar w:fldCharType="begin"/>
      </w:r>
      <w:r w:rsidR="00F52D6C">
        <w:rPr>
          <w:color w:val="000000" w:themeColor="text1"/>
        </w:rPr>
        <w:instrText xml:space="preserve"> SEQ Obrázek \* ARABIC \s 1 </w:instrText>
      </w:r>
      <w:r w:rsidR="00F52D6C">
        <w:rPr>
          <w:color w:val="000000" w:themeColor="text1"/>
        </w:rPr>
        <w:fldChar w:fldCharType="separate"/>
      </w:r>
      <w:r w:rsidR="00E07DDE">
        <w:rPr>
          <w:noProof/>
          <w:color w:val="000000" w:themeColor="text1"/>
        </w:rPr>
        <w:t>7</w:t>
      </w:r>
      <w:r w:rsidR="00F52D6C">
        <w:rPr>
          <w:color w:val="000000" w:themeColor="text1"/>
        </w:rPr>
        <w:fldChar w:fldCharType="end"/>
      </w:r>
      <w:r w:rsidRPr="0006144B">
        <w:rPr>
          <w:color w:val="000000" w:themeColor="text1"/>
        </w:rPr>
        <w:t>:</w:t>
      </w:r>
      <w:proofErr w:type="gramEnd"/>
      <w:r w:rsidRPr="0006144B">
        <w:rPr>
          <w:color w:val="000000" w:themeColor="text1"/>
        </w:rPr>
        <w:t xml:space="preserve"> </w:t>
      </w:r>
      <w:r>
        <w:rPr>
          <w:color w:val="000000" w:themeColor="text1"/>
        </w:rPr>
        <w:t>Míra nezaměstnanosti</w:t>
      </w:r>
      <w:bookmarkEnd w:id="27"/>
    </w:p>
    <w:p w:rsidR="005F3E29" w:rsidRPr="0006144B" w:rsidRDefault="005F3E29" w:rsidP="005F3E29">
      <w:pPr>
        <w:pStyle w:val="Titulek-jednotkypodnadpisemgrafunebotabulky"/>
        <w:rPr>
          <w:color w:val="000000" w:themeColor="text1"/>
        </w:rPr>
      </w:pPr>
      <w:r>
        <w:t xml:space="preserve">(v % pracovní </w:t>
      </w:r>
      <w:proofErr w:type="gramStart"/>
      <w:r>
        <w:t>síly</w:t>
      </w:r>
      <w:proofErr w:type="gramEnd"/>
      <w:r>
        <w:t>)</w:t>
      </w:r>
    </w:p>
    <w:p w:rsidR="005F3E29" w:rsidRPr="005F3E29" w:rsidRDefault="00024E98" w:rsidP="008C564D">
      <w:pPr>
        <w:spacing w:after="0"/>
        <w:rPr>
          <w:i/>
          <w:iCs/>
          <w:color w:val="000000"/>
          <w:sz w:val="16"/>
          <w:szCs w:val="16"/>
        </w:rPr>
      </w:pPr>
      <w:r>
        <w:rPr>
          <w:noProof/>
        </w:rPr>
        <w:drawing>
          <wp:inline distT="0" distB="0" distL="0" distR="0" wp14:anchorId="632D2B62" wp14:editId="56E62D3C">
            <wp:extent cx="2933700" cy="1725669"/>
            <wp:effectExtent l="0" t="0" r="0" b="0"/>
            <wp:docPr id="18" name="Graf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5F3E29" w:rsidRDefault="005F3E29" w:rsidP="00DE136D">
      <w:pPr>
        <w:pStyle w:val="Zdrojpodtabulkounebografem"/>
        <w:spacing w:after="120"/>
      </w:pPr>
      <w:r w:rsidRPr="005F3E29">
        <w:t xml:space="preserve">Zdroj: ČSÚ. Výpočty </w:t>
      </w:r>
      <w:r w:rsidRPr="0006144B">
        <w:t>a predikce MF ČR.</w:t>
      </w:r>
    </w:p>
    <w:p w:rsidR="00B91DAA" w:rsidRDefault="00B91DAA" w:rsidP="00B91DAA">
      <w:r>
        <w:t>S </w:t>
      </w:r>
      <w:r w:rsidR="00027B66">
        <w:t>nerovnováhami</w:t>
      </w:r>
      <w:r>
        <w:t xml:space="preserve"> na trhu práce koresponduje vysoké tempo růstu </w:t>
      </w:r>
      <w:r w:rsidRPr="00921F89">
        <w:rPr>
          <w:b/>
        </w:rPr>
        <w:t>objemu mezd a platů</w:t>
      </w:r>
      <w:r>
        <w:t xml:space="preserve">. Dynamika výdělků je navíc podpořena zvyšováním minimální a zaručené mzdy a navýšením platových tarifů </w:t>
      </w:r>
      <w:r w:rsidR="00351F50">
        <w:t xml:space="preserve">v </w:t>
      </w:r>
      <w:r w:rsidR="008B5113">
        <w:t xml:space="preserve">sektoru </w:t>
      </w:r>
      <w:r w:rsidR="00351F50">
        <w:t>vládní</w:t>
      </w:r>
      <w:r w:rsidR="008B5113">
        <w:t>ch institucí</w:t>
      </w:r>
      <w:r w:rsidR="00351F50">
        <w:t xml:space="preserve"> </w:t>
      </w:r>
      <w:r>
        <w:t xml:space="preserve">(zejména ve školství). Díky těmto </w:t>
      </w:r>
      <w:r w:rsidR="00BD088A">
        <w:t>faktorům</w:t>
      </w:r>
      <w:r>
        <w:t xml:space="preserve"> by v roce 2019 růst objemu mezd a platů mohl </w:t>
      </w:r>
      <w:r w:rsidR="00351F50">
        <w:t xml:space="preserve">dosáhnout </w:t>
      </w:r>
      <w:r>
        <w:t>7,4 %. Pozitivním dopadem je nárůst disponibilního důchodu domácností, jejich spotřeby a finanční kondice. Na dr</w:t>
      </w:r>
      <w:r>
        <w:t>u</w:t>
      </w:r>
      <w:r>
        <w:t xml:space="preserve">hou stranu rychle rostoucí mzdy snižují nákladovou konkurenceschopnost firem. Ty jsou </w:t>
      </w:r>
      <w:r w:rsidR="008B5113">
        <w:t xml:space="preserve">tímto </w:t>
      </w:r>
      <w:r>
        <w:t xml:space="preserve">motivovány </w:t>
      </w:r>
      <w:r>
        <w:lastRenderedPageBreak/>
        <w:t>k investicím zvyšujícím produktivitu práce, což</w:t>
      </w:r>
      <w:r w:rsidR="00351F50">
        <w:t xml:space="preserve"> na trhu práce</w:t>
      </w:r>
      <w:r>
        <w:t xml:space="preserve"> může mít krátkodobě negativní důsl</w:t>
      </w:r>
      <w:r w:rsidR="00351F50">
        <w:t>edky</w:t>
      </w:r>
      <w:r>
        <w:t xml:space="preserve">. </w:t>
      </w:r>
    </w:p>
    <w:p w:rsidR="005F3E29" w:rsidRDefault="00B91DAA" w:rsidP="00B91DAA">
      <w:r>
        <w:t>Oslabení růstu poptávky po práci a investice zaměřené na vyšší produktivitu práce by se měly v roce 2020 pr</w:t>
      </w:r>
      <w:r>
        <w:t>o</w:t>
      </w:r>
      <w:r>
        <w:t xml:space="preserve">jevit pomalejším </w:t>
      </w:r>
      <w:r w:rsidR="00FE3A4A">
        <w:t>zvyšováním</w:t>
      </w:r>
      <w:r>
        <w:t xml:space="preserve"> počtu zaměstnanců i jejich průměrné mzdy. Nárůst objemu mezd a platů by mohl zpomalit na 5,9 </w:t>
      </w:r>
      <w:r w:rsidR="00B03E53">
        <w:t>%</w:t>
      </w:r>
      <w:r>
        <w:t>. Přípa</w:t>
      </w:r>
      <w:r w:rsidR="00FE3A4A">
        <w:t>dná výraznější dynamika platů v </w:t>
      </w:r>
      <w:r w:rsidRPr="00804002">
        <w:t xml:space="preserve">sektoru vládních institucí </w:t>
      </w:r>
      <w:r>
        <w:t xml:space="preserve">je rizikem </w:t>
      </w:r>
      <w:r w:rsidR="00FE3A4A">
        <w:t xml:space="preserve">směrem k vyššímu růstu </w:t>
      </w:r>
      <w:r>
        <w:t xml:space="preserve">výdělků, v opačném směru </w:t>
      </w:r>
      <w:r w:rsidR="00FE3A4A">
        <w:t xml:space="preserve">by mohl působit </w:t>
      </w:r>
      <w:r w:rsidRPr="00804002">
        <w:t>ryc</w:t>
      </w:r>
      <w:r w:rsidRPr="00804002">
        <w:t>h</w:t>
      </w:r>
      <w:r w:rsidRPr="00804002">
        <w:t>lejší postup automatizac</w:t>
      </w:r>
      <w:r>
        <w:t>e a </w:t>
      </w:r>
      <w:r w:rsidRPr="00804002">
        <w:t>robotizace</w:t>
      </w:r>
      <w:r>
        <w:t>.</w:t>
      </w:r>
      <w:r w:rsidRPr="00804002">
        <w:t xml:space="preserve"> </w:t>
      </w:r>
      <w:r w:rsidRPr="00923C10">
        <w:t>Podíl náhrad zaměstnancům na HDP by měl</w:t>
      </w:r>
      <w:r>
        <w:t xml:space="preserve"> </w:t>
      </w:r>
      <w:r w:rsidR="00B03E53">
        <w:t>v roce 2020</w:t>
      </w:r>
      <w:r>
        <w:t xml:space="preserve"> dosáhnout 4</w:t>
      </w:r>
      <w:r w:rsidR="00B03E53">
        <w:t>4</w:t>
      </w:r>
      <w:r>
        <w:t>,</w:t>
      </w:r>
      <w:r w:rsidR="00B03E53">
        <w:t>3</w:t>
      </w:r>
      <w:r>
        <w:t> </w:t>
      </w:r>
      <w:r w:rsidRPr="00923C10">
        <w:t>%,</w:t>
      </w:r>
      <w:r>
        <w:t xml:space="preserve"> což by byla nejvyšší hodnota v </w:t>
      </w:r>
      <w:r w:rsidRPr="00923C10">
        <w:t xml:space="preserve">historii České republiky, </w:t>
      </w:r>
      <w:r w:rsidR="008B5113">
        <w:t xml:space="preserve">stále </w:t>
      </w:r>
      <w:r w:rsidRPr="00923C10">
        <w:t xml:space="preserve">však </w:t>
      </w:r>
      <w:r>
        <w:t>nevybočuje v </w:t>
      </w:r>
      <w:r w:rsidRPr="00923C10">
        <w:t>rámci mezinárodního srovnání</w:t>
      </w:r>
      <w:r w:rsidR="00FE3A4A">
        <w:t xml:space="preserve"> a souvisí s konvergencí ekonomiky</w:t>
      </w:r>
      <w:r w:rsidRPr="00923C10">
        <w:t>.</w:t>
      </w:r>
    </w:p>
    <w:p w:rsidR="005F3E29" w:rsidRPr="0006144B" w:rsidRDefault="005F3E29" w:rsidP="005F3E29">
      <w:pPr>
        <w:pStyle w:val="Titulek"/>
        <w:spacing w:before="120"/>
        <w:rPr>
          <w:color w:val="000000" w:themeColor="text1"/>
        </w:rPr>
      </w:pPr>
      <w:bookmarkStart w:id="28" w:name="_Toc17733214"/>
      <w:proofErr w:type="gramStart"/>
      <w:r w:rsidRPr="0006144B">
        <w:rPr>
          <w:color w:val="000000" w:themeColor="text1"/>
        </w:rPr>
        <w:t xml:space="preserve">Obrázek </w:t>
      </w:r>
      <w:r w:rsidR="00F52D6C">
        <w:rPr>
          <w:color w:val="000000" w:themeColor="text1"/>
        </w:rPr>
        <w:fldChar w:fldCharType="begin"/>
      </w:r>
      <w:r w:rsidR="00F52D6C">
        <w:rPr>
          <w:color w:val="000000" w:themeColor="text1"/>
        </w:rPr>
        <w:instrText xml:space="preserve"> STYLEREF 1 \s </w:instrText>
      </w:r>
      <w:r w:rsidR="00F52D6C">
        <w:rPr>
          <w:color w:val="000000" w:themeColor="text1"/>
        </w:rPr>
        <w:fldChar w:fldCharType="separate"/>
      </w:r>
      <w:r w:rsidR="00E07DDE">
        <w:rPr>
          <w:noProof/>
          <w:color w:val="000000" w:themeColor="text1"/>
        </w:rPr>
        <w:t>2</w:t>
      </w:r>
      <w:r w:rsidR="00F52D6C">
        <w:rPr>
          <w:color w:val="000000" w:themeColor="text1"/>
        </w:rPr>
        <w:fldChar w:fldCharType="end"/>
      </w:r>
      <w:r w:rsidR="00F52D6C">
        <w:rPr>
          <w:color w:val="000000" w:themeColor="text1"/>
        </w:rPr>
        <w:t>.</w:t>
      </w:r>
      <w:r w:rsidR="00F52D6C">
        <w:rPr>
          <w:color w:val="000000" w:themeColor="text1"/>
        </w:rPr>
        <w:fldChar w:fldCharType="begin"/>
      </w:r>
      <w:r w:rsidR="00F52D6C">
        <w:rPr>
          <w:color w:val="000000" w:themeColor="text1"/>
        </w:rPr>
        <w:instrText xml:space="preserve"> SEQ Obrázek \* ARABIC \s 1 </w:instrText>
      </w:r>
      <w:r w:rsidR="00F52D6C">
        <w:rPr>
          <w:color w:val="000000" w:themeColor="text1"/>
        </w:rPr>
        <w:fldChar w:fldCharType="separate"/>
      </w:r>
      <w:r w:rsidR="00E07DDE">
        <w:rPr>
          <w:noProof/>
          <w:color w:val="000000" w:themeColor="text1"/>
        </w:rPr>
        <w:t>8</w:t>
      </w:r>
      <w:r w:rsidR="00F52D6C">
        <w:rPr>
          <w:color w:val="000000" w:themeColor="text1"/>
        </w:rPr>
        <w:fldChar w:fldCharType="end"/>
      </w:r>
      <w:r w:rsidRPr="0006144B">
        <w:rPr>
          <w:color w:val="000000" w:themeColor="text1"/>
        </w:rPr>
        <w:t>:</w:t>
      </w:r>
      <w:proofErr w:type="gramEnd"/>
      <w:r w:rsidRPr="0006144B">
        <w:rPr>
          <w:color w:val="000000" w:themeColor="text1"/>
        </w:rPr>
        <w:t xml:space="preserve"> </w:t>
      </w:r>
      <w:r>
        <w:rPr>
          <w:color w:val="000000" w:themeColor="text1"/>
        </w:rPr>
        <w:t>Objem mezd a platů</w:t>
      </w:r>
      <w:bookmarkEnd w:id="28"/>
    </w:p>
    <w:p w:rsidR="005F3E29" w:rsidRPr="0006144B" w:rsidRDefault="005F3E29" w:rsidP="005F3E29">
      <w:pPr>
        <w:pStyle w:val="Titulek-jednotkypodnadpisemgrafunebotabulky"/>
        <w:rPr>
          <w:color w:val="000000" w:themeColor="text1"/>
        </w:rPr>
      </w:pPr>
      <w:r>
        <w:t>(domácí koncept, růst proti předchozímu roku v %)</w:t>
      </w:r>
    </w:p>
    <w:p w:rsidR="00B91DAA" w:rsidRDefault="00F21D6C" w:rsidP="00DE136D">
      <w:pPr>
        <w:spacing w:after="240"/>
        <w:rPr>
          <w:i/>
          <w:iCs/>
          <w:color w:val="000000"/>
          <w:sz w:val="16"/>
          <w:szCs w:val="16"/>
        </w:rPr>
      </w:pPr>
      <w:r>
        <w:rPr>
          <w:noProof/>
        </w:rPr>
        <w:drawing>
          <wp:inline distT="0" distB="0" distL="0" distR="0" wp14:anchorId="57624072" wp14:editId="6F4F3399">
            <wp:extent cx="2933700" cy="1725669"/>
            <wp:effectExtent l="0" t="0" r="0" b="0"/>
            <wp:docPr id="19" name="Graf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 w:rsidR="005F3E29" w:rsidRPr="005F3E29">
        <w:rPr>
          <w:i/>
          <w:sz w:val="16"/>
          <w:szCs w:val="16"/>
        </w:rPr>
        <w:t>Zdroj:</w:t>
      </w:r>
      <w:r w:rsidR="005F3E29" w:rsidRPr="005F3E29">
        <w:rPr>
          <w:i/>
          <w:iCs/>
          <w:color w:val="000000"/>
          <w:sz w:val="16"/>
          <w:szCs w:val="16"/>
        </w:rPr>
        <w:t xml:space="preserve"> ČSÚ. Výpočty </w:t>
      </w:r>
      <w:r w:rsidR="005F3E29" w:rsidRPr="0006144B">
        <w:rPr>
          <w:i/>
          <w:iCs/>
          <w:color w:val="000000"/>
          <w:sz w:val="16"/>
          <w:szCs w:val="16"/>
        </w:rPr>
        <w:t>a predikce MF ČR.</w:t>
      </w:r>
    </w:p>
    <w:p w:rsidR="005F3E29" w:rsidRDefault="005F3E29" w:rsidP="000F1410">
      <w:pPr>
        <w:pStyle w:val="Nadpis3"/>
        <w:spacing w:before="0"/>
      </w:pPr>
      <w:r>
        <w:t>Vztahy k zahraničí</w:t>
      </w:r>
    </w:p>
    <w:p w:rsidR="00B41B9D" w:rsidRDefault="00B41B9D" w:rsidP="00B41B9D">
      <w:r>
        <w:rPr>
          <w:b/>
        </w:rPr>
        <w:t>B</w:t>
      </w:r>
      <w:r w:rsidRPr="009D56E0">
        <w:rPr>
          <w:b/>
        </w:rPr>
        <w:t>ěžn</w:t>
      </w:r>
      <w:r>
        <w:rPr>
          <w:b/>
        </w:rPr>
        <w:t>ý</w:t>
      </w:r>
      <w:r w:rsidRPr="009D56E0">
        <w:rPr>
          <w:b/>
        </w:rPr>
        <w:t xml:space="preserve"> úč</w:t>
      </w:r>
      <w:r>
        <w:rPr>
          <w:b/>
        </w:rPr>
        <w:t>e</w:t>
      </w:r>
      <w:r w:rsidRPr="009D56E0">
        <w:rPr>
          <w:b/>
        </w:rPr>
        <w:t xml:space="preserve">t </w:t>
      </w:r>
      <w:r w:rsidRPr="009D56E0">
        <w:t>platební bilance</w:t>
      </w:r>
      <w:r>
        <w:t xml:space="preserve"> zaznamenal v roce 2018 již pátý přebytek v řadě. K</w:t>
      </w:r>
      <w:r w:rsidR="002648C2">
        <w:t>ladné saldo dosáhlo 0,3 % HDP a </w:t>
      </w:r>
      <w:r>
        <w:t>oproti před</w:t>
      </w:r>
      <w:r w:rsidR="009F620F">
        <w:t>chozímu roku se zhoršilo o 1,4</w:t>
      </w:r>
      <w:r>
        <w:t> </w:t>
      </w:r>
      <w:r w:rsidR="002648C2">
        <w:t>p. b.</w:t>
      </w:r>
      <w:r>
        <w:t xml:space="preserve"> </w:t>
      </w:r>
    </w:p>
    <w:p w:rsidR="00C567E9" w:rsidRDefault="00B41B9D" w:rsidP="002648C2">
      <w:r>
        <w:t>Dominantní roli sehrál</w:t>
      </w:r>
      <w:r w:rsidR="00351F50">
        <w:t>a bilance</w:t>
      </w:r>
      <w:r w:rsidRPr="009D56E0">
        <w:t xml:space="preserve"> </w:t>
      </w:r>
      <w:r w:rsidRPr="00271613">
        <w:rPr>
          <w:b/>
        </w:rPr>
        <w:t>obchodu se zbožím</w:t>
      </w:r>
      <w:r>
        <w:t xml:space="preserve">. </w:t>
      </w:r>
      <w:r w:rsidR="00351F50">
        <w:t>Její přebytek</w:t>
      </w:r>
      <w:r>
        <w:t xml:space="preserve"> se</w:t>
      </w:r>
      <w:r w:rsidRPr="009D56E0">
        <w:t xml:space="preserve"> </w:t>
      </w:r>
      <w:r>
        <w:t>z 5,1 %</w:t>
      </w:r>
      <w:r w:rsidRPr="009D56E0">
        <w:t xml:space="preserve"> HDP</w:t>
      </w:r>
      <w:r>
        <w:t xml:space="preserve"> v roce 2017 snížil</w:t>
      </w:r>
      <w:r w:rsidRPr="009D56E0">
        <w:t xml:space="preserve"> </w:t>
      </w:r>
      <w:r w:rsidR="00351F50">
        <w:t>na 4,1 % HDP</w:t>
      </w:r>
      <w:r>
        <w:t xml:space="preserve">. </w:t>
      </w:r>
      <w:r w:rsidR="0080293F">
        <w:t>Výraznou roli sehrál výpadek ve vývozu motorových vozidel vlivem opožděných homologací nových modelů při počátku platnosti přísnějších emisních norem. Za poklesem přebytku stály rovněž faktory na straně dov</w:t>
      </w:r>
      <w:r w:rsidR="0080293F">
        <w:t>o</w:t>
      </w:r>
      <w:r w:rsidR="0080293F">
        <w:t xml:space="preserve">zu, </w:t>
      </w:r>
      <w:r w:rsidR="00C567E9">
        <w:t>hlavně</w:t>
      </w:r>
      <w:r w:rsidR="0080293F">
        <w:t xml:space="preserve"> silná poptávka po zboží investičního charakt</w:t>
      </w:r>
      <w:r w:rsidR="0080293F">
        <w:t>e</w:t>
      </w:r>
      <w:r w:rsidR="0080293F">
        <w:t>ru daná pozicí ekonomiky v hospodářském cyklu</w:t>
      </w:r>
      <w:r w:rsidR="00C567E9">
        <w:t xml:space="preserve"> a fází v rámci aktuálního programového období u fondů E</w:t>
      </w:r>
      <w:r w:rsidR="00C567E9">
        <w:t>v</w:t>
      </w:r>
      <w:r w:rsidR="00C567E9">
        <w:t>ropské unie</w:t>
      </w:r>
      <w:r w:rsidR="0080293F">
        <w:t xml:space="preserve">. </w:t>
      </w:r>
      <w:r>
        <w:t>To se projevilo i ve výrazném snížení př</w:t>
      </w:r>
      <w:r>
        <w:t>í</w:t>
      </w:r>
      <w:r>
        <w:t xml:space="preserve">spěvku salda obchodní bilance k růstu </w:t>
      </w:r>
      <w:r w:rsidR="00351F50">
        <w:t xml:space="preserve">reálného </w:t>
      </w:r>
      <w:r>
        <w:t xml:space="preserve">HDP z 0,8 p. b. </w:t>
      </w:r>
      <w:proofErr w:type="gramStart"/>
      <w:r>
        <w:t>na</w:t>
      </w:r>
      <w:proofErr w:type="gramEnd"/>
      <w:r>
        <w:t xml:space="preserve"> </w:t>
      </w:r>
      <w:r w:rsidR="00D61CAD">
        <w:t>−</w:t>
      </w:r>
      <w:r>
        <w:t xml:space="preserve">0,5 p. b. </w:t>
      </w:r>
    </w:p>
    <w:p w:rsidR="00B41B9D" w:rsidRDefault="00C567E9" w:rsidP="002648C2">
      <w:r>
        <w:t>S</w:t>
      </w:r>
      <w:r w:rsidR="00B41B9D">
        <w:t xml:space="preserve">aldo </w:t>
      </w:r>
      <w:r w:rsidR="00B41B9D" w:rsidRPr="007E159F">
        <w:rPr>
          <w:b/>
        </w:rPr>
        <w:t>bilance služeb</w:t>
      </w:r>
      <w:r w:rsidR="00B41B9D">
        <w:t xml:space="preserve"> se snížilo o</w:t>
      </w:r>
      <w:r w:rsidR="00351F50">
        <w:t> </w:t>
      </w:r>
      <w:r w:rsidR="00B41B9D">
        <w:t>0,2</w:t>
      </w:r>
      <w:r w:rsidR="00351F50">
        <w:t> </w:t>
      </w:r>
      <w:r w:rsidR="00B41B9D">
        <w:t>p.</w:t>
      </w:r>
      <w:r w:rsidR="00351F50">
        <w:t> </w:t>
      </w:r>
      <w:r w:rsidR="00B41B9D">
        <w:t xml:space="preserve">b. </w:t>
      </w:r>
      <w:proofErr w:type="gramStart"/>
      <w:r w:rsidR="00B41B9D">
        <w:t>na</w:t>
      </w:r>
      <w:proofErr w:type="gramEnd"/>
      <w:r w:rsidR="00B41B9D">
        <w:t xml:space="preserve"> 2,1 % HDP</w:t>
      </w:r>
      <w:r w:rsidR="00351F50">
        <w:t>, především vlivem mimořádně vysokého dovozu služeb v oblasti poradenství a výzkumu a vývoje</w:t>
      </w:r>
      <w:r w:rsidR="00B41B9D">
        <w:t xml:space="preserve">. </w:t>
      </w:r>
    </w:p>
    <w:p w:rsidR="00B41B9D" w:rsidRDefault="00B41B9D" w:rsidP="00B41B9D">
      <w:r>
        <w:t>Dlouhodobě deficitní b</w:t>
      </w:r>
      <w:r w:rsidRPr="009D56E0">
        <w:t xml:space="preserve">ilance </w:t>
      </w:r>
      <w:r w:rsidRPr="00271613">
        <w:rPr>
          <w:b/>
        </w:rPr>
        <w:t>prvotních důchodů</w:t>
      </w:r>
      <w:r w:rsidRPr="00A72071">
        <w:t xml:space="preserve"> </w:t>
      </w:r>
      <w:r>
        <w:t xml:space="preserve">se rovněž zhoršila o 0,2 p. b. </w:t>
      </w:r>
      <w:proofErr w:type="gramStart"/>
      <w:r>
        <w:t>na</w:t>
      </w:r>
      <w:proofErr w:type="gramEnd"/>
      <w:r>
        <w:t xml:space="preserve"> −5,</w:t>
      </w:r>
      <w:r w:rsidR="0041440C">
        <w:t>3 </w:t>
      </w:r>
      <w:r>
        <w:t>% HDP.</w:t>
      </w:r>
      <w:r w:rsidRPr="009D56E0">
        <w:t xml:space="preserve"> </w:t>
      </w:r>
      <w:r w:rsidRPr="0032075E">
        <w:t>Hrubý odliv dividend do zahraničí činil 4,</w:t>
      </w:r>
      <w:r>
        <w:t>8</w:t>
      </w:r>
      <w:r w:rsidRPr="0032075E">
        <w:t> % HDP, zisky z přímých zahraničních investic</w:t>
      </w:r>
      <w:r w:rsidR="006F672C">
        <w:t xml:space="preserve"> </w:t>
      </w:r>
      <w:r w:rsidRPr="0032075E">
        <w:t>reinvestované v ČR dosáhly 2,</w:t>
      </w:r>
      <w:r>
        <w:t>8</w:t>
      </w:r>
      <w:r w:rsidRPr="0032075E">
        <w:t xml:space="preserve"> % HDP a odliv důchodů z ostatních investic </w:t>
      </w:r>
      <w:r w:rsidR="006E7551">
        <w:t xml:space="preserve">(včetně portfoliových) </w:t>
      </w:r>
      <w:r w:rsidRPr="0032075E">
        <w:t>v ČR tvořil 1,</w:t>
      </w:r>
      <w:r>
        <w:t>0</w:t>
      </w:r>
      <w:r w:rsidR="006F672C">
        <w:t> </w:t>
      </w:r>
      <w:r w:rsidRPr="0032075E">
        <w:t>%</w:t>
      </w:r>
      <w:r w:rsidR="006F672C">
        <w:t> </w:t>
      </w:r>
      <w:r w:rsidRPr="0032075E">
        <w:t>HDP. Kompenzace výn</w:t>
      </w:r>
      <w:r w:rsidRPr="0032075E">
        <w:t>o</w:t>
      </w:r>
      <w:r w:rsidRPr="0032075E">
        <w:t>sy z českých investic v zahraničí byla zatím poměrně malá (2,</w:t>
      </w:r>
      <w:r>
        <w:t>6</w:t>
      </w:r>
      <w:r w:rsidR="006F672C">
        <w:t> </w:t>
      </w:r>
      <w:r w:rsidRPr="0032075E">
        <w:t>%</w:t>
      </w:r>
      <w:r w:rsidR="006F672C">
        <w:t> </w:t>
      </w:r>
      <w:r w:rsidRPr="0032075E">
        <w:t xml:space="preserve">HDP). Mírné přebytky byly rovněž dosaženy </w:t>
      </w:r>
      <w:r w:rsidRPr="0032075E">
        <w:lastRenderedPageBreak/>
        <w:t>u salda náhrad zaměstnancům (0,</w:t>
      </w:r>
      <w:r>
        <w:t>6</w:t>
      </w:r>
      <w:r w:rsidR="006F672C">
        <w:t> % </w:t>
      </w:r>
      <w:r w:rsidRPr="0032075E">
        <w:t>HDP) a tzv. osta</w:t>
      </w:r>
      <w:r w:rsidRPr="0032075E">
        <w:t>t</w:t>
      </w:r>
      <w:r w:rsidRPr="0032075E">
        <w:t>ních důchodů, které zachycují vztahy k Evropské unii v rámci prvotních důchodů (0,</w:t>
      </w:r>
      <w:r>
        <w:t>4</w:t>
      </w:r>
      <w:r w:rsidR="006F672C">
        <w:t> </w:t>
      </w:r>
      <w:r w:rsidRPr="0032075E">
        <w:t>%</w:t>
      </w:r>
      <w:r w:rsidR="006F672C">
        <w:t> </w:t>
      </w:r>
      <w:r w:rsidRPr="0032075E">
        <w:t>HDP). Součet přebytků bilancí zb</w:t>
      </w:r>
      <w:r w:rsidR="006F672C">
        <w:t xml:space="preserve">oží a </w:t>
      </w:r>
      <w:r w:rsidRPr="0032075E">
        <w:t>služeb od roku 2014 převyšuje schodek prvotních důchodů.</w:t>
      </w:r>
    </w:p>
    <w:p w:rsidR="005F3E29" w:rsidRDefault="00B41B9D" w:rsidP="00B41B9D">
      <w:r>
        <w:t>B</w:t>
      </w:r>
      <w:r w:rsidRPr="009D56E0">
        <w:t xml:space="preserve">ilance </w:t>
      </w:r>
      <w:r w:rsidRPr="00271613">
        <w:rPr>
          <w:b/>
        </w:rPr>
        <w:t>druhotných důchodů</w:t>
      </w:r>
      <w:r w:rsidRPr="009D56E0">
        <w:t xml:space="preserve"> </w:t>
      </w:r>
      <w:r>
        <w:t xml:space="preserve">se zlepšila o 0,3 p. b. </w:t>
      </w:r>
      <w:proofErr w:type="gramStart"/>
      <w:r>
        <w:t>na</w:t>
      </w:r>
      <w:proofErr w:type="gramEnd"/>
      <w:r>
        <w:t xml:space="preserve"> −0,7 % HDP, a to v převážné míře v oblasti </w:t>
      </w:r>
      <w:r w:rsidR="00795129">
        <w:t>čistých plateb do rozpočtu Evropské unie vykazovaných v rámci dr</w:t>
      </w:r>
      <w:r w:rsidR="00795129">
        <w:t>u</w:t>
      </w:r>
      <w:r w:rsidR="00795129">
        <w:t>hotných důchodů.</w:t>
      </w:r>
    </w:p>
    <w:p w:rsidR="006F672C" w:rsidRDefault="006F672C" w:rsidP="006F672C">
      <w:r>
        <w:t>Dosavadní výsledky naznačují, že by vzhledem k odezn</w:t>
      </w:r>
      <w:r>
        <w:t>ě</w:t>
      </w:r>
      <w:r>
        <w:t>ní jednorázových faktorů v podobě problémů automob</w:t>
      </w:r>
      <w:r>
        <w:t>i</w:t>
      </w:r>
      <w:r>
        <w:t xml:space="preserve">lek s implementací nové emisní normy v roce 2018 a zrychlení růstu hlavních obchodních partnerů mohlo v roce </w:t>
      </w:r>
      <w:r w:rsidRPr="005000A6">
        <w:t>201</w:t>
      </w:r>
      <w:r>
        <w:t>9</w:t>
      </w:r>
      <w:r w:rsidRPr="005000A6">
        <w:t xml:space="preserve"> </w:t>
      </w:r>
      <w:r>
        <w:t>dojít k mírnému</w:t>
      </w:r>
      <w:r w:rsidRPr="005000A6">
        <w:t xml:space="preserve"> </w:t>
      </w:r>
      <w:r>
        <w:t>navýšení</w:t>
      </w:r>
      <w:r w:rsidRPr="005000A6">
        <w:t xml:space="preserve"> kladného salda bilance</w:t>
      </w:r>
      <w:r>
        <w:t xml:space="preserve"> zboží na 4,2 % HDP</w:t>
      </w:r>
      <w:r w:rsidR="00FD7D7A">
        <w:t>. V dalším</w:t>
      </w:r>
      <w:r w:rsidRPr="005000A6">
        <w:t xml:space="preserve"> </w:t>
      </w:r>
      <w:r w:rsidR="00FD7D7A">
        <w:t xml:space="preserve">roce </w:t>
      </w:r>
      <w:r w:rsidRPr="005000A6">
        <w:t xml:space="preserve">by </w:t>
      </w:r>
      <w:r>
        <w:t xml:space="preserve">měl </w:t>
      </w:r>
      <w:r w:rsidR="00FD7D7A">
        <w:t>zůstat</w:t>
      </w:r>
      <w:r w:rsidR="00AC425D">
        <w:t xml:space="preserve"> </w:t>
      </w:r>
      <w:r w:rsidRPr="005000A6">
        <w:t>přebyt</w:t>
      </w:r>
      <w:r>
        <w:t>e</w:t>
      </w:r>
      <w:r w:rsidRPr="005000A6">
        <w:t>k obchodní bilance</w:t>
      </w:r>
      <w:r>
        <w:t xml:space="preserve"> v poměru k HDP i vlivem mírného zpomalení růstu domácí poptávky </w:t>
      </w:r>
      <w:r w:rsidR="00AC425D">
        <w:t xml:space="preserve">víceméně </w:t>
      </w:r>
      <w:r>
        <w:t>stabil</w:t>
      </w:r>
      <w:r w:rsidR="00AC425D">
        <w:t>ní</w:t>
      </w:r>
      <w:r>
        <w:t>.</w:t>
      </w:r>
    </w:p>
    <w:p w:rsidR="00FD7D7A" w:rsidRDefault="00FD7D7A" w:rsidP="00FD7D7A">
      <w:r>
        <w:t>S ohledem na odeznění jednorázových faktorů v podobě výrazného nárůstu dovozu služeb v oblasti poradenství a výzkumu a vývoje v roce 2018 a předpokládané p</w:t>
      </w:r>
      <w:r>
        <w:t>o</w:t>
      </w:r>
      <w:r>
        <w:t>zvolné zrychlování ekonomického růstu v zahraničí by se přebytek bilance služeb mohl v letošním roce zvýšit na 2,4 % HDP a v roce 2020 dále na 2,5 % HDP.</w:t>
      </w:r>
    </w:p>
    <w:p w:rsidR="005F3E29" w:rsidRPr="0006144B" w:rsidRDefault="005F3E29" w:rsidP="005F3E29">
      <w:pPr>
        <w:pStyle w:val="Titulek"/>
        <w:spacing w:before="120"/>
        <w:rPr>
          <w:color w:val="000000" w:themeColor="text1"/>
        </w:rPr>
      </w:pPr>
      <w:bookmarkStart w:id="29" w:name="_Toc17733215"/>
      <w:proofErr w:type="gramStart"/>
      <w:r w:rsidRPr="0006144B">
        <w:rPr>
          <w:color w:val="000000" w:themeColor="text1"/>
        </w:rPr>
        <w:lastRenderedPageBreak/>
        <w:t xml:space="preserve">Obrázek </w:t>
      </w:r>
      <w:r w:rsidR="00F52D6C">
        <w:rPr>
          <w:color w:val="000000" w:themeColor="text1"/>
        </w:rPr>
        <w:fldChar w:fldCharType="begin"/>
      </w:r>
      <w:r w:rsidR="00F52D6C">
        <w:rPr>
          <w:color w:val="000000" w:themeColor="text1"/>
        </w:rPr>
        <w:instrText xml:space="preserve"> STYLEREF 1 \s </w:instrText>
      </w:r>
      <w:r w:rsidR="00F52D6C">
        <w:rPr>
          <w:color w:val="000000" w:themeColor="text1"/>
        </w:rPr>
        <w:fldChar w:fldCharType="separate"/>
      </w:r>
      <w:r w:rsidR="00E07DDE">
        <w:rPr>
          <w:noProof/>
          <w:color w:val="000000" w:themeColor="text1"/>
        </w:rPr>
        <w:t>2</w:t>
      </w:r>
      <w:r w:rsidR="00F52D6C">
        <w:rPr>
          <w:color w:val="000000" w:themeColor="text1"/>
        </w:rPr>
        <w:fldChar w:fldCharType="end"/>
      </w:r>
      <w:r w:rsidR="00F52D6C">
        <w:rPr>
          <w:color w:val="000000" w:themeColor="text1"/>
        </w:rPr>
        <w:t>.</w:t>
      </w:r>
      <w:r w:rsidR="00F52D6C">
        <w:rPr>
          <w:color w:val="000000" w:themeColor="text1"/>
        </w:rPr>
        <w:fldChar w:fldCharType="begin"/>
      </w:r>
      <w:r w:rsidR="00F52D6C">
        <w:rPr>
          <w:color w:val="000000" w:themeColor="text1"/>
        </w:rPr>
        <w:instrText xml:space="preserve"> SEQ Obrázek \* ARABIC \s 1 </w:instrText>
      </w:r>
      <w:r w:rsidR="00F52D6C">
        <w:rPr>
          <w:color w:val="000000" w:themeColor="text1"/>
        </w:rPr>
        <w:fldChar w:fldCharType="separate"/>
      </w:r>
      <w:r w:rsidR="00E07DDE">
        <w:rPr>
          <w:noProof/>
          <w:color w:val="000000" w:themeColor="text1"/>
        </w:rPr>
        <w:t>9</w:t>
      </w:r>
      <w:r w:rsidR="00F52D6C">
        <w:rPr>
          <w:color w:val="000000" w:themeColor="text1"/>
        </w:rPr>
        <w:fldChar w:fldCharType="end"/>
      </w:r>
      <w:r w:rsidRPr="0006144B">
        <w:rPr>
          <w:color w:val="000000" w:themeColor="text1"/>
        </w:rPr>
        <w:t>:</w:t>
      </w:r>
      <w:proofErr w:type="gramEnd"/>
      <w:r w:rsidRPr="0006144B">
        <w:rPr>
          <w:color w:val="000000" w:themeColor="text1"/>
        </w:rPr>
        <w:t xml:space="preserve"> </w:t>
      </w:r>
      <w:r>
        <w:rPr>
          <w:color w:val="000000" w:themeColor="text1"/>
        </w:rPr>
        <w:t>Saldo běžného účtu platební bilance</w:t>
      </w:r>
      <w:bookmarkEnd w:id="29"/>
    </w:p>
    <w:p w:rsidR="005F3E29" w:rsidRPr="0006144B" w:rsidRDefault="005F3E29" w:rsidP="005F3E29">
      <w:pPr>
        <w:pStyle w:val="Titulek-jednotkypodnadpisemgrafunebotabulky"/>
        <w:rPr>
          <w:color w:val="000000" w:themeColor="text1"/>
        </w:rPr>
      </w:pPr>
      <w:r>
        <w:t>(v % HDP)</w:t>
      </w:r>
    </w:p>
    <w:p w:rsidR="005F3E29" w:rsidRDefault="00F21D6C" w:rsidP="005F3E29">
      <w:pPr>
        <w:rPr>
          <w:b/>
          <w:u w:val="single"/>
        </w:rPr>
      </w:pPr>
      <w:r>
        <w:rPr>
          <w:noProof/>
        </w:rPr>
        <w:drawing>
          <wp:inline distT="0" distB="0" distL="0" distR="0" wp14:anchorId="4C7B5AC9" wp14:editId="3356A192">
            <wp:extent cx="2933700" cy="1725669"/>
            <wp:effectExtent l="0" t="0" r="0" b="0"/>
            <wp:docPr id="20" name="Graf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r w:rsidR="005F3E29" w:rsidRPr="005F3E29">
        <w:rPr>
          <w:i/>
          <w:sz w:val="16"/>
          <w:szCs w:val="16"/>
        </w:rPr>
        <w:t>Zdroj:</w:t>
      </w:r>
      <w:r w:rsidR="005F3E29" w:rsidRPr="005F3E29">
        <w:rPr>
          <w:i/>
          <w:iCs/>
          <w:color w:val="000000"/>
          <w:sz w:val="16"/>
          <w:szCs w:val="16"/>
        </w:rPr>
        <w:t xml:space="preserve"> </w:t>
      </w:r>
      <w:r w:rsidR="00DC6329">
        <w:rPr>
          <w:i/>
          <w:iCs/>
          <w:color w:val="000000"/>
          <w:sz w:val="16"/>
          <w:szCs w:val="16"/>
        </w:rPr>
        <w:t xml:space="preserve">ČNB, </w:t>
      </w:r>
      <w:r w:rsidR="005F3E29" w:rsidRPr="005F3E29">
        <w:rPr>
          <w:i/>
          <w:iCs/>
          <w:color w:val="000000"/>
          <w:sz w:val="16"/>
          <w:szCs w:val="16"/>
        </w:rPr>
        <w:t xml:space="preserve">ČSÚ. Výpočty </w:t>
      </w:r>
      <w:r w:rsidR="005F3E29" w:rsidRPr="0006144B">
        <w:rPr>
          <w:i/>
          <w:iCs/>
          <w:color w:val="000000"/>
          <w:sz w:val="16"/>
          <w:szCs w:val="16"/>
        </w:rPr>
        <w:t>a predikce MF ČR.</w:t>
      </w:r>
    </w:p>
    <w:p w:rsidR="00A8503F" w:rsidRDefault="00A028ED" w:rsidP="00B41B9D">
      <w:bookmarkStart w:id="30" w:name="_Ref465151154"/>
      <w:r>
        <w:t>V návaznosti na predikci trhu práce počítáme s tím, že posun v rozdělení HDP od čistého zisku firem ve pr</w:t>
      </w:r>
      <w:r>
        <w:t>o</w:t>
      </w:r>
      <w:r>
        <w:t>spěch náhrad zaměstnancům bude pokračovat. To by mělo ovlivnit též ziskovost firem pod zahraniční kontr</w:t>
      </w:r>
      <w:r>
        <w:t>o</w:t>
      </w:r>
      <w:r>
        <w:t>lou. D</w:t>
      </w:r>
      <w:r w:rsidR="00B41B9D">
        <w:t>eficit bilanc</w:t>
      </w:r>
      <w:r w:rsidR="006E7D36">
        <w:t>e</w:t>
      </w:r>
      <w:r w:rsidR="00B41B9D">
        <w:t xml:space="preserve"> prvotních důchodů</w:t>
      </w:r>
      <w:r w:rsidR="006E7D36">
        <w:t xml:space="preserve"> </w:t>
      </w:r>
      <w:r>
        <w:t>by se tak letos mohl mírně snížit na 5,2 % HDP a na této úrovni by mohl setrvat i v </w:t>
      </w:r>
      <w:r w:rsidR="00FD7D7A">
        <w:t>roce</w:t>
      </w:r>
      <w:r>
        <w:t xml:space="preserve"> 2020.</w:t>
      </w:r>
    </w:p>
    <w:p w:rsidR="00332D4D" w:rsidRDefault="006F672C" w:rsidP="00B41B9D">
      <w:r>
        <w:t>Ve výsledku by se tak kladné saldo běžného účtu plate</w:t>
      </w:r>
      <w:r>
        <w:t>b</w:t>
      </w:r>
      <w:r>
        <w:t>ní bilance mělo v horizontu makroekonomického rámce zv</w:t>
      </w:r>
      <w:r w:rsidR="00FD7D7A">
        <w:t>ý</w:t>
      </w:r>
      <w:r>
        <w:t>š</w:t>
      </w:r>
      <w:r w:rsidR="00FD7D7A">
        <w:t>i</w:t>
      </w:r>
      <w:r>
        <w:t>t, a</w:t>
      </w:r>
      <w:r w:rsidR="00FD7D7A">
        <w:t xml:space="preserve"> to z 0,6 % HDP v roce 2019 na 0</w:t>
      </w:r>
      <w:r>
        <w:t>,</w:t>
      </w:r>
      <w:r w:rsidR="00FD7D7A">
        <w:t>8</w:t>
      </w:r>
      <w:r>
        <w:t> % HDP v roce 202</w:t>
      </w:r>
      <w:r w:rsidR="00FD7D7A">
        <w:t>0</w:t>
      </w:r>
      <w:r>
        <w:t>.</w:t>
      </w:r>
    </w:p>
    <w:p w:rsidR="00612BDB" w:rsidRDefault="00612BDB" w:rsidP="00332D4D">
      <w:pPr>
        <w:sectPr w:rsidR="00612BDB" w:rsidSect="007A1923">
          <w:headerReference w:type="default" r:id="rId25"/>
          <w:footerReference w:type="even" r:id="rId26"/>
          <w:type w:val="continuous"/>
          <w:pgSz w:w="11906" w:h="16838" w:code="9"/>
          <w:pgMar w:top="1134" w:right="1134" w:bottom="1418" w:left="1134" w:header="709" w:footer="709" w:gutter="0"/>
          <w:cols w:num="2" w:space="397"/>
          <w:docGrid w:linePitch="360"/>
        </w:sectPr>
      </w:pPr>
    </w:p>
    <w:p w:rsidR="00332D4D" w:rsidRDefault="00612BDB" w:rsidP="005C6EB8">
      <w:pPr>
        <w:pStyle w:val="Nadpis2"/>
      </w:pPr>
      <w:bookmarkStart w:id="31" w:name="_Toc14695476"/>
      <w:bookmarkStart w:id="32" w:name="_Toc17733199"/>
      <w:bookmarkStart w:id="33" w:name="_Toc206730429"/>
      <w:bookmarkStart w:id="34" w:name="_Toc238787328"/>
      <w:bookmarkStart w:id="35" w:name="_Toc239042742"/>
      <w:bookmarkStart w:id="36" w:name="_Toc239056371"/>
      <w:bookmarkStart w:id="37" w:name="_Toc239056409"/>
      <w:bookmarkStart w:id="38" w:name="_Toc525714699"/>
      <w:bookmarkEnd w:id="30"/>
      <w:r>
        <w:lastRenderedPageBreak/>
        <w:t xml:space="preserve">Nezávislé ověření </w:t>
      </w:r>
      <w:r w:rsidRPr="005716D5">
        <w:t>makroekonomického</w:t>
      </w:r>
      <w:r>
        <w:t xml:space="preserve"> rámce</w:t>
      </w:r>
      <w:bookmarkEnd w:id="31"/>
      <w:bookmarkEnd w:id="32"/>
      <w:r w:rsidRPr="00C724DB">
        <w:t xml:space="preserve"> </w:t>
      </w:r>
      <w:bookmarkEnd w:id="33"/>
      <w:bookmarkEnd w:id="34"/>
      <w:bookmarkEnd w:id="35"/>
      <w:bookmarkEnd w:id="36"/>
      <w:bookmarkEnd w:id="37"/>
      <w:bookmarkEnd w:id="38"/>
    </w:p>
    <w:p w:rsidR="00332D4D" w:rsidRDefault="00332D4D" w:rsidP="00332D4D">
      <w:pPr>
        <w:sectPr w:rsidR="00332D4D" w:rsidSect="007A1923">
          <w:type w:val="continuous"/>
          <w:pgSz w:w="11906" w:h="16838" w:code="9"/>
          <w:pgMar w:top="1134" w:right="1134" w:bottom="1418" w:left="1134" w:header="709" w:footer="709" w:gutter="0"/>
          <w:cols w:space="709"/>
          <w:docGrid w:linePitch="360"/>
        </w:sectPr>
      </w:pPr>
    </w:p>
    <w:p w:rsidR="00612BDB" w:rsidRDefault="00612BDB" w:rsidP="004C308D">
      <w:pPr>
        <w:pStyle w:val="Nadpis3"/>
        <w:spacing w:before="0"/>
        <w:jc w:val="left"/>
      </w:pPr>
      <w:r>
        <w:lastRenderedPageBreak/>
        <w:t>Zhodnocení makroekonomického rámce Výb</w:t>
      </w:r>
      <w:r>
        <w:t>o</w:t>
      </w:r>
      <w:r>
        <w:t>rem pro rozpočtové prognózy</w:t>
      </w:r>
    </w:p>
    <w:p w:rsidR="000C3438" w:rsidRDefault="000C3438" w:rsidP="000C3438">
      <w:r w:rsidRPr="000C3438">
        <w:t xml:space="preserve">Výbor pro rozpočtové prognózy posoudil </w:t>
      </w:r>
      <w:r w:rsidR="00775509">
        <w:t>29</w:t>
      </w:r>
      <w:r w:rsidR="00775509" w:rsidRPr="008F140B">
        <w:t>.</w:t>
      </w:r>
      <w:r w:rsidR="00775509">
        <w:t> </w:t>
      </w:r>
      <w:r w:rsidR="00775509" w:rsidRPr="008F140B">
        <w:t>srpna 201</w:t>
      </w:r>
      <w:r w:rsidR="00775509">
        <w:t xml:space="preserve">9 </w:t>
      </w:r>
      <w:r w:rsidRPr="000C3438">
        <w:t>na svém zasedání v souladu se zákonem č. 23/2017 Sb., o pravidlech rozpočtové odpovědnosti, Makroekon</w:t>
      </w:r>
      <w:r w:rsidRPr="000C3438">
        <w:t>o</w:t>
      </w:r>
      <w:r w:rsidRPr="000C3438">
        <w:t>mickou predikci České republiky Ministerstva financí z</w:t>
      </w:r>
      <w:r>
        <w:t>e</w:t>
      </w:r>
      <w:r w:rsidRPr="000C3438">
        <w:t xml:space="preserve"> </w:t>
      </w:r>
      <w:r>
        <w:t>srpna 2019</w:t>
      </w:r>
      <w:r w:rsidRPr="000C3438">
        <w:t>, z níž vychází tento makroekonomický r</w:t>
      </w:r>
      <w:r w:rsidRPr="000C3438">
        <w:t>á</w:t>
      </w:r>
      <w:r w:rsidRPr="000C3438">
        <w:t>mec, z hlediska pravděpodobnosti jejího naplnění a vhodnosti použití v rozpočtovém procesu.</w:t>
      </w:r>
      <w:r w:rsidR="00257980">
        <w:t xml:space="preserve"> </w:t>
      </w:r>
      <w:r w:rsidR="00257980" w:rsidRPr="00257980">
        <w:t>Výbor vyho</w:t>
      </w:r>
      <w:r w:rsidR="00257980" w:rsidRPr="00257980">
        <w:t>d</w:t>
      </w:r>
      <w:r w:rsidR="00257980" w:rsidRPr="00257980">
        <w:t xml:space="preserve">notil makroekonomickou prognózu jako </w:t>
      </w:r>
      <w:r w:rsidR="00257980" w:rsidRPr="00257980">
        <w:rPr>
          <w:b/>
        </w:rPr>
        <w:t>realistickou</w:t>
      </w:r>
      <w:r w:rsidR="00257980" w:rsidRPr="00257980">
        <w:t>.</w:t>
      </w:r>
    </w:p>
    <w:p w:rsidR="005160C8" w:rsidRPr="000C3438" w:rsidRDefault="005160C8" w:rsidP="005160C8">
      <w:r>
        <w:t>Při poměrně velké různorodosti názorů na vývoj dílčích makroekonomických parametrů a naplnění rizik s nimi spojených se většina přítomných členů Výboru shodov</w:t>
      </w:r>
      <w:r>
        <w:t>a</w:t>
      </w:r>
      <w:r>
        <w:t>la, že se makroekonomická prognóza ministerstva jeví jako vnitřně konsistentní a v klíčových parametrech odpovídá jejich očekávání.</w:t>
      </w:r>
    </w:p>
    <w:p w:rsidR="00612BDB" w:rsidRDefault="00612BDB" w:rsidP="00612BDB">
      <w:pPr>
        <w:pStyle w:val="Nadpis3"/>
      </w:pPr>
      <w:r>
        <w:t>Monitoring prognóz</w:t>
      </w:r>
    </w:p>
    <w:p w:rsidR="00792A69" w:rsidRDefault="00167D45" w:rsidP="00167D45">
      <w:r>
        <w:t>Ministerstvo financí</w:t>
      </w:r>
      <w:r w:rsidRPr="00194ECD">
        <w:t xml:space="preserve"> monitoruje makroekonomické pr</w:t>
      </w:r>
      <w:r>
        <w:t>o</w:t>
      </w:r>
      <w:r>
        <w:t>gnózy</w:t>
      </w:r>
      <w:r w:rsidRPr="00194ECD">
        <w:t xml:space="preserve"> ostatních institucí zabývajících se předpovídáním budoucího </w:t>
      </w:r>
      <w:r w:rsidR="005D1F16">
        <w:t>vývoje české ekonomiky. Z </w:t>
      </w:r>
      <w:r w:rsidRPr="00194ECD">
        <w:t>veřejně přístu</w:t>
      </w:r>
      <w:r w:rsidRPr="00194ECD">
        <w:t>p</w:t>
      </w:r>
      <w:r w:rsidRPr="00194ECD">
        <w:t xml:space="preserve">ných datových zdrojů jsou průběžně sledovány prognózy </w:t>
      </w:r>
      <w:r w:rsidRPr="00194ECD">
        <w:lastRenderedPageBreak/>
        <w:t>1</w:t>
      </w:r>
      <w:r>
        <w:t>6</w:t>
      </w:r>
      <w:r w:rsidRPr="00194ECD">
        <w:t xml:space="preserve"> institucí, z čehož </w:t>
      </w:r>
      <w:r>
        <w:t>11</w:t>
      </w:r>
      <w:r w:rsidRPr="00194ECD">
        <w:t xml:space="preserve"> institucí je tuzemských (Č</w:t>
      </w:r>
      <w:r>
        <w:t>eská národní banka</w:t>
      </w:r>
      <w:r w:rsidRPr="00194ECD">
        <w:t xml:space="preserve">, </w:t>
      </w:r>
      <w:r>
        <w:t>Ministerstvo práce a</w:t>
      </w:r>
      <w:r w:rsidR="00CA20FD">
        <w:t> </w:t>
      </w:r>
      <w:r>
        <w:t>sociálních věcí</w:t>
      </w:r>
      <w:r w:rsidRPr="00194ECD">
        <w:t xml:space="preserve">, </w:t>
      </w:r>
      <w:r w:rsidR="00BA2F06">
        <w:t>Hospodářská komora, domácí banky a investiční spole</w:t>
      </w:r>
      <w:r w:rsidR="00BA2F06">
        <w:t>č</w:t>
      </w:r>
      <w:r w:rsidR="00BA2F06">
        <w:t>nosti</w:t>
      </w:r>
      <w:r w:rsidRPr="00194ECD">
        <w:t xml:space="preserve">), ostatní jsou zahraniční (Evropská komise, </w:t>
      </w:r>
      <w:r w:rsidRPr="00287AC6">
        <w:t>Organ</w:t>
      </w:r>
      <w:r w:rsidRPr="00287AC6">
        <w:t>i</w:t>
      </w:r>
      <w:r w:rsidRPr="00287AC6">
        <w:t>zace</w:t>
      </w:r>
      <w:r w:rsidRPr="00F12F85">
        <w:t xml:space="preserve"> pro hospodářskou</w:t>
      </w:r>
      <w:r w:rsidRPr="00287AC6">
        <w:t xml:space="preserve"> spolupráci a rozvoj</w:t>
      </w:r>
      <w:r w:rsidRPr="00194ECD">
        <w:t>, M</w:t>
      </w:r>
      <w:r>
        <w:t>ezinárodní měnový fond</w:t>
      </w:r>
      <w:r w:rsidRPr="00194ECD">
        <w:t> aj.).</w:t>
      </w:r>
    </w:p>
    <w:p w:rsidR="005052A9" w:rsidRDefault="005052A9" w:rsidP="00167D45">
      <w:r>
        <w:t>Ve většině případů nevybočuje scénář makroekonomi</w:t>
      </w:r>
      <w:r>
        <w:t>c</w:t>
      </w:r>
      <w:r>
        <w:t>kého rámce</w:t>
      </w:r>
      <w:r w:rsidR="003661C6">
        <w:t xml:space="preserve"> z intervalu sledovaných prognóz. U reálného růstu HDP se pohybuje v jeho spodní polovině pravd</w:t>
      </w:r>
      <w:r w:rsidR="003661C6">
        <w:t>ě</w:t>
      </w:r>
      <w:r w:rsidR="003661C6">
        <w:t xml:space="preserve">podobně v důsledku většího zohlednění výrazných rizik. Naopak u míry inflace je scénář rámce </w:t>
      </w:r>
      <w:r w:rsidR="00616FBF">
        <w:t>v roce 2019 na horní hraně intervalu vlivem zachycení aktuálního vývoje v červenci 2019 a pro rok 2020 je dokonce nad ní. Pra</w:t>
      </w:r>
      <w:r w:rsidR="00616FBF">
        <w:t>v</w:t>
      </w:r>
      <w:r w:rsidR="00616FBF">
        <w:t>děpodobnou příčinou je to, že sledované prognózy zře</w:t>
      </w:r>
      <w:r w:rsidR="00616FBF">
        <w:t>j</w:t>
      </w:r>
      <w:r w:rsidR="00616FBF">
        <w:t>mě ještě neobsahují zvýšení spotřebních daní z tabáku a lihu</w:t>
      </w:r>
      <w:r w:rsidR="00BD164E">
        <w:t>.</w:t>
      </w:r>
      <w:r w:rsidR="00616FBF">
        <w:t xml:space="preserve"> Rozpočtově nejdůležitější prognóza růstu průměrné mzdy je v blízkosti průměru sledovaných institucí.</w:t>
      </w:r>
      <w:r w:rsidR="00616FBF" w:rsidRPr="00616FBF">
        <w:t xml:space="preserve"> </w:t>
      </w:r>
      <w:r w:rsidR="00616FBF">
        <w:t>U</w:t>
      </w:r>
      <w:r w:rsidR="00BD164E">
        <w:t> </w:t>
      </w:r>
      <w:r w:rsidR="00616FBF">
        <w:t xml:space="preserve">běžného účtu MF ČR očekává </w:t>
      </w:r>
      <w:r w:rsidR="000A2F3A">
        <w:t xml:space="preserve">mírně vyšší </w:t>
      </w:r>
      <w:r w:rsidR="00616FBF">
        <w:t>přebytek</w:t>
      </w:r>
      <w:r w:rsidR="000A2F3A" w:rsidRPr="000A2F3A">
        <w:t xml:space="preserve"> </w:t>
      </w:r>
      <w:r w:rsidR="000A2F3A">
        <w:t>oproti průměru sledovaných institucí</w:t>
      </w:r>
      <w:r w:rsidR="00616FBF">
        <w:t>, a to zejména díky zvýšení kladného salda bilance zboží.</w:t>
      </w:r>
    </w:p>
    <w:p w:rsidR="00287AC6" w:rsidRDefault="00287AC6" w:rsidP="00612BDB">
      <w:pPr>
        <w:rPr>
          <w:rFonts w:ascii="Times New Roman" w:hAnsi="Times New Roman"/>
          <w:sz w:val="24"/>
        </w:rPr>
      </w:pPr>
    </w:p>
    <w:p w:rsidR="0007218F" w:rsidRDefault="0007218F" w:rsidP="00612BDB">
      <w:pPr>
        <w:rPr>
          <w:rFonts w:ascii="Times New Roman" w:hAnsi="Times New Roman"/>
          <w:sz w:val="24"/>
        </w:rPr>
        <w:sectPr w:rsidR="0007218F" w:rsidSect="00586243">
          <w:type w:val="continuous"/>
          <w:pgSz w:w="11906" w:h="16838" w:code="9"/>
          <w:pgMar w:top="1134" w:right="1134" w:bottom="1418" w:left="1134" w:header="709" w:footer="709" w:gutter="0"/>
          <w:cols w:num="2" w:space="397"/>
          <w:docGrid w:linePitch="360"/>
        </w:sectPr>
      </w:pPr>
    </w:p>
    <w:p w:rsidR="006E7D36" w:rsidRDefault="00A01FB3" w:rsidP="00F9565F">
      <w:pPr>
        <w:pStyle w:val="Titulek"/>
        <w:spacing w:before="0"/>
        <w:rPr>
          <w:noProof/>
        </w:rPr>
      </w:pPr>
      <w:bookmarkStart w:id="39" w:name="_Toc17733204"/>
      <w:proofErr w:type="gramStart"/>
      <w:r w:rsidRPr="00B87A57">
        <w:lastRenderedPageBreak/>
        <w:t xml:space="preserve">Tabulka </w:t>
      </w:r>
      <w:fldSimple w:instr=" STYLEREF 1 \s ">
        <w:r w:rsidR="00E07DDE">
          <w:rPr>
            <w:noProof/>
          </w:rPr>
          <w:t>2</w:t>
        </w:r>
      </w:fldSimple>
      <w:r w:rsidRPr="00B87A57">
        <w:t>.</w:t>
      </w:r>
      <w:fldSimple w:instr=" SEQ Tabulka \* ARABIC \s 1 ">
        <w:r w:rsidR="00E07DDE">
          <w:rPr>
            <w:noProof/>
          </w:rPr>
          <w:t>1</w:t>
        </w:r>
      </w:fldSimple>
      <w:r w:rsidRPr="00B87A57">
        <w:t>:</w:t>
      </w:r>
      <w:proofErr w:type="gramEnd"/>
      <w:r w:rsidRPr="00877BE7">
        <w:t xml:space="preserve"> </w:t>
      </w:r>
      <w:r w:rsidR="00287AC6" w:rsidRPr="006B7212">
        <w:rPr>
          <w:noProof/>
        </w:rPr>
        <w:t>Ověření makroekonomického rámce nezávislými prognózami</w:t>
      </w:r>
      <w:bookmarkEnd w:id="39"/>
    </w:p>
    <w:p w:rsidR="008E4347" w:rsidRDefault="008E4347" w:rsidP="008E4347">
      <w:pPr>
        <w:spacing w:after="0"/>
      </w:pPr>
      <w:r w:rsidRPr="008E4347">
        <w:rPr>
          <w:noProof/>
        </w:rPr>
        <w:drawing>
          <wp:inline distT="0" distB="0" distL="0" distR="0" wp14:anchorId="1D811BA2" wp14:editId="7D0DD52A">
            <wp:extent cx="6120130" cy="1430696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30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919" w:rsidRDefault="00332D4D" w:rsidP="00C05919">
      <w:pPr>
        <w:pStyle w:val="Zdrojpodtabulkounebografem"/>
      </w:pPr>
      <w:r w:rsidRPr="00B45D51">
        <w:t>Zdroj</w:t>
      </w:r>
      <w:r w:rsidRPr="006C10CA">
        <w:t xml:space="preserve">: </w:t>
      </w:r>
      <w:r w:rsidR="00287AC6">
        <w:t>P</w:t>
      </w:r>
      <w:r w:rsidR="00287AC6" w:rsidRPr="00287AC6">
        <w:t xml:space="preserve">rognózy jednotlivých institucí </w:t>
      </w:r>
      <w:r w:rsidR="00287AC6" w:rsidRPr="002E09CA">
        <w:t>k</w:t>
      </w:r>
      <w:r w:rsidR="002C7011" w:rsidRPr="002E09CA">
        <w:t> 21. srpnu 2019</w:t>
      </w:r>
      <w:r w:rsidR="00287AC6" w:rsidRPr="00287AC6">
        <w:t>. Výpočty a predikce MF ČR.</w:t>
      </w:r>
    </w:p>
    <w:p w:rsidR="00C05919" w:rsidRDefault="00C05919" w:rsidP="00C05919">
      <w:pPr>
        <w:sectPr w:rsidR="00C05919" w:rsidSect="006E7D36">
          <w:type w:val="continuous"/>
          <w:pgSz w:w="11906" w:h="16838" w:code="9"/>
          <w:pgMar w:top="1134" w:right="1134" w:bottom="1418" w:left="1134" w:header="709" w:footer="709" w:gutter="0"/>
          <w:cols w:space="708"/>
          <w:docGrid w:linePitch="360"/>
        </w:sectPr>
      </w:pPr>
    </w:p>
    <w:p w:rsidR="00C05919" w:rsidRDefault="00C05919" w:rsidP="004C308D">
      <w:pPr>
        <w:pStyle w:val="Nadpis3"/>
        <w:tabs>
          <w:tab w:val="clear" w:pos="1145"/>
          <w:tab w:val="num" w:pos="720"/>
        </w:tabs>
        <w:spacing w:before="0"/>
        <w:ind w:left="720" w:hanging="720"/>
      </w:pPr>
      <w:r>
        <w:lastRenderedPageBreak/>
        <w:t>Porovnání s prognózou Evropské komise</w:t>
      </w:r>
    </w:p>
    <w:p w:rsidR="00C05919" w:rsidRDefault="00C05919" w:rsidP="00C05919">
      <w:r>
        <w:t>Makroekonomická predikce Ministerstva financí je v plném rozsahu ukazatelů se čtvrtletní periodicitou publikována vždy, zatímco Ekonomická prognóza E</w:t>
      </w:r>
      <w:r>
        <w:t>v</w:t>
      </w:r>
      <w:r>
        <w:t>ropské komise jen dvakrát ročně, přičemž v mezidobí je aktualizována pouze v hlavních parametrech HDP a inflaci. Navíc nevycházejí vždy ve stejnou dobu. Striktní srovnání tedy není možné, neboť obě predikce pracují s jinou aktuální datovou základnou.</w:t>
      </w:r>
    </w:p>
    <w:p w:rsidR="00792A69" w:rsidRDefault="00C05919" w:rsidP="00C05919">
      <w:r>
        <w:t>Období vzniku obou predikcí dělí několik měsíců, b</w:t>
      </w:r>
      <w:r>
        <w:t>ě</w:t>
      </w:r>
      <w:r>
        <w:t>hem nichž proběhla revize většiny agregátů národních účtů v souvislosti se zveřejněním ročních národních účtů. Dynamika reálného HDP doznala v předchozím roce zvýšení pouze o 0,1 p. b. Výraznější změny pr</w:t>
      </w:r>
      <w:r>
        <w:t>o</w:t>
      </w:r>
      <w:r>
        <w:t>běhly ve struktuře růstu, zejména ve snížení tempa tvorby hrubého fixního kapitálu v roce 2018, což v</w:t>
      </w:r>
      <w:r>
        <w:t>y</w:t>
      </w:r>
      <w:r>
        <w:t xml:space="preserve">světluje nejvýraznější odchylku v predikcích. Tabulka </w:t>
      </w:r>
      <w:proofErr w:type="gramStart"/>
      <w:r>
        <w:t>2.3. srovnává</w:t>
      </w:r>
      <w:proofErr w:type="gramEnd"/>
      <w:r>
        <w:t xml:space="preserve"> předpovědi Ministerstva financí a p</w:t>
      </w:r>
      <w:r>
        <w:t>o</w:t>
      </w:r>
      <w:r>
        <w:t>slední úplnou predikci Evropské komise z května 2019.</w:t>
      </w:r>
    </w:p>
    <w:p w:rsidR="00C05919" w:rsidRDefault="00C05919" w:rsidP="00C05919">
      <w:r>
        <w:t>Predikce růstu reálného HDP se liší minimálně, př</w:t>
      </w:r>
      <w:r>
        <w:t>i</w:t>
      </w:r>
      <w:r>
        <w:t xml:space="preserve">čemž obě instituce pracují se scénářem pozvolného </w:t>
      </w:r>
      <w:r>
        <w:lastRenderedPageBreak/>
        <w:t>zpomalování tempa v roce 2020. Z hlediska struktury růstu dochází k významnějším odchylkám, MF ČR předpokládá v letech 2019 i 2020 nižší dynamiku sp</w:t>
      </w:r>
      <w:r>
        <w:t>o</w:t>
      </w:r>
      <w:r>
        <w:t>třebních výdajů domácností a investic, naopak ve svě</w:t>
      </w:r>
      <w:r>
        <w:t>t</w:t>
      </w:r>
      <w:r>
        <w:t>le silnějších výsledků měsíčních dat zahraničního o</w:t>
      </w:r>
      <w:r>
        <w:t>b</w:t>
      </w:r>
      <w:r>
        <w:t>chodu a průmyslové produkce v 1. pololetí 2019 pred</w:t>
      </w:r>
      <w:r>
        <w:t>i</w:t>
      </w:r>
      <w:r>
        <w:t>kuje větší příspěvek čistého vývozu k růstu HDP.</w:t>
      </w:r>
    </w:p>
    <w:p w:rsidR="00C05919" w:rsidRDefault="00C05919" w:rsidP="00C05919">
      <w:r>
        <w:t>Pokud jde o ostatní uvedené veličiny, lze při vědomí zmíněného rozdílu v informačních základnách konst</w:t>
      </w:r>
      <w:r>
        <w:t>a</w:t>
      </w:r>
      <w:r>
        <w:t>tovat, že odlišnosti nejsou zásadní a makroekonomické tendence jako návrat inflace k cíli České národní banky a dosažení limitů trhu práce jsou shodně obsaženy v obou predikcích.</w:t>
      </w:r>
    </w:p>
    <w:p w:rsidR="00C05919" w:rsidRDefault="00C05919" w:rsidP="00C05919">
      <w:r>
        <w:t xml:space="preserve">V červenci 2019 byla publikována předběžná prognóza Evropské komise, která v obou letech 2019 a 2020 mírně zvyšuje růst reálného HDP shodně o 0,1 p. b. </w:t>
      </w:r>
      <w:proofErr w:type="gramStart"/>
      <w:r>
        <w:t>na</w:t>
      </w:r>
      <w:proofErr w:type="gramEnd"/>
      <w:r>
        <w:t xml:space="preserve"> 2,6 %, resp. 2,5 %. Míra inflace byla pro rok 2019 p</w:t>
      </w:r>
      <w:r>
        <w:t>o</w:t>
      </w:r>
      <w:r>
        <w:t>nechána beze změny na 2,4 % a nepatrně zvýšena pro rok 2020 na 2,1 %.</w:t>
      </w:r>
    </w:p>
    <w:p w:rsidR="00C05919" w:rsidRDefault="00C05919" w:rsidP="00C05919">
      <w:pPr>
        <w:sectPr w:rsidR="00C05919" w:rsidSect="00D13E36">
          <w:type w:val="continuous"/>
          <w:pgSz w:w="11906" w:h="16838" w:code="9"/>
          <w:pgMar w:top="1134" w:right="1134" w:bottom="1418" w:left="1134" w:header="709" w:footer="709" w:gutter="0"/>
          <w:cols w:num="2" w:space="708"/>
          <w:docGrid w:linePitch="360"/>
        </w:sectPr>
      </w:pPr>
    </w:p>
    <w:p w:rsidR="00C05919" w:rsidRPr="005876A1" w:rsidRDefault="00C05919" w:rsidP="00A61669">
      <w:pPr>
        <w:pStyle w:val="Titulek"/>
      </w:pPr>
      <w:bookmarkStart w:id="40" w:name="_Toc17733205"/>
      <w:proofErr w:type="gramStart"/>
      <w:r w:rsidRPr="00B87A57">
        <w:lastRenderedPageBreak/>
        <w:t xml:space="preserve">Tabulka </w:t>
      </w:r>
      <w:fldSimple w:instr=" SEQ Tabulka \* ARABIC \s 1 ">
        <w:r w:rsidR="00E07DDE">
          <w:rPr>
            <w:noProof/>
          </w:rPr>
          <w:t>2</w:t>
        </w:r>
      </w:fldSimple>
      <w:r w:rsidRPr="00B87A57">
        <w:t>.</w:t>
      </w:r>
      <w:r>
        <w:t>3</w:t>
      </w:r>
      <w:r w:rsidRPr="00B87A57">
        <w:t>:</w:t>
      </w:r>
      <w:proofErr w:type="gramEnd"/>
      <w:r w:rsidRPr="00877BE7">
        <w:t xml:space="preserve"> </w:t>
      </w:r>
      <w:r>
        <w:rPr>
          <w:noProof/>
        </w:rPr>
        <w:t xml:space="preserve">Porovnání prognóz </w:t>
      </w:r>
      <w:r w:rsidRPr="00A61669">
        <w:t>Ministerstva</w:t>
      </w:r>
      <w:r>
        <w:rPr>
          <w:noProof/>
        </w:rPr>
        <w:t xml:space="preserve"> financí a Evropské komise</w:t>
      </w:r>
      <w:r w:rsidR="0007218F">
        <w:rPr>
          <w:rStyle w:val="Znakapoznpodarou"/>
          <w:noProof/>
        </w:rPr>
        <w:footnoteReference w:id="1"/>
      </w:r>
      <w:bookmarkEnd w:id="40"/>
      <w:r w:rsidRPr="00220482">
        <w:t xml:space="preserve"> </w:t>
      </w:r>
    </w:p>
    <w:p w:rsidR="00C05919" w:rsidRPr="004C308D" w:rsidRDefault="004C308D" w:rsidP="004C308D">
      <w:pPr>
        <w:spacing w:after="0"/>
      </w:pPr>
      <w:r w:rsidRPr="004C308D">
        <w:rPr>
          <w:noProof/>
        </w:rPr>
        <w:drawing>
          <wp:inline distT="0" distB="0" distL="0" distR="0" wp14:anchorId="16B798C2" wp14:editId="1C6BFE8E">
            <wp:extent cx="6120130" cy="2581999"/>
            <wp:effectExtent l="0" t="0" r="0" b="889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81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919" w:rsidRDefault="00C05919" w:rsidP="00C05919">
      <w:pPr>
        <w:pStyle w:val="Zdrojpodtabulkounebografem"/>
        <w:spacing w:after="0"/>
      </w:pPr>
      <w:r>
        <w:t xml:space="preserve">Pozn.: Saldo běžného účtu </w:t>
      </w:r>
      <w:r w:rsidRPr="002A0848">
        <w:t xml:space="preserve">vychází </w:t>
      </w:r>
      <w:r>
        <w:t xml:space="preserve">v případě MF ČR </w:t>
      </w:r>
      <w:r w:rsidRPr="002A0848">
        <w:t xml:space="preserve">z metodiky platební bilance, </w:t>
      </w:r>
      <w:r>
        <w:t>údaje</w:t>
      </w:r>
      <w:r w:rsidRPr="002A0848">
        <w:t xml:space="preserve"> EK z národně-účetní metodiky ESA 2010.</w:t>
      </w:r>
    </w:p>
    <w:p w:rsidR="00C05919" w:rsidRPr="004E070A" w:rsidRDefault="00C05919" w:rsidP="00C05919">
      <w:pPr>
        <w:rPr>
          <w:i/>
          <w:sz w:val="16"/>
          <w:szCs w:val="16"/>
        </w:rPr>
      </w:pPr>
      <w:r w:rsidRPr="004E070A">
        <w:rPr>
          <w:i/>
          <w:sz w:val="16"/>
          <w:szCs w:val="16"/>
        </w:rPr>
        <w:t xml:space="preserve">Zdroj: Predikce MF </w:t>
      </w:r>
      <w:r w:rsidRPr="00E16792">
        <w:rPr>
          <w:i/>
          <w:sz w:val="16"/>
          <w:szCs w:val="16"/>
        </w:rPr>
        <w:t>ČR (aktualizace srpen 2019), predikce</w:t>
      </w:r>
      <w:r w:rsidRPr="004E070A">
        <w:rPr>
          <w:i/>
          <w:sz w:val="16"/>
          <w:szCs w:val="16"/>
        </w:rPr>
        <w:t xml:space="preserve"> EK (květen 2019).</w:t>
      </w:r>
    </w:p>
    <w:p w:rsidR="005C6EB8" w:rsidRDefault="005C6EB8" w:rsidP="005C6EB8">
      <w:pPr>
        <w:pStyle w:val="Nadpis1"/>
      </w:pPr>
      <w:bookmarkStart w:id="41" w:name="_Toc17733200"/>
      <w:r w:rsidRPr="005C6EB8">
        <w:lastRenderedPageBreak/>
        <w:t xml:space="preserve">Fiskální politika a </w:t>
      </w:r>
      <w:r>
        <w:t>veřejné finance</w:t>
      </w:r>
      <w:bookmarkEnd w:id="41"/>
    </w:p>
    <w:p w:rsidR="005C6EB8" w:rsidRPr="005C6EB8" w:rsidRDefault="005C6EB8" w:rsidP="005C6EB8">
      <w:r>
        <w:t>Fiskální pozice Č</w:t>
      </w:r>
      <w:r w:rsidR="002502DA">
        <w:t xml:space="preserve">eské republiky </w:t>
      </w:r>
      <w:r>
        <w:t xml:space="preserve">zůstává i nadále příznivá. V roce 2018 skončilo hospodaření sektoru vládních institucí přebytkem ve výši 0,9 % HDP, přičemž strukturální saldo dosáhlo hodnoty 0,4 % HDP. </w:t>
      </w:r>
      <w:r w:rsidR="002502DA">
        <w:t>Z</w:t>
      </w:r>
      <w:r>
        <w:t>a predikovaného makroek</w:t>
      </w:r>
      <w:r>
        <w:t>o</w:t>
      </w:r>
      <w:r>
        <w:t xml:space="preserve">nomického vývoje </w:t>
      </w:r>
      <w:r w:rsidR="002502DA">
        <w:t xml:space="preserve">by </w:t>
      </w:r>
      <w:r>
        <w:t xml:space="preserve">měly </w:t>
      </w:r>
      <w:r w:rsidR="002502DA">
        <w:t xml:space="preserve">české veřejné finance </w:t>
      </w:r>
      <w:r>
        <w:t>zůstat v přebytku i v letošním a příštím roce</w:t>
      </w:r>
      <w:r w:rsidR="002502DA">
        <w:t>, se s</w:t>
      </w:r>
      <w:r>
        <w:t>trukturální</w:t>
      </w:r>
      <w:r w:rsidR="002502DA">
        <w:t>mi saldy okolo</w:t>
      </w:r>
      <w:r>
        <w:t xml:space="preserve"> vyrovnaných hodnot. Dle očekávaného makroekonomického vývoje a rozpočtových dopadů vládních politik odhadujeme, že by strukturální saldo mělo </w:t>
      </w:r>
      <w:r w:rsidR="00D1653E">
        <w:t>v roce 2020</w:t>
      </w:r>
      <w:r>
        <w:t xml:space="preserve"> dosáhnout hodnoty -0,</w:t>
      </w:r>
      <w:r w:rsidR="00D1653E">
        <w:t>2</w:t>
      </w:r>
      <w:r>
        <w:t xml:space="preserve"> % HDP. Nastavení fiskální politiky je tak pro období budoucího ekonomického vývoje možné charakterizovat spíše jako </w:t>
      </w:r>
      <w:r w:rsidR="000034D3">
        <w:t xml:space="preserve">neutrální až </w:t>
      </w:r>
      <w:r>
        <w:t>mírně expanzivní, což je plně v souladu s realitou zpomalování ekonomického růstu.</w:t>
      </w:r>
    </w:p>
    <w:p w:rsidR="006E7D36" w:rsidRDefault="006E7D36" w:rsidP="006E7D36">
      <w:pPr>
        <w:sectPr w:rsidR="006E7D36" w:rsidSect="006E7D36">
          <w:type w:val="continuous"/>
          <w:pgSz w:w="11906" w:h="16838" w:code="9"/>
          <w:pgMar w:top="1134" w:right="1134" w:bottom="1418" w:left="1134" w:header="709" w:footer="709" w:gutter="0"/>
          <w:cols w:space="708"/>
          <w:docGrid w:linePitch="360"/>
        </w:sectPr>
      </w:pPr>
    </w:p>
    <w:p w:rsidR="000034D3" w:rsidRDefault="000034D3" w:rsidP="005C6EB8">
      <w:r>
        <w:lastRenderedPageBreak/>
        <w:t>O</w:t>
      </w:r>
      <w:r w:rsidR="005C6EB8">
        <w:t xml:space="preserve">d února 2017 </w:t>
      </w:r>
      <w:r>
        <w:t>je účinn</w:t>
      </w:r>
      <w:r w:rsidR="00BF5107">
        <w:t>ý</w:t>
      </w:r>
      <w:r>
        <w:t xml:space="preserve"> soubor právních předpisů, který má</w:t>
      </w:r>
      <w:r w:rsidR="005C6EB8">
        <w:t xml:space="preserve"> zajistit zdravý a udržitelný vývoj veřejných financí</w:t>
      </w:r>
      <w:r>
        <w:t>. P</w:t>
      </w:r>
      <w:r w:rsidR="005C6EB8">
        <w:t>řinesl výrazné změny v oblasti fiskálních prav</w:t>
      </w:r>
      <w:r w:rsidR="005C6EB8">
        <w:t>i</w:t>
      </w:r>
      <w:r w:rsidR="005C6EB8">
        <w:t xml:space="preserve">del a v rámci nich odlišný způsob stanovení výdajových rámců pro státní rozpočet a státní fondy. </w:t>
      </w:r>
    </w:p>
    <w:p w:rsidR="005C6EB8" w:rsidRPr="005A42E2" w:rsidRDefault="005C6EB8" w:rsidP="005C6EB8">
      <w:r>
        <w:t>Důležitým indikátorem pozice ekonomiky v rámci ho</w:t>
      </w:r>
      <w:r>
        <w:t>s</w:t>
      </w:r>
      <w:r>
        <w:t>podářského cyklu je produkční mezera, která vyjadřuje rozdíl mezi skutečnou úrovní ekonomického výkonu a úrovní optimálně využív</w:t>
      </w:r>
      <w:r w:rsidR="005A42E2">
        <w:t>ající</w:t>
      </w:r>
      <w:r>
        <w:t xml:space="preserve"> disponibilní zdroje </w:t>
      </w:r>
      <w:r w:rsidR="005A42E2">
        <w:t>(</w:t>
      </w:r>
      <w:r>
        <w:t>rovn</w:t>
      </w:r>
      <w:r>
        <w:t>o</w:t>
      </w:r>
      <w:r>
        <w:t>vážnou</w:t>
      </w:r>
      <w:r w:rsidR="005A42E2">
        <w:t>)</w:t>
      </w:r>
      <w:r>
        <w:t xml:space="preserve">. Dle výpočtů MF ČR </w:t>
      </w:r>
      <w:r w:rsidR="005A42E2">
        <w:t xml:space="preserve">dosáhla </w:t>
      </w:r>
      <w:r>
        <w:t>produkční mezera svého vrcholu v roce 2018</w:t>
      </w:r>
      <w:r w:rsidR="005A42E2">
        <w:t xml:space="preserve"> (1,6 % potenciálního produ</w:t>
      </w:r>
      <w:r w:rsidR="005A42E2">
        <w:t>k</w:t>
      </w:r>
      <w:r w:rsidR="005A42E2">
        <w:t>tu)</w:t>
      </w:r>
      <w:r>
        <w:t>, následně by mělo docházet k jejímu postupnému uzavírání. Taková makroekonomická situace implikuje možnost mírné expanze skrze veřejné finance. Přístupy, které MF ČR používá k identifikaci nastavení fiskální politiky (fiskální impuls a změna strukturálního salda, tj. fiskální úsilí), ukazují na neutrální až mírně expanzivní</w:t>
      </w:r>
      <w:r w:rsidR="005A42E2">
        <w:t xml:space="preserve"> fiskální politiku</w:t>
      </w:r>
      <w:r>
        <w:t xml:space="preserve">, tedy nastavení v současné době </w:t>
      </w:r>
      <w:r w:rsidRPr="005A42E2">
        <w:t>ekon</w:t>
      </w:r>
      <w:r w:rsidRPr="005A42E2">
        <w:t>o</w:t>
      </w:r>
      <w:r w:rsidRPr="005A42E2">
        <w:t>micky plně racionální.</w:t>
      </w:r>
    </w:p>
    <w:p w:rsidR="00A01FB3" w:rsidRDefault="000034D3" w:rsidP="005C6EB8">
      <w:r w:rsidRPr="005A42E2">
        <w:t>Z</w:t>
      </w:r>
      <w:r w:rsidR="005A42E2" w:rsidRPr="005A42E2">
        <w:t> </w:t>
      </w:r>
      <w:r w:rsidRPr="005A42E2">
        <w:t>hospodářsko</w:t>
      </w:r>
      <w:r w:rsidR="005A42E2" w:rsidRPr="005A42E2">
        <w:t>-</w:t>
      </w:r>
      <w:r w:rsidRPr="005A42E2">
        <w:t>politického hlediska má působení fiskální politiky zásadní význam hned v několika rovinách. Jde nejen o přímý vliv na agregátní poptávku nebo na agr</w:t>
      </w:r>
      <w:r w:rsidRPr="005A42E2">
        <w:t>e</w:t>
      </w:r>
      <w:r w:rsidRPr="005A42E2">
        <w:t>gátní nabídku, ale rovněž o vliv očekávání a nastavení z</w:t>
      </w:r>
      <w:r w:rsidR="0019444B">
        <w:t> </w:t>
      </w:r>
      <w:r w:rsidRPr="005A42E2">
        <w:t>hlediska udržitelnosti veřejných financí.</w:t>
      </w:r>
      <w:r>
        <w:t xml:space="preserve"> </w:t>
      </w:r>
      <w:r w:rsidR="005C6EB8">
        <w:t xml:space="preserve">Udržitelnost </w:t>
      </w:r>
      <w:r w:rsidR="005C6EB8">
        <w:lastRenderedPageBreak/>
        <w:t>veřejných financí souvisí především s</w:t>
      </w:r>
      <w:r w:rsidR="005A42E2">
        <w:t>e</w:t>
      </w:r>
      <w:r w:rsidR="005C6EB8">
        <w:t xml:space="preserve"> strukturálním saldem, tedy saldem očištěným o vliv hospodářského cyklu a jednorázových či jiných přechodných operací. Svou konstrukcí by </w:t>
      </w:r>
      <w:r w:rsidR="005A42E2">
        <w:t xml:space="preserve">tak </w:t>
      </w:r>
      <w:r w:rsidR="005C6EB8">
        <w:t>strukturální saldo nemělo brát v</w:t>
      </w:r>
      <w:r w:rsidR="005A42E2">
        <w:t> </w:t>
      </w:r>
      <w:r w:rsidR="005C6EB8">
        <w:t>úvahu cyklické výkyvy v ekonomice, ale soustředit se na pravou podstatu, strukturu, hospodaření veřejných financí. Souvisejícím aspektem udržitelnosti jsou změny v příjmech a výdajích v důsledku podstatných demogr</w:t>
      </w:r>
      <w:r w:rsidR="005C6EB8">
        <w:t>a</w:t>
      </w:r>
      <w:r w:rsidR="005C6EB8">
        <w:t>fických změn ve struktuře populace. Projektovaný nárůst výdajů v delším období by měl vést k vytvoření dost</w:t>
      </w:r>
      <w:r w:rsidR="005C6EB8">
        <w:t>a</w:t>
      </w:r>
      <w:r w:rsidR="005C6EB8">
        <w:t>tečné fiskální rezervy, která pomůže čelit budoucím výzvám veřejných financí. Obě složky dlouhodobé udrž</w:t>
      </w:r>
      <w:r w:rsidR="005C6EB8">
        <w:t>i</w:t>
      </w:r>
      <w:r w:rsidR="005C6EB8">
        <w:t>telnosti jsou promítnuty v tzv. střednědobém rozpočt</w:t>
      </w:r>
      <w:r w:rsidR="005C6EB8">
        <w:t>o</w:t>
      </w:r>
      <w:r w:rsidR="005C6EB8">
        <w:t>vém cíli.  Střednědobý rozpočtový cíl stanovuje limit pro strukturální hospodaření veřejných financí, aby nebyla ohrožena dlouhodobá udržitelnost jak vlivem aktuálního nesouladu strukturálních příjmů a výdajů, tak i vlivem změny dlouhodobých výdajů. Limit střednědobého ro</w:t>
      </w:r>
      <w:r w:rsidR="005C6EB8">
        <w:t>z</w:t>
      </w:r>
      <w:r w:rsidR="005C6EB8">
        <w:t xml:space="preserve">počtového cíle proto představuje v ČR základní parametr při odvození výdajových rámců pro státní rozpočet a státní fondy a odpovídá hodnotě strukturálního salda </w:t>
      </w:r>
      <w:r w:rsidR="0019444B">
        <w:br/>
      </w:r>
      <w:r w:rsidR="005C6EB8">
        <w:t>-0,75 % HDP. ČR svůj střednědobý rozpočtový cíl v p</w:t>
      </w:r>
      <w:r w:rsidR="005C6EB8">
        <w:t>o</w:t>
      </w:r>
      <w:r w:rsidR="005C6EB8">
        <w:t>sledních letech vždy plnila, stejně tak jeho plnění pred</w:t>
      </w:r>
      <w:r w:rsidR="005C6EB8">
        <w:t>i</w:t>
      </w:r>
      <w:r w:rsidR="005C6EB8">
        <w:t>kujeme i v následujících letech.</w:t>
      </w:r>
    </w:p>
    <w:p w:rsidR="00A01FB3" w:rsidRDefault="00A01FB3" w:rsidP="005C6EB8">
      <w:pPr>
        <w:sectPr w:rsidR="00A01FB3" w:rsidSect="00586243">
          <w:headerReference w:type="even" r:id="rId29"/>
          <w:footerReference w:type="even" r:id="rId30"/>
          <w:type w:val="continuous"/>
          <w:pgSz w:w="11906" w:h="16838" w:code="9"/>
          <w:pgMar w:top="1134" w:right="1134" w:bottom="1418" w:left="1134" w:header="709" w:footer="709" w:gutter="0"/>
          <w:cols w:num="2" w:space="397"/>
          <w:docGrid w:linePitch="360"/>
        </w:sectPr>
      </w:pPr>
    </w:p>
    <w:p w:rsidR="005C6EB8" w:rsidRDefault="00A01FB3" w:rsidP="00586243">
      <w:pPr>
        <w:pStyle w:val="Titulek"/>
      </w:pPr>
      <w:bookmarkStart w:id="42" w:name="_Toc17733206"/>
      <w:proofErr w:type="gramStart"/>
      <w:r w:rsidRPr="00B87A57">
        <w:lastRenderedPageBreak/>
        <w:t xml:space="preserve">Tabulka </w:t>
      </w:r>
      <w:fldSimple w:instr=" STYLEREF 1 \s ">
        <w:r w:rsidR="00E07DDE">
          <w:rPr>
            <w:noProof/>
          </w:rPr>
          <w:t>3</w:t>
        </w:r>
      </w:fldSimple>
      <w:r w:rsidRPr="00B87A57">
        <w:t>.</w:t>
      </w:r>
      <w:fldSimple w:instr=" SEQ Tabulka \* ARABIC \s 1 ">
        <w:r w:rsidR="00E07DDE">
          <w:rPr>
            <w:noProof/>
          </w:rPr>
          <w:t>1</w:t>
        </w:r>
      </w:fldSimple>
      <w:r w:rsidRPr="00B87A57">
        <w:t>:</w:t>
      </w:r>
      <w:proofErr w:type="gramEnd"/>
      <w:r w:rsidRPr="00877BE7">
        <w:t xml:space="preserve"> </w:t>
      </w:r>
      <w:r w:rsidR="005C6EB8">
        <w:t>Saldo a dluh sektoru vládních institucí</w:t>
      </w:r>
      <w:bookmarkEnd w:id="42"/>
    </w:p>
    <w:p w:rsidR="005C6EB8" w:rsidRDefault="004C308D" w:rsidP="00A01FB3">
      <w:pPr>
        <w:spacing w:after="0"/>
      </w:pPr>
      <w:r w:rsidRPr="004C308D">
        <w:rPr>
          <w:noProof/>
        </w:rPr>
        <w:drawing>
          <wp:inline distT="0" distB="0" distL="0" distR="0" wp14:anchorId="76114A46" wp14:editId="105B6495">
            <wp:extent cx="6120130" cy="800261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00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6EB8">
        <w:t xml:space="preserve"> </w:t>
      </w:r>
    </w:p>
    <w:p w:rsidR="00A01FB3" w:rsidRDefault="00586243" w:rsidP="00586243">
      <w:pPr>
        <w:pStyle w:val="Zdrojpodtabulkounebografem"/>
      </w:pPr>
      <w:r>
        <w:t>Zdroj</w:t>
      </w:r>
      <w:r w:rsidR="005C6EB8">
        <w:t xml:space="preserve">: ČSÚ. </w:t>
      </w:r>
      <w:r w:rsidR="00082E8B" w:rsidRPr="00287AC6">
        <w:t>Výpočty a predikce MF ČR</w:t>
      </w:r>
      <w:r w:rsidR="005C6EB8">
        <w:t>.</w:t>
      </w:r>
    </w:p>
    <w:p w:rsidR="00A01FB3" w:rsidRDefault="00A01FB3" w:rsidP="00A01FB3">
      <w:pPr>
        <w:pStyle w:val="Nadpis2"/>
      </w:pPr>
      <w:bookmarkStart w:id="43" w:name="_Toc17733201"/>
      <w:r>
        <w:t>Očekávané hospodaření sektoru vládních institucí v roce 2019</w:t>
      </w:r>
      <w:bookmarkEnd w:id="43"/>
    </w:p>
    <w:p w:rsidR="00A01FB3" w:rsidRPr="00A01FB3" w:rsidRDefault="00A01FB3" w:rsidP="00A01FB3">
      <w:pPr>
        <w:sectPr w:rsidR="00A01FB3" w:rsidRPr="00A01FB3" w:rsidSect="00A01FB3">
          <w:type w:val="continuous"/>
          <w:pgSz w:w="11906" w:h="16838" w:code="9"/>
          <w:pgMar w:top="1134" w:right="1134" w:bottom="1418" w:left="1134" w:header="709" w:footer="709" w:gutter="0"/>
          <w:cols w:space="397"/>
          <w:docGrid w:linePitch="360"/>
        </w:sectPr>
      </w:pPr>
    </w:p>
    <w:p w:rsidR="005C6EB8" w:rsidRDefault="005C6EB8" w:rsidP="005C6EB8">
      <w:r>
        <w:lastRenderedPageBreak/>
        <w:t>Očekávané výsledky hospodaření sektoru vládních inst</w:t>
      </w:r>
      <w:r>
        <w:t>i</w:t>
      </w:r>
      <w:r>
        <w:t xml:space="preserve">tucí v roce 2019 </w:t>
      </w:r>
      <w:r w:rsidR="00046A9E">
        <w:t>odráží</w:t>
      </w:r>
      <w:r>
        <w:t xml:space="preserve"> ekonomick</w:t>
      </w:r>
      <w:r w:rsidR="00046A9E">
        <w:t>ý</w:t>
      </w:r>
      <w:r>
        <w:t xml:space="preserve"> vývoj a záměr</w:t>
      </w:r>
      <w:r w:rsidR="00046A9E">
        <w:t>y</w:t>
      </w:r>
      <w:r>
        <w:t xml:space="preserve"> vl</w:t>
      </w:r>
      <w:r>
        <w:t>á</w:t>
      </w:r>
      <w:r>
        <w:t>dy, především pak na úrovni státního rozpočtu a rozpo</w:t>
      </w:r>
      <w:r>
        <w:t>č</w:t>
      </w:r>
      <w:r>
        <w:t>tů státních fondů. Pro rok 2019 odhadujeme, že hosp</w:t>
      </w:r>
      <w:r>
        <w:t>o</w:t>
      </w:r>
      <w:r>
        <w:t>daření sektoru vládních institucí dosáhne přebytku ve výši 0,3 % HDP. Přebytek však pravděpodobně nebude rovnoměrně rozložen. Záporné saldo ústředních vlá</w:t>
      </w:r>
      <w:r>
        <w:t>d</w:t>
      </w:r>
      <w:r>
        <w:t>ních institucí by mělo být převáženo kladným výsledkem hospodaření místních vládních institucí a zdravotních pojišťoven. Z pohledu strukturálního salda by mělo dojít k poklesu přebytku z</w:t>
      </w:r>
      <w:r w:rsidR="00BE7746">
        <w:t> </w:t>
      </w:r>
      <w:r>
        <w:t>0,4 % HDP v roce 2018 na hodnotu -0,1 % HDP v roce 2019.</w:t>
      </w:r>
    </w:p>
    <w:p w:rsidR="00BE7746" w:rsidRDefault="005C6EB8" w:rsidP="005C6EB8">
      <w:r>
        <w:lastRenderedPageBreak/>
        <w:t xml:space="preserve">V meziročním porovnání bude nižší přebytek sektoru vládních institucí dán předstihem růstu výdajů před vývojem příjmové strany veřejných rozpočtů. Nicméně i přes mírné meziroční zpomalení zůstává i nadále vysoká dynamika daňových příjmů včetně příspěvků na sociální zabezpečení. </w:t>
      </w:r>
    </w:p>
    <w:p w:rsidR="005C6EB8" w:rsidRDefault="005C6EB8" w:rsidP="005C6EB8">
      <w:r>
        <w:t>Očekáváme, že výnosy daní a příspěvků na sociální z</w:t>
      </w:r>
      <w:r>
        <w:t>a</w:t>
      </w:r>
      <w:r>
        <w:t>bezpečení vzrostou v roce 2019 o 5,8 %. V meziročním srovnání by se nejrychleji měly vyvíjet důchodové daně, zejména pak výnos daně z příjmů fyzických osob (vyšší o</w:t>
      </w:r>
      <w:r w:rsidR="00BE7746">
        <w:t> </w:t>
      </w:r>
      <w:r>
        <w:t>10,3 %). Pozitivně by je měl ovlivnit jak nárůst pr</w:t>
      </w:r>
      <w:r>
        <w:t>ů</w:t>
      </w:r>
      <w:r>
        <w:lastRenderedPageBreak/>
        <w:t>měrné mzdy tažený situací na trhu práce a dalším zvýš</w:t>
      </w:r>
      <w:r>
        <w:t>e</w:t>
      </w:r>
      <w:r>
        <w:t>ním minimální a zaručené mzdy, tak růst zaměstnanosti. Faktory ve mzdové oblasti a vývoj ekonomiky by spolu s</w:t>
      </w:r>
      <w:r w:rsidR="00BE7746">
        <w:t> </w:t>
      </w:r>
      <w:r>
        <w:t>více než 5% zvýšením vyměřovacího základu u platby za státního pojištěnce měly být určující také pro růst příspěvků na sociální zabezpečení. Výnos daně z přidané hodnoty by měl vzrůst o 4,8 %, celkové daně z výroby a dovozu pak o 3,3 %. Růst daně z příjmů právnických osob by měl zpomalit na 3,4 %. Do výsledků hospodaření firem se promítnou vyšší náklady na mzdy a také stagn</w:t>
      </w:r>
      <w:r>
        <w:t>a</w:t>
      </w:r>
      <w:r>
        <w:t>ce dynamiky nominálního HDP. Pokud jde o ostatní př</w:t>
      </w:r>
      <w:r>
        <w:t>í</w:t>
      </w:r>
      <w:r>
        <w:t>jmy, odhadujeme zvýšení kapitálových transferů, a to především díky předpokladu dalšího nárůstu realizace projektů spolufinancovaných z fondů EU.</w:t>
      </w:r>
    </w:p>
    <w:p w:rsidR="00BE7746" w:rsidRDefault="005C6EB8" w:rsidP="005C6EB8">
      <w:r>
        <w:t xml:space="preserve">Výdaje sektoru vládních institucí by měly meziročně vzrůst o 7,4 %. Předpokládaný růst spotřeby vládních institucí by měl oproti minulému roku zpomalit, přesto by měl činit </w:t>
      </w:r>
      <w:r w:rsidR="00BF5107">
        <w:t>kolem</w:t>
      </w:r>
      <w:r>
        <w:t xml:space="preserve"> 7 %, zvláště díky vysoké dynamice růstu náhrad zaměstnancům (10,0 %). V meziročním </w:t>
      </w:r>
      <w:r>
        <w:lastRenderedPageBreak/>
        <w:t xml:space="preserve">porovnání lze očekávat zmírnění růstu </w:t>
      </w:r>
      <w:proofErr w:type="spellStart"/>
      <w:r>
        <w:t>mezispotřeby</w:t>
      </w:r>
      <w:proofErr w:type="spellEnd"/>
      <w:r>
        <w:t xml:space="preserve">, neboť se již nepředpokládá tak vysoká dynamika nákupů spolufinancovaných z fondů </w:t>
      </w:r>
      <w:r w:rsidR="00BE7746">
        <w:t>Evropské unie</w:t>
      </w:r>
      <w:r>
        <w:t>. Citelné nav</w:t>
      </w:r>
      <w:r>
        <w:t>ý</w:t>
      </w:r>
      <w:r>
        <w:t>šení lze očekávat v oblasti peněžitých dávek sociálního zabezpečení, neboť reflektují schválená opatření (zejména v oblasti dávek důchodového pojištění) a také ekonomický vývoj. Pro rok 2019 tak odhadujeme jejich růst na 7,3 %. Investiční výdaje předpokládáme o téměř 10 % vyšší, meziroční růst investic však výrazně zpomalí vlivem snížení dynamiky investičních výdajů financov</w:t>
      </w:r>
      <w:r>
        <w:t>a</w:t>
      </w:r>
      <w:r>
        <w:t xml:space="preserve">ných jak z evropských, tak národních zdrojů. </w:t>
      </w:r>
      <w:r w:rsidR="00BE7746">
        <w:t xml:space="preserve">Úrokové náklady </w:t>
      </w:r>
      <w:r>
        <w:t xml:space="preserve">očekáváme meziročně o 4,3 % vyšší. </w:t>
      </w:r>
    </w:p>
    <w:p w:rsidR="00A01FB3" w:rsidRDefault="005C6EB8" w:rsidP="005C6EB8">
      <w:r>
        <w:t>Odhadovaný výsledek hospodaření sektoru vládních institucí by se měl odrazit v pokračujícím poklesu rel</w:t>
      </w:r>
      <w:r>
        <w:t>a</w:t>
      </w:r>
      <w:r>
        <w:t>tivní výše dluhu v</w:t>
      </w:r>
      <w:r w:rsidR="00BE7746">
        <w:t> </w:t>
      </w:r>
      <w:r>
        <w:t xml:space="preserve">poměru k HDP, započatým v roce 2014. Na konci roku 2019 predikujeme o téměř 1,2 p. b. </w:t>
      </w:r>
      <w:proofErr w:type="gramStart"/>
      <w:r>
        <w:t>nižší</w:t>
      </w:r>
      <w:proofErr w:type="gramEnd"/>
      <w:r>
        <w:t xml:space="preserve"> relativní výši zadlužení než v roce 2018, a to na úrovni 31,3 % HDP.</w:t>
      </w:r>
    </w:p>
    <w:p w:rsidR="00A01FB3" w:rsidRDefault="00A01FB3" w:rsidP="005C6EB8">
      <w:pPr>
        <w:sectPr w:rsidR="00A01FB3" w:rsidSect="00586243">
          <w:type w:val="continuous"/>
          <w:pgSz w:w="11906" w:h="16838" w:code="9"/>
          <w:pgMar w:top="1134" w:right="1134" w:bottom="1418" w:left="1134" w:header="709" w:footer="709" w:gutter="0"/>
          <w:cols w:num="2" w:space="397"/>
          <w:docGrid w:linePitch="360"/>
        </w:sectPr>
      </w:pPr>
    </w:p>
    <w:p w:rsidR="00A01FB3" w:rsidRDefault="005C6EB8" w:rsidP="00BE7746">
      <w:pPr>
        <w:pStyle w:val="Nadpis2"/>
      </w:pPr>
      <w:bookmarkStart w:id="44" w:name="_Toc17733202"/>
      <w:r>
        <w:lastRenderedPageBreak/>
        <w:t xml:space="preserve">Predikce </w:t>
      </w:r>
      <w:r w:rsidRPr="00BE7746">
        <w:t>hospodaření</w:t>
      </w:r>
      <w:r>
        <w:t xml:space="preserve"> sektoru vládních institucí v roce 2020</w:t>
      </w:r>
      <w:bookmarkEnd w:id="44"/>
    </w:p>
    <w:p w:rsidR="00A01FB3" w:rsidRPr="00A01FB3" w:rsidRDefault="00A01FB3" w:rsidP="00A01FB3">
      <w:pPr>
        <w:sectPr w:rsidR="00A01FB3" w:rsidRPr="00A01FB3" w:rsidSect="00A01FB3">
          <w:type w:val="continuous"/>
          <w:pgSz w:w="11906" w:h="16838" w:code="9"/>
          <w:pgMar w:top="1134" w:right="1134" w:bottom="1418" w:left="1134" w:header="709" w:footer="709" w:gutter="0"/>
          <w:cols w:space="397"/>
          <w:docGrid w:linePitch="360"/>
        </w:sectPr>
      </w:pPr>
    </w:p>
    <w:p w:rsidR="005C6EB8" w:rsidRDefault="005C6EB8" w:rsidP="005C6EB8">
      <w:r>
        <w:lastRenderedPageBreak/>
        <w:t>Kladného salda hospodaření sektoru vládních institucí by mělo být dosaženo i v roce 2020, kdy počítáme s mírným zvýšením přebytku na 0,4 % HDP.</w:t>
      </w:r>
    </w:p>
    <w:p w:rsidR="005C6EB8" w:rsidRPr="00BF5107" w:rsidRDefault="005C6EB8" w:rsidP="005C6EB8">
      <w:r>
        <w:t>Celkové příjmy sektoru vládních institucí by dle predikce měly v roce 2020 vzrůst o 5,7 %. Stále poměrně silný růst by si měla zachovat daň z příjmů fyzických osob, jejíž tempo se v posledních letech pohybovalo nad 10 %. Zvýšení o 7,5 % pro rok 2020 reflektuje postupné zp</w:t>
      </w:r>
      <w:r>
        <w:t>o</w:t>
      </w:r>
      <w:r>
        <w:t>malování růstu objemu mez</w:t>
      </w:r>
      <w:r w:rsidR="00404C4A">
        <w:t>d</w:t>
      </w:r>
      <w:r>
        <w:t xml:space="preserve"> a platů v ekonomice. P</w:t>
      </w:r>
      <w:r>
        <w:t>o</w:t>
      </w:r>
      <w:r>
        <w:t xml:space="preserve">dobné faktory rovněž ovlivňují příjmy </w:t>
      </w:r>
      <w:r w:rsidRPr="00BF5107">
        <w:t xml:space="preserve">z příspěvků na sociální zabezpečení, jejichž růst je odhadován na téměř 6 %. </w:t>
      </w:r>
      <w:r w:rsidR="00404C4A" w:rsidRPr="00BF5107">
        <w:t>D</w:t>
      </w:r>
      <w:r w:rsidRPr="00BF5107">
        <w:t>aň z příjmů právnických osob by vzhledem k pr</w:t>
      </w:r>
      <w:r w:rsidRPr="00BF5107">
        <w:t>e</w:t>
      </w:r>
      <w:r w:rsidRPr="00BF5107">
        <w:t xml:space="preserve">dikci růstu </w:t>
      </w:r>
      <w:r w:rsidR="00404C4A" w:rsidRPr="00BF5107">
        <w:t>hrubého provozního přebytku, fiskálním efe</w:t>
      </w:r>
      <w:r w:rsidR="00404C4A" w:rsidRPr="00BF5107">
        <w:t>k</w:t>
      </w:r>
      <w:r w:rsidR="00404C4A" w:rsidRPr="00BF5107">
        <w:t xml:space="preserve">tům poslední fáze elektronické evidence tržeb a dalších diskrečních opatření </w:t>
      </w:r>
      <w:r w:rsidRPr="00BF5107">
        <w:t>měla růst mírně nad 6 %. Dynamika daní ze spotřeby by měla být ovlivněna, kromě svých makroekonomických základen spotřeby domácností, vládních institucí a některých investic, zejména schvál</w:t>
      </w:r>
      <w:r w:rsidRPr="00BF5107">
        <w:t>e</w:t>
      </w:r>
      <w:r w:rsidRPr="00BF5107">
        <w:t>nými efekty diskrečních opatření jak v oblasti spotře</w:t>
      </w:r>
      <w:r w:rsidRPr="00BF5107">
        <w:t>b</w:t>
      </w:r>
      <w:r w:rsidRPr="00BF5107">
        <w:t xml:space="preserve">ních daní (zvýšení sazeb u tabákových výrobků a lihovin), tak v oblasti daně z přidané hodnoty (posun lhůty na výplatu konkludentních odpočtů, spuštění elektronické evidence tržeb pro subjekty nezařazené do prvních dvou vln nebo přesun některých </w:t>
      </w:r>
      <w:r w:rsidR="00404C4A" w:rsidRPr="00BF5107">
        <w:t>druhů zboží</w:t>
      </w:r>
      <w:r w:rsidRPr="00BF5107">
        <w:t xml:space="preserve"> a služeb do nižší sazby). Daně ze spotřeby by tak celkem měly v roce 2020 zaznamenat nárůst o 8 %.</w:t>
      </w:r>
    </w:p>
    <w:p w:rsidR="005C6EB8" w:rsidRPr="00BF5107" w:rsidRDefault="005C6EB8" w:rsidP="005C6EB8">
      <w:r w:rsidRPr="00BF5107">
        <w:t>Zvolnění dynamiky celkových výdajů na 5,3 % je částe</w:t>
      </w:r>
      <w:r w:rsidRPr="00BF5107">
        <w:t>č</w:t>
      </w:r>
      <w:r w:rsidRPr="00BF5107">
        <w:t xml:space="preserve">ně dáno predikcí nižšího tempa výdajů na konečnou spotřebu vládních institucí, které by mělo mírně převýšit 4 %. Náhrady zaměstnancům v sektoru vládních institucí by měly výrazně zpomalit vlivem nižšího nárůstu tarifů, stejně tak prováděnou racionalizací v počtu pracovních míst. Naturální sociální dávky by měly mít v roce 2020 nižší tempo než v letošním roce, což je dáno hlavně </w:t>
      </w:r>
      <w:r w:rsidRPr="00BF5107">
        <w:lastRenderedPageBreak/>
        <w:t>zavedením 75% slev na jízdné v autobusech a vlacích pro žáky, studenty do 26 let a seniory starší 65 let v druhé polovině roku 2018</w:t>
      </w:r>
      <w:r w:rsidR="00404C4A" w:rsidRPr="00BF5107">
        <w:t>,</w:t>
      </w:r>
      <w:r w:rsidRPr="00BF5107">
        <w:t xml:space="preserve"> a tedy zvýšením dynamiky v letech 2018 a 2019. Růst </w:t>
      </w:r>
      <w:proofErr w:type="spellStart"/>
      <w:r w:rsidRPr="00BF5107">
        <w:t>mezispotřeby</w:t>
      </w:r>
      <w:proofErr w:type="spellEnd"/>
      <w:r w:rsidRPr="00BF5107">
        <w:t xml:space="preserve"> těsně nad 3 % je v p</w:t>
      </w:r>
      <w:r w:rsidRPr="00BF5107">
        <w:t>o</w:t>
      </w:r>
      <w:r w:rsidRPr="00BF5107">
        <w:t>rovnání s rokem 2019 mírně nižší primárně v důsledku nižší očekávané míry inflace.</w:t>
      </w:r>
    </w:p>
    <w:p w:rsidR="005C6EB8" w:rsidRPr="00BF5107" w:rsidRDefault="005C6EB8" w:rsidP="005C6EB8">
      <w:r w:rsidRPr="00BF5107">
        <w:t>V oblasti peněžitých dávek sociálního zabezpečení poč</w:t>
      </w:r>
      <w:r w:rsidRPr="00BF5107">
        <w:t>í</w:t>
      </w:r>
      <w:r w:rsidRPr="00BF5107">
        <w:t xml:space="preserve">táme v roce 2020 s citelným navýšením, zejména díky růstu výdajů na výplatu důchodů. Schválená valorizace důchodů v průměru o 900 Kč by měla zatížit výdajovou stranu o částku kolem 33 mld. Kč. </w:t>
      </w:r>
      <w:r w:rsidR="00404C4A" w:rsidRPr="00BF5107">
        <w:t>D</w:t>
      </w:r>
      <w:r w:rsidRPr="00BF5107">
        <w:t>opad na výdaje bude mít i zvýšení rodičovského příspěvku z</w:t>
      </w:r>
      <w:r w:rsidR="00404C4A" w:rsidRPr="00BF5107">
        <w:t> </w:t>
      </w:r>
      <w:r w:rsidRPr="00BF5107">
        <w:t>220</w:t>
      </w:r>
      <w:r w:rsidR="00404C4A" w:rsidRPr="00BF5107">
        <w:t xml:space="preserve"> tis. Kč </w:t>
      </w:r>
      <w:r w:rsidRPr="00BF5107">
        <w:t>na 300</w:t>
      </w:r>
      <w:r w:rsidR="00404C4A" w:rsidRPr="00BF5107">
        <w:t xml:space="preserve"> tis. </w:t>
      </w:r>
      <w:r w:rsidRPr="00BF5107">
        <w:t xml:space="preserve">Kč </w:t>
      </w:r>
      <w:r w:rsidR="00404C4A" w:rsidRPr="00BF5107">
        <w:t xml:space="preserve">v celkové </w:t>
      </w:r>
      <w:r w:rsidRPr="00BF5107">
        <w:t>výši 8,6 mld. Kč. Konečně peněžité sociální dávky budou v</w:t>
      </w:r>
      <w:r w:rsidR="00404C4A" w:rsidRPr="00BF5107">
        <w:t> </w:t>
      </w:r>
      <w:r w:rsidRPr="00BF5107">
        <w:t>roce 2020 ovlivněny částečně zvýšením příspěvku na péči pro osoby v třetím a čtvrtém stupni závislosti ve výši 1,9 mld. Kč. Ve vývoji dávek sociálního zabezpečení se v metodice ESA 2010 odráží i růst platby za státního pojištěnce o cca 3,5 mld. Kč na rok 2020. V důsledku ekonomického vývoje a zejména uvedených diskrečních opatření by růst peněžitých soc</w:t>
      </w:r>
      <w:r w:rsidRPr="00BF5107">
        <w:t>i</w:t>
      </w:r>
      <w:r w:rsidRPr="00BF5107">
        <w:t>álních dávek měl zaznamenat obdobnou výši jako v roce 2019, 7,3 %.</w:t>
      </w:r>
    </w:p>
    <w:p w:rsidR="005C6EB8" w:rsidRPr="00BF5107" w:rsidRDefault="005C6EB8" w:rsidP="005C6EB8">
      <w:r w:rsidRPr="00BF5107">
        <w:t>U výdajů na investice do fixních aktiv spolufinancov</w:t>
      </w:r>
      <w:r w:rsidRPr="00BF5107">
        <w:t>a</w:t>
      </w:r>
      <w:r w:rsidRPr="00BF5107">
        <w:t>ných z fondů EU očekáváme postupný návrat na jejich běžnou úroveň. Dynamika celkových investic by v roce 2020 mohla dosáhnout 6,5 %, čímž by si investice vlá</w:t>
      </w:r>
      <w:r w:rsidRPr="00BF5107">
        <w:t>d</w:t>
      </w:r>
      <w:r w:rsidRPr="00BF5107">
        <w:t xml:space="preserve">ních institucí zachovaly v relativním vyjádření výši 4,3 % HDP. </w:t>
      </w:r>
    </w:p>
    <w:p w:rsidR="005C6EB8" w:rsidRDefault="005C6EB8" w:rsidP="005C6EB8">
      <w:r w:rsidRPr="00BF5107">
        <w:t xml:space="preserve">Úrokové výdaje by </w:t>
      </w:r>
      <w:r w:rsidR="00BF5107">
        <w:t xml:space="preserve">měly vlivem </w:t>
      </w:r>
      <w:r>
        <w:t>predikované výš</w:t>
      </w:r>
      <w:r w:rsidR="00BF5107">
        <w:t>e</w:t>
      </w:r>
      <w:r>
        <w:t xml:space="preserve"> ho</w:t>
      </w:r>
      <w:r>
        <w:t>s</w:t>
      </w:r>
      <w:r>
        <w:t>podaření sektoru vládních institucí a vývoj</w:t>
      </w:r>
      <w:r w:rsidR="00BF5107">
        <w:t>e</w:t>
      </w:r>
      <w:r>
        <w:t xml:space="preserve"> úrokových měr mírně vzrůst. V poměrovém vyjádření by však měly setrvat na hodnotě 0,7 % HDP.</w:t>
      </w:r>
    </w:p>
    <w:p w:rsidR="005C6EB8" w:rsidRDefault="005C6EB8" w:rsidP="005C6EB8">
      <w:r>
        <w:lastRenderedPageBreak/>
        <w:t xml:space="preserve">Aktuální fáze hospodářského cyklu působí na výsledky hospodaření sektoru vládních institucí pozitivně. Po očištění o vliv hospodářského cyklu a o jednorázové či jiné přechodné operace by měla výše strukturálního salda pro rok 2020 činit -0,2 % HDP. </w:t>
      </w:r>
      <w:r w:rsidRPr="00BF5107">
        <w:t>Vzhledem</w:t>
      </w:r>
      <w:r>
        <w:t xml:space="preserve"> k pouze nepatrnému meziročnímu poklesu je možné označit </w:t>
      </w:r>
      <w:r>
        <w:lastRenderedPageBreak/>
        <w:t>nastavení fiskální politiky pro tento rok jako neutrální resp. velmi mírně expanzivní.</w:t>
      </w:r>
    </w:p>
    <w:p w:rsidR="001D70CA" w:rsidRDefault="005C6EB8" w:rsidP="005C6EB8">
      <w:r>
        <w:t>Dluh sektoru vládních institucí by měl v roce 2020 v</w:t>
      </w:r>
      <w:r w:rsidR="00404C4A">
        <w:t> </w:t>
      </w:r>
      <w:r>
        <w:t xml:space="preserve">poměrovém vyjádření klesnout o 0,6 p. b. </w:t>
      </w:r>
      <w:proofErr w:type="gramStart"/>
      <w:r>
        <w:t>na</w:t>
      </w:r>
      <w:proofErr w:type="gramEnd"/>
      <w:r>
        <w:t xml:space="preserve"> hodnotu 30,7 % HDP.</w:t>
      </w:r>
    </w:p>
    <w:p w:rsidR="004B150D" w:rsidRDefault="004B150D" w:rsidP="005C6EB8">
      <w:pPr>
        <w:sectPr w:rsidR="004B150D" w:rsidSect="00586243">
          <w:type w:val="continuous"/>
          <w:pgSz w:w="11906" w:h="16838" w:code="9"/>
          <w:pgMar w:top="1134" w:right="1134" w:bottom="1418" w:left="1134" w:header="709" w:footer="709" w:gutter="0"/>
          <w:cols w:num="2" w:space="397"/>
          <w:docGrid w:linePitch="360"/>
        </w:sectPr>
      </w:pPr>
    </w:p>
    <w:p w:rsidR="005C6EB8" w:rsidRPr="005C6EB8" w:rsidRDefault="005C6EB8" w:rsidP="00D1653E">
      <w:pPr>
        <w:pStyle w:val="Zdrojpodtabulkounebografem"/>
      </w:pPr>
    </w:p>
    <w:sectPr w:rsidR="005C6EB8" w:rsidRPr="005C6EB8" w:rsidSect="0007218F">
      <w:type w:val="continuous"/>
      <w:pgSz w:w="11906" w:h="16838" w:code="9"/>
      <w:pgMar w:top="1134" w:right="1134" w:bottom="1418" w:left="1134" w:header="709" w:footer="709" w:gutter="0"/>
      <w:cols w:space="39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23C" w:rsidRDefault="00B0423C" w:rsidP="00332D4D">
      <w:pPr>
        <w:spacing w:after="0"/>
      </w:pPr>
      <w:r>
        <w:separator/>
      </w:r>
    </w:p>
  </w:endnote>
  <w:endnote w:type="continuationSeparator" w:id="0">
    <w:p w:rsidR="00B0423C" w:rsidRDefault="00B0423C" w:rsidP="00332D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23C" w:rsidRDefault="00B0423C" w:rsidP="007A1923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23C" w:rsidRPr="00A12A05" w:rsidRDefault="00B0423C" w:rsidP="007A192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text" w:horzAnchor="page" w:tblpX="568" w:tblpY="1"/>
      <w:tblOverlap w:val="never"/>
      <w:tblW w:w="1730" w:type="pct"/>
      <w:tblBorders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  <w:insideH w:val="single" w:sz="12" w:space="0" w:color="999999"/>
        <w:insideV w:val="single" w:sz="12" w:space="0" w:color="999999"/>
      </w:tblBorders>
      <w:tblLook w:val="01E0" w:firstRow="1" w:lastRow="1" w:firstColumn="1" w:lastColumn="1" w:noHBand="0" w:noVBand="0"/>
    </w:tblPr>
    <w:tblGrid>
      <w:gridCol w:w="648"/>
      <w:gridCol w:w="2761"/>
    </w:tblGrid>
    <w:tr w:rsidR="00B0423C" w:rsidRPr="00175F17" w:rsidTr="007A1923">
      <w:trPr>
        <w:cantSplit/>
      </w:trPr>
      <w:tc>
        <w:tcPr>
          <w:tcW w:w="950" w:type="pct"/>
          <w:shd w:val="clear" w:color="auto" w:fill="auto"/>
          <w:vAlign w:val="center"/>
        </w:tcPr>
        <w:p w:rsidR="00B0423C" w:rsidRPr="00175F17" w:rsidRDefault="00B0423C" w:rsidP="007A1923">
          <w:pPr>
            <w:spacing w:after="0"/>
            <w:jc w:val="right"/>
            <w:rPr>
              <w:color w:val="999999"/>
              <w:sz w:val="16"/>
              <w:szCs w:val="16"/>
            </w:rPr>
          </w:pPr>
          <w:r>
            <w:rPr>
              <w:rStyle w:val="slostrnky"/>
              <w:sz w:val="32"/>
              <w:szCs w:val="32"/>
            </w:rPr>
            <w:fldChar w:fldCharType="begin"/>
          </w:r>
          <w:r>
            <w:rPr>
              <w:rStyle w:val="slostrnky"/>
              <w:sz w:val="32"/>
              <w:szCs w:val="32"/>
            </w:rPr>
            <w:instrText xml:space="preserve"> PAGE  </w:instrText>
          </w:r>
          <w:r>
            <w:rPr>
              <w:rStyle w:val="slostrnky"/>
              <w:sz w:val="32"/>
              <w:szCs w:val="32"/>
            </w:rPr>
            <w:fldChar w:fldCharType="separate"/>
          </w:r>
          <w:r>
            <w:rPr>
              <w:rStyle w:val="slostrnky"/>
              <w:noProof/>
              <w:sz w:val="32"/>
              <w:szCs w:val="32"/>
            </w:rPr>
            <w:t>4</w:t>
          </w:r>
          <w:r>
            <w:rPr>
              <w:rStyle w:val="slostrnky"/>
              <w:sz w:val="32"/>
              <w:szCs w:val="32"/>
            </w:rPr>
            <w:fldChar w:fldCharType="end"/>
          </w:r>
        </w:p>
      </w:tc>
      <w:tc>
        <w:tcPr>
          <w:tcW w:w="4050" w:type="pct"/>
          <w:shd w:val="clear" w:color="auto" w:fill="auto"/>
          <w:vAlign w:val="center"/>
        </w:tcPr>
        <w:p w:rsidR="00B0423C" w:rsidRPr="00175F17" w:rsidRDefault="00B0423C" w:rsidP="007A1923">
          <w:pPr>
            <w:suppressAutoHyphens/>
            <w:spacing w:after="0"/>
            <w:jc w:val="left"/>
            <w:rPr>
              <w:color w:val="999999"/>
              <w:sz w:val="32"/>
              <w:szCs w:val="32"/>
            </w:rPr>
          </w:pPr>
          <w:r w:rsidRPr="0017797C">
            <w:rPr>
              <w:b/>
              <w:color w:val="999999"/>
              <w:sz w:val="16"/>
              <w:szCs w:val="16"/>
            </w:rPr>
            <w:t>Zpráva ke státnímu rozpočtu České republiky na rok 2019</w:t>
          </w:r>
        </w:p>
      </w:tc>
    </w:tr>
  </w:tbl>
  <w:p w:rsidR="00B0423C" w:rsidRPr="00A12A05" w:rsidRDefault="00B0423C" w:rsidP="007A1923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text" w:horzAnchor="page" w:tblpX="7939" w:tblpY="1"/>
      <w:tblOverlap w:val="never"/>
      <w:tblW w:w="1881" w:type="pct"/>
      <w:tblBorders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  <w:insideH w:val="single" w:sz="12" w:space="0" w:color="999999"/>
        <w:insideV w:val="single" w:sz="12" w:space="0" w:color="999999"/>
      </w:tblBorders>
      <w:tblLook w:val="01E0" w:firstRow="1" w:lastRow="1" w:firstColumn="1" w:lastColumn="1" w:noHBand="0" w:noVBand="0"/>
    </w:tblPr>
    <w:tblGrid>
      <w:gridCol w:w="2988"/>
      <w:gridCol w:w="719"/>
    </w:tblGrid>
    <w:tr w:rsidR="00B0423C" w:rsidRPr="00175F17" w:rsidTr="007A1923">
      <w:trPr>
        <w:cantSplit/>
      </w:trPr>
      <w:tc>
        <w:tcPr>
          <w:tcW w:w="4030" w:type="pct"/>
          <w:shd w:val="clear" w:color="auto" w:fill="auto"/>
          <w:vAlign w:val="center"/>
        </w:tcPr>
        <w:p w:rsidR="00B0423C" w:rsidRPr="009B5C89" w:rsidRDefault="00B0423C" w:rsidP="00480062">
          <w:pPr>
            <w:suppressAutoHyphens/>
            <w:spacing w:after="0"/>
            <w:jc w:val="right"/>
            <w:rPr>
              <w:b/>
              <w:color w:val="999999"/>
              <w:sz w:val="16"/>
              <w:szCs w:val="16"/>
            </w:rPr>
          </w:pPr>
          <w:r w:rsidRPr="009B5C89">
            <w:rPr>
              <w:b/>
              <w:color w:val="999999"/>
              <w:sz w:val="16"/>
              <w:szCs w:val="16"/>
            </w:rPr>
            <w:t>Makroekonomický rámec</w:t>
          </w:r>
        </w:p>
        <w:p w:rsidR="00B0423C" w:rsidRPr="0017797C" w:rsidRDefault="00B0423C" w:rsidP="00480062">
          <w:pPr>
            <w:suppressAutoHyphens/>
            <w:spacing w:after="0"/>
            <w:jc w:val="right"/>
            <w:rPr>
              <w:b/>
              <w:noProof/>
              <w:color w:val="999999"/>
              <w:sz w:val="16"/>
              <w:szCs w:val="16"/>
            </w:rPr>
          </w:pPr>
          <w:r w:rsidRPr="009B5C89">
            <w:rPr>
              <w:b/>
              <w:color w:val="999999"/>
              <w:sz w:val="16"/>
              <w:szCs w:val="16"/>
            </w:rPr>
            <w:t>a fiskální politika</w:t>
          </w:r>
          <w:r w:rsidRPr="0017797C">
            <w:rPr>
              <w:b/>
              <w:noProof/>
              <w:color w:val="999999"/>
              <w:sz w:val="16"/>
              <w:szCs w:val="16"/>
            </w:rPr>
            <w:t xml:space="preserve">  </w:t>
          </w:r>
        </w:p>
      </w:tc>
      <w:tc>
        <w:tcPr>
          <w:tcW w:w="970" w:type="pct"/>
          <w:shd w:val="clear" w:color="auto" w:fill="auto"/>
          <w:vAlign w:val="center"/>
        </w:tcPr>
        <w:p w:rsidR="00B0423C" w:rsidRPr="006E3BB6" w:rsidRDefault="00B0423C" w:rsidP="007A1923">
          <w:pPr>
            <w:spacing w:after="0"/>
            <w:rPr>
              <w:rStyle w:val="slostrnky"/>
              <w:sz w:val="32"/>
            </w:rPr>
          </w:pPr>
          <w:r w:rsidRPr="00175F17">
            <w:rPr>
              <w:rStyle w:val="slostrnky"/>
              <w:sz w:val="32"/>
              <w:szCs w:val="32"/>
            </w:rPr>
            <w:fldChar w:fldCharType="begin"/>
          </w:r>
          <w:r w:rsidRPr="00175F17">
            <w:rPr>
              <w:rStyle w:val="slostrnky"/>
              <w:sz w:val="32"/>
              <w:szCs w:val="32"/>
            </w:rPr>
            <w:instrText xml:space="preserve"> PAGE </w:instrText>
          </w:r>
          <w:r w:rsidRPr="00175F17">
            <w:rPr>
              <w:rStyle w:val="slostrnky"/>
              <w:sz w:val="32"/>
              <w:szCs w:val="32"/>
            </w:rPr>
            <w:fldChar w:fldCharType="separate"/>
          </w:r>
          <w:r w:rsidR="009F620F">
            <w:rPr>
              <w:rStyle w:val="slostrnky"/>
              <w:noProof/>
              <w:sz w:val="32"/>
              <w:szCs w:val="32"/>
            </w:rPr>
            <w:t>2</w:t>
          </w:r>
          <w:r w:rsidRPr="00175F17">
            <w:rPr>
              <w:rStyle w:val="slostrnky"/>
              <w:sz w:val="32"/>
              <w:szCs w:val="32"/>
            </w:rPr>
            <w:fldChar w:fldCharType="end"/>
          </w:r>
        </w:p>
      </w:tc>
    </w:tr>
  </w:tbl>
  <w:p w:rsidR="00B0423C" w:rsidRPr="00A12A05" w:rsidRDefault="00B0423C" w:rsidP="007A1923">
    <w:pPr>
      <w:pStyle w:val="Zpa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text" w:horzAnchor="page" w:tblpX="568" w:tblpY="1"/>
      <w:tblOverlap w:val="never"/>
      <w:tblW w:w="1730" w:type="pct"/>
      <w:tblBorders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  <w:insideH w:val="single" w:sz="12" w:space="0" w:color="999999"/>
        <w:insideV w:val="single" w:sz="12" w:space="0" w:color="999999"/>
      </w:tblBorders>
      <w:tblLook w:val="01E0" w:firstRow="1" w:lastRow="1" w:firstColumn="1" w:lastColumn="1" w:noHBand="0" w:noVBand="0"/>
    </w:tblPr>
    <w:tblGrid>
      <w:gridCol w:w="648"/>
      <w:gridCol w:w="2761"/>
    </w:tblGrid>
    <w:tr w:rsidR="00B0423C" w:rsidRPr="00175F17" w:rsidTr="007A1923">
      <w:trPr>
        <w:cantSplit/>
      </w:trPr>
      <w:tc>
        <w:tcPr>
          <w:tcW w:w="950" w:type="pct"/>
          <w:shd w:val="clear" w:color="auto" w:fill="auto"/>
          <w:vAlign w:val="center"/>
        </w:tcPr>
        <w:p w:rsidR="00B0423C" w:rsidRPr="00175F17" w:rsidRDefault="00B0423C" w:rsidP="007A1923">
          <w:pPr>
            <w:spacing w:after="0"/>
            <w:jc w:val="right"/>
            <w:rPr>
              <w:color w:val="999999"/>
              <w:sz w:val="16"/>
              <w:szCs w:val="16"/>
            </w:rPr>
          </w:pPr>
          <w:r>
            <w:rPr>
              <w:rStyle w:val="slostrnky"/>
              <w:sz w:val="32"/>
              <w:szCs w:val="32"/>
            </w:rPr>
            <w:fldChar w:fldCharType="begin"/>
          </w:r>
          <w:r>
            <w:rPr>
              <w:rStyle w:val="slostrnky"/>
              <w:sz w:val="32"/>
              <w:szCs w:val="32"/>
            </w:rPr>
            <w:instrText xml:space="preserve"> PAGE  </w:instrText>
          </w:r>
          <w:r>
            <w:rPr>
              <w:rStyle w:val="slostrnky"/>
              <w:sz w:val="32"/>
              <w:szCs w:val="32"/>
            </w:rPr>
            <w:fldChar w:fldCharType="separate"/>
          </w:r>
          <w:r>
            <w:rPr>
              <w:rStyle w:val="slostrnky"/>
              <w:noProof/>
              <w:sz w:val="32"/>
              <w:szCs w:val="32"/>
            </w:rPr>
            <w:t>8</w:t>
          </w:r>
          <w:r>
            <w:rPr>
              <w:rStyle w:val="slostrnky"/>
              <w:sz w:val="32"/>
              <w:szCs w:val="32"/>
            </w:rPr>
            <w:fldChar w:fldCharType="end"/>
          </w:r>
        </w:p>
      </w:tc>
      <w:tc>
        <w:tcPr>
          <w:tcW w:w="4050" w:type="pct"/>
          <w:shd w:val="clear" w:color="auto" w:fill="auto"/>
          <w:vAlign w:val="center"/>
        </w:tcPr>
        <w:p w:rsidR="00B0423C" w:rsidRPr="00175F17" w:rsidRDefault="00B0423C" w:rsidP="007A1923">
          <w:pPr>
            <w:suppressAutoHyphens/>
            <w:spacing w:after="0"/>
            <w:jc w:val="left"/>
            <w:rPr>
              <w:color w:val="999999"/>
              <w:sz w:val="32"/>
              <w:szCs w:val="32"/>
            </w:rPr>
          </w:pPr>
          <w:r w:rsidRPr="0017797C">
            <w:rPr>
              <w:b/>
              <w:color w:val="999999"/>
              <w:sz w:val="16"/>
              <w:szCs w:val="16"/>
            </w:rPr>
            <w:t>Zpráva ke státnímu rozpočtu České republiky na rok 2019</w:t>
          </w:r>
        </w:p>
      </w:tc>
    </w:tr>
  </w:tbl>
  <w:p w:rsidR="00B0423C" w:rsidRPr="00A12A05" w:rsidRDefault="00B0423C" w:rsidP="007A1923">
    <w:pPr>
      <w:pStyle w:val="Zpat"/>
    </w:pPr>
  </w:p>
  <w:p w:rsidR="00B0423C" w:rsidRDefault="00B0423C"/>
  <w:p w:rsidR="00B0423C" w:rsidRDefault="00B0423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23C" w:rsidRPr="00A12A05" w:rsidRDefault="00B0423C" w:rsidP="007A192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F26ED0" wp14:editId="43920957">
              <wp:simplePos x="0" y="0"/>
              <wp:positionH relativeFrom="column">
                <wp:posOffset>-113665</wp:posOffset>
              </wp:positionH>
              <wp:positionV relativeFrom="paragraph">
                <wp:posOffset>-1175385</wp:posOffset>
              </wp:positionV>
              <wp:extent cx="2743200" cy="1257300"/>
              <wp:effectExtent l="0" t="0" r="0" b="0"/>
              <wp:wrapNone/>
              <wp:docPr id="8" name="Textové po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423C" w:rsidRPr="000F3D4A" w:rsidRDefault="00B0423C" w:rsidP="007A1923">
                          <w:pPr>
                            <w:spacing w:after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 w:rsidRPr="000F3D4A">
                            <w:rPr>
                              <w:b/>
                              <w:sz w:val="24"/>
                            </w:rPr>
                            <w:t>Ministerstvo financí České republiky</w:t>
                          </w:r>
                        </w:p>
                        <w:p w:rsidR="00B0423C" w:rsidRPr="000F3D4A" w:rsidRDefault="00B0423C" w:rsidP="007A1923">
                          <w:pPr>
                            <w:spacing w:after="0"/>
                            <w:jc w:val="left"/>
                            <w:rPr>
                              <w:sz w:val="24"/>
                            </w:rPr>
                          </w:pPr>
                          <w:r w:rsidRPr="000F3D4A">
                            <w:rPr>
                              <w:sz w:val="24"/>
                            </w:rPr>
                            <w:t>Letenská 15</w:t>
                          </w:r>
                        </w:p>
                        <w:p w:rsidR="00B0423C" w:rsidRPr="000F3D4A" w:rsidRDefault="00B0423C" w:rsidP="007A1923">
                          <w:pPr>
                            <w:spacing w:after="0"/>
                            <w:jc w:val="left"/>
                            <w:rPr>
                              <w:sz w:val="24"/>
                            </w:rPr>
                          </w:pPr>
                          <w:r w:rsidRPr="000F3D4A">
                            <w:rPr>
                              <w:sz w:val="24"/>
                            </w:rPr>
                            <w:t>118 10 Praha 1</w:t>
                          </w:r>
                        </w:p>
                        <w:p w:rsidR="00B0423C" w:rsidRPr="000F3D4A" w:rsidRDefault="00B0423C" w:rsidP="007A1923">
                          <w:pPr>
                            <w:spacing w:before="240" w:after="0"/>
                            <w:rPr>
                              <w:sz w:val="24"/>
                            </w:rPr>
                          </w:pPr>
                          <w:r w:rsidRPr="000F3D4A">
                            <w:rPr>
                              <w:sz w:val="24"/>
                            </w:rPr>
                            <w:t>http://www.mfcr.cz</w:t>
                          </w:r>
                        </w:p>
                      </w:txbxContent>
                    </wps:txbx>
                    <wps:bodyPr rot="0" vert="horz" wrap="square" lIns="91440" tIns="9000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26" type="#_x0000_t202" style="position:absolute;left:0;text-align:left;margin-left:-8.95pt;margin-top:-92.55pt;width:3in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" filled="f" stroked="f">
              <v:textbox inset=",2.5mm,,0">
                <w:txbxContent>
                  <w:p w:rsidR="00B0423C" w:rsidRPr="000F3D4A" w:rsidRDefault="00B0423C" w:rsidP="007A1923">
                    <w:pPr>
                      <w:spacing w:after="0"/>
                      <w:jc w:val="left"/>
                      <w:rPr>
                        <w:b/>
                        <w:sz w:val="24"/>
                      </w:rPr>
                    </w:pPr>
                    <w:r w:rsidRPr="000F3D4A">
                      <w:rPr>
                        <w:b/>
                        <w:sz w:val="24"/>
                      </w:rPr>
                      <w:t>Ministerstvo financí České republiky</w:t>
                    </w:r>
                  </w:p>
                  <w:p w:rsidR="00B0423C" w:rsidRPr="000F3D4A" w:rsidRDefault="00B0423C" w:rsidP="007A1923">
                    <w:pPr>
                      <w:spacing w:after="0"/>
                      <w:jc w:val="left"/>
                      <w:rPr>
                        <w:sz w:val="24"/>
                      </w:rPr>
                    </w:pPr>
                    <w:r w:rsidRPr="000F3D4A">
                      <w:rPr>
                        <w:sz w:val="24"/>
                      </w:rPr>
                      <w:t>Letenská 15</w:t>
                    </w:r>
                  </w:p>
                  <w:p w:rsidR="00B0423C" w:rsidRPr="000F3D4A" w:rsidRDefault="00B0423C" w:rsidP="007A1923">
                    <w:pPr>
                      <w:spacing w:after="0"/>
                      <w:jc w:val="left"/>
                      <w:rPr>
                        <w:sz w:val="24"/>
                      </w:rPr>
                    </w:pPr>
                    <w:r w:rsidRPr="000F3D4A">
                      <w:rPr>
                        <w:sz w:val="24"/>
                      </w:rPr>
                      <w:t>118 10 Praha 1</w:t>
                    </w:r>
                  </w:p>
                  <w:p w:rsidR="00B0423C" w:rsidRPr="000F3D4A" w:rsidRDefault="00B0423C" w:rsidP="007A1923">
                    <w:pPr>
                      <w:spacing w:before="240" w:after="0"/>
                      <w:rPr>
                        <w:sz w:val="24"/>
                      </w:rPr>
                    </w:pPr>
                    <w:r w:rsidRPr="000F3D4A">
                      <w:rPr>
                        <w:sz w:val="24"/>
                      </w:rPr>
                      <w:t>http://www.mfcr.cz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47D1809" wp14:editId="5E0FEB68">
              <wp:simplePos x="0" y="0"/>
              <wp:positionH relativeFrom="column">
                <wp:posOffset>4572000</wp:posOffset>
              </wp:positionH>
              <wp:positionV relativeFrom="paragraph">
                <wp:posOffset>-10036175</wp:posOffset>
              </wp:positionV>
              <wp:extent cx="2352040" cy="10756265"/>
              <wp:effectExtent l="0" t="3175" r="635" b="3810"/>
              <wp:wrapNone/>
              <wp:docPr id="5" name="Skupin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352040" cy="10756265"/>
                        <a:chOff x="8334" y="-41"/>
                        <a:chExt cx="3704" cy="16939"/>
                      </a:xfrm>
                    </wpg:grpSpPr>
                    <wps:wsp>
                      <wps:cNvPr id="6" name="Rectangle 25" descr="BlueBar"/>
                      <wps:cNvSpPr>
                        <a:spLocks noChangeAspect="1" noChangeArrowheads="1"/>
                      </wps:cNvSpPr>
                      <wps:spPr bwMode="auto">
                        <a:xfrm rot="5400000">
                          <a:off x="1674" y="6619"/>
                          <a:ext cx="16920" cy="3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95979"/>
                            </a:gs>
                            <a:gs pos="100000">
                              <a:srgbClr val="995979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Text Box 26"/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8798" y="-22"/>
                          <a:ext cx="3240" cy="16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423C" w:rsidRPr="006F476A" w:rsidRDefault="00B0423C" w:rsidP="007A1923">
                            <w:pPr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východiska a priority návrhu státního rozpočtu, výdajový rámec</w:t>
                            </w:r>
                            <w:r w:rsidRPr="006F476A">
                              <w:rPr>
                                <w:color w:val="FFFFFF"/>
                              </w:rPr>
                              <w:t>,</w:t>
                            </w:r>
                            <w:r>
                              <w:rPr>
                                <w:color w:val="FFFFFF"/>
                              </w:rPr>
                              <w:t xml:space="preserve"> daňové a sociální příjmy, ostatní příjmy, mandatorní výdaje, kapitálové výdaje, běžné výdaje, finanční vztahy k rozpočtu EU a finančním mechanismům, východiska a priority návrhu státního rozpočtu, výdajový rámec</w:t>
                            </w:r>
                            <w:r w:rsidRPr="006F476A">
                              <w:rPr>
                                <w:color w:val="FFFFFF"/>
                              </w:rPr>
                              <w:t>,</w:t>
                            </w:r>
                            <w:r>
                              <w:rPr>
                                <w:color w:val="FFFFFF"/>
                              </w:rPr>
                              <w:t xml:space="preserve"> daňové a sociální příjmy, ostatní příjmy, mandatorní výdaje, kapitálové výdaje, běžné výdaje, finanční vztahy k rozpočtu EU a finančním mechanismům,</w:t>
                            </w:r>
                            <w:r w:rsidRPr="002C30E3">
                              <w:rPr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východiska a priority návrhu státního rozpočtu, výdajový rámec</w:t>
                            </w:r>
                            <w:r w:rsidRPr="006F476A">
                              <w:rPr>
                                <w:color w:val="FFFFFF"/>
                              </w:rPr>
                              <w:t>,</w:t>
                            </w:r>
                            <w:r>
                              <w:rPr>
                                <w:color w:val="FFFFFF"/>
                              </w:rPr>
                              <w:t xml:space="preserve"> daňové a sociální příjmy, ostatní příjmy, mandatorní výdaje, kapitálové výdaje, běžné výdaje, finanční vztahy k rozpočtu EU a finančním mechanismům,</w:t>
                            </w:r>
                            <w:r w:rsidRPr="002C30E3">
                              <w:rPr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východiska a priority návrhu státního rozpočtu, výdajový rámec</w:t>
                            </w:r>
                            <w:r w:rsidRPr="006F476A">
                              <w:rPr>
                                <w:color w:val="FFFFFF"/>
                              </w:rPr>
                              <w:t>,</w:t>
                            </w:r>
                            <w:r>
                              <w:rPr>
                                <w:color w:val="FFFFFF"/>
                              </w:rPr>
                              <w:t xml:space="preserve"> daňové a sociální příjmy, ostatní příjmy, mandatorní výdaje, kapitálové výdaje, běžné výdaje, finanční vztahy k rozpočtu EU a finančním mechanismům,</w:t>
                            </w:r>
                            <w:r w:rsidRPr="002C30E3">
                              <w:rPr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východiska a priority návrhu státního rozpočtu, výdajový rámec</w:t>
                            </w:r>
                            <w:r w:rsidRPr="006F476A">
                              <w:rPr>
                                <w:color w:val="FFFFFF"/>
                              </w:rPr>
                              <w:t>,</w:t>
                            </w:r>
                            <w:r>
                              <w:rPr>
                                <w:color w:val="FFFFFF"/>
                              </w:rPr>
                              <w:t xml:space="preserve"> daňové a sociální příjmy, ostatní příjmy, mandatorní výdaje, kapitálové výdaje, běžné výdaje, finanční vztahy k rozpočtu EU a finančním mechanismům,</w:t>
                            </w:r>
                            <w:r w:rsidRPr="002C30E3">
                              <w:rPr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východiska a priority návrhu státního rozpočtu, výdajový rámec</w:t>
                            </w:r>
                            <w:r w:rsidRPr="006F476A">
                              <w:rPr>
                                <w:color w:val="FFFFFF"/>
                              </w:rPr>
                              <w:t>,</w:t>
                            </w:r>
                            <w:r>
                              <w:rPr>
                                <w:color w:val="FFFFFF"/>
                              </w:rPr>
                              <w:t xml:space="preserve"> daňové a sociální příjmy, ostatní příjmy, mandatorní výdaje, kapitálové výdaje, běžné výdaje, finanční vztahy k rozpočtu EU a finančním mechanismům,</w:t>
                            </w:r>
                            <w:r w:rsidRPr="002C30E3">
                              <w:rPr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východiska a priority návrhu státního rozpočtu, výdajový rámec</w:t>
                            </w:r>
                            <w:r w:rsidRPr="006F476A">
                              <w:rPr>
                                <w:color w:val="FFFFFF"/>
                              </w:rPr>
                              <w:t>,</w:t>
                            </w:r>
                            <w:r>
                              <w:rPr>
                                <w:color w:val="FFFFFF"/>
                              </w:rPr>
                              <w:t xml:space="preserve"> daňové a sociální příjmy, ostatní příjmy, mandatorní výdaje, kapitálové výdaje, běžné výdaje, finanční vztahy k rozpočtu EU a finančním mechanismům,</w:t>
                            </w:r>
                            <w:r w:rsidRPr="002C30E3">
                              <w:rPr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východiska a priority návrhu státního rozpočtu, výdajový rámec</w:t>
                            </w:r>
                            <w:r w:rsidRPr="006F476A">
                              <w:rPr>
                                <w:color w:val="FFFFFF"/>
                              </w:rPr>
                              <w:t>,</w:t>
                            </w:r>
                            <w:r>
                              <w:rPr>
                                <w:color w:val="FFFFFF"/>
                              </w:rPr>
                              <w:t xml:space="preserve"> daňové a sociální příjmy, ostatní příjmy, mandatorní výdaje, kapitálové výdaje, běžné výdaje, finanční vztahy k rozpočtu EU a finančním mechanismům,</w:t>
                            </w:r>
                            <w:r w:rsidRPr="002C30E3">
                              <w:rPr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východiska a priority návrhu státního rozpočtu, výdajový rámec</w:t>
                            </w:r>
                            <w:r w:rsidRPr="006F476A">
                              <w:rPr>
                                <w:color w:val="FFFFFF"/>
                              </w:rPr>
                              <w:t>,</w:t>
                            </w:r>
                            <w:r>
                              <w:rPr>
                                <w:color w:val="FFFFFF"/>
                              </w:rPr>
                              <w:t xml:space="preserve"> daňové a sociální příjmy, ostatní příjmy, mandatorní výdaje, kapitálové výdaje, běžné výdaje, finanční vztahy k rozpočtu EU a finančním mechanismům,</w:t>
                            </w:r>
                            <w:r w:rsidRPr="002C30E3">
                              <w:rPr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východiska a priority návrhu státního rozpočtu, výdajový rámec</w:t>
                            </w:r>
                            <w:r w:rsidRPr="006F476A">
                              <w:rPr>
                                <w:color w:val="FFFFFF"/>
                              </w:rPr>
                              <w:t>,</w:t>
                            </w:r>
                            <w:r>
                              <w:rPr>
                                <w:color w:val="FFFFFF"/>
                              </w:rPr>
                              <w:t xml:space="preserve"> daňové a sociální příjmy, ostatní příjmy, mandatorní výdaje, kapitálové výdaje, běžné výdaje, finanční vztahy k rozpočtu EU a finančním mechanismům,</w:t>
                            </w:r>
                            <w:r w:rsidRPr="002C30E3">
                              <w:rPr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východiska a priority návrhu státního rozpočtu, výdajový rámec</w:t>
                            </w:r>
                            <w:r w:rsidRPr="006F476A">
                              <w:rPr>
                                <w:color w:val="FFFFFF"/>
                              </w:rPr>
                              <w:t>,</w:t>
                            </w:r>
                            <w:r>
                              <w:rPr>
                                <w:color w:val="FFFFFF"/>
                              </w:rPr>
                              <w:t xml:space="preserve"> daňové a sociální příjmy, ostatní příjmy, mandatorní výdaje, kapitálové výdaje, běžné výdaje, finanční vztahy k rozpočtu EU a finančním mechanismům,</w:t>
                            </w:r>
                            <w:r w:rsidRPr="002C30E3">
                              <w:rPr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východiska a priority návrhu státního rozpočtu, výdajový rámec</w:t>
                            </w:r>
                            <w:r w:rsidRPr="006F476A">
                              <w:rPr>
                                <w:color w:val="FFFFFF"/>
                              </w:rPr>
                              <w:t>,</w:t>
                            </w:r>
                            <w:r>
                              <w:rPr>
                                <w:color w:val="FFFFFF"/>
                              </w:rPr>
                              <w:t xml:space="preserve"> daňové a sociální příjmy, ostatní příjmy, mandatorní výdaje, kapitálové výdaje, běžné výdaje, finanční vztahy k rozpočtu EU a finančním mechanismům,</w:t>
                            </w:r>
                          </w:p>
                        </w:txbxContent>
                      </wps:txbx>
                      <wps:bodyPr rot="0" vert="vert" wrap="square" lIns="9000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Skupina 5" o:spid="_x0000_s1027" style="position:absolute;left:0;text-align:left;margin-left:5in;margin-top:-790.25pt;width:185.2pt;height:846.95pt;z-index:-251657216" coordorigin="8334,-41" coordsize="3704,16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">
              <v:rect id="Rectangle 25" o:spid="_x0000_s1028" alt="BlueBar" style="position:absolute;left:1674;top:6619;width:16920;height:360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0nJsIA&#10;AADaAAAADwAAAGRycy9kb3ducmV2LnhtbESPS4vCMBSF98L8h3AH3GmqiyLVKDrD4GvlY/Z3mmtb&#10;p7kpTazVX28EweXhPD7OZNaaUjRUu8KygkE/AkGcWl1wpuB4+OmNQDiPrLG0TApu5GA2/ehMMNH2&#10;yjtq9j4TYYRdggpy76tESpfmZND1bUUcvJOtDfog60zqGq9h3JRyGEWxNFhwIORY0VdO6f/+YgJk&#10;Ox8sN4vzyONvE9+2f/fvxfqgVPeznY9BeGr9O/xqr7SCGJ5Xwg2Q0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7ScmwgAAANoAAAAPAAAAAAAAAAAAAAAAAJgCAABkcnMvZG93&#10;bnJldi54bWxQSwUGAAAAAAQABAD1AAAAhwMAAAAA&#10;" fillcolor="#995979" stroked="f">
                <v:fill color2="#ebdee4" rotate="t" focus="100%" type="gradient"/>
                <o:lock v:ext="edit" aspectratio="t"/>
              </v:rect>
              <v:shape id="Text Box 26" o:spid="_x0000_s1029" type="#_x0000_t202" style="position:absolute;left:8798;top:-22;width:3240;height:16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czj8UA&#10;AADaAAAADwAAAGRycy9kb3ducmV2LnhtbESPT2sCMRTE70K/Q3iFXkSzbaHqdqOUlqLgQVwVe3xs&#10;3v6hm5clSXX99qYgeBxm5jdMtuhNK07kfGNZwfM4AUFcWN1wpWC/+x5NQfiArLG1TAou5GExfxhk&#10;mGp75i2d8lCJCGGfooI6hC6V0hc1GfRj2xFHr7TOYIjSVVI7PEe4aeVLkrxJgw3HhRo7+qyp+M3/&#10;jIKulJvXdTFbDb/8T3XIl8ejuyyVenrsP95BBOrDPXxrr7SCCfxfiT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9zOPxQAAANoAAAAPAAAAAAAAAAAAAAAAAJgCAABkcnMv&#10;ZG93bnJldi54bWxQSwUGAAAAAAQABAD1AAAAigMAAAAA&#10;" filled="f" stroked="f">
                <o:lock v:ext="edit" aspectratio="t"/>
                <v:textbox style="layout-flow:vertical" inset="2.5mm">
                  <w:txbxContent>
                    <w:p w:rsidR="00B0423C" w:rsidRPr="006F476A" w:rsidRDefault="00B0423C" w:rsidP="007A1923">
                      <w:pPr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východiska a priority návrhu státního rozpočtu, výdajový rámec</w:t>
                      </w:r>
                      <w:r w:rsidRPr="006F476A">
                        <w:rPr>
                          <w:color w:val="FFFFFF"/>
                        </w:rPr>
                        <w:t>,</w:t>
                      </w:r>
                      <w:r>
                        <w:rPr>
                          <w:color w:val="FFFFFF"/>
                        </w:rPr>
                        <w:t xml:space="preserve"> daňové a sociální příjmy, ostatní příjmy, mandatorní výdaje, kapitálové výdaje, běžné výdaje, finanční vztahy k rozpočtu EU a finančním mechanismům, východiska a priority návrhu státního rozpočtu, výdajový rámec</w:t>
                      </w:r>
                      <w:r w:rsidRPr="006F476A">
                        <w:rPr>
                          <w:color w:val="FFFFFF"/>
                        </w:rPr>
                        <w:t>,</w:t>
                      </w:r>
                      <w:r>
                        <w:rPr>
                          <w:color w:val="FFFFFF"/>
                        </w:rPr>
                        <w:t xml:space="preserve"> daňové a sociální příjmy, ostatní příjmy, mandatorní výdaje, kapitálové výdaje, běžné výdaje, finanční vztahy k rozpočtu EU a finančním mechanismům,</w:t>
                      </w:r>
                      <w:r w:rsidRPr="002C30E3">
                        <w:rPr>
                          <w:color w:val="FFFFFF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východiska a priority návrhu státního rozpočtu, výdajový rámec</w:t>
                      </w:r>
                      <w:r w:rsidRPr="006F476A">
                        <w:rPr>
                          <w:color w:val="FFFFFF"/>
                        </w:rPr>
                        <w:t>,</w:t>
                      </w:r>
                      <w:r>
                        <w:rPr>
                          <w:color w:val="FFFFFF"/>
                        </w:rPr>
                        <w:t xml:space="preserve"> daňové a sociální příjmy, ostatní příjmy, mandatorní výdaje, kapitálové výdaje, běžné výdaje, finanční vztahy k rozpočtu EU a finančním mechanismům,</w:t>
                      </w:r>
                      <w:r w:rsidRPr="002C30E3">
                        <w:rPr>
                          <w:color w:val="FFFFFF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východiska a priority návrhu státního rozpočtu, výdajový rámec</w:t>
                      </w:r>
                      <w:r w:rsidRPr="006F476A">
                        <w:rPr>
                          <w:color w:val="FFFFFF"/>
                        </w:rPr>
                        <w:t>,</w:t>
                      </w:r>
                      <w:r>
                        <w:rPr>
                          <w:color w:val="FFFFFF"/>
                        </w:rPr>
                        <w:t xml:space="preserve"> daňové a sociální příjmy, ostatní příjmy, mandatorní výdaje, kapitálové výdaje, běžné výdaje, finanční vztahy k rozpočtu EU a finančním mechanismům,</w:t>
                      </w:r>
                      <w:r w:rsidRPr="002C30E3">
                        <w:rPr>
                          <w:color w:val="FFFFFF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východiska a priority návrhu státního rozpočtu, výdajový rámec</w:t>
                      </w:r>
                      <w:r w:rsidRPr="006F476A">
                        <w:rPr>
                          <w:color w:val="FFFFFF"/>
                        </w:rPr>
                        <w:t>,</w:t>
                      </w:r>
                      <w:r>
                        <w:rPr>
                          <w:color w:val="FFFFFF"/>
                        </w:rPr>
                        <w:t xml:space="preserve"> daňové a sociální příjmy, ostatní příjmy, mandatorní výdaje, kapitálové výdaje, běžné výdaje, finanční vztahy k rozpočtu EU a finančním mechanismům,</w:t>
                      </w:r>
                      <w:r w:rsidRPr="002C30E3">
                        <w:rPr>
                          <w:color w:val="FFFFFF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východiska a priority návrhu státního rozpočtu, výdajový rámec</w:t>
                      </w:r>
                      <w:r w:rsidRPr="006F476A">
                        <w:rPr>
                          <w:color w:val="FFFFFF"/>
                        </w:rPr>
                        <w:t>,</w:t>
                      </w:r>
                      <w:r>
                        <w:rPr>
                          <w:color w:val="FFFFFF"/>
                        </w:rPr>
                        <w:t xml:space="preserve"> daňové a sociální příjmy, ostatní příjmy, mandatorní výdaje, kapitálové výdaje, běžné výdaje, finanční vztahy k rozpočtu EU a finančním mechanismům,</w:t>
                      </w:r>
                      <w:r w:rsidRPr="002C30E3">
                        <w:rPr>
                          <w:color w:val="FFFFFF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východiska a priority návrhu státního rozpočtu, výdajový rámec</w:t>
                      </w:r>
                      <w:r w:rsidRPr="006F476A">
                        <w:rPr>
                          <w:color w:val="FFFFFF"/>
                        </w:rPr>
                        <w:t>,</w:t>
                      </w:r>
                      <w:r>
                        <w:rPr>
                          <w:color w:val="FFFFFF"/>
                        </w:rPr>
                        <w:t xml:space="preserve"> daňové a sociální příjmy, ostatní příjmy, mandatorní výdaje, kapitálové výdaje, běžné výdaje, finanční vztahy k rozpočtu EU a finančním mechanismům,</w:t>
                      </w:r>
                      <w:r w:rsidRPr="002C30E3">
                        <w:rPr>
                          <w:color w:val="FFFFFF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východiska a priority návrhu státního rozpočtu, výdajový rámec</w:t>
                      </w:r>
                      <w:r w:rsidRPr="006F476A">
                        <w:rPr>
                          <w:color w:val="FFFFFF"/>
                        </w:rPr>
                        <w:t>,</w:t>
                      </w:r>
                      <w:r>
                        <w:rPr>
                          <w:color w:val="FFFFFF"/>
                        </w:rPr>
                        <w:t xml:space="preserve"> daňové a sociální příjmy, ostatní příjmy, mandatorní výdaje, kapitálové výdaje, běžné výdaje, finanční vztahy k rozpočtu EU a finančním mechanismům,</w:t>
                      </w:r>
                      <w:r w:rsidRPr="002C30E3">
                        <w:rPr>
                          <w:color w:val="FFFFFF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východiska a priority návrhu státního rozpočtu, výdajový rámec</w:t>
                      </w:r>
                      <w:r w:rsidRPr="006F476A">
                        <w:rPr>
                          <w:color w:val="FFFFFF"/>
                        </w:rPr>
                        <w:t>,</w:t>
                      </w:r>
                      <w:r>
                        <w:rPr>
                          <w:color w:val="FFFFFF"/>
                        </w:rPr>
                        <w:t xml:space="preserve"> daňové a sociální příjmy, ostatní příjmy, mandatorní výdaje, kapitálové výdaje, běžné výdaje, finanční vztahy k rozpočtu EU a finančním mechanismům,</w:t>
                      </w:r>
                      <w:r w:rsidRPr="002C30E3">
                        <w:rPr>
                          <w:color w:val="FFFFFF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východiska a priority návrhu státního rozpočtu, výdajový rámec</w:t>
                      </w:r>
                      <w:r w:rsidRPr="006F476A">
                        <w:rPr>
                          <w:color w:val="FFFFFF"/>
                        </w:rPr>
                        <w:t>,</w:t>
                      </w:r>
                      <w:r>
                        <w:rPr>
                          <w:color w:val="FFFFFF"/>
                        </w:rPr>
                        <w:t xml:space="preserve"> daňové a sociální příjmy, ostatní příjmy, mandatorní výdaje, kapitálové výdaje, běžné výdaje, finanční vztahy k rozpočtu EU a finančním mechanismům,</w:t>
                      </w:r>
                      <w:r w:rsidRPr="002C30E3">
                        <w:rPr>
                          <w:color w:val="FFFFFF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východiska a priority návrhu státního rozpočtu, výdajový rámec</w:t>
                      </w:r>
                      <w:r w:rsidRPr="006F476A">
                        <w:rPr>
                          <w:color w:val="FFFFFF"/>
                        </w:rPr>
                        <w:t>,</w:t>
                      </w:r>
                      <w:r>
                        <w:rPr>
                          <w:color w:val="FFFFFF"/>
                        </w:rPr>
                        <w:t xml:space="preserve"> daňové a sociální příjmy, ostatní příjmy, mandatorní výdaje, kapitálové výdaje, běžné výdaje, finanční vztahy k rozpočtu EU a finančním mechanismům,</w:t>
                      </w:r>
                      <w:r w:rsidRPr="002C30E3">
                        <w:rPr>
                          <w:color w:val="FFFFFF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východiska a priority návrhu státního rozpočtu, výdajový rámec</w:t>
                      </w:r>
                      <w:r w:rsidRPr="006F476A">
                        <w:rPr>
                          <w:color w:val="FFFFFF"/>
                        </w:rPr>
                        <w:t>,</w:t>
                      </w:r>
                      <w:r>
                        <w:rPr>
                          <w:color w:val="FFFFFF"/>
                        </w:rPr>
                        <w:t xml:space="preserve"> daňové a sociální příjmy, ostatní příjmy, mandatorní výdaje, kapitálové výdaje, běžné výdaje, finanční vztahy k rozpočtu EU a finančním mechanismům,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23C" w:rsidRDefault="00B0423C" w:rsidP="00332D4D">
      <w:pPr>
        <w:spacing w:after="0"/>
      </w:pPr>
      <w:r>
        <w:separator/>
      </w:r>
    </w:p>
  </w:footnote>
  <w:footnote w:type="continuationSeparator" w:id="0">
    <w:p w:rsidR="00B0423C" w:rsidRDefault="00B0423C" w:rsidP="00332D4D">
      <w:pPr>
        <w:spacing w:after="0"/>
      </w:pPr>
      <w:r>
        <w:continuationSeparator/>
      </w:r>
    </w:p>
  </w:footnote>
  <w:footnote w:id="1">
    <w:p w:rsidR="00B0423C" w:rsidRDefault="00B0423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47503">
        <w:t xml:space="preserve">Porovnání makroekonomického rámce s aktuální prognózou Evropské komise podle požadavků </w:t>
      </w:r>
      <w:r>
        <w:t>zákona č. 23/2017 Sb., o pravidlech rozpočtové odpovědnosti</w:t>
      </w:r>
      <w:r w:rsidRPr="00947503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23C" w:rsidRDefault="00B0423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23C" w:rsidRDefault="00B0423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23C" w:rsidRDefault="00B0423C" w:rsidP="0034352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23C" w:rsidRDefault="00B0423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D0E9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FE"/>
    <w:multiLevelType w:val="singleLevel"/>
    <w:tmpl w:val="C1C2A784"/>
    <w:lvl w:ilvl="0">
      <w:numFmt w:val="bullet"/>
      <w:lvlText w:val="*"/>
      <w:lvlJc w:val="left"/>
    </w:lvl>
  </w:abstractNum>
  <w:abstractNum w:abstractNumId="2">
    <w:nsid w:val="06510C8F"/>
    <w:multiLevelType w:val="hybridMultilevel"/>
    <w:tmpl w:val="1802883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36C3A"/>
    <w:multiLevelType w:val="hybridMultilevel"/>
    <w:tmpl w:val="67D82D26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4516C"/>
    <w:multiLevelType w:val="hybridMultilevel"/>
    <w:tmpl w:val="CA3E4E36"/>
    <w:lvl w:ilvl="0" w:tplc="3BD83D1E">
      <w:start w:val="1"/>
      <w:numFmt w:val="bullet"/>
      <w:lvlText w:val=""/>
      <w:lvlJc w:val="left"/>
      <w:pPr>
        <w:tabs>
          <w:tab w:val="num" w:pos="170"/>
        </w:tabs>
        <w:ind w:left="1078" w:hanging="1078"/>
      </w:pPr>
      <w:rPr>
        <w:rFonts w:ascii="Symbol" w:hAnsi="Symbol" w:hint="default"/>
      </w:rPr>
    </w:lvl>
    <w:lvl w:ilvl="1" w:tplc="7DC8EA06">
      <w:start w:val="5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B754639"/>
    <w:multiLevelType w:val="hybridMultilevel"/>
    <w:tmpl w:val="86784518"/>
    <w:lvl w:ilvl="0" w:tplc="3522B64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F425E7"/>
    <w:multiLevelType w:val="hybridMultilevel"/>
    <w:tmpl w:val="9CA292C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7">
      <w:start w:val="1"/>
      <w:numFmt w:val="lowerLetter"/>
      <w:lvlText w:val="%2)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8B34158"/>
    <w:multiLevelType w:val="hybridMultilevel"/>
    <w:tmpl w:val="2E502622"/>
    <w:lvl w:ilvl="0" w:tplc="D41480FA">
      <w:start w:val="1"/>
      <w:numFmt w:val="bullet"/>
      <w:lvlText w:val=""/>
      <w:lvlJc w:val="left"/>
      <w:pPr>
        <w:tabs>
          <w:tab w:val="num" w:pos="1106"/>
        </w:tabs>
        <w:ind w:left="1389" w:hanging="1105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96542D"/>
    <w:multiLevelType w:val="hybridMultilevel"/>
    <w:tmpl w:val="00C27B2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9000EC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9E15A6"/>
    <w:multiLevelType w:val="multilevel"/>
    <w:tmpl w:val="D4181EF2"/>
    <w:lvl w:ilvl="0">
      <w:start w:val="1"/>
      <w:numFmt w:val="decimal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color w:val="auto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2269"/>
        </w:tabs>
        <w:ind w:left="2269" w:hanging="567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145"/>
        </w:tabs>
        <w:ind w:left="1145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28C66AF3"/>
    <w:multiLevelType w:val="hybridMultilevel"/>
    <w:tmpl w:val="7A72EEF2"/>
    <w:lvl w:ilvl="0" w:tplc="2B76D952">
      <w:start w:val="1"/>
      <w:numFmt w:val="bullet"/>
      <w:lvlText w:val="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2883A2C"/>
    <w:multiLevelType w:val="hybridMultilevel"/>
    <w:tmpl w:val="D34235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F94892"/>
    <w:multiLevelType w:val="hybridMultilevel"/>
    <w:tmpl w:val="3F34180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662474"/>
    <w:multiLevelType w:val="hybridMultilevel"/>
    <w:tmpl w:val="7DE8BE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32337B"/>
    <w:multiLevelType w:val="hybridMultilevel"/>
    <w:tmpl w:val="7864E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2C5894"/>
    <w:multiLevelType w:val="hybridMultilevel"/>
    <w:tmpl w:val="BF187128"/>
    <w:lvl w:ilvl="0" w:tplc="0405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E271B8"/>
    <w:multiLevelType w:val="hybridMultilevel"/>
    <w:tmpl w:val="E03CDD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F039B4"/>
    <w:multiLevelType w:val="hybridMultilevel"/>
    <w:tmpl w:val="C1AA1666"/>
    <w:lvl w:ilvl="0" w:tplc="2B76D952">
      <w:start w:val="1"/>
      <w:numFmt w:val="bullet"/>
      <w:lvlText w:val="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F5A2276"/>
    <w:multiLevelType w:val="hybridMultilevel"/>
    <w:tmpl w:val="E44E26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2033C76"/>
    <w:multiLevelType w:val="hybridMultilevel"/>
    <w:tmpl w:val="8A62718A"/>
    <w:lvl w:ilvl="0" w:tplc="2B76D95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2B76D952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4B2CB0"/>
    <w:multiLevelType w:val="hybridMultilevel"/>
    <w:tmpl w:val="507030E8"/>
    <w:lvl w:ilvl="0" w:tplc="17A8D9A0">
      <w:start w:val="1"/>
      <w:numFmt w:val="lowerRoman"/>
      <w:lvlText w:val="%1)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4651619E"/>
    <w:multiLevelType w:val="hybridMultilevel"/>
    <w:tmpl w:val="629EE3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A00450"/>
    <w:multiLevelType w:val="hybridMultilevel"/>
    <w:tmpl w:val="3F34180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C26E90"/>
    <w:multiLevelType w:val="hybridMultilevel"/>
    <w:tmpl w:val="969EB758"/>
    <w:lvl w:ilvl="0" w:tplc="04050017">
      <w:start w:val="1"/>
      <w:numFmt w:val="lowerLetter"/>
      <w:lvlText w:val="%1)"/>
      <w:lvlJc w:val="left"/>
      <w:pPr>
        <w:ind w:left="5038" w:hanging="360"/>
      </w:pPr>
    </w:lvl>
    <w:lvl w:ilvl="1" w:tplc="04050019" w:tentative="1">
      <w:start w:val="1"/>
      <w:numFmt w:val="lowerLetter"/>
      <w:lvlText w:val="%2."/>
      <w:lvlJc w:val="left"/>
      <w:pPr>
        <w:ind w:left="5758" w:hanging="360"/>
      </w:pPr>
    </w:lvl>
    <w:lvl w:ilvl="2" w:tplc="0405001B" w:tentative="1">
      <w:start w:val="1"/>
      <w:numFmt w:val="lowerRoman"/>
      <w:lvlText w:val="%3."/>
      <w:lvlJc w:val="right"/>
      <w:pPr>
        <w:ind w:left="6478" w:hanging="180"/>
      </w:pPr>
    </w:lvl>
    <w:lvl w:ilvl="3" w:tplc="0405000F" w:tentative="1">
      <w:start w:val="1"/>
      <w:numFmt w:val="decimal"/>
      <w:lvlText w:val="%4."/>
      <w:lvlJc w:val="left"/>
      <w:pPr>
        <w:ind w:left="7198" w:hanging="360"/>
      </w:pPr>
    </w:lvl>
    <w:lvl w:ilvl="4" w:tplc="04050019" w:tentative="1">
      <w:start w:val="1"/>
      <w:numFmt w:val="lowerLetter"/>
      <w:lvlText w:val="%5."/>
      <w:lvlJc w:val="left"/>
      <w:pPr>
        <w:ind w:left="7918" w:hanging="360"/>
      </w:pPr>
    </w:lvl>
    <w:lvl w:ilvl="5" w:tplc="0405001B" w:tentative="1">
      <w:start w:val="1"/>
      <w:numFmt w:val="lowerRoman"/>
      <w:lvlText w:val="%6."/>
      <w:lvlJc w:val="right"/>
      <w:pPr>
        <w:ind w:left="8638" w:hanging="180"/>
      </w:pPr>
    </w:lvl>
    <w:lvl w:ilvl="6" w:tplc="0405000F" w:tentative="1">
      <w:start w:val="1"/>
      <w:numFmt w:val="decimal"/>
      <w:lvlText w:val="%7."/>
      <w:lvlJc w:val="left"/>
      <w:pPr>
        <w:ind w:left="9358" w:hanging="360"/>
      </w:pPr>
    </w:lvl>
    <w:lvl w:ilvl="7" w:tplc="04050019" w:tentative="1">
      <w:start w:val="1"/>
      <w:numFmt w:val="lowerLetter"/>
      <w:lvlText w:val="%8."/>
      <w:lvlJc w:val="left"/>
      <w:pPr>
        <w:ind w:left="10078" w:hanging="360"/>
      </w:pPr>
    </w:lvl>
    <w:lvl w:ilvl="8" w:tplc="0405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24">
    <w:nsid w:val="53C74D05"/>
    <w:multiLevelType w:val="hybridMultilevel"/>
    <w:tmpl w:val="FC8C3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2D71C8"/>
    <w:multiLevelType w:val="hybridMultilevel"/>
    <w:tmpl w:val="C79C1FB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C9639E"/>
    <w:multiLevelType w:val="multilevel"/>
    <w:tmpl w:val="DF30E1C8"/>
    <w:styleLink w:val="StylSodrkami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934CC6"/>
    <w:multiLevelType w:val="hybridMultilevel"/>
    <w:tmpl w:val="1CBC9A0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7">
      <w:start w:val="1"/>
      <w:numFmt w:val="lowerLetter"/>
      <w:lvlText w:val="%2)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C3D1E20"/>
    <w:multiLevelType w:val="hybridMultilevel"/>
    <w:tmpl w:val="E5BCF8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3B01"/>
    <w:multiLevelType w:val="hybridMultilevel"/>
    <w:tmpl w:val="A0D6D5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EB6A47"/>
    <w:multiLevelType w:val="hybridMultilevel"/>
    <w:tmpl w:val="C8167C36"/>
    <w:lvl w:ilvl="0" w:tplc="2B76D952">
      <w:start w:val="1"/>
      <w:numFmt w:val="bullet"/>
      <w:lvlText w:val="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761719E6"/>
    <w:multiLevelType w:val="hybridMultilevel"/>
    <w:tmpl w:val="44E8D2D4"/>
    <w:lvl w:ilvl="0" w:tplc="E0C0DC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014842"/>
    <w:multiLevelType w:val="multilevel"/>
    <w:tmpl w:val="5330EC4A"/>
    <w:lvl w:ilvl="0">
      <w:start w:val="1"/>
      <w:numFmt w:val="upperLetter"/>
      <w:pStyle w:val="NadpisAB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C9A7F40"/>
    <w:multiLevelType w:val="hybridMultilevel"/>
    <w:tmpl w:val="ED881F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55727B"/>
    <w:multiLevelType w:val="hybridMultilevel"/>
    <w:tmpl w:val="0CE06802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6"/>
  </w:num>
  <w:num w:numId="3">
    <w:abstractNumId w:val="32"/>
  </w:num>
  <w:num w:numId="4">
    <w:abstractNumId w:val="13"/>
  </w:num>
  <w:num w:numId="5">
    <w:abstractNumId w:val="34"/>
  </w:num>
  <w:num w:numId="6">
    <w:abstractNumId w:val="5"/>
  </w:num>
  <w:num w:numId="7">
    <w:abstractNumId w:val="15"/>
  </w:num>
  <w:num w:numId="8">
    <w:abstractNumId w:val="8"/>
  </w:num>
  <w:num w:numId="9">
    <w:abstractNumId w:val="6"/>
  </w:num>
  <w:num w:numId="10">
    <w:abstractNumId w:val="27"/>
  </w:num>
  <w:num w:numId="11">
    <w:abstractNumId w:val="20"/>
  </w:num>
  <w:num w:numId="12">
    <w:abstractNumId w:val="23"/>
  </w:num>
  <w:num w:numId="13">
    <w:abstractNumId w:val="3"/>
  </w:num>
  <w:num w:numId="14">
    <w:abstractNumId w:val="22"/>
  </w:num>
  <w:num w:numId="15">
    <w:abstractNumId w:val="12"/>
  </w:num>
  <w:num w:numId="16">
    <w:abstractNumId w:val="0"/>
  </w:num>
  <w:num w:numId="17">
    <w:abstractNumId w:val="4"/>
  </w:num>
  <w:num w:numId="18">
    <w:abstractNumId w:val="14"/>
  </w:num>
  <w:num w:numId="19">
    <w:abstractNumId w:val="2"/>
  </w:num>
  <w:num w:numId="20">
    <w:abstractNumId w:val="33"/>
  </w:num>
  <w:num w:numId="21">
    <w:abstractNumId w:val="24"/>
  </w:num>
  <w:num w:numId="22">
    <w:abstractNumId w:val="28"/>
  </w:num>
  <w:num w:numId="23">
    <w:abstractNumId w:val="21"/>
  </w:num>
  <w:num w:numId="24">
    <w:abstractNumId w:val="16"/>
  </w:num>
  <w:num w:numId="25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>
    <w:abstractNumId w:val="7"/>
  </w:num>
  <w:num w:numId="28">
    <w:abstractNumId w:val="10"/>
  </w:num>
  <w:num w:numId="29">
    <w:abstractNumId w:val="17"/>
  </w:num>
  <w:num w:numId="30">
    <w:abstractNumId w:val="19"/>
  </w:num>
  <w:num w:numId="31">
    <w:abstractNumId w:val="30"/>
  </w:num>
  <w:num w:numId="32">
    <w:abstractNumId w:val="25"/>
  </w:num>
  <w:num w:numId="33">
    <w:abstractNumId w:val="18"/>
  </w:num>
  <w:num w:numId="34">
    <w:abstractNumId w:val="11"/>
  </w:num>
  <w:num w:numId="35">
    <w:abstractNumId w:val="31"/>
  </w:num>
  <w:num w:numId="36">
    <w:abstractNumId w:val="1"/>
    <w:lvlOverride w:ilvl="0">
      <w:lvl w:ilvl="0">
        <w:start w:val="3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37">
    <w:abstractNumId w:val="29"/>
  </w:num>
  <w:num w:numId="38">
    <w:abstractNumId w:val="9"/>
  </w:num>
  <w:num w:numId="39">
    <w:abstractNumId w:val="9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D4D"/>
    <w:rsid w:val="000034D3"/>
    <w:rsid w:val="00024E98"/>
    <w:rsid w:val="00027B66"/>
    <w:rsid w:val="00027D0D"/>
    <w:rsid w:val="000357B5"/>
    <w:rsid w:val="000402C5"/>
    <w:rsid w:val="00046A9E"/>
    <w:rsid w:val="0005737B"/>
    <w:rsid w:val="00057C96"/>
    <w:rsid w:val="0006144B"/>
    <w:rsid w:val="00061AEE"/>
    <w:rsid w:val="00070A44"/>
    <w:rsid w:val="00071457"/>
    <w:rsid w:val="0007218F"/>
    <w:rsid w:val="00082E8B"/>
    <w:rsid w:val="000A2F3A"/>
    <w:rsid w:val="000A52C8"/>
    <w:rsid w:val="000A74B6"/>
    <w:rsid w:val="000B0BE7"/>
    <w:rsid w:val="000C3438"/>
    <w:rsid w:val="000D1784"/>
    <w:rsid w:val="000D330C"/>
    <w:rsid w:val="000E29BA"/>
    <w:rsid w:val="000E7624"/>
    <w:rsid w:val="000F1410"/>
    <w:rsid w:val="0010302E"/>
    <w:rsid w:val="0010339F"/>
    <w:rsid w:val="00111630"/>
    <w:rsid w:val="00140FE7"/>
    <w:rsid w:val="001470C9"/>
    <w:rsid w:val="00167D45"/>
    <w:rsid w:val="00185BE4"/>
    <w:rsid w:val="001877E6"/>
    <w:rsid w:val="0019444B"/>
    <w:rsid w:val="00195B5C"/>
    <w:rsid w:val="001962E3"/>
    <w:rsid w:val="001B4449"/>
    <w:rsid w:val="001C436B"/>
    <w:rsid w:val="001C5E5D"/>
    <w:rsid w:val="001D4F8A"/>
    <w:rsid w:val="001D70CA"/>
    <w:rsid w:val="001F6365"/>
    <w:rsid w:val="0020417E"/>
    <w:rsid w:val="00206B9F"/>
    <w:rsid w:val="00220B5A"/>
    <w:rsid w:val="00241F17"/>
    <w:rsid w:val="002454D0"/>
    <w:rsid w:val="0024692A"/>
    <w:rsid w:val="002502DA"/>
    <w:rsid w:val="00250CC5"/>
    <w:rsid w:val="00257980"/>
    <w:rsid w:val="0026078A"/>
    <w:rsid w:val="002648C2"/>
    <w:rsid w:val="00265487"/>
    <w:rsid w:val="00287AC6"/>
    <w:rsid w:val="002B1D10"/>
    <w:rsid w:val="002B1DF8"/>
    <w:rsid w:val="002C7011"/>
    <w:rsid w:val="002D2CA9"/>
    <w:rsid w:val="002D3342"/>
    <w:rsid w:val="002E09CA"/>
    <w:rsid w:val="002E3C4D"/>
    <w:rsid w:val="002F2619"/>
    <w:rsid w:val="00302B9E"/>
    <w:rsid w:val="00304E91"/>
    <w:rsid w:val="003164A9"/>
    <w:rsid w:val="00332D4D"/>
    <w:rsid w:val="00337956"/>
    <w:rsid w:val="00337AD5"/>
    <w:rsid w:val="00343525"/>
    <w:rsid w:val="00351F50"/>
    <w:rsid w:val="00364592"/>
    <w:rsid w:val="003661C6"/>
    <w:rsid w:val="003B4283"/>
    <w:rsid w:val="003E00A3"/>
    <w:rsid w:val="003E589D"/>
    <w:rsid w:val="003E7522"/>
    <w:rsid w:val="003F4A43"/>
    <w:rsid w:val="003F53F5"/>
    <w:rsid w:val="00401E95"/>
    <w:rsid w:val="0040300D"/>
    <w:rsid w:val="00404C4A"/>
    <w:rsid w:val="00405368"/>
    <w:rsid w:val="004131FC"/>
    <w:rsid w:val="0041440C"/>
    <w:rsid w:val="00436E35"/>
    <w:rsid w:val="00447C3E"/>
    <w:rsid w:val="00447D79"/>
    <w:rsid w:val="00456C0A"/>
    <w:rsid w:val="00480062"/>
    <w:rsid w:val="00482A90"/>
    <w:rsid w:val="00490CAF"/>
    <w:rsid w:val="004965E8"/>
    <w:rsid w:val="004B150D"/>
    <w:rsid w:val="004B3C59"/>
    <w:rsid w:val="004C308D"/>
    <w:rsid w:val="004C55BF"/>
    <w:rsid w:val="004C7187"/>
    <w:rsid w:val="004D1096"/>
    <w:rsid w:val="004D2BF2"/>
    <w:rsid w:val="004E070A"/>
    <w:rsid w:val="004E219C"/>
    <w:rsid w:val="005052A9"/>
    <w:rsid w:val="00513704"/>
    <w:rsid w:val="005160C8"/>
    <w:rsid w:val="005303DE"/>
    <w:rsid w:val="00536AE4"/>
    <w:rsid w:val="00551CED"/>
    <w:rsid w:val="00556EC7"/>
    <w:rsid w:val="00557E7D"/>
    <w:rsid w:val="00570444"/>
    <w:rsid w:val="00570B0D"/>
    <w:rsid w:val="005716D5"/>
    <w:rsid w:val="00571E42"/>
    <w:rsid w:val="00575C6F"/>
    <w:rsid w:val="00577271"/>
    <w:rsid w:val="0058437E"/>
    <w:rsid w:val="00586243"/>
    <w:rsid w:val="00597E9E"/>
    <w:rsid w:val="005A42E2"/>
    <w:rsid w:val="005C584D"/>
    <w:rsid w:val="005C6EB8"/>
    <w:rsid w:val="005D1F16"/>
    <w:rsid w:val="005F3E29"/>
    <w:rsid w:val="005F4227"/>
    <w:rsid w:val="00612BDB"/>
    <w:rsid w:val="0061619B"/>
    <w:rsid w:val="00616FBF"/>
    <w:rsid w:val="00623FA9"/>
    <w:rsid w:val="00636799"/>
    <w:rsid w:val="00636A45"/>
    <w:rsid w:val="00637C2B"/>
    <w:rsid w:val="00641F19"/>
    <w:rsid w:val="00652B1B"/>
    <w:rsid w:val="006610AB"/>
    <w:rsid w:val="00663E1D"/>
    <w:rsid w:val="00686F97"/>
    <w:rsid w:val="006910D1"/>
    <w:rsid w:val="006B65A9"/>
    <w:rsid w:val="006D0D7B"/>
    <w:rsid w:val="006D27C2"/>
    <w:rsid w:val="006D3AF4"/>
    <w:rsid w:val="006D4165"/>
    <w:rsid w:val="006E7551"/>
    <w:rsid w:val="006E7D36"/>
    <w:rsid w:val="006F672C"/>
    <w:rsid w:val="00700AE1"/>
    <w:rsid w:val="00702082"/>
    <w:rsid w:val="00715A31"/>
    <w:rsid w:val="00715DC6"/>
    <w:rsid w:val="00735040"/>
    <w:rsid w:val="00744833"/>
    <w:rsid w:val="007513C2"/>
    <w:rsid w:val="007526FD"/>
    <w:rsid w:val="007567A5"/>
    <w:rsid w:val="00757C59"/>
    <w:rsid w:val="00766B0C"/>
    <w:rsid w:val="00775509"/>
    <w:rsid w:val="007817CC"/>
    <w:rsid w:val="00792A69"/>
    <w:rsid w:val="00795129"/>
    <w:rsid w:val="0079562F"/>
    <w:rsid w:val="007A1923"/>
    <w:rsid w:val="007A3EE2"/>
    <w:rsid w:val="007C148B"/>
    <w:rsid w:val="007D18B3"/>
    <w:rsid w:val="007D641B"/>
    <w:rsid w:val="007E1814"/>
    <w:rsid w:val="007E6D54"/>
    <w:rsid w:val="007E777E"/>
    <w:rsid w:val="00801B86"/>
    <w:rsid w:val="0080293F"/>
    <w:rsid w:val="008138A1"/>
    <w:rsid w:val="00814ED7"/>
    <w:rsid w:val="00817EF3"/>
    <w:rsid w:val="008223E6"/>
    <w:rsid w:val="00827770"/>
    <w:rsid w:val="00844634"/>
    <w:rsid w:val="0084662A"/>
    <w:rsid w:val="00864777"/>
    <w:rsid w:val="00873B89"/>
    <w:rsid w:val="008A1BC6"/>
    <w:rsid w:val="008A1BED"/>
    <w:rsid w:val="008B0ED2"/>
    <w:rsid w:val="008B5113"/>
    <w:rsid w:val="008C564D"/>
    <w:rsid w:val="008E34A6"/>
    <w:rsid w:val="008E4347"/>
    <w:rsid w:val="008F0549"/>
    <w:rsid w:val="008F140B"/>
    <w:rsid w:val="00912DC5"/>
    <w:rsid w:val="00940983"/>
    <w:rsid w:val="00956945"/>
    <w:rsid w:val="00960986"/>
    <w:rsid w:val="00967CD8"/>
    <w:rsid w:val="00973C2B"/>
    <w:rsid w:val="00987B45"/>
    <w:rsid w:val="0099203E"/>
    <w:rsid w:val="009B674C"/>
    <w:rsid w:val="009C6175"/>
    <w:rsid w:val="009D040A"/>
    <w:rsid w:val="009D1153"/>
    <w:rsid w:val="009D378D"/>
    <w:rsid w:val="009E572A"/>
    <w:rsid w:val="009F034A"/>
    <w:rsid w:val="009F16D5"/>
    <w:rsid w:val="009F620F"/>
    <w:rsid w:val="00A01FB3"/>
    <w:rsid w:val="00A028ED"/>
    <w:rsid w:val="00A171D3"/>
    <w:rsid w:val="00A414BF"/>
    <w:rsid w:val="00A45937"/>
    <w:rsid w:val="00A46C13"/>
    <w:rsid w:val="00A53081"/>
    <w:rsid w:val="00A54518"/>
    <w:rsid w:val="00A57A36"/>
    <w:rsid w:val="00A61669"/>
    <w:rsid w:val="00A62A40"/>
    <w:rsid w:val="00A76519"/>
    <w:rsid w:val="00A76B24"/>
    <w:rsid w:val="00A8503F"/>
    <w:rsid w:val="00A907E9"/>
    <w:rsid w:val="00A9547A"/>
    <w:rsid w:val="00A96856"/>
    <w:rsid w:val="00A96FCE"/>
    <w:rsid w:val="00AA0B04"/>
    <w:rsid w:val="00AA1A89"/>
    <w:rsid w:val="00AB3AFE"/>
    <w:rsid w:val="00AC425D"/>
    <w:rsid w:val="00AC5505"/>
    <w:rsid w:val="00AE7EC9"/>
    <w:rsid w:val="00AF52E8"/>
    <w:rsid w:val="00B03E53"/>
    <w:rsid w:val="00B0423C"/>
    <w:rsid w:val="00B06530"/>
    <w:rsid w:val="00B12CE2"/>
    <w:rsid w:val="00B418CB"/>
    <w:rsid w:val="00B41B9D"/>
    <w:rsid w:val="00B76EB2"/>
    <w:rsid w:val="00B91DAA"/>
    <w:rsid w:val="00B94D4E"/>
    <w:rsid w:val="00BA2F06"/>
    <w:rsid w:val="00BA4BBC"/>
    <w:rsid w:val="00BC4DE6"/>
    <w:rsid w:val="00BD088A"/>
    <w:rsid w:val="00BD10A6"/>
    <w:rsid w:val="00BD164E"/>
    <w:rsid w:val="00BD20AB"/>
    <w:rsid w:val="00BE7746"/>
    <w:rsid w:val="00BF09C9"/>
    <w:rsid w:val="00BF5107"/>
    <w:rsid w:val="00BF57B1"/>
    <w:rsid w:val="00BF6C29"/>
    <w:rsid w:val="00C05919"/>
    <w:rsid w:val="00C136CA"/>
    <w:rsid w:val="00C229B4"/>
    <w:rsid w:val="00C43D9D"/>
    <w:rsid w:val="00C503F4"/>
    <w:rsid w:val="00C550F5"/>
    <w:rsid w:val="00C567E9"/>
    <w:rsid w:val="00C825FA"/>
    <w:rsid w:val="00C91F8B"/>
    <w:rsid w:val="00C96A6C"/>
    <w:rsid w:val="00CA20FD"/>
    <w:rsid w:val="00CA73E5"/>
    <w:rsid w:val="00CB6969"/>
    <w:rsid w:val="00CC5C23"/>
    <w:rsid w:val="00CF0C90"/>
    <w:rsid w:val="00D0560E"/>
    <w:rsid w:val="00D13E36"/>
    <w:rsid w:val="00D1653E"/>
    <w:rsid w:val="00D32E8A"/>
    <w:rsid w:val="00D61CAD"/>
    <w:rsid w:val="00D717CF"/>
    <w:rsid w:val="00D838C1"/>
    <w:rsid w:val="00D93437"/>
    <w:rsid w:val="00DA669D"/>
    <w:rsid w:val="00DC180D"/>
    <w:rsid w:val="00DC6329"/>
    <w:rsid w:val="00DD3453"/>
    <w:rsid w:val="00DD5764"/>
    <w:rsid w:val="00DE136D"/>
    <w:rsid w:val="00DE2C93"/>
    <w:rsid w:val="00E07DDE"/>
    <w:rsid w:val="00E148A6"/>
    <w:rsid w:val="00E26B20"/>
    <w:rsid w:val="00E34A12"/>
    <w:rsid w:val="00E360C9"/>
    <w:rsid w:val="00E500ED"/>
    <w:rsid w:val="00E57468"/>
    <w:rsid w:val="00E57EE8"/>
    <w:rsid w:val="00E6167E"/>
    <w:rsid w:val="00E663E3"/>
    <w:rsid w:val="00E8319A"/>
    <w:rsid w:val="00E83D5A"/>
    <w:rsid w:val="00E96375"/>
    <w:rsid w:val="00EB38DE"/>
    <w:rsid w:val="00ED7ED9"/>
    <w:rsid w:val="00EE08C3"/>
    <w:rsid w:val="00EE68CB"/>
    <w:rsid w:val="00F06376"/>
    <w:rsid w:val="00F14ADE"/>
    <w:rsid w:val="00F21D6C"/>
    <w:rsid w:val="00F50A2C"/>
    <w:rsid w:val="00F52D6C"/>
    <w:rsid w:val="00F64A9B"/>
    <w:rsid w:val="00F651F7"/>
    <w:rsid w:val="00F66CCB"/>
    <w:rsid w:val="00F7455F"/>
    <w:rsid w:val="00F74DE4"/>
    <w:rsid w:val="00F9565F"/>
    <w:rsid w:val="00FB753B"/>
    <w:rsid w:val="00FC425E"/>
    <w:rsid w:val="00FD7D7A"/>
    <w:rsid w:val="00FE3A4A"/>
    <w:rsid w:val="00FE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hidden/>
    <w:qFormat/>
    <w:rsid w:val="00332D4D"/>
    <w:pPr>
      <w:spacing w:after="120" w:line="240" w:lineRule="auto"/>
      <w:jc w:val="both"/>
    </w:pPr>
    <w:rPr>
      <w:rFonts w:ascii="Calibri" w:eastAsia="Times New Roman" w:hAnsi="Calibri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32D4D"/>
    <w:pPr>
      <w:keepNext/>
      <w:pageBreakBefore/>
      <w:numPr>
        <w:numId w:val="1"/>
      </w:numPr>
      <w:outlineLvl w:val="0"/>
    </w:pPr>
    <w:rPr>
      <w:rFonts w:cs="Arial"/>
      <w:b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qFormat/>
    <w:rsid w:val="00A53081"/>
    <w:pPr>
      <w:keepNext/>
      <w:numPr>
        <w:ilvl w:val="1"/>
        <w:numId w:val="1"/>
      </w:numPr>
      <w:pBdr>
        <w:bottom w:val="single" w:sz="12" w:space="1" w:color="E4DFEC"/>
      </w:pBdr>
      <w:tabs>
        <w:tab w:val="clear" w:pos="2269"/>
        <w:tab w:val="num" w:pos="567"/>
      </w:tabs>
      <w:spacing w:before="480" w:after="60"/>
      <w:ind w:left="567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111630"/>
    <w:pPr>
      <w:keepNext/>
      <w:numPr>
        <w:ilvl w:val="2"/>
        <w:numId w:val="1"/>
      </w:numPr>
      <w:spacing w:before="240" w:after="0"/>
      <w:ind w:left="567" w:hanging="567"/>
      <w:outlineLvl w:val="2"/>
    </w:pPr>
    <w:rPr>
      <w:rFonts w:cs="Arial"/>
      <w:b/>
      <w:bCs/>
      <w:szCs w:val="26"/>
    </w:rPr>
  </w:style>
  <w:style w:type="paragraph" w:styleId="Nadpis4">
    <w:name w:val="heading 4"/>
    <w:basedOn w:val="Nadpis3"/>
    <w:next w:val="Normln"/>
    <w:link w:val="Nadpis4Char"/>
    <w:qFormat/>
    <w:rsid w:val="00332D4D"/>
    <w:pPr>
      <w:numPr>
        <w:ilvl w:val="0"/>
        <w:numId w:val="0"/>
      </w:numPr>
      <w:tabs>
        <w:tab w:val="num" w:pos="864"/>
      </w:tabs>
      <w:spacing w:before="120"/>
      <w:outlineLvl w:val="3"/>
    </w:pPr>
    <w:rPr>
      <w:bCs w:val="0"/>
      <w:szCs w:val="28"/>
    </w:rPr>
  </w:style>
  <w:style w:type="paragraph" w:styleId="Nadpis5">
    <w:name w:val="heading 5"/>
    <w:basedOn w:val="Normln"/>
    <w:next w:val="Normln"/>
    <w:link w:val="Nadpis5Char"/>
    <w:rsid w:val="00332D4D"/>
    <w:pPr>
      <w:keepNext/>
      <w:tabs>
        <w:tab w:val="num" w:pos="1008"/>
      </w:tabs>
      <w:spacing w:before="480" w:after="480"/>
      <w:ind w:left="1009" w:hanging="1009"/>
      <w:outlineLvl w:val="4"/>
    </w:pPr>
    <w:rPr>
      <w:rFonts w:ascii="Arial" w:hAnsi="Arial"/>
      <w:b/>
      <w:bCs/>
    </w:rPr>
  </w:style>
  <w:style w:type="paragraph" w:styleId="Nadpis6">
    <w:name w:val="heading 6"/>
    <w:basedOn w:val="Normln"/>
    <w:next w:val="Normln"/>
    <w:link w:val="Nadpis6Char"/>
    <w:rsid w:val="00332D4D"/>
    <w:pPr>
      <w:keepNext/>
      <w:keepLines/>
      <w:pageBreakBefore/>
      <w:tabs>
        <w:tab w:val="num" w:pos="1152"/>
      </w:tabs>
      <w:outlineLvl w:val="5"/>
    </w:pPr>
    <w:rPr>
      <w:b/>
      <w:bCs/>
      <w:sz w:val="40"/>
      <w:szCs w:val="22"/>
    </w:rPr>
  </w:style>
  <w:style w:type="paragraph" w:styleId="Nadpis7">
    <w:name w:val="heading 7"/>
    <w:basedOn w:val="Normln"/>
    <w:next w:val="Normln"/>
    <w:link w:val="Nadpis7Char"/>
    <w:rsid w:val="00332D4D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link w:val="Nadpis8Char"/>
    <w:rsid w:val="00332D4D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rsid w:val="00332D4D"/>
    <w:pPr>
      <w:keepNext/>
      <w:tabs>
        <w:tab w:val="num" w:pos="1584"/>
      </w:tabs>
      <w:ind w:left="1584" w:hanging="1584"/>
      <w:jc w:val="center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32D4D"/>
    <w:rPr>
      <w:rFonts w:ascii="Calibri" w:eastAsia="Times New Roman" w:hAnsi="Calibri" w:cs="Arial"/>
      <w:b/>
      <w:bCs/>
      <w:kern w:val="32"/>
      <w:sz w:val="40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A53081"/>
    <w:rPr>
      <w:rFonts w:ascii="Calibri" w:eastAsia="Times New Roman" w:hAnsi="Calibri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11630"/>
    <w:rPr>
      <w:rFonts w:ascii="Calibri" w:eastAsia="Times New Roman" w:hAnsi="Calibri" w:cs="Arial"/>
      <w:b/>
      <w:bCs/>
      <w:sz w:val="20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332D4D"/>
    <w:rPr>
      <w:rFonts w:ascii="Calibri" w:eastAsia="Times New Roman" w:hAnsi="Calibri" w:cs="Arial"/>
      <w:b/>
      <w:sz w:val="20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332D4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332D4D"/>
    <w:rPr>
      <w:rFonts w:ascii="Calibri" w:eastAsia="Times New Roman" w:hAnsi="Calibri" w:cs="Times New Roman"/>
      <w:b/>
      <w:bCs/>
      <w:sz w:val="40"/>
      <w:lang w:eastAsia="cs-CZ"/>
    </w:rPr>
  </w:style>
  <w:style w:type="character" w:customStyle="1" w:styleId="Nadpis7Char">
    <w:name w:val="Nadpis 7 Char"/>
    <w:basedOn w:val="Standardnpsmoodstavce"/>
    <w:link w:val="Nadpis7"/>
    <w:rsid w:val="00332D4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32D4D"/>
    <w:rPr>
      <w:rFonts w:ascii="Times New Roman" w:eastAsia="Times New Roman" w:hAnsi="Times New Roman" w:cs="Times New Roman"/>
      <w:i/>
      <w:iCs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332D4D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rsid w:val="00332D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2D4D"/>
    <w:rPr>
      <w:rFonts w:ascii="Calibri" w:eastAsia="Times New Roman" w:hAnsi="Calibri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332D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32D4D"/>
    <w:rPr>
      <w:rFonts w:ascii="Calibri" w:eastAsia="Times New Roman" w:hAnsi="Calibri" w:cs="Times New Roman"/>
      <w:sz w:val="20"/>
      <w:szCs w:val="20"/>
      <w:lang w:eastAsia="cs-CZ"/>
    </w:rPr>
  </w:style>
  <w:style w:type="character" w:styleId="slostrnky">
    <w:name w:val="page number"/>
    <w:rsid w:val="00332D4D"/>
    <w:rPr>
      <w:rFonts w:ascii="Calibri" w:hAnsi="Calibri"/>
      <w:sz w:val="16"/>
    </w:rPr>
  </w:style>
  <w:style w:type="character" w:styleId="Hypertextovodkaz">
    <w:name w:val="Hyperlink"/>
    <w:uiPriority w:val="99"/>
    <w:rsid w:val="00332D4D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32D4D"/>
    <w:pPr>
      <w:tabs>
        <w:tab w:val="left" w:pos="284"/>
        <w:tab w:val="right" w:leader="dot" w:pos="9628"/>
      </w:tabs>
      <w:spacing w:before="120" w:after="60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rsid w:val="00332D4D"/>
    <w:pPr>
      <w:tabs>
        <w:tab w:val="left" w:pos="960"/>
        <w:tab w:val="right" w:leader="dot" w:pos="9628"/>
      </w:tabs>
      <w:spacing w:after="60"/>
      <w:ind w:left="567"/>
    </w:pPr>
  </w:style>
  <w:style w:type="paragraph" w:customStyle="1" w:styleId="Nadpiszacatek">
    <w:name w:val="Nadpis zacatek"/>
    <w:basedOn w:val="Normln"/>
    <w:semiHidden/>
    <w:rsid w:val="00332D4D"/>
    <w:pPr>
      <w:spacing w:after="240"/>
    </w:pPr>
    <w:rPr>
      <w:b/>
      <w:bCs/>
      <w:sz w:val="32"/>
    </w:rPr>
  </w:style>
  <w:style w:type="paragraph" w:styleId="Seznamobrzk">
    <w:name w:val="table of figures"/>
    <w:basedOn w:val="Normln"/>
    <w:next w:val="Normln"/>
    <w:uiPriority w:val="99"/>
    <w:rsid w:val="00332D4D"/>
    <w:pPr>
      <w:tabs>
        <w:tab w:val="right" w:leader="dot" w:pos="9639"/>
      </w:tabs>
      <w:spacing w:after="60"/>
      <w:ind w:left="482" w:hanging="482"/>
    </w:pPr>
  </w:style>
  <w:style w:type="paragraph" w:customStyle="1" w:styleId="Nadpismal">
    <w:name w:val="Nadpis malý"/>
    <w:next w:val="Normln"/>
    <w:qFormat/>
    <w:rsid w:val="00332D4D"/>
    <w:pPr>
      <w:keepNext/>
      <w:keepLines/>
      <w:spacing w:before="360" w:after="60" w:line="240" w:lineRule="auto"/>
      <w:jc w:val="both"/>
    </w:pPr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Seznamliteratury">
    <w:name w:val="Seznam literatury"/>
    <w:basedOn w:val="Normln"/>
    <w:uiPriority w:val="99"/>
    <w:qFormat/>
    <w:rsid w:val="00332D4D"/>
    <w:pPr>
      <w:ind w:left="540" w:hanging="540"/>
    </w:pPr>
  </w:style>
  <w:style w:type="paragraph" w:styleId="Titulek">
    <w:name w:val="caption"/>
    <w:basedOn w:val="Normln"/>
    <w:next w:val="Normln"/>
    <w:link w:val="TitulekChar"/>
    <w:qFormat/>
    <w:rsid w:val="00332D4D"/>
    <w:pPr>
      <w:keepNext/>
      <w:keepLines/>
      <w:spacing w:before="240" w:after="0"/>
    </w:pPr>
    <w:rPr>
      <w:b/>
      <w:bCs/>
    </w:rPr>
  </w:style>
  <w:style w:type="paragraph" w:customStyle="1" w:styleId="Odkazyvvodnmboxu">
    <w:name w:val="Odkazy v úvodním boxu"/>
    <w:basedOn w:val="Normln"/>
    <w:rsid w:val="00332D4D"/>
    <w:pPr>
      <w:ind w:left="567"/>
    </w:pPr>
    <w:rPr>
      <w:b/>
      <w:bCs/>
      <w:i/>
      <w:iCs/>
    </w:rPr>
  </w:style>
  <w:style w:type="paragraph" w:customStyle="1" w:styleId="Seznamzkratek">
    <w:name w:val="Seznam zkratek"/>
    <w:basedOn w:val="Normln"/>
    <w:rsid w:val="00332D4D"/>
    <w:pPr>
      <w:tabs>
        <w:tab w:val="left" w:leader="dot" w:pos="3119"/>
      </w:tabs>
      <w:spacing w:after="0" w:line="264" w:lineRule="auto"/>
    </w:pPr>
  </w:style>
  <w:style w:type="paragraph" w:customStyle="1" w:styleId="Zdrojpoznmkapodtabulkougrafem">
    <w:name w:val="Zdroj/poznámka pod tabulkou/grafem"/>
    <w:basedOn w:val="Normln"/>
    <w:next w:val="Normln"/>
    <w:link w:val="ZdrojpoznmkapodtabulkougrafemCharChar"/>
    <w:rsid w:val="00332D4D"/>
    <w:pPr>
      <w:spacing w:after="240"/>
      <w:contextualSpacing/>
    </w:pPr>
    <w:rPr>
      <w:i/>
      <w:sz w:val="16"/>
      <w:szCs w:val="16"/>
    </w:rPr>
  </w:style>
  <w:style w:type="character" w:customStyle="1" w:styleId="ZdrojpoznmkapodtabulkougrafemCharChar">
    <w:name w:val="Zdroj/poznámka pod tabulkou/grafem Char Char"/>
    <w:link w:val="Zdrojpoznmkapodtabulkougrafem"/>
    <w:rsid w:val="00332D4D"/>
    <w:rPr>
      <w:rFonts w:ascii="Calibri" w:eastAsia="Times New Roman" w:hAnsi="Calibri" w:cs="Times New Roman"/>
      <w:i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332D4D"/>
    <w:pPr>
      <w:spacing w:after="120" w:line="240" w:lineRule="auto"/>
      <w:jc w:val="both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dpis1bezsla">
    <w:name w:val="Styl Nadpis 1 bez čísla"/>
    <w:basedOn w:val="Nadpis1"/>
    <w:semiHidden/>
    <w:locked/>
    <w:rsid w:val="00332D4D"/>
    <w:pPr>
      <w:ind w:left="0" w:firstLine="0"/>
    </w:pPr>
    <w:rPr>
      <w:rFonts w:cs="Times New Roman"/>
      <w:szCs w:val="20"/>
    </w:rPr>
  </w:style>
  <w:style w:type="paragraph" w:customStyle="1" w:styleId="Jednotkypodnadpisemgrafunebotabulky">
    <w:name w:val="Jednotky pod nadpisem grafu nebo tabulky"/>
    <w:basedOn w:val="Normln"/>
    <w:rsid w:val="00332D4D"/>
    <w:pPr>
      <w:keepNext/>
      <w:spacing w:after="0"/>
    </w:pPr>
    <w:rPr>
      <w:i/>
      <w:iCs/>
      <w:sz w:val="16"/>
    </w:rPr>
  </w:style>
  <w:style w:type="character" w:styleId="Znakapoznpodarou">
    <w:name w:val="footnote reference"/>
    <w:aliases w:val="Footnote symbol,Footnote reference number,Times 10 Point,Exposant 3 Point,EN Footnote Reference,note TESI, Exposant 3 Point,PGI Fußnote Ziffer + Times New Roman,12 b.,Zúžené o ...,PGI Fußnote Ziffer,BVI fnr"/>
    <w:rsid w:val="00332D4D"/>
    <w:rPr>
      <w:vertAlign w:val="superscript"/>
    </w:rPr>
  </w:style>
  <w:style w:type="paragraph" w:customStyle="1" w:styleId="Titulky">
    <w:name w:val="Titulky"/>
    <w:basedOn w:val="Titulek"/>
    <w:semiHidden/>
    <w:rsid w:val="00332D4D"/>
    <w:pPr>
      <w:keepLines w:val="0"/>
      <w:spacing w:beforeLines="75" w:before="180"/>
      <w:jc w:val="left"/>
    </w:pPr>
    <w:rPr>
      <w:rFonts w:ascii="Arial" w:hAnsi="Arial"/>
    </w:rPr>
  </w:style>
  <w:style w:type="paragraph" w:customStyle="1" w:styleId="Fisklnvhled1strana">
    <w:name w:val="Fiskální výhled (1. strana)"/>
    <w:basedOn w:val="Zpat"/>
    <w:next w:val="eskrepubliky1strana"/>
    <w:semiHidden/>
    <w:locked/>
    <w:rsid w:val="00332D4D"/>
    <w:pPr>
      <w:spacing w:before="7800" w:after="0"/>
      <w:ind w:left="1440" w:right="-289"/>
      <w:jc w:val="right"/>
    </w:pPr>
    <w:rPr>
      <w:b/>
      <w:bCs/>
      <w:spacing w:val="10"/>
      <w:sz w:val="96"/>
    </w:rPr>
  </w:style>
  <w:style w:type="paragraph" w:customStyle="1" w:styleId="eskrepubliky1strana">
    <w:name w:val="České republiky (1. strana)"/>
    <w:basedOn w:val="Zpat"/>
    <w:semiHidden/>
    <w:locked/>
    <w:rsid w:val="00332D4D"/>
    <w:pPr>
      <w:spacing w:after="0"/>
      <w:ind w:left="1440" w:right="-288"/>
      <w:jc w:val="right"/>
    </w:pPr>
    <w:rPr>
      <w:b/>
      <w:bCs/>
      <w:sz w:val="56"/>
    </w:rPr>
  </w:style>
  <w:style w:type="paragraph" w:customStyle="1" w:styleId="Zdrojpodtabulkounebografem">
    <w:name w:val="Zdroj pod tabulkou nebo grafem"/>
    <w:basedOn w:val="Normln"/>
    <w:next w:val="Normln"/>
    <w:link w:val="ZdrojpodtabulkounebografemChar"/>
    <w:qFormat/>
    <w:rsid w:val="00332D4D"/>
    <w:pPr>
      <w:spacing w:after="240"/>
      <w:contextualSpacing/>
    </w:pPr>
    <w:rPr>
      <w:i/>
      <w:sz w:val="16"/>
      <w:szCs w:val="16"/>
    </w:rPr>
  </w:style>
  <w:style w:type="paragraph" w:styleId="Textbubliny">
    <w:name w:val="Balloon Text"/>
    <w:basedOn w:val="Normln"/>
    <w:link w:val="TextbublinyChar"/>
    <w:semiHidden/>
    <w:rsid w:val="00332D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332D4D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itulek-jednotkypodnadpisemgrafunebotabulky">
    <w:name w:val="Titulek - jednotky pod nadpisem grafu nebo tabulky"/>
    <w:basedOn w:val="Normln"/>
    <w:rsid w:val="00332D4D"/>
    <w:pPr>
      <w:keepNext/>
      <w:keepLines/>
      <w:spacing w:after="0"/>
    </w:pPr>
    <w:rPr>
      <w:i/>
      <w:iCs/>
      <w:sz w:val="16"/>
    </w:rPr>
  </w:style>
  <w:style w:type="paragraph" w:styleId="Rozloendokumentu">
    <w:name w:val="Document Map"/>
    <w:basedOn w:val="Normln"/>
    <w:link w:val="RozloendokumentuChar"/>
    <w:semiHidden/>
    <w:rsid w:val="00332D4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332D4D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character" w:styleId="Odkaznakoment">
    <w:name w:val="annotation reference"/>
    <w:rsid w:val="00332D4D"/>
    <w:rPr>
      <w:sz w:val="16"/>
      <w:szCs w:val="16"/>
    </w:rPr>
  </w:style>
  <w:style w:type="paragraph" w:styleId="Textkomente">
    <w:name w:val="annotation text"/>
    <w:basedOn w:val="Normln"/>
    <w:link w:val="TextkomenteChar"/>
    <w:rsid w:val="00332D4D"/>
  </w:style>
  <w:style w:type="character" w:customStyle="1" w:styleId="TextkomenteChar">
    <w:name w:val="Text komentáře Char"/>
    <w:basedOn w:val="Standardnpsmoodstavce"/>
    <w:link w:val="Textkomente"/>
    <w:rsid w:val="00332D4D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332D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332D4D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332D4D"/>
    <w:rPr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332D4D"/>
    <w:rPr>
      <w:rFonts w:ascii="Calibri" w:eastAsia="Times New Roman" w:hAnsi="Calibri" w:cs="Times New Roman"/>
      <w:sz w:val="20"/>
      <w:szCs w:val="20"/>
    </w:rPr>
  </w:style>
  <w:style w:type="paragraph" w:styleId="Textpoznpodarou">
    <w:name w:val="footnote text"/>
    <w:aliases w:val="Schriftart: 9 pt,Schriftart: 10 pt,Schriftart: 8 pt,Char,Text pozn. pod čarou1,Char Char Char1,Char Char1,Footnote Text Char1"/>
    <w:basedOn w:val="Normln"/>
    <w:link w:val="TextpoznpodarouChar"/>
    <w:rsid w:val="00332D4D"/>
    <w:rPr>
      <w:sz w:val="16"/>
    </w:rPr>
  </w:style>
  <w:style w:type="character" w:customStyle="1" w:styleId="TextpoznpodarouChar">
    <w:name w:val="Text pozn. pod čarou Char"/>
    <w:aliases w:val="Schriftart: 9 pt Char1,Schriftart: 10 pt Char1,Schriftart: 8 pt Char1,Char Char2,Text pozn. pod čarou1 Char1,Char Char Char1 Char1,Char Char1 Char1,Footnote Text Char1 Char1"/>
    <w:basedOn w:val="Standardnpsmoodstavce"/>
    <w:link w:val="Textpoznpodarou"/>
    <w:rsid w:val="00332D4D"/>
    <w:rPr>
      <w:rFonts w:ascii="Calibri" w:eastAsia="Times New Roman" w:hAnsi="Calibri" w:cs="Times New Roman"/>
      <w:sz w:val="16"/>
      <w:szCs w:val="20"/>
      <w:lang w:eastAsia="cs-CZ"/>
    </w:rPr>
  </w:style>
  <w:style w:type="numbering" w:customStyle="1" w:styleId="StylSodrkami">
    <w:name w:val="Styl S odrážkami"/>
    <w:basedOn w:val="Bezseznamu"/>
    <w:rsid w:val="00332D4D"/>
    <w:pPr>
      <w:numPr>
        <w:numId w:val="2"/>
      </w:numPr>
    </w:pPr>
  </w:style>
  <w:style w:type="paragraph" w:customStyle="1" w:styleId="NadpisAB">
    <w:name w:val="Nadpis AB"/>
    <w:basedOn w:val="Nadpis1"/>
    <w:rsid w:val="00332D4D"/>
    <w:pPr>
      <w:numPr>
        <w:numId w:val="3"/>
      </w:numPr>
      <w:jc w:val="left"/>
    </w:pPr>
  </w:style>
  <w:style w:type="character" w:customStyle="1" w:styleId="TitulekChar">
    <w:name w:val="Titulek Char"/>
    <w:link w:val="Titulek"/>
    <w:rsid w:val="00332D4D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32D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ZdrojpodtabulkounebografemChar">
    <w:name w:val="Zdroj pod tabulkou nebo grafem Char"/>
    <w:link w:val="Zdrojpodtabulkounebografem"/>
    <w:rsid w:val="00332D4D"/>
    <w:rPr>
      <w:rFonts w:ascii="Calibri" w:eastAsia="Times New Roman" w:hAnsi="Calibri" w:cs="Times New Roman"/>
      <w:i/>
      <w:sz w:val="16"/>
      <w:szCs w:val="16"/>
      <w:lang w:eastAsia="cs-CZ"/>
    </w:rPr>
  </w:style>
  <w:style w:type="paragraph" w:customStyle="1" w:styleId="StylZdrojpoznmkapodtabulkougrafemnenKurzva">
    <w:name w:val="Styl Zdroj/poznámka pod tabulkou/grafem + není Kurzíva"/>
    <w:basedOn w:val="Zdrojpoznmkapodtabulkougrafem"/>
    <w:semiHidden/>
    <w:rsid w:val="00332D4D"/>
    <w:rPr>
      <w:i w:val="0"/>
    </w:rPr>
  </w:style>
  <w:style w:type="paragraph" w:customStyle="1" w:styleId="Seznamtabulekaobrzk">
    <w:name w:val="Seznam tabulek a obrázků"/>
    <w:basedOn w:val="Seznamobrzk"/>
    <w:next w:val="Normln"/>
    <w:rsid w:val="00332D4D"/>
    <w:pPr>
      <w:spacing w:line="20" w:lineRule="atLeast"/>
    </w:pPr>
  </w:style>
  <w:style w:type="paragraph" w:customStyle="1" w:styleId="Tunodstavec">
    <w:name w:val="Tučný odstavec"/>
    <w:basedOn w:val="Normln"/>
    <w:link w:val="TunodstavecChar1"/>
    <w:rsid w:val="00332D4D"/>
    <w:pPr>
      <w:spacing w:before="240" w:line="264" w:lineRule="auto"/>
    </w:pPr>
    <w:rPr>
      <w:rFonts w:ascii="Times New Roman" w:hAnsi="Times New Roman"/>
      <w:b/>
      <w:bCs/>
      <w:sz w:val="22"/>
    </w:rPr>
  </w:style>
  <w:style w:type="paragraph" w:customStyle="1" w:styleId="vod">
    <w:name w:val="Úvod"/>
    <w:basedOn w:val="Nadpis1"/>
    <w:next w:val="Normln"/>
    <w:semiHidden/>
    <w:rsid w:val="00332D4D"/>
    <w:pPr>
      <w:numPr>
        <w:numId w:val="0"/>
      </w:numPr>
    </w:pPr>
    <w:rPr>
      <w:rFonts w:cs="Times New Roman"/>
      <w:szCs w:val="20"/>
    </w:rPr>
  </w:style>
  <w:style w:type="character" w:customStyle="1" w:styleId="TunodstavecChar1">
    <w:name w:val="Tučný odstavec Char1"/>
    <w:link w:val="Tunodstavec"/>
    <w:rsid w:val="00332D4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Box-text">
    <w:name w:val="Box - text"/>
    <w:basedOn w:val="Normln"/>
    <w:uiPriority w:val="1"/>
    <w:qFormat/>
    <w:rsid w:val="00332D4D"/>
    <w:rPr>
      <w:sz w:val="18"/>
    </w:rPr>
  </w:style>
  <w:style w:type="paragraph" w:customStyle="1" w:styleId="Box-nadpis">
    <w:name w:val="Box - nadpis"/>
    <w:basedOn w:val="Nadpismal"/>
    <w:next w:val="Box-text"/>
    <w:uiPriority w:val="1"/>
    <w:qFormat/>
    <w:rsid w:val="00332D4D"/>
    <w:pPr>
      <w:spacing w:before="120"/>
    </w:pPr>
    <w:rPr>
      <w:bCs/>
      <w:sz w:val="20"/>
      <w:szCs w:val="20"/>
    </w:rPr>
  </w:style>
  <w:style w:type="paragraph" w:styleId="Odstavecseseznamem">
    <w:name w:val="List Paragraph"/>
    <w:basedOn w:val="Normln"/>
    <w:uiPriority w:val="34"/>
    <w:rsid w:val="00332D4D"/>
    <w:pPr>
      <w:ind w:left="720"/>
      <w:contextualSpacing/>
    </w:pPr>
    <w:rPr>
      <w:rFonts w:eastAsia="Calibri"/>
    </w:rPr>
  </w:style>
  <w:style w:type="character" w:styleId="Siln">
    <w:name w:val="Strong"/>
    <w:uiPriority w:val="22"/>
    <w:qFormat/>
    <w:rsid w:val="00332D4D"/>
    <w:rPr>
      <w:b/>
      <w:bCs/>
    </w:rPr>
  </w:style>
  <w:style w:type="character" w:customStyle="1" w:styleId="TextpoznpodarouChar1">
    <w:name w:val="Text pozn. pod čarou Char1"/>
    <w:aliases w:val="Schriftart: 9 pt Char,Schriftart: 10 pt Char,Schriftart: 8 pt Char,Text pozn. pod čarou Char Char, Char Char,Char Char,Text pozn. pod čarou1 Char,Char Char Char1 Char,Char Char1 Char,Footnote Text Char1 Char"/>
    <w:semiHidden/>
    <w:rsid w:val="00332D4D"/>
    <w:rPr>
      <w:lang w:val="cs-CZ" w:eastAsia="cs-CZ" w:bidi="ar-SA"/>
    </w:rPr>
  </w:style>
  <w:style w:type="paragraph" w:customStyle="1" w:styleId="Poznmkaazdroj">
    <w:name w:val="Poznámka a zdroj"/>
    <w:basedOn w:val="Normln"/>
    <w:next w:val="Normln"/>
    <w:uiPriority w:val="7"/>
    <w:qFormat/>
    <w:rsid w:val="00332D4D"/>
    <w:pPr>
      <w:spacing w:after="240"/>
      <w:contextualSpacing/>
    </w:pPr>
    <w:rPr>
      <w:rFonts w:eastAsia="Calibri"/>
      <w:i/>
      <w:sz w:val="16"/>
      <w:lang w:eastAsia="en-US"/>
    </w:rPr>
  </w:style>
  <w:style w:type="paragraph" w:customStyle="1" w:styleId="Jednotka">
    <w:name w:val="Jednotka"/>
    <w:basedOn w:val="Normln"/>
    <w:next w:val="Bezmezer"/>
    <w:uiPriority w:val="7"/>
    <w:qFormat/>
    <w:rsid w:val="00332D4D"/>
    <w:pPr>
      <w:keepNext/>
      <w:keepLines/>
      <w:spacing w:after="0"/>
      <w:jc w:val="left"/>
    </w:pPr>
    <w:rPr>
      <w:rFonts w:eastAsia="Calibri"/>
      <w:i/>
      <w:sz w:val="16"/>
      <w:szCs w:val="16"/>
      <w:lang w:eastAsia="en-US"/>
    </w:rPr>
  </w:style>
  <w:style w:type="paragraph" w:styleId="Bezmezer">
    <w:name w:val="No Spacing"/>
    <w:uiPriority w:val="1"/>
    <w:qFormat/>
    <w:rsid w:val="00332D4D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Zdrojelit">
    <w:name w:val="Zdroje lit."/>
    <w:basedOn w:val="Normln"/>
    <w:qFormat/>
    <w:rsid w:val="00332D4D"/>
    <w:pPr>
      <w:ind w:left="540" w:hanging="540"/>
    </w:pPr>
  </w:style>
  <w:style w:type="paragraph" w:styleId="Zkladntextodsazen">
    <w:name w:val="Body Text Indent"/>
    <w:basedOn w:val="Normln"/>
    <w:link w:val="ZkladntextodsazenChar"/>
    <w:rsid w:val="00332D4D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332D4D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st">
    <w:name w:val="st"/>
    <w:rsid w:val="00612BDB"/>
  </w:style>
  <w:style w:type="paragraph" w:styleId="Obsah3">
    <w:name w:val="toc 3"/>
    <w:basedOn w:val="Normln"/>
    <w:next w:val="Normln"/>
    <w:autoRedefine/>
    <w:uiPriority w:val="39"/>
    <w:unhideWhenUsed/>
    <w:rsid w:val="00302B9E"/>
    <w:pPr>
      <w:spacing w:after="100"/>
      <w:ind w:left="400"/>
    </w:pPr>
  </w:style>
  <w:style w:type="paragraph" w:styleId="Rejstk1">
    <w:name w:val="index 1"/>
    <w:basedOn w:val="Normln"/>
    <w:next w:val="Normln"/>
    <w:autoRedefine/>
    <w:uiPriority w:val="99"/>
    <w:semiHidden/>
    <w:unhideWhenUsed/>
    <w:rsid w:val="00BA4BBC"/>
    <w:pPr>
      <w:spacing w:after="0"/>
      <w:ind w:left="200" w:hanging="200"/>
    </w:pPr>
  </w:style>
  <w:style w:type="character" w:styleId="Sledovanodkaz">
    <w:name w:val="FollowedHyperlink"/>
    <w:basedOn w:val="Standardnpsmoodstavce"/>
    <w:uiPriority w:val="99"/>
    <w:semiHidden/>
    <w:unhideWhenUsed/>
    <w:rsid w:val="00775509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F620F"/>
    <w:pPr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hidden/>
    <w:qFormat/>
    <w:rsid w:val="00332D4D"/>
    <w:pPr>
      <w:spacing w:after="120" w:line="240" w:lineRule="auto"/>
      <w:jc w:val="both"/>
    </w:pPr>
    <w:rPr>
      <w:rFonts w:ascii="Calibri" w:eastAsia="Times New Roman" w:hAnsi="Calibri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32D4D"/>
    <w:pPr>
      <w:keepNext/>
      <w:pageBreakBefore/>
      <w:numPr>
        <w:numId w:val="1"/>
      </w:numPr>
      <w:outlineLvl w:val="0"/>
    </w:pPr>
    <w:rPr>
      <w:rFonts w:cs="Arial"/>
      <w:b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qFormat/>
    <w:rsid w:val="00A53081"/>
    <w:pPr>
      <w:keepNext/>
      <w:numPr>
        <w:ilvl w:val="1"/>
        <w:numId w:val="1"/>
      </w:numPr>
      <w:pBdr>
        <w:bottom w:val="single" w:sz="12" w:space="1" w:color="E4DFEC"/>
      </w:pBdr>
      <w:tabs>
        <w:tab w:val="clear" w:pos="2269"/>
        <w:tab w:val="num" w:pos="567"/>
      </w:tabs>
      <w:spacing w:before="480" w:after="60"/>
      <w:ind w:left="567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111630"/>
    <w:pPr>
      <w:keepNext/>
      <w:numPr>
        <w:ilvl w:val="2"/>
        <w:numId w:val="1"/>
      </w:numPr>
      <w:spacing w:before="240" w:after="0"/>
      <w:ind w:left="567" w:hanging="567"/>
      <w:outlineLvl w:val="2"/>
    </w:pPr>
    <w:rPr>
      <w:rFonts w:cs="Arial"/>
      <w:b/>
      <w:bCs/>
      <w:szCs w:val="26"/>
    </w:rPr>
  </w:style>
  <w:style w:type="paragraph" w:styleId="Nadpis4">
    <w:name w:val="heading 4"/>
    <w:basedOn w:val="Nadpis3"/>
    <w:next w:val="Normln"/>
    <w:link w:val="Nadpis4Char"/>
    <w:qFormat/>
    <w:rsid w:val="00332D4D"/>
    <w:pPr>
      <w:numPr>
        <w:ilvl w:val="0"/>
        <w:numId w:val="0"/>
      </w:numPr>
      <w:tabs>
        <w:tab w:val="num" w:pos="864"/>
      </w:tabs>
      <w:spacing w:before="120"/>
      <w:outlineLvl w:val="3"/>
    </w:pPr>
    <w:rPr>
      <w:bCs w:val="0"/>
      <w:szCs w:val="28"/>
    </w:rPr>
  </w:style>
  <w:style w:type="paragraph" w:styleId="Nadpis5">
    <w:name w:val="heading 5"/>
    <w:basedOn w:val="Normln"/>
    <w:next w:val="Normln"/>
    <w:link w:val="Nadpis5Char"/>
    <w:rsid w:val="00332D4D"/>
    <w:pPr>
      <w:keepNext/>
      <w:tabs>
        <w:tab w:val="num" w:pos="1008"/>
      </w:tabs>
      <w:spacing w:before="480" w:after="480"/>
      <w:ind w:left="1009" w:hanging="1009"/>
      <w:outlineLvl w:val="4"/>
    </w:pPr>
    <w:rPr>
      <w:rFonts w:ascii="Arial" w:hAnsi="Arial"/>
      <w:b/>
      <w:bCs/>
    </w:rPr>
  </w:style>
  <w:style w:type="paragraph" w:styleId="Nadpis6">
    <w:name w:val="heading 6"/>
    <w:basedOn w:val="Normln"/>
    <w:next w:val="Normln"/>
    <w:link w:val="Nadpis6Char"/>
    <w:rsid w:val="00332D4D"/>
    <w:pPr>
      <w:keepNext/>
      <w:keepLines/>
      <w:pageBreakBefore/>
      <w:tabs>
        <w:tab w:val="num" w:pos="1152"/>
      </w:tabs>
      <w:outlineLvl w:val="5"/>
    </w:pPr>
    <w:rPr>
      <w:b/>
      <w:bCs/>
      <w:sz w:val="40"/>
      <w:szCs w:val="22"/>
    </w:rPr>
  </w:style>
  <w:style w:type="paragraph" w:styleId="Nadpis7">
    <w:name w:val="heading 7"/>
    <w:basedOn w:val="Normln"/>
    <w:next w:val="Normln"/>
    <w:link w:val="Nadpis7Char"/>
    <w:rsid w:val="00332D4D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link w:val="Nadpis8Char"/>
    <w:rsid w:val="00332D4D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rsid w:val="00332D4D"/>
    <w:pPr>
      <w:keepNext/>
      <w:tabs>
        <w:tab w:val="num" w:pos="1584"/>
      </w:tabs>
      <w:ind w:left="1584" w:hanging="1584"/>
      <w:jc w:val="center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32D4D"/>
    <w:rPr>
      <w:rFonts w:ascii="Calibri" w:eastAsia="Times New Roman" w:hAnsi="Calibri" w:cs="Arial"/>
      <w:b/>
      <w:bCs/>
      <w:kern w:val="32"/>
      <w:sz w:val="40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A53081"/>
    <w:rPr>
      <w:rFonts w:ascii="Calibri" w:eastAsia="Times New Roman" w:hAnsi="Calibri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11630"/>
    <w:rPr>
      <w:rFonts w:ascii="Calibri" w:eastAsia="Times New Roman" w:hAnsi="Calibri" w:cs="Arial"/>
      <w:b/>
      <w:bCs/>
      <w:sz w:val="20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332D4D"/>
    <w:rPr>
      <w:rFonts w:ascii="Calibri" w:eastAsia="Times New Roman" w:hAnsi="Calibri" w:cs="Arial"/>
      <w:b/>
      <w:sz w:val="20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332D4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332D4D"/>
    <w:rPr>
      <w:rFonts w:ascii="Calibri" w:eastAsia="Times New Roman" w:hAnsi="Calibri" w:cs="Times New Roman"/>
      <w:b/>
      <w:bCs/>
      <w:sz w:val="40"/>
      <w:lang w:eastAsia="cs-CZ"/>
    </w:rPr>
  </w:style>
  <w:style w:type="character" w:customStyle="1" w:styleId="Nadpis7Char">
    <w:name w:val="Nadpis 7 Char"/>
    <w:basedOn w:val="Standardnpsmoodstavce"/>
    <w:link w:val="Nadpis7"/>
    <w:rsid w:val="00332D4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32D4D"/>
    <w:rPr>
      <w:rFonts w:ascii="Times New Roman" w:eastAsia="Times New Roman" w:hAnsi="Times New Roman" w:cs="Times New Roman"/>
      <w:i/>
      <w:iCs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332D4D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rsid w:val="00332D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2D4D"/>
    <w:rPr>
      <w:rFonts w:ascii="Calibri" w:eastAsia="Times New Roman" w:hAnsi="Calibri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332D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32D4D"/>
    <w:rPr>
      <w:rFonts w:ascii="Calibri" w:eastAsia="Times New Roman" w:hAnsi="Calibri" w:cs="Times New Roman"/>
      <w:sz w:val="20"/>
      <w:szCs w:val="20"/>
      <w:lang w:eastAsia="cs-CZ"/>
    </w:rPr>
  </w:style>
  <w:style w:type="character" w:styleId="slostrnky">
    <w:name w:val="page number"/>
    <w:rsid w:val="00332D4D"/>
    <w:rPr>
      <w:rFonts w:ascii="Calibri" w:hAnsi="Calibri"/>
      <w:sz w:val="16"/>
    </w:rPr>
  </w:style>
  <w:style w:type="character" w:styleId="Hypertextovodkaz">
    <w:name w:val="Hyperlink"/>
    <w:uiPriority w:val="99"/>
    <w:rsid w:val="00332D4D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32D4D"/>
    <w:pPr>
      <w:tabs>
        <w:tab w:val="left" w:pos="284"/>
        <w:tab w:val="right" w:leader="dot" w:pos="9628"/>
      </w:tabs>
      <w:spacing w:before="120" w:after="60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rsid w:val="00332D4D"/>
    <w:pPr>
      <w:tabs>
        <w:tab w:val="left" w:pos="960"/>
        <w:tab w:val="right" w:leader="dot" w:pos="9628"/>
      </w:tabs>
      <w:spacing w:after="60"/>
      <w:ind w:left="567"/>
    </w:pPr>
  </w:style>
  <w:style w:type="paragraph" w:customStyle="1" w:styleId="Nadpiszacatek">
    <w:name w:val="Nadpis zacatek"/>
    <w:basedOn w:val="Normln"/>
    <w:semiHidden/>
    <w:rsid w:val="00332D4D"/>
    <w:pPr>
      <w:spacing w:after="240"/>
    </w:pPr>
    <w:rPr>
      <w:b/>
      <w:bCs/>
      <w:sz w:val="32"/>
    </w:rPr>
  </w:style>
  <w:style w:type="paragraph" w:styleId="Seznamobrzk">
    <w:name w:val="table of figures"/>
    <w:basedOn w:val="Normln"/>
    <w:next w:val="Normln"/>
    <w:uiPriority w:val="99"/>
    <w:rsid w:val="00332D4D"/>
    <w:pPr>
      <w:tabs>
        <w:tab w:val="right" w:leader="dot" w:pos="9639"/>
      </w:tabs>
      <w:spacing w:after="60"/>
      <w:ind w:left="482" w:hanging="482"/>
    </w:pPr>
  </w:style>
  <w:style w:type="paragraph" w:customStyle="1" w:styleId="Nadpismal">
    <w:name w:val="Nadpis malý"/>
    <w:next w:val="Normln"/>
    <w:qFormat/>
    <w:rsid w:val="00332D4D"/>
    <w:pPr>
      <w:keepNext/>
      <w:keepLines/>
      <w:spacing w:before="360" w:after="60" w:line="240" w:lineRule="auto"/>
      <w:jc w:val="both"/>
    </w:pPr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Seznamliteratury">
    <w:name w:val="Seznam literatury"/>
    <w:basedOn w:val="Normln"/>
    <w:uiPriority w:val="99"/>
    <w:qFormat/>
    <w:rsid w:val="00332D4D"/>
    <w:pPr>
      <w:ind w:left="540" w:hanging="540"/>
    </w:pPr>
  </w:style>
  <w:style w:type="paragraph" w:styleId="Titulek">
    <w:name w:val="caption"/>
    <w:basedOn w:val="Normln"/>
    <w:next w:val="Normln"/>
    <w:link w:val="TitulekChar"/>
    <w:qFormat/>
    <w:rsid w:val="00332D4D"/>
    <w:pPr>
      <w:keepNext/>
      <w:keepLines/>
      <w:spacing w:before="240" w:after="0"/>
    </w:pPr>
    <w:rPr>
      <w:b/>
      <w:bCs/>
    </w:rPr>
  </w:style>
  <w:style w:type="paragraph" w:customStyle="1" w:styleId="Odkazyvvodnmboxu">
    <w:name w:val="Odkazy v úvodním boxu"/>
    <w:basedOn w:val="Normln"/>
    <w:rsid w:val="00332D4D"/>
    <w:pPr>
      <w:ind w:left="567"/>
    </w:pPr>
    <w:rPr>
      <w:b/>
      <w:bCs/>
      <w:i/>
      <w:iCs/>
    </w:rPr>
  </w:style>
  <w:style w:type="paragraph" w:customStyle="1" w:styleId="Seznamzkratek">
    <w:name w:val="Seznam zkratek"/>
    <w:basedOn w:val="Normln"/>
    <w:rsid w:val="00332D4D"/>
    <w:pPr>
      <w:tabs>
        <w:tab w:val="left" w:leader="dot" w:pos="3119"/>
      </w:tabs>
      <w:spacing w:after="0" w:line="264" w:lineRule="auto"/>
    </w:pPr>
  </w:style>
  <w:style w:type="paragraph" w:customStyle="1" w:styleId="Zdrojpoznmkapodtabulkougrafem">
    <w:name w:val="Zdroj/poznámka pod tabulkou/grafem"/>
    <w:basedOn w:val="Normln"/>
    <w:next w:val="Normln"/>
    <w:link w:val="ZdrojpoznmkapodtabulkougrafemCharChar"/>
    <w:rsid w:val="00332D4D"/>
    <w:pPr>
      <w:spacing w:after="240"/>
      <w:contextualSpacing/>
    </w:pPr>
    <w:rPr>
      <w:i/>
      <w:sz w:val="16"/>
      <w:szCs w:val="16"/>
    </w:rPr>
  </w:style>
  <w:style w:type="character" w:customStyle="1" w:styleId="ZdrojpoznmkapodtabulkougrafemCharChar">
    <w:name w:val="Zdroj/poznámka pod tabulkou/grafem Char Char"/>
    <w:link w:val="Zdrojpoznmkapodtabulkougrafem"/>
    <w:rsid w:val="00332D4D"/>
    <w:rPr>
      <w:rFonts w:ascii="Calibri" w:eastAsia="Times New Roman" w:hAnsi="Calibri" w:cs="Times New Roman"/>
      <w:i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332D4D"/>
    <w:pPr>
      <w:spacing w:after="120" w:line="240" w:lineRule="auto"/>
      <w:jc w:val="both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dpis1bezsla">
    <w:name w:val="Styl Nadpis 1 bez čísla"/>
    <w:basedOn w:val="Nadpis1"/>
    <w:semiHidden/>
    <w:locked/>
    <w:rsid w:val="00332D4D"/>
    <w:pPr>
      <w:ind w:left="0" w:firstLine="0"/>
    </w:pPr>
    <w:rPr>
      <w:rFonts w:cs="Times New Roman"/>
      <w:szCs w:val="20"/>
    </w:rPr>
  </w:style>
  <w:style w:type="paragraph" w:customStyle="1" w:styleId="Jednotkypodnadpisemgrafunebotabulky">
    <w:name w:val="Jednotky pod nadpisem grafu nebo tabulky"/>
    <w:basedOn w:val="Normln"/>
    <w:rsid w:val="00332D4D"/>
    <w:pPr>
      <w:keepNext/>
      <w:spacing w:after="0"/>
    </w:pPr>
    <w:rPr>
      <w:i/>
      <w:iCs/>
      <w:sz w:val="16"/>
    </w:rPr>
  </w:style>
  <w:style w:type="character" w:styleId="Znakapoznpodarou">
    <w:name w:val="footnote reference"/>
    <w:aliases w:val="Footnote symbol,Footnote reference number,Times 10 Point,Exposant 3 Point,EN Footnote Reference,note TESI, Exposant 3 Point,PGI Fußnote Ziffer + Times New Roman,12 b.,Zúžené o ...,PGI Fußnote Ziffer,BVI fnr"/>
    <w:rsid w:val="00332D4D"/>
    <w:rPr>
      <w:vertAlign w:val="superscript"/>
    </w:rPr>
  </w:style>
  <w:style w:type="paragraph" w:customStyle="1" w:styleId="Titulky">
    <w:name w:val="Titulky"/>
    <w:basedOn w:val="Titulek"/>
    <w:semiHidden/>
    <w:rsid w:val="00332D4D"/>
    <w:pPr>
      <w:keepLines w:val="0"/>
      <w:spacing w:beforeLines="75" w:before="180"/>
      <w:jc w:val="left"/>
    </w:pPr>
    <w:rPr>
      <w:rFonts w:ascii="Arial" w:hAnsi="Arial"/>
    </w:rPr>
  </w:style>
  <w:style w:type="paragraph" w:customStyle="1" w:styleId="Fisklnvhled1strana">
    <w:name w:val="Fiskální výhled (1. strana)"/>
    <w:basedOn w:val="Zpat"/>
    <w:next w:val="eskrepubliky1strana"/>
    <w:semiHidden/>
    <w:locked/>
    <w:rsid w:val="00332D4D"/>
    <w:pPr>
      <w:spacing w:before="7800" w:after="0"/>
      <w:ind w:left="1440" w:right="-289"/>
      <w:jc w:val="right"/>
    </w:pPr>
    <w:rPr>
      <w:b/>
      <w:bCs/>
      <w:spacing w:val="10"/>
      <w:sz w:val="96"/>
    </w:rPr>
  </w:style>
  <w:style w:type="paragraph" w:customStyle="1" w:styleId="eskrepubliky1strana">
    <w:name w:val="České republiky (1. strana)"/>
    <w:basedOn w:val="Zpat"/>
    <w:semiHidden/>
    <w:locked/>
    <w:rsid w:val="00332D4D"/>
    <w:pPr>
      <w:spacing w:after="0"/>
      <w:ind w:left="1440" w:right="-288"/>
      <w:jc w:val="right"/>
    </w:pPr>
    <w:rPr>
      <w:b/>
      <w:bCs/>
      <w:sz w:val="56"/>
    </w:rPr>
  </w:style>
  <w:style w:type="paragraph" w:customStyle="1" w:styleId="Zdrojpodtabulkounebografem">
    <w:name w:val="Zdroj pod tabulkou nebo grafem"/>
    <w:basedOn w:val="Normln"/>
    <w:next w:val="Normln"/>
    <w:link w:val="ZdrojpodtabulkounebografemChar"/>
    <w:qFormat/>
    <w:rsid w:val="00332D4D"/>
    <w:pPr>
      <w:spacing w:after="240"/>
      <w:contextualSpacing/>
    </w:pPr>
    <w:rPr>
      <w:i/>
      <w:sz w:val="16"/>
      <w:szCs w:val="16"/>
    </w:rPr>
  </w:style>
  <w:style w:type="paragraph" w:styleId="Textbubliny">
    <w:name w:val="Balloon Text"/>
    <w:basedOn w:val="Normln"/>
    <w:link w:val="TextbublinyChar"/>
    <w:semiHidden/>
    <w:rsid w:val="00332D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332D4D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itulek-jednotkypodnadpisemgrafunebotabulky">
    <w:name w:val="Titulek - jednotky pod nadpisem grafu nebo tabulky"/>
    <w:basedOn w:val="Normln"/>
    <w:rsid w:val="00332D4D"/>
    <w:pPr>
      <w:keepNext/>
      <w:keepLines/>
      <w:spacing w:after="0"/>
    </w:pPr>
    <w:rPr>
      <w:i/>
      <w:iCs/>
      <w:sz w:val="16"/>
    </w:rPr>
  </w:style>
  <w:style w:type="paragraph" w:styleId="Rozloendokumentu">
    <w:name w:val="Document Map"/>
    <w:basedOn w:val="Normln"/>
    <w:link w:val="RozloendokumentuChar"/>
    <w:semiHidden/>
    <w:rsid w:val="00332D4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332D4D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character" w:styleId="Odkaznakoment">
    <w:name w:val="annotation reference"/>
    <w:rsid w:val="00332D4D"/>
    <w:rPr>
      <w:sz w:val="16"/>
      <w:szCs w:val="16"/>
    </w:rPr>
  </w:style>
  <w:style w:type="paragraph" w:styleId="Textkomente">
    <w:name w:val="annotation text"/>
    <w:basedOn w:val="Normln"/>
    <w:link w:val="TextkomenteChar"/>
    <w:rsid w:val="00332D4D"/>
  </w:style>
  <w:style w:type="character" w:customStyle="1" w:styleId="TextkomenteChar">
    <w:name w:val="Text komentáře Char"/>
    <w:basedOn w:val="Standardnpsmoodstavce"/>
    <w:link w:val="Textkomente"/>
    <w:rsid w:val="00332D4D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332D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332D4D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332D4D"/>
    <w:rPr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332D4D"/>
    <w:rPr>
      <w:rFonts w:ascii="Calibri" w:eastAsia="Times New Roman" w:hAnsi="Calibri" w:cs="Times New Roman"/>
      <w:sz w:val="20"/>
      <w:szCs w:val="20"/>
    </w:rPr>
  </w:style>
  <w:style w:type="paragraph" w:styleId="Textpoznpodarou">
    <w:name w:val="footnote text"/>
    <w:aliases w:val="Schriftart: 9 pt,Schriftart: 10 pt,Schriftart: 8 pt,Char,Text pozn. pod čarou1,Char Char Char1,Char Char1,Footnote Text Char1"/>
    <w:basedOn w:val="Normln"/>
    <w:link w:val="TextpoznpodarouChar"/>
    <w:rsid w:val="00332D4D"/>
    <w:rPr>
      <w:sz w:val="16"/>
    </w:rPr>
  </w:style>
  <w:style w:type="character" w:customStyle="1" w:styleId="TextpoznpodarouChar">
    <w:name w:val="Text pozn. pod čarou Char"/>
    <w:aliases w:val="Schriftart: 9 pt Char1,Schriftart: 10 pt Char1,Schriftart: 8 pt Char1,Char Char2,Text pozn. pod čarou1 Char1,Char Char Char1 Char1,Char Char1 Char1,Footnote Text Char1 Char1"/>
    <w:basedOn w:val="Standardnpsmoodstavce"/>
    <w:link w:val="Textpoznpodarou"/>
    <w:rsid w:val="00332D4D"/>
    <w:rPr>
      <w:rFonts w:ascii="Calibri" w:eastAsia="Times New Roman" w:hAnsi="Calibri" w:cs="Times New Roman"/>
      <w:sz w:val="16"/>
      <w:szCs w:val="20"/>
      <w:lang w:eastAsia="cs-CZ"/>
    </w:rPr>
  </w:style>
  <w:style w:type="numbering" w:customStyle="1" w:styleId="StylSodrkami">
    <w:name w:val="Styl S odrážkami"/>
    <w:basedOn w:val="Bezseznamu"/>
    <w:rsid w:val="00332D4D"/>
    <w:pPr>
      <w:numPr>
        <w:numId w:val="2"/>
      </w:numPr>
    </w:pPr>
  </w:style>
  <w:style w:type="paragraph" w:customStyle="1" w:styleId="NadpisAB">
    <w:name w:val="Nadpis AB"/>
    <w:basedOn w:val="Nadpis1"/>
    <w:rsid w:val="00332D4D"/>
    <w:pPr>
      <w:numPr>
        <w:numId w:val="3"/>
      </w:numPr>
      <w:jc w:val="left"/>
    </w:pPr>
  </w:style>
  <w:style w:type="character" w:customStyle="1" w:styleId="TitulekChar">
    <w:name w:val="Titulek Char"/>
    <w:link w:val="Titulek"/>
    <w:rsid w:val="00332D4D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32D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ZdrojpodtabulkounebografemChar">
    <w:name w:val="Zdroj pod tabulkou nebo grafem Char"/>
    <w:link w:val="Zdrojpodtabulkounebografem"/>
    <w:rsid w:val="00332D4D"/>
    <w:rPr>
      <w:rFonts w:ascii="Calibri" w:eastAsia="Times New Roman" w:hAnsi="Calibri" w:cs="Times New Roman"/>
      <w:i/>
      <w:sz w:val="16"/>
      <w:szCs w:val="16"/>
      <w:lang w:eastAsia="cs-CZ"/>
    </w:rPr>
  </w:style>
  <w:style w:type="paragraph" w:customStyle="1" w:styleId="StylZdrojpoznmkapodtabulkougrafemnenKurzva">
    <w:name w:val="Styl Zdroj/poznámka pod tabulkou/grafem + není Kurzíva"/>
    <w:basedOn w:val="Zdrojpoznmkapodtabulkougrafem"/>
    <w:semiHidden/>
    <w:rsid w:val="00332D4D"/>
    <w:rPr>
      <w:i w:val="0"/>
    </w:rPr>
  </w:style>
  <w:style w:type="paragraph" w:customStyle="1" w:styleId="Seznamtabulekaobrzk">
    <w:name w:val="Seznam tabulek a obrázků"/>
    <w:basedOn w:val="Seznamobrzk"/>
    <w:next w:val="Normln"/>
    <w:rsid w:val="00332D4D"/>
    <w:pPr>
      <w:spacing w:line="20" w:lineRule="atLeast"/>
    </w:pPr>
  </w:style>
  <w:style w:type="paragraph" w:customStyle="1" w:styleId="Tunodstavec">
    <w:name w:val="Tučný odstavec"/>
    <w:basedOn w:val="Normln"/>
    <w:link w:val="TunodstavecChar1"/>
    <w:rsid w:val="00332D4D"/>
    <w:pPr>
      <w:spacing w:before="240" w:line="264" w:lineRule="auto"/>
    </w:pPr>
    <w:rPr>
      <w:rFonts w:ascii="Times New Roman" w:hAnsi="Times New Roman"/>
      <w:b/>
      <w:bCs/>
      <w:sz w:val="22"/>
    </w:rPr>
  </w:style>
  <w:style w:type="paragraph" w:customStyle="1" w:styleId="vod">
    <w:name w:val="Úvod"/>
    <w:basedOn w:val="Nadpis1"/>
    <w:next w:val="Normln"/>
    <w:semiHidden/>
    <w:rsid w:val="00332D4D"/>
    <w:pPr>
      <w:numPr>
        <w:numId w:val="0"/>
      </w:numPr>
    </w:pPr>
    <w:rPr>
      <w:rFonts w:cs="Times New Roman"/>
      <w:szCs w:val="20"/>
    </w:rPr>
  </w:style>
  <w:style w:type="character" w:customStyle="1" w:styleId="TunodstavecChar1">
    <w:name w:val="Tučný odstavec Char1"/>
    <w:link w:val="Tunodstavec"/>
    <w:rsid w:val="00332D4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Box-text">
    <w:name w:val="Box - text"/>
    <w:basedOn w:val="Normln"/>
    <w:uiPriority w:val="1"/>
    <w:qFormat/>
    <w:rsid w:val="00332D4D"/>
    <w:rPr>
      <w:sz w:val="18"/>
    </w:rPr>
  </w:style>
  <w:style w:type="paragraph" w:customStyle="1" w:styleId="Box-nadpis">
    <w:name w:val="Box - nadpis"/>
    <w:basedOn w:val="Nadpismal"/>
    <w:next w:val="Box-text"/>
    <w:uiPriority w:val="1"/>
    <w:qFormat/>
    <w:rsid w:val="00332D4D"/>
    <w:pPr>
      <w:spacing w:before="120"/>
    </w:pPr>
    <w:rPr>
      <w:bCs/>
      <w:sz w:val="20"/>
      <w:szCs w:val="20"/>
    </w:rPr>
  </w:style>
  <w:style w:type="paragraph" w:styleId="Odstavecseseznamem">
    <w:name w:val="List Paragraph"/>
    <w:basedOn w:val="Normln"/>
    <w:uiPriority w:val="34"/>
    <w:rsid w:val="00332D4D"/>
    <w:pPr>
      <w:ind w:left="720"/>
      <w:contextualSpacing/>
    </w:pPr>
    <w:rPr>
      <w:rFonts w:eastAsia="Calibri"/>
    </w:rPr>
  </w:style>
  <w:style w:type="character" w:styleId="Siln">
    <w:name w:val="Strong"/>
    <w:uiPriority w:val="22"/>
    <w:qFormat/>
    <w:rsid w:val="00332D4D"/>
    <w:rPr>
      <w:b/>
      <w:bCs/>
    </w:rPr>
  </w:style>
  <w:style w:type="character" w:customStyle="1" w:styleId="TextpoznpodarouChar1">
    <w:name w:val="Text pozn. pod čarou Char1"/>
    <w:aliases w:val="Schriftart: 9 pt Char,Schriftart: 10 pt Char,Schriftart: 8 pt Char,Text pozn. pod čarou Char Char, Char Char,Char Char,Text pozn. pod čarou1 Char,Char Char Char1 Char,Char Char1 Char,Footnote Text Char1 Char"/>
    <w:semiHidden/>
    <w:rsid w:val="00332D4D"/>
    <w:rPr>
      <w:lang w:val="cs-CZ" w:eastAsia="cs-CZ" w:bidi="ar-SA"/>
    </w:rPr>
  </w:style>
  <w:style w:type="paragraph" w:customStyle="1" w:styleId="Poznmkaazdroj">
    <w:name w:val="Poznámka a zdroj"/>
    <w:basedOn w:val="Normln"/>
    <w:next w:val="Normln"/>
    <w:uiPriority w:val="7"/>
    <w:qFormat/>
    <w:rsid w:val="00332D4D"/>
    <w:pPr>
      <w:spacing w:after="240"/>
      <w:contextualSpacing/>
    </w:pPr>
    <w:rPr>
      <w:rFonts w:eastAsia="Calibri"/>
      <w:i/>
      <w:sz w:val="16"/>
      <w:lang w:eastAsia="en-US"/>
    </w:rPr>
  </w:style>
  <w:style w:type="paragraph" w:customStyle="1" w:styleId="Jednotka">
    <w:name w:val="Jednotka"/>
    <w:basedOn w:val="Normln"/>
    <w:next w:val="Bezmezer"/>
    <w:uiPriority w:val="7"/>
    <w:qFormat/>
    <w:rsid w:val="00332D4D"/>
    <w:pPr>
      <w:keepNext/>
      <w:keepLines/>
      <w:spacing w:after="0"/>
      <w:jc w:val="left"/>
    </w:pPr>
    <w:rPr>
      <w:rFonts w:eastAsia="Calibri"/>
      <w:i/>
      <w:sz w:val="16"/>
      <w:szCs w:val="16"/>
      <w:lang w:eastAsia="en-US"/>
    </w:rPr>
  </w:style>
  <w:style w:type="paragraph" w:styleId="Bezmezer">
    <w:name w:val="No Spacing"/>
    <w:uiPriority w:val="1"/>
    <w:qFormat/>
    <w:rsid w:val="00332D4D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Zdrojelit">
    <w:name w:val="Zdroje lit."/>
    <w:basedOn w:val="Normln"/>
    <w:qFormat/>
    <w:rsid w:val="00332D4D"/>
    <w:pPr>
      <w:ind w:left="540" w:hanging="540"/>
    </w:pPr>
  </w:style>
  <w:style w:type="paragraph" w:styleId="Zkladntextodsazen">
    <w:name w:val="Body Text Indent"/>
    <w:basedOn w:val="Normln"/>
    <w:link w:val="ZkladntextodsazenChar"/>
    <w:rsid w:val="00332D4D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332D4D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st">
    <w:name w:val="st"/>
    <w:rsid w:val="00612BDB"/>
  </w:style>
  <w:style w:type="paragraph" w:styleId="Obsah3">
    <w:name w:val="toc 3"/>
    <w:basedOn w:val="Normln"/>
    <w:next w:val="Normln"/>
    <w:autoRedefine/>
    <w:uiPriority w:val="39"/>
    <w:unhideWhenUsed/>
    <w:rsid w:val="00302B9E"/>
    <w:pPr>
      <w:spacing w:after="100"/>
      <w:ind w:left="400"/>
    </w:pPr>
  </w:style>
  <w:style w:type="paragraph" w:styleId="Rejstk1">
    <w:name w:val="index 1"/>
    <w:basedOn w:val="Normln"/>
    <w:next w:val="Normln"/>
    <w:autoRedefine/>
    <w:uiPriority w:val="99"/>
    <w:semiHidden/>
    <w:unhideWhenUsed/>
    <w:rsid w:val="00BA4BBC"/>
    <w:pPr>
      <w:spacing w:after="0"/>
      <w:ind w:left="200" w:hanging="200"/>
    </w:pPr>
  </w:style>
  <w:style w:type="character" w:styleId="Sledovanodkaz">
    <w:name w:val="FollowedHyperlink"/>
    <w:basedOn w:val="Standardnpsmoodstavce"/>
    <w:uiPriority w:val="99"/>
    <w:semiHidden/>
    <w:unhideWhenUsed/>
    <w:rsid w:val="00775509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F620F"/>
    <w:pPr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1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chart" Target="charts/chart3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chart" Target="charts/chart2.xml"/><Relationship Id="rId25" Type="http://schemas.openxmlformats.org/officeDocument/2006/relationships/header" Target="header3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chart" Target="charts/chart5.xm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chart" Target="charts/chart9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1.emf"/><Relationship Id="rId23" Type="http://schemas.openxmlformats.org/officeDocument/2006/relationships/chart" Target="charts/chart8.xml"/><Relationship Id="rId28" Type="http://schemas.openxmlformats.org/officeDocument/2006/relationships/image" Target="media/image3.emf"/><Relationship Id="rId10" Type="http://schemas.openxmlformats.org/officeDocument/2006/relationships/header" Target="header1.xml"/><Relationship Id="rId19" Type="http://schemas.openxmlformats.org/officeDocument/2006/relationships/chart" Target="charts/chart4.xml"/><Relationship Id="rId31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chart" Target="charts/chart7.xml"/><Relationship Id="rId27" Type="http://schemas.openxmlformats.org/officeDocument/2006/relationships/image" Target="media/image2.emf"/><Relationship Id="rId30" Type="http://schemas.openxmlformats.org/officeDocument/2006/relationships/footer" Target="footer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URAD\NS1\ODBORY\Odbor37\tabulky\Pro%20rozpo&#269;et\St&#225;tn&#237;%20rozpo&#269;et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URAD\NS1\ODBORY\Odbor37\tabulky\Pro%20rozpo&#269;et\St&#225;tn&#237;%20rozpo&#269;et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URAD\NS1\ODBORY\Odbor37\tabulky\Pro%20rozpo&#269;et\St&#225;tn&#237;%20rozpo&#269;et.xlsm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URAD\NS1\ODBORY\Odbor37\tabulky\Pro%20rozpo&#269;et\St&#225;tn&#237;%20rozpo&#269;et.xlsm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URAD\NS1\ODBORY\Odbor37\tabulky\Pro%20rozpo&#269;et\St&#225;tn&#237;%20rozpo&#269;et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URAD\NS1\ODBORY\Odbor37\tabulky\Pro%20rozpo&#269;et\St&#225;tn&#237;%20rozpo&#269;et.xlsm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URAD\NS1\ODBORY\Odbor37\tabulky\Pro%20rozpo&#269;et\St&#225;tn&#237;%20rozpo&#269;et.xlsm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URAD\NS1\ODBORY\Odbor37\tabulky\Pro%20rozpo&#269;et\St&#225;tn&#237;%20rozpo&#269;et.xlsm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URAD\NS1\ODBORY\Odbor37\tabulky\Pro%20rozpo&#269;et\St&#225;tn&#237;%20rozpo&#269;et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2441240342142975E-2"/>
          <c:y val="5.9376950613137608E-2"/>
          <c:w val="0.89505094227199089"/>
          <c:h val="0.80627711744913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Data!$A$2</c:f>
              <c:strCache>
                <c:ptCount val="1"/>
                <c:pt idx="0">
                  <c:v>HDP EA19</c:v>
                </c:pt>
              </c:strCache>
            </c:strRef>
          </c:tx>
          <c:spPr>
            <a:solidFill>
              <a:srgbClr val="31527B"/>
            </a:solidFill>
            <a:ln w="25400">
              <a:noFill/>
            </a:ln>
          </c:spPr>
          <c:invertIfNegative val="0"/>
          <c:dPt>
            <c:idx val="13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4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5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6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7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8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9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20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cat>
            <c:numRef>
              <c:f>Data!$L$1:$Z$1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Data!$L$2:$Z$2</c:f>
              <c:numCache>
                <c:formatCode>0.0</c:formatCode>
                <c:ptCount val="15"/>
                <c:pt idx="0">
                  <c:v>3.231760740821632</c:v>
                </c:pt>
                <c:pt idx="1">
                  <c:v>3.0701140194223875</c:v>
                </c:pt>
                <c:pt idx="2">
                  <c:v>0.46358487889393007</c:v>
                </c:pt>
                <c:pt idx="3">
                  <c:v>-4.5020072044932853</c:v>
                </c:pt>
                <c:pt idx="4">
                  <c:v>2.0763969906316682</c:v>
                </c:pt>
                <c:pt idx="5">
                  <c:v>1.6348184337971361</c:v>
                </c:pt>
                <c:pt idx="6">
                  <c:v>-0.85444556337632704</c:v>
                </c:pt>
                <c:pt idx="7">
                  <c:v>-0.24175586024204332</c:v>
                </c:pt>
                <c:pt idx="8">
                  <c:v>1.4016652324382317</c:v>
                </c:pt>
                <c:pt idx="9">
                  <c:v>2.096105563294226</c:v>
                </c:pt>
                <c:pt idx="10">
                  <c:v>1.9345416307545715</c:v>
                </c:pt>
                <c:pt idx="11">
                  <c:v>2.4117976525427576</c:v>
                </c:pt>
                <c:pt idx="12">
                  <c:v>1.8892914854111931</c:v>
                </c:pt>
                <c:pt idx="13">
                  <c:v>1.111135449268974</c:v>
                </c:pt>
                <c:pt idx="14">
                  <c:v>1.4077961066633948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74738688"/>
        <c:axId val="74748672"/>
      </c:barChart>
      <c:catAx>
        <c:axId val="74738688"/>
        <c:scaling>
          <c:orientation val="minMax"/>
        </c:scaling>
        <c:delete val="0"/>
        <c:axPos val="b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74748672"/>
        <c:crosses val="autoZero"/>
        <c:auto val="1"/>
        <c:lblAlgn val="ctr"/>
        <c:lblOffset val="100"/>
        <c:tickLblSkip val="2"/>
        <c:tickMarkSkip val="1"/>
        <c:noMultiLvlLbl val="0"/>
      </c:catAx>
      <c:valAx>
        <c:axId val="74748672"/>
        <c:scaling>
          <c:orientation val="minMax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7473868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2441240342142975E-2"/>
          <c:y val="5.9376950613137608E-2"/>
          <c:w val="0.89505094227199089"/>
          <c:h val="0.80627711744913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Data!$A$3</c:f>
              <c:strCache>
                <c:ptCount val="1"/>
                <c:pt idx="0">
                  <c:v>Ropa</c:v>
                </c:pt>
              </c:strCache>
            </c:strRef>
          </c:tx>
          <c:spPr>
            <a:solidFill>
              <a:srgbClr val="31527B"/>
            </a:solidFill>
            <a:ln w="25400">
              <a:noFill/>
            </a:ln>
          </c:spPr>
          <c:invertIfNegative val="0"/>
          <c:dPt>
            <c:idx val="13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4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5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6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7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8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9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20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cat>
            <c:numRef>
              <c:f>Data!$L$1:$Z$1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Data!$L$3:$Z$3</c:f>
              <c:numCache>
                <c:formatCode>0.0</c:formatCode>
                <c:ptCount val="15"/>
                <c:pt idx="0">
                  <c:v>65.125</c:v>
                </c:pt>
                <c:pt idx="1">
                  <c:v>72.375</c:v>
                </c:pt>
                <c:pt idx="2">
                  <c:v>96.95</c:v>
                </c:pt>
                <c:pt idx="3">
                  <c:v>61.524999999999999</c:v>
                </c:pt>
                <c:pt idx="4">
                  <c:v>79.55</c:v>
                </c:pt>
                <c:pt idx="5">
                  <c:v>111.25</c:v>
                </c:pt>
                <c:pt idx="6">
                  <c:v>111.52500000000001</c:v>
                </c:pt>
                <c:pt idx="7">
                  <c:v>108.6</c:v>
                </c:pt>
                <c:pt idx="8">
                  <c:v>99.025000000000006</c:v>
                </c:pt>
                <c:pt idx="9">
                  <c:v>52.424999999999997</c:v>
                </c:pt>
                <c:pt idx="10">
                  <c:v>43.575000000000003</c:v>
                </c:pt>
                <c:pt idx="11">
                  <c:v>54.175000000000004</c:v>
                </c:pt>
                <c:pt idx="12">
                  <c:v>71.375</c:v>
                </c:pt>
                <c:pt idx="13">
                  <c:v>63.943916666666667</c:v>
                </c:pt>
                <c:pt idx="14">
                  <c:v>60.164666666666669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75317248"/>
        <c:axId val="75318784"/>
      </c:barChart>
      <c:catAx>
        <c:axId val="75317248"/>
        <c:scaling>
          <c:orientation val="minMax"/>
        </c:scaling>
        <c:delete val="0"/>
        <c:axPos val="b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75318784"/>
        <c:crosses val="autoZero"/>
        <c:auto val="1"/>
        <c:lblAlgn val="ctr"/>
        <c:lblOffset val="100"/>
        <c:tickLblSkip val="2"/>
        <c:tickMarkSkip val="1"/>
        <c:noMultiLvlLbl val="0"/>
      </c:catAx>
      <c:valAx>
        <c:axId val="75318784"/>
        <c:scaling>
          <c:orientation val="minMax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7531724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2441240342142975E-2"/>
          <c:y val="5.9376950613137608E-2"/>
          <c:w val="0.89505094227199089"/>
          <c:h val="0.806277117449133"/>
        </c:manualLayout>
      </c:layout>
      <c:lineChart>
        <c:grouping val="standard"/>
        <c:varyColors val="0"/>
        <c:ser>
          <c:idx val="0"/>
          <c:order val="0"/>
          <c:tx>
            <c:strRef>
              <c:f>Data!$A$5</c:f>
              <c:strCache>
                <c:ptCount val="1"/>
                <c:pt idx="0">
                  <c:v>CZK/EUR</c:v>
                </c:pt>
              </c:strCache>
            </c:strRef>
          </c:tx>
          <c:spPr>
            <a:ln>
              <a:solidFill>
                <a:srgbClr val="31527B"/>
              </a:solidFill>
            </a:ln>
          </c:spPr>
          <c:marker>
            <c:symbol val="none"/>
          </c:marker>
          <c:dPt>
            <c:idx val="13"/>
            <c:bubble3D val="0"/>
            <c:spPr>
              <a:ln>
                <a:solidFill>
                  <a:srgbClr val="31527B"/>
                </a:solidFill>
              </a:ln>
            </c:spPr>
          </c:dPt>
          <c:dPt>
            <c:idx val="14"/>
            <c:bubble3D val="0"/>
            <c:spPr>
              <a:ln>
                <a:solidFill>
                  <a:srgbClr val="A0C7E8"/>
                </a:solidFill>
              </a:ln>
            </c:spPr>
          </c:dPt>
          <c:dPt>
            <c:idx val="15"/>
            <c:bubble3D val="0"/>
            <c:spPr>
              <a:ln>
                <a:solidFill>
                  <a:srgbClr val="A0C7E8"/>
                </a:solidFill>
              </a:ln>
            </c:spPr>
          </c:dPt>
          <c:dPt>
            <c:idx val="16"/>
            <c:bubble3D val="0"/>
            <c:spPr>
              <a:ln>
                <a:solidFill>
                  <a:srgbClr val="A0C7E8"/>
                </a:solidFill>
              </a:ln>
            </c:spPr>
          </c:dPt>
          <c:dPt>
            <c:idx val="17"/>
            <c:bubble3D val="0"/>
            <c:spPr>
              <a:ln>
                <a:solidFill>
                  <a:srgbClr val="31527B"/>
                </a:solidFill>
              </a:ln>
            </c:spPr>
          </c:dPt>
          <c:dPt>
            <c:idx val="18"/>
            <c:bubble3D val="0"/>
            <c:spPr>
              <a:ln>
                <a:solidFill>
                  <a:srgbClr val="31527B"/>
                </a:solidFill>
              </a:ln>
            </c:spPr>
          </c:dPt>
          <c:dPt>
            <c:idx val="19"/>
            <c:bubble3D val="0"/>
            <c:spPr>
              <a:ln>
                <a:solidFill>
                  <a:srgbClr val="31527B"/>
                </a:solidFill>
              </a:ln>
            </c:spPr>
          </c:dPt>
          <c:dPt>
            <c:idx val="20"/>
            <c:bubble3D val="0"/>
            <c:spPr>
              <a:ln>
                <a:solidFill>
                  <a:srgbClr val="31527B"/>
                </a:solidFill>
              </a:ln>
            </c:spPr>
          </c:dPt>
          <c:cat>
            <c:numRef>
              <c:f>Data!$L$1:$Z$1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Data!$L$5:$Z$5</c:f>
              <c:numCache>
                <c:formatCode>0.0</c:formatCode>
                <c:ptCount val="15"/>
                <c:pt idx="0">
                  <c:v>28.342968127490018</c:v>
                </c:pt>
                <c:pt idx="1">
                  <c:v>27.762051792828668</c:v>
                </c:pt>
                <c:pt idx="2">
                  <c:v>24.942450592885379</c:v>
                </c:pt>
                <c:pt idx="3">
                  <c:v>26.445019920318718</c:v>
                </c:pt>
                <c:pt idx="4">
                  <c:v>25.290276679841913</c:v>
                </c:pt>
                <c:pt idx="5">
                  <c:v>24.58581027667983</c:v>
                </c:pt>
                <c:pt idx="6">
                  <c:v>25.143492063492051</c:v>
                </c:pt>
                <c:pt idx="7">
                  <c:v>25.974087301587286</c:v>
                </c:pt>
                <c:pt idx="8">
                  <c:v>27.533134920634922</c:v>
                </c:pt>
                <c:pt idx="9">
                  <c:v>27.282713147410337</c:v>
                </c:pt>
                <c:pt idx="10">
                  <c:v>27.032964426877541</c:v>
                </c:pt>
                <c:pt idx="11">
                  <c:v>26.331389999999999</c:v>
                </c:pt>
                <c:pt idx="12">
                  <c:v>25.645076305220869</c:v>
                </c:pt>
                <c:pt idx="13">
                  <c:v>25.611063712244039</c:v>
                </c:pt>
                <c:pt idx="14">
                  <c:v>25.169230769230772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341824"/>
        <c:axId val="75343360"/>
      </c:lineChart>
      <c:catAx>
        <c:axId val="75341824"/>
        <c:scaling>
          <c:orientation val="minMax"/>
        </c:scaling>
        <c:delete val="0"/>
        <c:axPos val="t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none"/>
        <c:minorTickMark val="none"/>
        <c:tickLblPos val="high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75343360"/>
        <c:crosses val="autoZero"/>
        <c:auto val="1"/>
        <c:lblAlgn val="ctr"/>
        <c:lblOffset val="100"/>
        <c:noMultiLvlLbl val="0"/>
      </c:catAx>
      <c:valAx>
        <c:axId val="75343360"/>
        <c:scaling>
          <c:orientation val="maxMin"/>
          <c:max val="28.5"/>
          <c:min val="24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.0" sourceLinked="0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75341824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2441240342142975E-2"/>
          <c:y val="5.9376950613137608E-2"/>
          <c:w val="0.89505094227199089"/>
          <c:h val="0.80627711744913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Data!$A$6</c:f>
              <c:strCache>
                <c:ptCount val="1"/>
                <c:pt idx="0">
                  <c:v>HDP ČR růst</c:v>
                </c:pt>
              </c:strCache>
            </c:strRef>
          </c:tx>
          <c:spPr>
            <a:solidFill>
              <a:srgbClr val="31527B"/>
            </a:solidFill>
            <a:ln w="25400">
              <a:noFill/>
            </a:ln>
          </c:spPr>
          <c:invertIfNegative val="0"/>
          <c:dPt>
            <c:idx val="13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4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5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6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7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8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9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20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cat>
            <c:numRef>
              <c:f>Data!$L$1:$Z$1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Data!$L$6:$Z$6</c:f>
              <c:numCache>
                <c:formatCode>0.0</c:formatCode>
                <c:ptCount val="15"/>
                <c:pt idx="0">
                  <c:v>6.8535223337124584</c:v>
                </c:pt>
                <c:pt idx="1">
                  <c:v>5.6026436849596406</c:v>
                </c:pt>
                <c:pt idx="2">
                  <c:v>2.682282724452234</c:v>
                </c:pt>
                <c:pt idx="3">
                  <c:v>-4.8025720912861498</c:v>
                </c:pt>
                <c:pt idx="4">
                  <c:v>2.2734200516572711</c:v>
                </c:pt>
                <c:pt idx="5">
                  <c:v>1.7778331866232788</c:v>
                </c:pt>
                <c:pt idx="6">
                  <c:v>-0.79984428117662043</c:v>
                </c:pt>
                <c:pt idx="7">
                  <c:v>-0.48367104070260458</c:v>
                </c:pt>
                <c:pt idx="8">
                  <c:v>2.7151161315780437</c:v>
                </c:pt>
                <c:pt idx="9">
                  <c:v>5.3092385190981473</c:v>
                </c:pt>
                <c:pt idx="10">
                  <c:v>2.4505423873962151</c:v>
                </c:pt>
                <c:pt idx="11">
                  <c:v>4.352603518229281</c:v>
                </c:pt>
                <c:pt idx="12">
                  <c:v>2.9577844732767922</c:v>
                </c:pt>
                <c:pt idx="13">
                  <c:v>2.4372292366561688</c:v>
                </c:pt>
                <c:pt idx="14">
                  <c:v>2.2228269367867259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40452480"/>
        <c:axId val="40454016"/>
      </c:barChart>
      <c:catAx>
        <c:axId val="40452480"/>
        <c:scaling>
          <c:orientation val="minMax"/>
        </c:scaling>
        <c:delete val="0"/>
        <c:axPos val="b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40454016"/>
        <c:crosses val="autoZero"/>
        <c:auto val="1"/>
        <c:lblAlgn val="ctr"/>
        <c:lblOffset val="100"/>
        <c:tickLblSkip val="2"/>
        <c:tickMarkSkip val="1"/>
        <c:noMultiLvlLbl val="0"/>
      </c:catAx>
      <c:valAx>
        <c:axId val="40454016"/>
        <c:scaling>
          <c:orientation val="minMax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40452480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2441240342142975E-2"/>
          <c:y val="5.9376950613137608E-2"/>
          <c:w val="0.89505094227199089"/>
          <c:h val="0.80627711744913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Data!$A$7</c:f>
              <c:strCache>
                <c:ptCount val="1"/>
                <c:pt idx="0">
                  <c:v>Inflace</c:v>
                </c:pt>
              </c:strCache>
            </c:strRef>
          </c:tx>
          <c:spPr>
            <a:solidFill>
              <a:srgbClr val="31527B"/>
            </a:solidFill>
            <a:ln w="25400">
              <a:noFill/>
            </a:ln>
          </c:spPr>
          <c:invertIfNegative val="0"/>
          <c:dPt>
            <c:idx val="13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4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5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6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7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8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9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20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cat>
            <c:numRef>
              <c:f>Data!$L$1:$Z$1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Data!$L$7:$Z$7</c:f>
              <c:numCache>
                <c:formatCode>0.0</c:formatCode>
                <c:ptCount val="15"/>
                <c:pt idx="0">
                  <c:v>2.5</c:v>
                </c:pt>
                <c:pt idx="1">
                  <c:v>2.8</c:v>
                </c:pt>
                <c:pt idx="2">
                  <c:v>6.3</c:v>
                </c:pt>
                <c:pt idx="3">
                  <c:v>1</c:v>
                </c:pt>
                <c:pt idx="4">
                  <c:v>1.5</c:v>
                </c:pt>
                <c:pt idx="5">
                  <c:v>1.9</c:v>
                </c:pt>
                <c:pt idx="6">
                  <c:v>3.3</c:v>
                </c:pt>
                <c:pt idx="7">
                  <c:v>1.4</c:v>
                </c:pt>
                <c:pt idx="8">
                  <c:v>0.4</c:v>
                </c:pt>
                <c:pt idx="9">
                  <c:v>0.3</c:v>
                </c:pt>
                <c:pt idx="10">
                  <c:v>0.7</c:v>
                </c:pt>
                <c:pt idx="11">
                  <c:v>2.5</c:v>
                </c:pt>
                <c:pt idx="12">
                  <c:v>2.1</c:v>
                </c:pt>
                <c:pt idx="13">
                  <c:v>2.7188957998371706</c:v>
                </c:pt>
                <c:pt idx="14">
                  <c:v>2.4186384115162127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40489344"/>
        <c:axId val="40490880"/>
      </c:barChart>
      <c:catAx>
        <c:axId val="40489344"/>
        <c:scaling>
          <c:orientation val="minMax"/>
        </c:scaling>
        <c:delete val="0"/>
        <c:axPos val="b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40490880"/>
        <c:crosses val="autoZero"/>
        <c:auto val="1"/>
        <c:lblAlgn val="ctr"/>
        <c:lblOffset val="100"/>
        <c:tickLblSkip val="2"/>
        <c:tickMarkSkip val="1"/>
        <c:noMultiLvlLbl val="0"/>
      </c:catAx>
      <c:valAx>
        <c:axId val="40490880"/>
        <c:scaling>
          <c:orientation val="minMax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40489344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cs-CZ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2441240342142975E-2"/>
          <c:y val="5.9376950613137608E-2"/>
          <c:w val="0.89505094227199089"/>
          <c:h val="0.80627711744913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Data!$A$8</c:f>
              <c:strCache>
                <c:ptCount val="1"/>
                <c:pt idx="0">
                  <c:v>Zaměstnanost</c:v>
                </c:pt>
              </c:strCache>
            </c:strRef>
          </c:tx>
          <c:spPr>
            <a:solidFill>
              <a:srgbClr val="31527B"/>
            </a:solidFill>
            <a:ln w="25400">
              <a:noFill/>
            </a:ln>
          </c:spPr>
          <c:invertIfNegative val="0"/>
          <c:dPt>
            <c:idx val="13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4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5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6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7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8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9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20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cat>
            <c:numRef>
              <c:f>Data!$L$1:$Z$1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Data!$L$8:$Z$8</c:f>
              <c:numCache>
                <c:formatCode>0.0</c:formatCode>
                <c:ptCount val="15"/>
                <c:pt idx="0">
                  <c:v>1.3444364181999235</c:v>
                </c:pt>
                <c:pt idx="1">
                  <c:v>1.9454535321737687</c:v>
                </c:pt>
                <c:pt idx="2">
                  <c:v>1.6352231074887369</c:v>
                </c:pt>
                <c:pt idx="3">
                  <c:v>-1.3635292234363328</c:v>
                </c:pt>
                <c:pt idx="4">
                  <c:v>-0.9936353787696417</c:v>
                </c:pt>
                <c:pt idx="5">
                  <c:v>-0.26269132778349302</c:v>
                </c:pt>
                <c:pt idx="6">
                  <c:v>0.36218277383230912</c:v>
                </c:pt>
                <c:pt idx="7">
                  <c:v>0.96175765130470658</c:v>
                </c:pt>
                <c:pt idx="8">
                  <c:v>0.75370724329746341</c:v>
                </c:pt>
                <c:pt idx="9">
                  <c:v>1.3591406597891487</c:v>
                </c:pt>
                <c:pt idx="10">
                  <c:v>1.9174375911035879</c:v>
                </c:pt>
                <c:pt idx="11">
                  <c:v>1.6157557959702418</c:v>
                </c:pt>
                <c:pt idx="12">
                  <c:v>1.3824093933391124</c:v>
                </c:pt>
                <c:pt idx="13">
                  <c:v>0.74297773705100933</c:v>
                </c:pt>
                <c:pt idx="14">
                  <c:v>0.25042289205223778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75391744"/>
        <c:axId val="75393280"/>
      </c:barChart>
      <c:catAx>
        <c:axId val="75391744"/>
        <c:scaling>
          <c:orientation val="minMax"/>
        </c:scaling>
        <c:delete val="0"/>
        <c:axPos val="b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75393280"/>
        <c:crosses val="autoZero"/>
        <c:auto val="1"/>
        <c:lblAlgn val="ctr"/>
        <c:lblOffset val="100"/>
        <c:tickLblSkip val="2"/>
        <c:tickMarkSkip val="1"/>
        <c:noMultiLvlLbl val="0"/>
      </c:catAx>
      <c:valAx>
        <c:axId val="75393280"/>
        <c:scaling>
          <c:orientation val="minMax"/>
          <c:max val="2"/>
          <c:min val="-1.5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.0" sourceLinked="0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75391744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cs-CZ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2441240342142975E-2"/>
          <c:y val="5.9376950613137608E-2"/>
          <c:w val="0.89505094227199089"/>
          <c:h val="0.80627711744913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Data!$A$9</c:f>
              <c:strCache>
                <c:ptCount val="1"/>
                <c:pt idx="0">
                  <c:v>Míra nezaměstnanosti (VŠPS)</c:v>
                </c:pt>
              </c:strCache>
            </c:strRef>
          </c:tx>
          <c:spPr>
            <a:solidFill>
              <a:srgbClr val="31527B"/>
            </a:solidFill>
            <a:ln w="25400">
              <a:noFill/>
            </a:ln>
          </c:spPr>
          <c:invertIfNegative val="0"/>
          <c:dPt>
            <c:idx val="13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4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5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6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7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8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9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20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cat>
            <c:numRef>
              <c:f>Data!$L$1:$Z$1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Data!$L$9:$Z$9</c:f>
              <c:numCache>
                <c:formatCode>0.0</c:formatCode>
                <c:ptCount val="15"/>
                <c:pt idx="0">
                  <c:v>7.1411393507108016</c:v>
                </c:pt>
                <c:pt idx="1">
                  <c:v>5.3158178729529091</c:v>
                </c:pt>
                <c:pt idx="2">
                  <c:v>4.3925557696117679</c:v>
                </c:pt>
                <c:pt idx="3">
                  <c:v>6.6621112036606176</c:v>
                </c:pt>
                <c:pt idx="4">
                  <c:v>7.2814243462407582</c:v>
                </c:pt>
                <c:pt idx="5">
                  <c:v>6.7119685162101632</c:v>
                </c:pt>
                <c:pt idx="6">
                  <c:v>6.9792274875157894</c:v>
                </c:pt>
                <c:pt idx="7">
                  <c:v>6.9532054324343155</c:v>
                </c:pt>
                <c:pt idx="8">
                  <c:v>6.1079148326470536</c:v>
                </c:pt>
                <c:pt idx="9">
                  <c:v>5.0520366782490607</c:v>
                </c:pt>
                <c:pt idx="10">
                  <c:v>3.9522222439721664</c:v>
                </c:pt>
                <c:pt idx="11">
                  <c:v>2.8925279277838687</c:v>
                </c:pt>
                <c:pt idx="12">
                  <c:v>2.2458549528410159</c:v>
                </c:pt>
                <c:pt idx="13">
                  <c:v>2.1933435217946236</c:v>
                </c:pt>
                <c:pt idx="14">
                  <c:v>2.2987978772995681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75424512"/>
        <c:axId val="75426048"/>
      </c:barChart>
      <c:catAx>
        <c:axId val="75424512"/>
        <c:scaling>
          <c:orientation val="minMax"/>
        </c:scaling>
        <c:delete val="0"/>
        <c:axPos val="b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75426048"/>
        <c:crosses val="autoZero"/>
        <c:auto val="1"/>
        <c:lblAlgn val="ctr"/>
        <c:lblOffset val="100"/>
        <c:tickLblSkip val="2"/>
        <c:tickMarkSkip val="1"/>
        <c:noMultiLvlLbl val="0"/>
      </c:catAx>
      <c:valAx>
        <c:axId val="75426048"/>
        <c:scaling>
          <c:orientation val="minMax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75424512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cs-CZ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2441240342142975E-2"/>
          <c:y val="5.9376950613137608E-2"/>
          <c:w val="0.89505094227199089"/>
          <c:h val="0.80627711744913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Data!$A$10</c:f>
              <c:strCache>
                <c:ptCount val="1"/>
                <c:pt idx="0">
                  <c:v>Objem mezd a platů</c:v>
                </c:pt>
              </c:strCache>
            </c:strRef>
          </c:tx>
          <c:spPr>
            <a:solidFill>
              <a:srgbClr val="31527B"/>
            </a:solidFill>
            <a:ln w="25400">
              <a:noFill/>
            </a:ln>
          </c:spPr>
          <c:invertIfNegative val="0"/>
          <c:dPt>
            <c:idx val="13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4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5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6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7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8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9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20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cat>
            <c:numRef>
              <c:f>Data!$L$1:$Z$1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Data!$L$10:$Z$10</c:f>
              <c:numCache>
                <c:formatCode>0.0</c:formatCode>
                <c:ptCount val="15"/>
                <c:pt idx="0">
                  <c:v>7.1472681934763749</c:v>
                </c:pt>
                <c:pt idx="1">
                  <c:v>8.2606561315187612</c:v>
                </c:pt>
                <c:pt idx="2">
                  <c:v>7.5582455980325758</c:v>
                </c:pt>
                <c:pt idx="3">
                  <c:v>-2.0008986022739039</c:v>
                </c:pt>
                <c:pt idx="4">
                  <c:v>0.77100309449655846</c:v>
                </c:pt>
                <c:pt idx="5">
                  <c:v>2.1243075378361675</c:v>
                </c:pt>
                <c:pt idx="6">
                  <c:v>2.5810071765615339</c:v>
                </c:pt>
                <c:pt idx="7">
                  <c:v>0.4636146811840991</c:v>
                </c:pt>
                <c:pt idx="8">
                  <c:v>3.6229962466891807</c:v>
                </c:pt>
                <c:pt idx="9">
                  <c:v>4.820913591669207</c:v>
                </c:pt>
                <c:pt idx="10">
                  <c:v>5.7201322391891019</c:v>
                </c:pt>
                <c:pt idx="11">
                  <c:v>8.2704655608497823</c:v>
                </c:pt>
                <c:pt idx="12">
                  <c:v>9.4720468478360242</c:v>
                </c:pt>
                <c:pt idx="13">
                  <c:v>7.3662135785015126</c:v>
                </c:pt>
                <c:pt idx="14">
                  <c:v>5.8995502415224665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75465472"/>
        <c:axId val="75467008"/>
      </c:barChart>
      <c:catAx>
        <c:axId val="75465472"/>
        <c:scaling>
          <c:orientation val="minMax"/>
        </c:scaling>
        <c:delete val="0"/>
        <c:axPos val="b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75467008"/>
        <c:crosses val="autoZero"/>
        <c:auto val="1"/>
        <c:lblAlgn val="ctr"/>
        <c:lblOffset val="100"/>
        <c:tickLblSkip val="2"/>
        <c:tickMarkSkip val="1"/>
        <c:noMultiLvlLbl val="0"/>
      </c:catAx>
      <c:valAx>
        <c:axId val="75467008"/>
        <c:scaling>
          <c:orientation val="minMax"/>
          <c:max val="1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75465472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cs-CZ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2441240342142975E-2"/>
          <c:y val="5.9376950613137608E-2"/>
          <c:w val="0.89505094227199089"/>
          <c:h val="0.80627711744913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Data!$A$11</c:f>
              <c:strCache>
                <c:ptCount val="1"/>
                <c:pt idx="0">
                  <c:v>BÚ/HDP</c:v>
                </c:pt>
              </c:strCache>
            </c:strRef>
          </c:tx>
          <c:spPr>
            <a:solidFill>
              <a:srgbClr val="31527B"/>
            </a:solidFill>
            <a:ln w="25400">
              <a:noFill/>
            </a:ln>
          </c:spPr>
          <c:invertIfNegative val="0"/>
          <c:dPt>
            <c:idx val="13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4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5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6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7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8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19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dPt>
            <c:idx val="20"/>
            <c:invertIfNegative val="0"/>
            <c:bubble3D val="0"/>
            <c:spPr>
              <a:solidFill>
                <a:srgbClr val="A0C7E8"/>
              </a:solidFill>
              <a:ln w="25400">
                <a:noFill/>
              </a:ln>
            </c:spPr>
          </c:dPt>
          <c:cat>
            <c:numRef>
              <c:f>Data!$L$1:$Z$1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Data!$L$11:$Z$11</c:f>
              <c:numCache>
                <c:formatCode>0.0</c:formatCode>
                <c:ptCount val="15"/>
                <c:pt idx="0">
                  <c:v>-2.465923711927128</c:v>
                </c:pt>
                <c:pt idx="1">
                  <c:v>-4.6123125000000007</c:v>
                </c:pt>
                <c:pt idx="2">
                  <c:v>-1.8701466202783301</c:v>
                </c:pt>
                <c:pt idx="3">
                  <c:v>-2.2697964376590334</c:v>
                </c:pt>
                <c:pt idx="4">
                  <c:v>-3.5784124179707222</c:v>
                </c:pt>
                <c:pt idx="5">
                  <c:v>-2.1021541893901841</c:v>
                </c:pt>
                <c:pt idx="6">
                  <c:v>-1.5594334975369459</c:v>
                </c:pt>
                <c:pt idx="7">
                  <c:v>-0.53158369936554417</c:v>
                </c:pt>
                <c:pt idx="8">
                  <c:v>0.18272600834492342</c:v>
                </c:pt>
                <c:pt idx="9">
                  <c:v>0.24549608355091387</c:v>
                </c:pt>
                <c:pt idx="10">
                  <c:v>1.5566128355704696</c:v>
                </c:pt>
                <c:pt idx="11">
                  <c:v>1.6537368733901325</c:v>
                </c:pt>
                <c:pt idx="12">
                  <c:v>0.29151998498780252</c:v>
                </c:pt>
                <c:pt idx="13">
                  <c:v>0.60715607397634197</c:v>
                </c:pt>
                <c:pt idx="14">
                  <c:v>0.78370098749234296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76153984"/>
        <c:axId val="76155520"/>
      </c:barChart>
      <c:catAx>
        <c:axId val="76153984"/>
        <c:scaling>
          <c:orientation val="minMax"/>
        </c:scaling>
        <c:delete val="0"/>
        <c:axPos val="b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none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76155520"/>
        <c:crosses val="autoZero"/>
        <c:auto val="1"/>
        <c:lblAlgn val="ctr"/>
        <c:lblOffset val="100"/>
        <c:tickLblSkip val="2"/>
        <c:tickMarkSkip val="1"/>
        <c:noMultiLvlLbl val="0"/>
      </c:catAx>
      <c:valAx>
        <c:axId val="76155520"/>
        <c:scaling>
          <c:orientation val="minMax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76153984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A0350-28E7-429C-A064-16D2C45B9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6447</Words>
  <Characters>38040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2019-08-30T06:27:00Z</dcterms:created>
  <dcterms:modified xsi:type="dcterms:W3CDTF">2019-09-23T12:47:00Z</dcterms:modified>
</cp:coreProperties>
</file>