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EC1" w:rsidRPr="00CF7A21" w:rsidRDefault="00DB1EC1" w:rsidP="00DB1EC1">
      <w:pPr>
        <w:spacing w:after="0"/>
        <w:rPr>
          <w:rFonts w:asciiTheme="minorHAnsi" w:hAnsiTheme="minorHAnsi"/>
          <w:sz w:val="24"/>
          <w:szCs w:val="24"/>
        </w:rPr>
      </w:pPr>
      <w:bookmarkStart w:id="0" w:name="_GoBack"/>
      <w:bookmarkEnd w:id="0"/>
      <w:r w:rsidRPr="00CF7A21">
        <w:rPr>
          <w:rFonts w:asciiTheme="minorHAnsi" w:hAnsiTheme="minorHAnsi"/>
          <w:sz w:val="24"/>
          <w:szCs w:val="24"/>
        </w:rPr>
        <w:t>Ministerstvo financí</w:t>
      </w:r>
    </w:p>
    <w:p w:rsidR="00DB1EC1" w:rsidRPr="00CF7A21" w:rsidRDefault="00DB1EC1" w:rsidP="00DB1EC1">
      <w:pPr>
        <w:spacing w:after="0"/>
        <w:rPr>
          <w:rFonts w:asciiTheme="minorHAnsi" w:hAnsiTheme="minorHAnsi"/>
          <w:sz w:val="24"/>
          <w:szCs w:val="24"/>
        </w:rPr>
      </w:pPr>
      <w:r w:rsidRPr="00CF7A21">
        <w:rPr>
          <w:rFonts w:asciiTheme="minorHAnsi" w:hAnsiTheme="minorHAnsi"/>
          <w:sz w:val="24"/>
          <w:szCs w:val="24"/>
        </w:rPr>
        <w:t>Čj.: MF – 14 180/2019/1104-5</w:t>
      </w:r>
      <w:r w:rsidR="00F00EC5">
        <w:rPr>
          <w:rFonts w:asciiTheme="minorHAnsi" w:hAnsiTheme="minorHAnsi"/>
          <w:sz w:val="24"/>
          <w:szCs w:val="24"/>
        </w:rPr>
        <w:t>8</w:t>
      </w:r>
    </w:p>
    <w:p w:rsidR="004B6F58" w:rsidRDefault="00F00EC5" w:rsidP="004B6F58">
      <w:pPr>
        <w:spacing w:before="2640" w:after="0"/>
        <w:jc w:val="center"/>
        <w:rPr>
          <w:b/>
          <w:spacing w:val="10"/>
          <w:sz w:val="44"/>
          <w:szCs w:val="44"/>
        </w:rPr>
      </w:pPr>
      <w:r>
        <w:rPr>
          <w:b/>
          <w:spacing w:val="10"/>
          <w:sz w:val="44"/>
          <w:szCs w:val="44"/>
        </w:rPr>
        <w:t>F</w:t>
      </w:r>
      <w:r w:rsidR="00256C38" w:rsidRPr="00CF7A21">
        <w:rPr>
          <w:b/>
          <w:spacing w:val="10"/>
          <w:sz w:val="44"/>
          <w:szCs w:val="44"/>
        </w:rPr>
        <w:t>.</w:t>
      </w:r>
    </w:p>
    <w:p w:rsidR="00256C38" w:rsidRPr="00CF7A21" w:rsidRDefault="004B6F58" w:rsidP="004B6F58">
      <w:pPr>
        <w:spacing w:before="2160" w:after="0"/>
        <w:jc w:val="center"/>
        <w:rPr>
          <w:b/>
          <w:sz w:val="44"/>
          <w:szCs w:val="44"/>
        </w:rPr>
      </w:pPr>
      <w:r w:rsidRPr="00CF7A21">
        <w:rPr>
          <w:b/>
          <w:spacing w:val="10"/>
          <w:sz w:val="44"/>
          <w:szCs w:val="44"/>
        </w:rPr>
        <w:t xml:space="preserve"> </w:t>
      </w:r>
      <w:r w:rsidR="00256C38" w:rsidRPr="00CF7A21">
        <w:rPr>
          <w:b/>
          <w:spacing w:val="10"/>
          <w:sz w:val="44"/>
          <w:szCs w:val="44"/>
        </w:rPr>
        <w:t>Zpráva o očekávaném vývoji státních finančních aktiv a pasiv</w:t>
      </w:r>
    </w:p>
    <w:p w:rsidR="00256C38" w:rsidRDefault="00256C38">
      <w:pPr>
        <w:spacing w:after="200" w:line="276" w:lineRule="auto"/>
        <w:jc w:val="left"/>
      </w:pPr>
      <w:r>
        <w:br w:type="page"/>
      </w:r>
    </w:p>
    <w:p w:rsidR="00256C38" w:rsidRDefault="00256C38" w:rsidP="00256C38">
      <w:pPr>
        <w:sectPr w:rsidR="00256C38" w:rsidSect="007E02A2">
          <w:footerReference w:type="default" r:id="rId8"/>
          <w:pgSz w:w="11906" w:h="16838"/>
          <w:pgMar w:top="1134" w:right="1134" w:bottom="1134" w:left="1134" w:header="709" w:footer="709" w:gutter="0"/>
          <w:pgNumType w:start="1"/>
          <w:cols w:space="708"/>
          <w:titlePg/>
          <w:docGrid w:linePitch="360"/>
        </w:sectPr>
      </w:pPr>
    </w:p>
    <w:p w:rsidR="009118C1" w:rsidRDefault="00256C38" w:rsidP="009B2991">
      <w:r w:rsidRPr="008B0486">
        <w:lastRenderedPageBreak/>
        <w:t>Očekávaný vývoj státních finančních aktiv a pasiv vymezených ustanovením § 36 zákona</w:t>
      </w:r>
      <w:r w:rsidR="00DA5959">
        <w:t xml:space="preserve"> </w:t>
      </w:r>
      <w:r w:rsidRPr="008B0486">
        <w:t xml:space="preserve">č. 218/2000 Sb. o rozpočtových pravidlech a o změně </w:t>
      </w:r>
      <w:r w:rsidRPr="009118C1">
        <w:t xml:space="preserve">některých </w:t>
      </w:r>
      <w:r w:rsidRPr="009118C1">
        <w:lastRenderedPageBreak/>
        <w:t>souvisejících zákonů (rozpočtová pravidla) je kvantifi</w:t>
      </w:r>
      <w:r w:rsidR="009118C1" w:rsidRPr="009118C1">
        <w:t>kován takto:</w:t>
      </w:r>
    </w:p>
    <w:p w:rsidR="009118C1" w:rsidRDefault="009118C1" w:rsidP="009118C1">
      <w:pPr>
        <w:spacing w:after="0"/>
        <w:jc w:val="left"/>
        <w:rPr>
          <w:b/>
          <w:bCs/>
          <w:sz w:val="16"/>
          <w:szCs w:val="16"/>
        </w:rPr>
        <w:sectPr w:rsidR="009118C1" w:rsidSect="00031DA8">
          <w:type w:val="continuous"/>
          <w:pgSz w:w="11906" w:h="16838"/>
          <w:pgMar w:top="1134" w:right="1134" w:bottom="1134" w:left="1134" w:header="709" w:footer="709" w:gutter="0"/>
          <w:cols w:num="2" w:space="397"/>
          <w:docGrid w:linePitch="360"/>
        </w:sectPr>
      </w:pPr>
    </w:p>
    <w:p w:rsidR="007E7CDD" w:rsidRPr="00DB1EC1" w:rsidRDefault="007E7CDD" w:rsidP="007E7CDD">
      <w:pPr>
        <w:pStyle w:val="Titulek"/>
        <w:keepNext/>
        <w:keepLines/>
        <w:spacing w:before="120" w:after="0" w:line="360" w:lineRule="auto"/>
        <w:jc w:val="left"/>
        <w:rPr>
          <w:b w:val="0"/>
          <w:i/>
          <w:color w:val="auto"/>
          <w:sz w:val="20"/>
          <w:szCs w:val="20"/>
        </w:rPr>
      </w:pPr>
      <w:r w:rsidRPr="007E7CDD">
        <w:rPr>
          <w:color w:val="auto"/>
          <w:sz w:val="20"/>
          <w:szCs w:val="20"/>
        </w:rPr>
        <w:lastRenderedPageBreak/>
        <w:t xml:space="preserve">Tabulka č. </w:t>
      </w:r>
      <w:r w:rsidRPr="007E7CDD">
        <w:rPr>
          <w:color w:val="auto"/>
          <w:sz w:val="20"/>
          <w:szCs w:val="20"/>
        </w:rPr>
        <w:fldChar w:fldCharType="begin"/>
      </w:r>
      <w:r w:rsidRPr="007E7CDD">
        <w:rPr>
          <w:color w:val="auto"/>
          <w:sz w:val="20"/>
          <w:szCs w:val="20"/>
        </w:rPr>
        <w:instrText xml:space="preserve"> SEQ Tabulka_č. \* ARABIC </w:instrText>
      </w:r>
      <w:r w:rsidRPr="007E7CDD">
        <w:rPr>
          <w:color w:val="auto"/>
          <w:sz w:val="20"/>
          <w:szCs w:val="20"/>
        </w:rPr>
        <w:fldChar w:fldCharType="separate"/>
      </w:r>
      <w:r w:rsidR="00B91F61">
        <w:rPr>
          <w:noProof/>
          <w:color w:val="auto"/>
          <w:sz w:val="20"/>
          <w:szCs w:val="20"/>
        </w:rPr>
        <w:t>1</w:t>
      </w:r>
      <w:r w:rsidRPr="007E7CDD">
        <w:rPr>
          <w:color w:val="auto"/>
          <w:sz w:val="20"/>
          <w:szCs w:val="20"/>
        </w:rPr>
        <w:fldChar w:fldCharType="end"/>
      </w:r>
      <w:r w:rsidRPr="007E7CDD">
        <w:rPr>
          <w:color w:val="auto"/>
          <w:sz w:val="20"/>
          <w:szCs w:val="20"/>
        </w:rPr>
        <w:t xml:space="preserve">Vývoj státních finančních aktiv a pasiv </w:t>
      </w:r>
      <w:r w:rsidRPr="00DB1EC1">
        <w:rPr>
          <w:b w:val="0"/>
          <w:i/>
          <w:color w:val="auto"/>
          <w:sz w:val="20"/>
          <w:szCs w:val="20"/>
        </w:rPr>
        <w:t>(</w:t>
      </w:r>
      <w:r w:rsidR="00DB1EC1">
        <w:rPr>
          <w:b w:val="0"/>
          <w:i/>
          <w:color w:val="auto"/>
          <w:sz w:val="20"/>
          <w:szCs w:val="20"/>
        </w:rPr>
        <w:t xml:space="preserve">v </w:t>
      </w:r>
      <w:r w:rsidRPr="00DB1EC1">
        <w:rPr>
          <w:b w:val="0"/>
          <w:i/>
          <w:color w:val="auto"/>
          <w:sz w:val="20"/>
          <w:szCs w:val="20"/>
        </w:rPr>
        <w:t>mil. Kč)</w:t>
      </w:r>
    </w:p>
    <w:p w:rsidR="009118C1" w:rsidRPr="00AA48A0" w:rsidRDefault="00C312DB" w:rsidP="00256C38">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1.2pt;height:490.8pt;mso-position-vertical:absolute">
            <v:imagedata r:id="rId9" o:title=""/>
          </v:shape>
        </w:pict>
      </w:r>
    </w:p>
    <w:p w:rsidR="007D7DD9" w:rsidRDefault="007D7DD9" w:rsidP="009118C1">
      <w:pPr>
        <w:sectPr w:rsidR="007D7DD9" w:rsidSect="007E02A2">
          <w:type w:val="continuous"/>
          <w:pgSz w:w="11906" w:h="16838"/>
          <w:pgMar w:top="1134" w:right="1134" w:bottom="1134" w:left="1134" w:header="709" w:footer="709" w:gutter="0"/>
          <w:cols w:space="708"/>
          <w:docGrid w:linePitch="360"/>
        </w:sectPr>
      </w:pPr>
    </w:p>
    <w:p w:rsidR="009118C1" w:rsidRDefault="007D7DD9" w:rsidP="009118C1">
      <w:r>
        <w:lastRenderedPageBreak/>
        <w:t xml:space="preserve">V období let 2019 až 2020 se očekává zvýšení celkového </w:t>
      </w:r>
      <w:r w:rsidR="009118C1">
        <w:t xml:space="preserve">stavu státních finančních aktiv o 25,9 mld. Kč při současném růstu státních finančních pasiv o cca 90,9 mld. Kč. </w:t>
      </w:r>
    </w:p>
    <w:p w:rsidR="009118C1" w:rsidRDefault="009118C1" w:rsidP="009118C1">
      <w:r>
        <w:t>V návaznosti na příslušné ustanovení zákona č.</w:t>
      </w:r>
      <w:r w:rsidR="00031DA8">
        <w:t> </w:t>
      </w:r>
      <w:r>
        <w:t>465/2011 Sb., kterým se mění zákon č. 218/2000 Sb. o rozpočtových pravidlech a o změně některých souvisejících zákonů (rozpočtová pravidla) nejsou do státních finančních aktiv (dále SFA) zahrnovány pohledávky z návratných finančních výpomocí poskytnutých z rozpočtové kapitoly VPS a rovněž pohledávky ze státních záruk, realizovaných z prostředků kapitoly VPS.</w:t>
      </w:r>
    </w:p>
    <w:p w:rsidR="009118C1" w:rsidRDefault="009118C1" w:rsidP="009118C1">
      <w:r>
        <w:lastRenderedPageBreak/>
        <w:t>Očekávané zvýšení stavu peněžních prostředků na ban</w:t>
      </w:r>
      <w:r w:rsidR="007D7DD9">
        <w:t>kovních účtech SFA vedených</w:t>
      </w:r>
      <w:r>
        <w:t xml:space="preserve"> u ČNB o cca 27,05 mld. Kč vyplývá ze standardních příjmových a výdajových operací uskutečňovaných na těchto účtech, přičemž poměrně významný nárůst stavu se týká jaderného účtu (o cca 4,8 mld. Kč) a to vzhledem k tomu, že v roce 2019 nastane splatnost některých státních dluhopisů (v úhrnné jmenovité hodnotě téměř 2,0 mld. Kč), držených v portfoliu jaderného účtu. </w:t>
      </w:r>
    </w:p>
    <w:p w:rsidR="009118C1" w:rsidRDefault="009118C1" w:rsidP="009118C1">
      <w:r>
        <w:t xml:space="preserve">V letech 2019 až 2020 lze očekávat rovněž zvýšení stavu prostředků, z jejichž zůstatků se financují výdaje rozpočtové kapitoly OSFA včetně přesunů na krytí účelově určených výdajů jiných kapitol státního </w:t>
      </w:r>
      <w:r>
        <w:lastRenderedPageBreak/>
        <w:t>rozpočtu. Významnou příjmovou položku představují předpokládané dividendy z majetkové účasti státu u společnosti Letiště Praha, a.s.</w:t>
      </w:r>
    </w:p>
    <w:p w:rsidR="009118C1" w:rsidRDefault="009118C1" w:rsidP="009118C1">
      <w:r>
        <w:t>V návaznosti na schválení Státního závěrečného účtu Poslaneckou sněmovnou Parlamentu se předpokládá převod přebytku pojistného na důchodové pojištění za rok 2018 ve výši cca</w:t>
      </w:r>
      <w:r w:rsidR="009B2991">
        <w:t xml:space="preserve"> </w:t>
      </w:r>
      <w:r>
        <w:t>18,6</w:t>
      </w:r>
      <w:r w:rsidR="009B2991">
        <w:t> </w:t>
      </w:r>
      <w:r>
        <w:t>mld. Kč na zvláštní účet rezervy důchodového pojištění ještě do konce roku 2019. Disponibilní prostředky zvláštního účtu rezervy důchodového pojištění nebudou investovány přímo, ale jako součást souhrnného účtu státní pokladny budou zapojeny do řízení likvidity. Stav účtu by měl dále vzrůst v závislosti na předpokládané výši inkasovaných dividend (celkem o cca 180 mil. Kč). Na většině ostatních bankovních účtů SFA lze v průběhu sledovaného období očekávat pouze nevýznamné změny stavu.</w:t>
      </w:r>
    </w:p>
    <w:p w:rsidR="009118C1" w:rsidRDefault="009118C1" w:rsidP="009118C1">
      <w:r>
        <w:t>Zvýšení celkového stavu majetkových účastí u mezinárodních finančních institucí</w:t>
      </w:r>
      <w:r w:rsidR="009B2991">
        <w:t xml:space="preserve"> </w:t>
      </w:r>
      <w:r>
        <w:t xml:space="preserve">a zahraničních obchodních společností se předpokládá v rozsahu cca 2,6 mld. Kč. Na tomto poměrně významném nárůstu se v podstatné míře podílí navrhované navýšení majetkového podílu u institucí ze Skupiny Světové banky, a to Mezinárodní banky pro obnovu a rozvoj (dále IBRD) a Mezinárodní finanční korporace (dále IFC). Podíl České republiky na všeobecném a selektivním navýšení splaceného kapitálu v IBRD proběhne od roku 2019 formou úpisu akcií v ročních splátkách ve výši cca 4,8 mil. USD, což představuje cca 108 mil. Kč. Rezoluce k obdobnému navýšení kapitálu v případě IFC dosud nebyla schválena, předpokládá se, že podíl České republiky by mohl představovat celkem 29,4 mil. USD, přičemž první splátka ve výši cca 6,9 mil. USD (tj. cca 155 mil. Kč) by byla realizována v roce 2020. Vedle navýšení kapitálu je navrhována rovněž konverze nerozděleného zisku IFC na splacený kapitál a na Českou republiku by tak připadlo 59 045 akcií v úhrnné hodnotě cca 1,3 mld. Kč. Postupné navyšování upsaného kapitálu v rámci zahraničních majetkových účastí státu se týká rovněž další organizace ze Skupiny Světové banky, a to Mezinárodní asociace pro rozvoj (dále IDA), kde se v rámci 18. cyklu doplnění zdrojů předpokládá úhrada jednotlivých ročních splátek, což však nemá přímý dopad na výši podílu České republiky. Ve sledovaném období dojde současně i k doplnění zdrojů Iniciativy k multilaterálnímu oddlužení rozvojových zemí (MDRI), jejíž činnost je zaměřena na odpuštění dluhů vůči IDA. </w:t>
      </w:r>
    </w:p>
    <w:p w:rsidR="009118C1" w:rsidRDefault="009118C1" w:rsidP="009118C1">
      <w:r>
        <w:t>V souvislosti s vystoupením Velké Británie z Evropské unie dojde k poměrnému zvýšení podílu jednotlivých členských zemí na upsaném kapitálu Evropské investiční banky (dále EIB). Na Českou republiku by připadlo zvýšení o cca 355,55 mil. EUR, z toho splacená část by vzrostla o cca 31,7</w:t>
      </w:r>
      <w:r w:rsidR="00DB1EC1">
        <w:t> </w:t>
      </w:r>
      <w:r>
        <w:t>mil. EUR, tj. o cca 807 mil. Kč (úhrada bude provedena z vlastních rezerv EIB) a nesplacená část (</w:t>
      </w:r>
      <w:proofErr w:type="spellStart"/>
      <w:r>
        <w:t>callable</w:t>
      </w:r>
      <w:proofErr w:type="spellEnd"/>
      <w:r w:rsidR="00031DA8">
        <w:t xml:space="preserve"> </w:t>
      </w:r>
      <w:proofErr w:type="spellStart"/>
      <w:r>
        <w:t>capital</w:t>
      </w:r>
      <w:proofErr w:type="spellEnd"/>
      <w:r>
        <w:t xml:space="preserve">) o cca 323,8 mil. EUR. V případě Mezinárodní investiční banky (MIB) je navrhováno uhrazení závazku České republiky ve výši 5,6 mil. EUR, </w:t>
      </w:r>
      <w:r>
        <w:lastRenderedPageBreak/>
        <w:t xml:space="preserve">kterým by bylo dokončeno navýšení kapitálu z roku 2013. </w:t>
      </w:r>
    </w:p>
    <w:p w:rsidR="009118C1" w:rsidRDefault="009118C1" w:rsidP="009118C1">
      <w:r>
        <w:t>Do uvažovaných stavů majetkových účastí u mezinárodních bank jsou promítnuty rovněž debetní kurzové rozdíly v úhrnné výši cca 140 mil. Kč, které souvisí s vývojem směnného kurzu Kč vůči USD a EUR v 1. pololetí roku 2019. U společností E.ON S.E. a UNIPER S.E. je uváděná výše majetkové účasti ovlivněna vedle směnného kurzu Kč vůči EUR rovněž vývojem reálné hodnoty veřejně obchodovatelných akcií v 1. pololetí 2019.</w:t>
      </w:r>
    </w:p>
    <w:p w:rsidR="009118C1" w:rsidRDefault="009118C1" w:rsidP="009118C1">
      <w:r>
        <w:t>Zvláštní kategorii představují majetkové účasti převzaté po bývalé České konsolidační agentuře (dále ČKA), kde je v návaznosti na přecenění společnosti VIPAP na reálnou hodnotu 1 EUR navrhován prodej této společnosti, což představuje pokles o cca 753 mil. Kč.</w:t>
      </w:r>
    </w:p>
    <w:p w:rsidR="009118C1" w:rsidRDefault="009118C1" w:rsidP="009118C1">
      <w:r>
        <w:t>V případě tuzemských společností se nepředpokládá žádná změna stavu. K významnějším změnám ve sledovaném období pravděpodobně nedojde ani u majetkových účastí převzatých po bývalé (ČKA).</w:t>
      </w:r>
    </w:p>
    <w:p w:rsidR="009118C1" w:rsidRDefault="009118C1" w:rsidP="009118C1">
      <w:r>
        <w:t xml:space="preserve">Pokles celkového stavu vládních a ostatních pohledávek státu vůči zahraničí a vůči jejich </w:t>
      </w:r>
      <w:proofErr w:type="spellStart"/>
      <w:r>
        <w:t>deblokátorům</w:t>
      </w:r>
      <w:proofErr w:type="spellEnd"/>
      <w:r>
        <w:t xml:space="preserve"> o více než 1,0 mld. Kč na úroveň cca 16,15 mld. Kč, je ovlivněn výší předpokládaných splátek a odpisů pohledávek, připsaných úroků a rovněž debetními kurzovými rozdíly vyčíslenými za 1. pololetí 2019 na cca 64,3 mil. Kč. Uvažované splátky vládních úvěrů ve výši 280 mil. Kč se týkají pohledávky vůči Iráku. Z převzatých pohledávek se v roce 2019 podařilo smluvně zajistit vypořádání dluhu Srbska, do státního rozpočtu byla uhrazena splátka ve výši cca 222,2 mil. Kč a zároveň byla odepsána zbývající část dluhu ve výši cca 520 mil. Kč. Obdobný postup se předpokládá v případě Černé Hory, kde výše splátky činí cca 17,4 mil. Kč a odepsání cca 33,8 mil. Kč. Vypořádání pohledávky za Běloruskem je navrhováno od roku 2020 prostřednictvím Ministerstva zahraničních věcí formou postupného zápočtu proti nájmu za budovu velvyslanectví v Minsku ve výši cca 6,7 mil. Kč ročně.</w:t>
      </w:r>
    </w:p>
    <w:p w:rsidR="009118C1" w:rsidRDefault="009118C1" w:rsidP="009118C1">
      <w:r>
        <w:t xml:space="preserve">U pohledávek za </w:t>
      </w:r>
      <w:proofErr w:type="spellStart"/>
      <w:r>
        <w:t>deblokátory</w:t>
      </w:r>
      <w:proofErr w:type="spellEnd"/>
      <w:r>
        <w:t xml:space="preserve"> se předpokládá pouze inkaso příjmů z exekucí vůči společnosti </w:t>
      </w:r>
      <w:proofErr w:type="spellStart"/>
      <w:r>
        <w:t>Lanatex</w:t>
      </w:r>
      <w:proofErr w:type="spellEnd"/>
      <w:r>
        <w:t xml:space="preserve"> v celkové výši cca 1,2 mil. Kč. Opačný vliv na stav pohledávek bude mít připisování smluvních úroků zejm. u pohledávek vůči Iráku, které by mohlo dosáhnout úhrnné výše cca 98 mil. Kč. Od roku 2017 je v rámci podrozvahy nově vedena pohledávka vůči </w:t>
      </w:r>
      <w:proofErr w:type="spellStart"/>
      <w:r>
        <w:t>deblokátorům</w:t>
      </w:r>
      <w:proofErr w:type="spellEnd"/>
      <w:r w:rsidR="00DB1EC1">
        <w:t xml:space="preserve"> </w:t>
      </w:r>
      <w:r>
        <w:t>původní pohledávky vůči Indonésii v úhrnném rozsahu cca 49 mil. Kč.</w:t>
      </w:r>
    </w:p>
    <w:p w:rsidR="009118C1" w:rsidRDefault="009118C1" w:rsidP="009118C1">
      <w:r>
        <w:t xml:space="preserve">U tuzemských pohledávek z poskytnutých státních půjček a návratných finančních výpomocí evidovaných v SFA se v období let 2019 až 2020 nepředpokládá žádná změna stavu. </w:t>
      </w:r>
    </w:p>
    <w:p w:rsidR="009118C1" w:rsidRDefault="009118C1" w:rsidP="009118C1">
      <w:r>
        <w:t xml:space="preserve">Průběžné zůstatky cenných papírů ve formě státních pokladničních poukázek a poukázek ČNB v držbě státu z finančního investování na účtech řízení likvidity státní pokladny se budou pohybovat max. v řádu desítek </w:t>
      </w:r>
      <w:r>
        <w:lastRenderedPageBreak/>
        <w:t xml:space="preserve">miliard Kč. Na základě změny metodiky (provedené v roce 2015), však z důvodu eliminace rizika duplicitního započtení s peněžními prostředky na účtech SFA nejsou tyto cenné papíry zahrnovány do SFA. Obdobná situace nastane </w:t>
      </w:r>
    </w:p>
    <w:p w:rsidR="009118C1" w:rsidRDefault="009118C1" w:rsidP="009118C1">
      <w:r>
        <w:t xml:space="preserve">u pohledávek z depozitních operací na účtech řízení likvidity státní pokladny. U těchto položek se tak předpokládá celkový stav na nulové úrovni. V roce 2019 poklesne rovněž stav státem držených střednědobých a dlouhodobých cenných papírů z titulu finančního investování dočasně volných prostředků jaderného účtu o téměř 2,0 mld. Kč. Prostředky zvláštního účtu Rezervy důchodového pojištění nebudou v tomto období investovány samostatně, ale v rámci souhrnného účtu státní pokladny budou zapojeny do řízení likvidity. </w:t>
      </w:r>
    </w:p>
    <w:p w:rsidR="009118C1" w:rsidRDefault="009118C1" w:rsidP="009118C1">
      <w:r>
        <w:t xml:space="preserve">Státní finanční aktiva nezahrnují předpoklad poskytování nových dlouhodobých vývozních úvěrů na vládní úrovni v návaznosti na usnesení vlády ze dne 3. 11. 2004 č. 1070, které by byly v plné výši financovány ze státního rozpočtu v období let 2019 a 2020. </w:t>
      </w:r>
    </w:p>
    <w:p w:rsidR="009118C1" w:rsidRDefault="009118C1" w:rsidP="009118C1">
      <w:r>
        <w:t>Očekávaný růst stavu státních finančních pasiv v letech 2019 až 2020 o cca 90,9 mld. Kč vychází z kvantifikací rozpočtové kapitoly Státní dluh, a to ze skutečné výše státních finančních pasiv 1 694,9 mld. Kč k 31. 12. 2018 (včetně závazků z nesplaceného upsaného kapitálu ve výši 72,9 mld. Kč, které však nejsou vykazovány v rámci státního dluhu), z jejich předpokládaného stavu ve výši 1</w:t>
      </w:r>
      <w:r w:rsidR="009B2991">
        <w:t> </w:t>
      </w:r>
      <w:r>
        <w:t xml:space="preserve">742,8 mld. Kč na konci roku 2019 a 1 785,8 mld. Kč na konci roku 2020. Nárůst státních finančních pasiv za uvedené dva roky se týká především vnitřního dluhu a v menší míře rovněž závazků z titulu nesplaceného kapitálu, zatímco vnější dluh poklesne. </w:t>
      </w:r>
    </w:p>
    <w:p w:rsidR="009118C1" w:rsidRDefault="009118C1" w:rsidP="009118C1">
      <w:r>
        <w:t xml:space="preserve">Vnitřní státní dluh má za období let 2019 až 2020 vzrůst celkem o cca 114,4 mld. Kč, přičemž v uvedeném období </w:t>
      </w:r>
      <w:r>
        <w:lastRenderedPageBreak/>
        <w:t>se počítá s růstem tohoto dluhu ve formě střednědobých a dlouhodobých státních dluhopisů (včetně spořicích státních dluhopisů) o cca 78,55 mld. Kč. Stav státních pokladničních poukázek by měl vzrůst o 35,85 mld. Kč, a to na úroveň 40 mld. Kč.</w:t>
      </w:r>
    </w:p>
    <w:p w:rsidR="009118C1" w:rsidRDefault="009118C1" w:rsidP="009118C1">
      <w:r>
        <w:t xml:space="preserve">U vnějšího státního dluhu se v letech 2019 až 2020 počítá s jeho poklesem o cca 31,8 mld. Kč, a to zejména z důvodu nahrazení krátkodobých zápůjček na peněžním trhu uskutečněných za účelem získání eurových prostředků pro refinancování operací spojených se splátkou státního dluhopisu v červnu 2018 denominovaného v EUR emisemi státních </w:t>
      </w:r>
      <w:proofErr w:type="spellStart"/>
      <w:r>
        <w:t>eurodluhopisů</w:t>
      </w:r>
      <w:proofErr w:type="spellEnd"/>
      <w:r>
        <w:t xml:space="preserve"> vydávaných na domácím trhu v průběhu roku 2019. Dále závazky státu vůči zahraničí z titulu úvěrů přijatých od EIB na financování realizace infrastrukturálních programů v uvedeném období poklesnou o celkem 5,3</w:t>
      </w:r>
      <w:r w:rsidR="00031DA8">
        <w:t> </w:t>
      </w:r>
      <w:r>
        <w:t>mld. Kč důsledkem převažujícího vlivu postupného splácení tranší jednotlivých úvěrů.</w:t>
      </w:r>
    </w:p>
    <w:p w:rsidR="009118C1" w:rsidRPr="008B0486" w:rsidRDefault="009118C1" w:rsidP="009118C1">
      <w:r>
        <w:t>Předpokládané zvýšení závazků z nesplaceného upsaného kapitálu u zahraničních majetkových účastí státu ve správě Ministerstva financí činí celkově cca 8,3</w:t>
      </w:r>
      <w:r w:rsidR="00031DA8">
        <w:t> </w:t>
      </w:r>
      <w:r>
        <w:t>mld. Kč. Od roku 2019 do roku 2023 by se Česká republika měla podílet na všeobecném navýšení kapitálu Mezinárodní banky pro obnovu a rozvoj (IBRD), přičemž podíl nesplacené části v roce 2020 představuje částku cca 14,3 mil. USD (tj. 319,7 mil. Kč). Obdobně se od roku 2020 očekává postupné navýšení kapitálu IFC, kde nárůst nesplacené části upsaného kapitálu bude činit cca 22,5 mil. USD (tj. cca 502,6 mil. Kč). Zvýšení nesplacené části upsaného kapitálu se bude týkat rovněž podílu České republiky u Evropské investiční banky v souvislosti s vystoupením Velké Británie z Evropské unie, a to ve výši cca 323,8 mil. EUR (tj. cca 8,2 mld. Kč).</w:t>
      </w:r>
    </w:p>
    <w:p w:rsidR="007D7DD9" w:rsidRDefault="007D7DD9" w:rsidP="00256C38">
      <w:pPr>
        <w:sectPr w:rsidR="007D7DD9" w:rsidSect="007E02A2">
          <w:type w:val="continuous"/>
          <w:pgSz w:w="11906" w:h="16838"/>
          <w:pgMar w:top="1134" w:right="1134" w:bottom="1134" w:left="1134" w:header="709" w:footer="709" w:gutter="0"/>
          <w:cols w:num="2" w:space="397"/>
          <w:docGrid w:linePitch="360"/>
        </w:sectPr>
      </w:pPr>
    </w:p>
    <w:p w:rsidR="009118C1" w:rsidRDefault="009118C1" w:rsidP="00256C38"/>
    <w:sectPr w:rsidR="009118C1" w:rsidSect="007E02A2">
      <w:type w:val="continuous"/>
      <w:pgSz w:w="11906" w:h="16838"/>
      <w:pgMar w:top="1134" w:right="1134" w:bottom="1134" w:left="1134" w:header="709" w:footer="709" w:gutter="0"/>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C38" w:rsidRDefault="00256C38" w:rsidP="00256C38">
      <w:pPr>
        <w:spacing w:after="0"/>
      </w:pPr>
      <w:r>
        <w:separator/>
      </w:r>
    </w:p>
  </w:endnote>
  <w:endnote w:type="continuationSeparator" w:id="0">
    <w:p w:rsidR="00256C38" w:rsidRDefault="00256C38" w:rsidP="00256C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436605"/>
      <w:docPartObj>
        <w:docPartGallery w:val="Page Numbers (Bottom of Page)"/>
        <w:docPartUnique/>
      </w:docPartObj>
    </w:sdtPr>
    <w:sdtEndPr/>
    <w:sdtContent>
      <w:p w:rsidR="00FC7AAE" w:rsidRDefault="00FC7AAE">
        <w:pPr>
          <w:pStyle w:val="Zpat"/>
          <w:jc w:val="center"/>
        </w:pPr>
        <w:r>
          <w:fldChar w:fldCharType="begin"/>
        </w:r>
        <w:r>
          <w:instrText>PAGE   \* MERGEFORMAT</w:instrText>
        </w:r>
        <w:r>
          <w:fldChar w:fldCharType="separate"/>
        </w:r>
        <w:r w:rsidR="00C312DB">
          <w:rPr>
            <w:noProof/>
          </w:rPr>
          <w:t>2</w:t>
        </w:r>
        <w:r>
          <w:fldChar w:fldCharType="end"/>
        </w:r>
      </w:p>
    </w:sdtContent>
  </w:sdt>
  <w:p w:rsidR="00FC7AAE" w:rsidRDefault="00FC7A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C38" w:rsidRDefault="00256C38" w:rsidP="00256C38">
      <w:pPr>
        <w:spacing w:after="0"/>
      </w:pPr>
      <w:r>
        <w:separator/>
      </w:r>
    </w:p>
  </w:footnote>
  <w:footnote w:type="continuationSeparator" w:id="0">
    <w:p w:rsidR="00256C38" w:rsidRDefault="00256C38" w:rsidP="00256C3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C38"/>
    <w:rsid w:val="00031DA8"/>
    <w:rsid w:val="001E665F"/>
    <w:rsid w:val="00256C38"/>
    <w:rsid w:val="00394887"/>
    <w:rsid w:val="004309CD"/>
    <w:rsid w:val="004B6F58"/>
    <w:rsid w:val="00566F74"/>
    <w:rsid w:val="005E147F"/>
    <w:rsid w:val="007D7DD9"/>
    <w:rsid w:val="007E02A2"/>
    <w:rsid w:val="007E7CDD"/>
    <w:rsid w:val="009118C1"/>
    <w:rsid w:val="00914780"/>
    <w:rsid w:val="009B2991"/>
    <w:rsid w:val="00AA48A0"/>
    <w:rsid w:val="00AD12FA"/>
    <w:rsid w:val="00B91F61"/>
    <w:rsid w:val="00C312DB"/>
    <w:rsid w:val="00CF7A21"/>
    <w:rsid w:val="00D73685"/>
    <w:rsid w:val="00DA5959"/>
    <w:rsid w:val="00DB1EC1"/>
    <w:rsid w:val="00DC0E75"/>
    <w:rsid w:val="00EA0B2E"/>
    <w:rsid w:val="00EB0C35"/>
    <w:rsid w:val="00F00EC5"/>
    <w:rsid w:val="00F917F0"/>
    <w:rsid w:val="00FB4FA4"/>
    <w:rsid w:val="00FC7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hidden/>
    <w:qFormat/>
    <w:rsid w:val="00256C38"/>
    <w:pPr>
      <w:spacing w:after="120" w:line="240" w:lineRule="auto"/>
      <w:jc w:val="both"/>
    </w:pPr>
    <w:rPr>
      <w:rFonts w:ascii="Calibri" w:eastAsia="Times New Roman" w:hAnsi="Calibri"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mal">
    <w:name w:val="Nadpis malý"/>
    <w:next w:val="Normln"/>
    <w:qFormat/>
    <w:rsid w:val="00256C38"/>
    <w:pPr>
      <w:keepNext/>
      <w:keepLines/>
      <w:spacing w:before="360" w:after="60" w:line="240" w:lineRule="auto"/>
      <w:jc w:val="both"/>
    </w:pPr>
    <w:rPr>
      <w:rFonts w:ascii="Calibri" w:eastAsia="Times New Roman" w:hAnsi="Calibri" w:cs="Times New Roman"/>
      <w:b/>
      <w:sz w:val="24"/>
      <w:szCs w:val="24"/>
      <w:lang w:eastAsia="cs-CZ"/>
    </w:rPr>
  </w:style>
  <w:style w:type="paragraph" w:styleId="Zhlav">
    <w:name w:val="header"/>
    <w:basedOn w:val="Normln"/>
    <w:link w:val="ZhlavChar"/>
    <w:uiPriority w:val="99"/>
    <w:unhideWhenUsed/>
    <w:rsid w:val="00256C38"/>
    <w:pPr>
      <w:tabs>
        <w:tab w:val="center" w:pos="4536"/>
        <w:tab w:val="right" w:pos="9072"/>
      </w:tabs>
      <w:spacing w:after="0"/>
    </w:pPr>
  </w:style>
  <w:style w:type="character" w:customStyle="1" w:styleId="ZhlavChar">
    <w:name w:val="Záhlaví Char"/>
    <w:basedOn w:val="Standardnpsmoodstavce"/>
    <w:link w:val="Zhlav"/>
    <w:uiPriority w:val="99"/>
    <w:rsid w:val="00256C38"/>
    <w:rPr>
      <w:rFonts w:ascii="Calibri" w:eastAsia="Times New Roman" w:hAnsi="Calibri" w:cs="Times New Roman"/>
      <w:sz w:val="20"/>
      <w:szCs w:val="20"/>
      <w:lang w:eastAsia="cs-CZ"/>
    </w:rPr>
  </w:style>
  <w:style w:type="paragraph" w:styleId="Zpat">
    <w:name w:val="footer"/>
    <w:basedOn w:val="Normln"/>
    <w:link w:val="ZpatChar"/>
    <w:uiPriority w:val="99"/>
    <w:unhideWhenUsed/>
    <w:rsid w:val="00256C38"/>
    <w:pPr>
      <w:tabs>
        <w:tab w:val="center" w:pos="4536"/>
        <w:tab w:val="right" w:pos="9072"/>
      </w:tabs>
      <w:spacing w:after="0"/>
    </w:pPr>
  </w:style>
  <w:style w:type="character" w:customStyle="1" w:styleId="ZpatChar">
    <w:name w:val="Zápatí Char"/>
    <w:basedOn w:val="Standardnpsmoodstavce"/>
    <w:link w:val="Zpat"/>
    <w:uiPriority w:val="99"/>
    <w:rsid w:val="00256C38"/>
    <w:rPr>
      <w:rFonts w:ascii="Calibri" w:eastAsia="Times New Roman" w:hAnsi="Calibri" w:cs="Times New Roman"/>
      <w:sz w:val="20"/>
      <w:szCs w:val="20"/>
      <w:lang w:eastAsia="cs-CZ"/>
    </w:rPr>
  </w:style>
  <w:style w:type="paragraph" w:styleId="Titulek">
    <w:name w:val="caption"/>
    <w:basedOn w:val="Normln"/>
    <w:next w:val="Normln"/>
    <w:link w:val="TitulekChar"/>
    <w:unhideWhenUsed/>
    <w:qFormat/>
    <w:rsid w:val="007E7CDD"/>
    <w:pPr>
      <w:spacing w:after="200"/>
    </w:pPr>
    <w:rPr>
      <w:b/>
      <w:bCs/>
      <w:color w:val="4F81BD" w:themeColor="accent1"/>
      <w:sz w:val="18"/>
      <w:szCs w:val="18"/>
    </w:rPr>
  </w:style>
  <w:style w:type="character" w:customStyle="1" w:styleId="TitulekChar">
    <w:name w:val="Titulek Char"/>
    <w:link w:val="Titulek"/>
    <w:rsid w:val="007E7CDD"/>
    <w:rPr>
      <w:rFonts w:ascii="Calibri" w:eastAsia="Times New Roman" w:hAnsi="Calibri" w:cs="Times New Roman"/>
      <w:b/>
      <w:bCs/>
      <w:color w:val="4F81BD" w:themeColor="accent1"/>
      <w:sz w:val="18"/>
      <w:szCs w:val="18"/>
      <w:lang w:eastAsia="cs-CZ"/>
    </w:rPr>
  </w:style>
  <w:style w:type="paragraph" w:styleId="Odstavecseseznamem">
    <w:name w:val="List Paragraph"/>
    <w:basedOn w:val="Normln"/>
    <w:uiPriority w:val="34"/>
    <w:qFormat/>
    <w:rsid w:val="00DB1EC1"/>
    <w:pPr>
      <w:ind w:left="720"/>
      <w:contextualSpacing/>
    </w:pPr>
  </w:style>
  <w:style w:type="paragraph" w:styleId="Textbubliny">
    <w:name w:val="Balloon Text"/>
    <w:basedOn w:val="Normln"/>
    <w:link w:val="TextbublinyChar"/>
    <w:uiPriority w:val="99"/>
    <w:semiHidden/>
    <w:unhideWhenUsed/>
    <w:rsid w:val="007E02A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E02A2"/>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hidden/>
    <w:qFormat/>
    <w:rsid w:val="00256C38"/>
    <w:pPr>
      <w:spacing w:after="120" w:line="240" w:lineRule="auto"/>
      <w:jc w:val="both"/>
    </w:pPr>
    <w:rPr>
      <w:rFonts w:ascii="Calibri" w:eastAsia="Times New Roman" w:hAnsi="Calibri"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mal">
    <w:name w:val="Nadpis malý"/>
    <w:next w:val="Normln"/>
    <w:qFormat/>
    <w:rsid w:val="00256C38"/>
    <w:pPr>
      <w:keepNext/>
      <w:keepLines/>
      <w:spacing w:before="360" w:after="60" w:line="240" w:lineRule="auto"/>
      <w:jc w:val="both"/>
    </w:pPr>
    <w:rPr>
      <w:rFonts w:ascii="Calibri" w:eastAsia="Times New Roman" w:hAnsi="Calibri" w:cs="Times New Roman"/>
      <w:b/>
      <w:sz w:val="24"/>
      <w:szCs w:val="24"/>
      <w:lang w:eastAsia="cs-CZ"/>
    </w:rPr>
  </w:style>
  <w:style w:type="paragraph" w:styleId="Zhlav">
    <w:name w:val="header"/>
    <w:basedOn w:val="Normln"/>
    <w:link w:val="ZhlavChar"/>
    <w:uiPriority w:val="99"/>
    <w:unhideWhenUsed/>
    <w:rsid w:val="00256C38"/>
    <w:pPr>
      <w:tabs>
        <w:tab w:val="center" w:pos="4536"/>
        <w:tab w:val="right" w:pos="9072"/>
      </w:tabs>
      <w:spacing w:after="0"/>
    </w:pPr>
  </w:style>
  <w:style w:type="character" w:customStyle="1" w:styleId="ZhlavChar">
    <w:name w:val="Záhlaví Char"/>
    <w:basedOn w:val="Standardnpsmoodstavce"/>
    <w:link w:val="Zhlav"/>
    <w:uiPriority w:val="99"/>
    <w:rsid w:val="00256C38"/>
    <w:rPr>
      <w:rFonts w:ascii="Calibri" w:eastAsia="Times New Roman" w:hAnsi="Calibri" w:cs="Times New Roman"/>
      <w:sz w:val="20"/>
      <w:szCs w:val="20"/>
      <w:lang w:eastAsia="cs-CZ"/>
    </w:rPr>
  </w:style>
  <w:style w:type="paragraph" w:styleId="Zpat">
    <w:name w:val="footer"/>
    <w:basedOn w:val="Normln"/>
    <w:link w:val="ZpatChar"/>
    <w:uiPriority w:val="99"/>
    <w:unhideWhenUsed/>
    <w:rsid w:val="00256C38"/>
    <w:pPr>
      <w:tabs>
        <w:tab w:val="center" w:pos="4536"/>
        <w:tab w:val="right" w:pos="9072"/>
      </w:tabs>
      <w:spacing w:after="0"/>
    </w:pPr>
  </w:style>
  <w:style w:type="character" w:customStyle="1" w:styleId="ZpatChar">
    <w:name w:val="Zápatí Char"/>
    <w:basedOn w:val="Standardnpsmoodstavce"/>
    <w:link w:val="Zpat"/>
    <w:uiPriority w:val="99"/>
    <w:rsid w:val="00256C38"/>
    <w:rPr>
      <w:rFonts w:ascii="Calibri" w:eastAsia="Times New Roman" w:hAnsi="Calibri" w:cs="Times New Roman"/>
      <w:sz w:val="20"/>
      <w:szCs w:val="20"/>
      <w:lang w:eastAsia="cs-CZ"/>
    </w:rPr>
  </w:style>
  <w:style w:type="paragraph" w:styleId="Titulek">
    <w:name w:val="caption"/>
    <w:basedOn w:val="Normln"/>
    <w:next w:val="Normln"/>
    <w:link w:val="TitulekChar"/>
    <w:unhideWhenUsed/>
    <w:qFormat/>
    <w:rsid w:val="007E7CDD"/>
    <w:pPr>
      <w:spacing w:after="200"/>
    </w:pPr>
    <w:rPr>
      <w:b/>
      <w:bCs/>
      <w:color w:val="4F81BD" w:themeColor="accent1"/>
      <w:sz w:val="18"/>
      <w:szCs w:val="18"/>
    </w:rPr>
  </w:style>
  <w:style w:type="character" w:customStyle="1" w:styleId="TitulekChar">
    <w:name w:val="Titulek Char"/>
    <w:link w:val="Titulek"/>
    <w:rsid w:val="007E7CDD"/>
    <w:rPr>
      <w:rFonts w:ascii="Calibri" w:eastAsia="Times New Roman" w:hAnsi="Calibri" w:cs="Times New Roman"/>
      <w:b/>
      <w:bCs/>
      <w:color w:val="4F81BD" w:themeColor="accent1"/>
      <w:sz w:val="18"/>
      <w:szCs w:val="18"/>
      <w:lang w:eastAsia="cs-CZ"/>
    </w:rPr>
  </w:style>
  <w:style w:type="paragraph" w:styleId="Odstavecseseznamem">
    <w:name w:val="List Paragraph"/>
    <w:basedOn w:val="Normln"/>
    <w:uiPriority w:val="34"/>
    <w:qFormat/>
    <w:rsid w:val="00DB1EC1"/>
    <w:pPr>
      <w:ind w:left="720"/>
      <w:contextualSpacing/>
    </w:pPr>
  </w:style>
  <w:style w:type="paragraph" w:styleId="Textbubliny">
    <w:name w:val="Balloon Text"/>
    <w:basedOn w:val="Normln"/>
    <w:link w:val="TextbublinyChar"/>
    <w:uiPriority w:val="99"/>
    <w:semiHidden/>
    <w:unhideWhenUsed/>
    <w:rsid w:val="007E02A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E02A2"/>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02230">
      <w:bodyDiv w:val="1"/>
      <w:marLeft w:val="0"/>
      <w:marRight w:val="0"/>
      <w:marTop w:val="0"/>
      <w:marBottom w:val="0"/>
      <w:divBdr>
        <w:top w:val="none" w:sz="0" w:space="0" w:color="auto"/>
        <w:left w:val="none" w:sz="0" w:space="0" w:color="auto"/>
        <w:bottom w:val="none" w:sz="0" w:space="0" w:color="auto"/>
        <w:right w:val="none" w:sz="0" w:space="0" w:color="auto"/>
      </w:divBdr>
    </w:div>
    <w:div w:id="295333347">
      <w:bodyDiv w:val="1"/>
      <w:marLeft w:val="0"/>
      <w:marRight w:val="0"/>
      <w:marTop w:val="0"/>
      <w:marBottom w:val="0"/>
      <w:divBdr>
        <w:top w:val="none" w:sz="0" w:space="0" w:color="auto"/>
        <w:left w:val="none" w:sz="0" w:space="0" w:color="auto"/>
        <w:bottom w:val="none" w:sz="0" w:space="0" w:color="auto"/>
        <w:right w:val="none" w:sz="0" w:space="0" w:color="auto"/>
      </w:divBdr>
    </w:div>
    <w:div w:id="474495665">
      <w:bodyDiv w:val="1"/>
      <w:marLeft w:val="0"/>
      <w:marRight w:val="0"/>
      <w:marTop w:val="0"/>
      <w:marBottom w:val="0"/>
      <w:divBdr>
        <w:top w:val="none" w:sz="0" w:space="0" w:color="auto"/>
        <w:left w:val="none" w:sz="0" w:space="0" w:color="auto"/>
        <w:bottom w:val="none" w:sz="0" w:space="0" w:color="auto"/>
        <w:right w:val="none" w:sz="0" w:space="0" w:color="auto"/>
      </w:divBdr>
    </w:div>
    <w:div w:id="632754930">
      <w:bodyDiv w:val="1"/>
      <w:marLeft w:val="0"/>
      <w:marRight w:val="0"/>
      <w:marTop w:val="0"/>
      <w:marBottom w:val="0"/>
      <w:divBdr>
        <w:top w:val="none" w:sz="0" w:space="0" w:color="auto"/>
        <w:left w:val="none" w:sz="0" w:space="0" w:color="auto"/>
        <w:bottom w:val="none" w:sz="0" w:space="0" w:color="auto"/>
        <w:right w:val="none" w:sz="0" w:space="0" w:color="auto"/>
      </w:divBdr>
    </w:div>
    <w:div w:id="847214505">
      <w:bodyDiv w:val="1"/>
      <w:marLeft w:val="0"/>
      <w:marRight w:val="0"/>
      <w:marTop w:val="0"/>
      <w:marBottom w:val="0"/>
      <w:divBdr>
        <w:top w:val="none" w:sz="0" w:space="0" w:color="auto"/>
        <w:left w:val="none" w:sz="0" w:space="0" w:color="auto"/>
        <w:bottom w:val="none" w:sz="0" w:space="0" w:color="auto"/>
        <w:right w:val="none" w:sz="0" w:space="0" w:color="auto"/>
      </w:divBdr>
    </w:div>
    <w:div w:id="880366092">
      <w:bodyDiv w:val="1"/>
      <w:marLeft w:val="0"/>
      <w:marRight w:val="0"/>
      <w:marTop w:val="0"/>
      <w:marBottom w:val="0"/>
      <w:divBdr>
        <w:top w:val="none" w:sz="0" w:space="0" w:color="auto"/>
        <w:left w:val="none" w:sz="0" w:space="0" w:color="auto"/>
        <w:bottom w:val="none" w:sz="0" w:space="0" w:color="auto"/>
        <w:right w:val="none" w:sz="0" w:space="0" w:color="auto"/>
      </w:divBdr>
    </w:div>
    <w:div w:id="1103957496">
      <w:bodyDiv w:val="1"/>
      <w:marLeft w:val="0"/>
      <w:marRight w:val="0"/>
      <w:marTop w:val="0"/>
      <w:marBottom w:val="0"/>
      <w:divBdr>
        <w:top w:val="none" w:sz="0" w:space="0" w:color="auto"/>
        <w:left w:val="none" w:sz="0" w:space="0" w:color="auto"/>
        <w:bottom w:val="none" w:sz="0" w:space="0" w:color="auto"/>
        <w:right w:val="none" w:sz="0" w:space="0" w:color="auto"/>
      </w:divBdr>
    </w:div>
    <w:div w:id="1147017638">
      <w:bodyDiv w:val="1"/>
      <w:marLeft w:val="0"/>
      <w:marRight w:val="0"/>
      <w:marTop w:val="0"/>
      <w:marBottom w:val="0"/>
      <w:divBdr>
        <w:top w:val="none" w:sz="0" w:space="0" w:color="auto"/>
        <w:left w:val="none" w:sz="0" w:space="0" w:color="auto"/>
        <w:bottom w:val="none" w:sz="0" w:space="0" w:color="auto"/>
        <w:right w:val="none" w:sz="0" w:space="0" w:color="auto"/>
      </w:divBdr>
    </w:div>
    <w:div w:id="1506364896">
      <w:bodyDiv w:val="1"/>
      <w:marLeft w:val="0"/>
      <w:marRight w:val="0"/>
      <w:marTop w:val="0"/>
      <w:marBottom w:val="0"/>
      <w:divBdr>
        <w:top w:val="none" w:sz="0" w:space="0" w:color="auto"/>
        <w:left w:val="none" w:sz="0" w:space="0" w:color="auto"/>
        <w:bottom w:val="none" w:sz="0" w:space="0" w:color="auto"/>
        <w:right w:val="none" w:sz="0" w:space="0" w:color="auto"/>
      </w:divBdr>
    </w:div>
    <w:div w:id="176294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D0D01-2554-4FD3-9EE6-383D0248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1550</Words>
  <Characters>9145</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Šeráková Nikola Ing.</dc:creator>
  <cp:lastModifiedBy>Šiman Jiří Ing.</cp:lastModifiedBy>
  <cp:revision>15</cp:revision>
  <cp:lastPrinted>2019-09-27T06:58:00Z</cp:lastPrinted>
  <dcterms:created xsi:type="dcterms:W3CDTF">2019-08-29T08:34:00Z</dcterms:created>
  <dcterms:modified xsi:type="dcterms:W3CDTF">2019-09-29T15:00:00Z</dcterms:modified>
</cp:coreProperties>
</file>