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57C" w:rsidRDefault="000E057C" w:rsidP="000E057C">
      <w:pPr>
        <w:pStyle w:val="Nadpismal"/>
        <w:spacing w:before="0" w:after="0"/>
        <w:jc w:val="right"/>
      </w:pPr>
      <w:r>
        <w:t>Příloha č. 4</w:t>
      </w:r>
    </w:p>
    <w:p w:rsidR="00E1207A" w:rsidRDefault="00E1207A" w:rsidP="00E1207A">
      <w:pPr>
        <w:spacing w:before="1200" w:after="0"/>
        <w:jc w:val="center"/>
        <w:rPr>
          <w:b/>
          <w:spacing w:val="10"/>
          <w:sz w:val="32"/>
          <w:szCs w:val="32"/>
        </w:rPr>
      </w:pPr>
    </w:p>
    <w:p w:rsidR="00E1207A" w:rsidRDefault="00E1207A" w:rsidP="00E1207A">
      <w:pPr>
        <w:spacing w:before="1200" w:after="0"/>
        <w:jc w:val="center"/>
        <w:rPr>
          <w:b/>
          <w:spacing w:val="10"/>
          <w:sz w:val="32"/>
          <w:szCs w:val="32"/>
        </w:rPr>
      </w:pPr>
    </w:p>
    <w:p w:rsidR="00E1207A" w:rsidRDefault="000E057C" w:rsidP="00E1207A">
      <w:pPr>
        <w:spacing w:before="840" w:after="0"/>
        <w:jc w:val="center"/>
        <w:rPr>
          <w:b/>
          <w:spacing w:val="10"/>
          <w:sz w:val="32"/>
          <w:szCs w:val="32"/>
        </w:rPr>
      </w:pPr>
      <w:r w:rsidRPr="000E057C">
        <w:rPr>
          <w:b/>
          <w:spacing w:val="10"/>
          <w:sz w:val="32"/>
          <w:szCs w:val="32"/>
        </w:rPr>
        <w:t>Kvantifikace daňových úlev v České republice</w:t>
      </w:r>
    </w:p>
    <w:p w:rsidR="007D49F3" w:rsidRDefault="000E057C" w:rsidP="00E1207A">
      <w:pPr>
        <w:spacing w:before="100" w:beforeAutospacing="1" w:after="0"/>
        <w:jc w:val="center"/>
        <w:rPr>
          <w:b/>
          <w:spacing w:val="10"/>
          <w:sz w:val="32"/>
          <w:szCs w:val="32"/>
        </w:rPr>
      </w:pPr>
      <w:r w:rsidRPr="000E057C">
        <w:rPr>
          <w:b/>
          <w:spacing w:val="10"/>
          <w:sz w:val="32"/>
          <w:szCs w:val="32"/>
        </w:rPr>
        <w:t xml:space="preserve"> za rok</w:t>
      </w:r>
      <w:r w:rsidR="00F51CBF">
        <w:rPr>
          <w:b/>
          <w:spacing w:val="10"/>
          <w:sz w:val="32"/>
          <w:szCs w:val="32"/>
        </w:rPr>
        <w:t>y</w:t>
      </w:r>
      <w:r w:rsidRPr="000E057C">
        <w:rPr>
          <w:b/>
          <w:spacing w:val="10"/>
          <w:sz w:val="32"/>
          <w:szCs w:val="32"/>
        </w:rPr>
        <w:t xml:space="preserve"> 2016 a 2017</w:t>
      </w:r>
    </w:p>
    <w:p w:rsidR="007D49F3" w:rsidRDefault="007D49F3" w:rsidP="007D49F3">
      <w:r>
        <w:br w:type="page"/>
      </w:r>
    </w:p>
    <w:p w:rsidR="007C3561" w:rsidRDefault="007C3561" w:rsidP="007C3561">
      <w:pPr>
        <w:pStyle w:val="Nadpis1"/>
      </w:pPr>
      <w:r>
        <w:lastRenderedPageBreak/>
        <w:t>Popis metodiky</w:t>
      </w:r>
    </w:p>
    <w:p w:rsidR="007C3561" w:rsidRDefault="007C3561" w:rsidP="007C3561">
      <w:pPr>
        <w:pStyle w:val="Nadpis2"/>
      </w:pPr>
      <w:r>
        <w:t>Použitá metodika</w:t>
      </w:r>
    </w:p>
    <w:p w:rsidR="007C3561" w:rsidRPr="00BC28D2" w:rsidRDefault="007C3561" w:rsidP="007C3561">
      <w:pPr>
        <w:sectPr w:rsidR="007C3561" w:rsidRPr="00BC28D2" w:rsidSect="00397F39">
          <w:footerReference w:type="default" r:id="rId9"/>
          <w:footerReference w:type="first" r:id="rId10"/>
          <w:pgSz w:w="11906" w:h="16838" w:code="9"/>
          <w:pgMar w:top="1134" w:right="1134" w:bottom="1134" w:left="1134" w:header="709" w:footer="709" w:gutter="0"/>
          <w:pgNumType w:start="0"/>
          <w:cols w:space="397"/>
          <w:titlePg/>
          <w:docGrid w:linePitch="360"/>
        </w:sectPr>
      </w:pPr>
    </w:p>
    <w:p w:rsidR="0039205A" w:rsidRPr="00E40C00" w:rsidRDefault="0039205A" w:rsidP="0039205A">
      <w:pPr>
        <w:widowControl w:val="0"/>
        <w:spacing w:before="240"/>
      </w:pPr>
      <w:r>
        <w:lastRenderedPageBreak/>
        <w:t>V</w:t>
      </w:r>
      <w:r w:rsidRPr="00906C13">
        <w:t> současné době neexistuje jednotná metodik</w:t>
      </w:r>
      <w:r>
        <w:t>a pro výpočet daňových úlev,</w:t>
      </w:r>
      <w:r w:rsidRPr="00906C13">
        <w:t xml:space="preserve"> nejsou dána </w:t>
      </w:r>
      <w:r>
        <w:t xml:space="preserve">ani </w:t>
      </w:r>
      <w:r w:rsidRPr="00906C13">
        <w:t>žádná jiná omezující pravidla podoby analýzy daňových úlev.</w:t>
      </w:r>
      <w:r>
        <w:t xml:space="preserve"> </w:t>
      </w:r>
      <w:r w:rsidRPr="00906C13">
        <w:t>Evropská komise dává v tomto ohledu členským státům poměrnou volnost a formuluje pouze jistá doporučení, která jsou v následujícím textu zohledněna. Pro výpočet daňových úlev byla v České republice zvolena metoda ušlých příjmů. Jejím p</w:t>
      </w:r>
      <w:r w:rsidRPr="0039205A">
        <w:t xml:space="preserve">rincipem je vyčíslení snížení příjmů, kterého je použitím dané úlevy dosaženo, pokud je poplatníkem daňová </w:t>
      </w:r>
      <w:bookmarkStart w:id="0" w:name="_GoBack"/>
      <w:bookmarkEnd w:id="0"/>
      <w:r w:rsidRPr="0039205A">
        <w:t>úleva využita. Jinými slovy se jedná o statický výpočet ztráty</w:t>
      </w:r>
      <w:r w:rsidRPr="00906C13">
        <w:t xml:space="preserve"> příjmů vzniklé veřejnému sektoru. </w:t>
      </w:r>
      <w:r w:rsidR="00B363C2" w:rsidRPr="00E40C00">
        <w:t>Statický v tom smyslu, že nebere v úvahu změnu chování subjektů. Pokud dojde ke zrušení daňové úlevy, mohou subjekty změnit své chování, a to může vést k odlišnému dopadu zrušení daňové úlevy na veřejné rozpočty.</w:t>
      </w:r>
    </w:p>
    <w:p w:rsidR="0039205A" w:rsidRDefault="0039205A" w:rsidP="0039205A">
      <w:pPr>
        <w:widowControl w:val="0"/>
        <w:spacing w:before="240"/>
      </w:pPr>
      <w:r w:rsidRPr="00906C13">
        <w:t>V případě, že by některá z daňových ú</w:t>
      </w:r>
      <w:r>
        <w:t>lev byla zrušena, neznamená to</w:t>
      </w:r>
      <w:r w:rsidRPr="00906C13">
        <w:t>, že by se příjmy veřejných rozpočtů zvýšily o zde odhadnutou výši této daňové úlevy</w:t>
      </w:r>
      <w:r w:rsidRPr="000E39EC">
        <w:t>. Odhad výše daňových úlev totiž nezohledňuje možnou provázanost mezi daňovými úlevami.</w:t>
      </w:r>
      <w:r>
        <w:t xml:space="preserve"> Zejména v případech osvobození, kdy zákon explicitně nestanoví způsob zdanění při nesplnění podmínek, je výpočet proveden na hrubý příjem, tj. není uvažován případný </w:t>
      </w:r>
      <w:r>
        <w:lastRenderedPageBreak/>
        <w:t>výdaj (ten má zpravidla několik variant, jak by mohl být konstruován).</w:t>
      </w:r>
      <w:r w:rsidRPr="000E39EC">
        <w:t xml:space="preserve"> Celkový dopad zrušení daného osvobození by tak mohl být menší než dopad vyčíslený čistě staticky bez zohlednění provázanosti. Vyčíslení daňových úlev se zohledněním možné provázanosti však není s ohledem na neznalost individualizovaných dat pro každého poplatníka možné.</w:t>
      </w:r>
      <w:r>
        <w:t xml:space="preserve"> </w:t>
      </w:r>
      <w:r w:rsidRPr="00906C13">
        <w:t>Daňové subjekty, kterých by se zrušení daňové úlevy dotklo, mohou</w:t>
      </w:r>
      <w:r>
        <w:t xml:space="preserve"> také</w:t>
      </w:r>
      <w:r w:rsidRPr="00906C13">
        <w:t xml:space="preserve"> změnit své chování – využít jiných daňových úlev, přesunout svou aktivitu do jiné oblasti či je zrušení daňové úlevy může i od jakékoli činnosti zcela odradit.</w:t>
      </w:r>
      <w:r>
        <w:t xml:space="preserve"> </w:t>
      </w:r>
    </w:p>
    <w:p w:rsidR="0039205A" w:rsidRDefault="0039205A" w:rsidP="0039205A">
      <w:pPr>
        <w:widowControl w:val="0"/>
      </w:pPr>
      <w:r w:rsidRPr="00906C13">
        <w:t>Obecně je pro stanovení výše jednotlivých daňových úlev potřeba mnoho dat. S tím však souvisí problém při obstarávání datové základny, neboť v řadě případů by</w:t>
      </w:r>
      <w:r>
        <w:t xml:space="preserve"> </w:t>
      </w:r>
      <w:r w:rsidRPr="00906C13">
        <w:t>toto vedlo k nepřiměřeně velkému zvýšení administrativní zátěže dotčených subjektů. Ačkoliv ani použitá metoda ušlých příjmů není na data nenáročná, v porovnání s ostatními metodami je relativně jednoduchá a i z dalších důvodů se jeví jak</w:t>
      </w:r>
      <w:r>
        <w:t xml:space="preserve">o nejvhodnější. Jedná se také </w:t>
      </w:r>
      <w:r w:rsidRPr="00973D4A">
        <w:t>o</w:t>
      </w:r>
      <w:r w:rsidRPr="00973D4A">
        <w:rPr>
          <w:szCs w:val="24"/>
        </w:rPr>
        <w:t> </w:t>
      </w:r>
      <w:r w:rsidRPr="00973D4A">
        <w:t>nejrozšířeněji používanou metodu.</w:t>
      </w:r>
      <w:r>
        <w:t xml:space="preserve"> </w:t>
      </w:r>
      <w:r w:rsidRPr="00973D4A">
        <w:t>Vyčíslení skutečné výše daňové úlevy je velmi náročné. A to nejen na datovou základnu ale především zahrnutí skutečnosti, že daňoví poplatníci mohou změnit své chování.</w:t>
      </w:r>
      <w:r>
        <w:t xml:space="preserve"> </w:t>
      </w:r>
      <w:r w:rsidRPr="00973D4A">
        <w:t xml:space="preserve">Z těchto důvodů se při </w:t>
      </w:r>
      <w:r>
        <w:t>kvantifikaci daňových úlev</w:t>
      </w:r>
      <w:r w:rsidRPr="00973D4A">
        <w:t xml:space="preserve"> přistoupilo k řadě zjednodušení.  </w:t>
      </w:r>
    </w:p>
    <w:p w:rsidR="0039205A" w:rsidRDefault="0039205A" w:rsidP="0039205A">
      <w:pPr>
        <w:widowControl w:val="0"/>
        <w:sectPr w:rsidR="0039205A" w:rsidSect="00F30468">
          <w:type w:val="continuous"/>
          <w:pgSz w:w="11906" w:h="16838" w:code="9"/>
          <w:pgMar w:top="1134" w:right="1134" w:bottom="1134" w:left="1134" w:header="709" w:footer="709" w:gutter="0"/>
          <w:cols w:num="2" w:space="397"/>
          <w:docGrid w:linePitch="360"/>
        </w:sectPr>
      </w:pPr>
    </w:p>
    <w:p w:rsidR="0039205A" w:rsidRPr="00973D4A" w:rsidRDefault="0039205A" w:rsidP="0039205A">
      <w:pPr>
        <w:widowControl w:val="0"/>
      </w:pPr>
      <w:r w:rsidRPr="00973D4A">
        <w:lastRenderedPageBreak/>
        <w:t xml:space="preserve"> </w:t>
      </w:r>
    </w:p>
    <w:p w:rsidR="0039205A" w:rsidRDefault="0039205A" w:rsidP="0039205A">
      <w:pPr>
        <w:pStyle w:val="Nadpis1"/>
        <w:rPr>
          <w:rFonts w:cs="Times New Roman"/>
          <w:szCs w:val="20"/>
        </w:rPr>
        <w:sectPr w:rsidR="0039205A" w:rsidSect="00F30468">
          <w:type w:val="continuous"/>
          <w:pgSz w:w="11906" w:h="16838" w:code="9"/>
          <w:pgMar w:top="1134" w:right="1134" w:bottom="1134" w:left="1134" w:header="709" w:footer="709" w:gutter="0"/>
          <w:cols w:num="2" w:space="397"/>
          <w:docGrid w:linePitch="360"/>
        </w:sectPr>
      </w:pPr>
    </w:p>
    <w:p w:rsidR="007C3561" w:rsidRDefault="007C3561" w:rsidP="007C3561">
      <w:pPr>
        <w:pStyle w:val="Nadpis1"/>
      </w:pPr>
      <w:r>
        <w:lastRenderedPageBreak/>
        <w:t>Výše daňových úlev</w:t>
      </w:r>
    </w:p>
    <w:p w:rsidR="007C3561" w:rsidRDefault="007C3561" w:rsidP="007C3561">
      <w:pPr>
        <w:widowControl w:val="0"/>
        <w:rPr>
          <w:szCs w:val="24"/>
        </w:rPr>
        <w:sectPr w:rsidR="007C3561" w:rsidSect="00F30468">
          <w:type w:val="continuous"/>
          <w:pgSz w:w="11906" w:h="16838" w:code="9"/>
          <w:pgMar w:top="1134" w:right="1134" w:bottom="1134" w:left="1134" w:header="709" w:footer="709" w:gutter="0"/>
          <w:cols w:space="397"/>
          <w:docGrid w:linePitch="360"/>
        </w:sectPr>
      </w:pPr>
    </w:p>
    <w:p w:rsidR="0039205A" w:rsidRPr="00973D4A" w:rsidRDefault="0039205A" w:rsidP="0039205A">
      <w:pPr>
        <w:widowControl w:val="0"/>
        <w:rPr>
          <w:szCs w:val="24"/>
        </w:rPr>
      </w:pPr>
      <w:bookmarkStart w:id="1" w:name="_Toc469298462"/>
      <w:r w:rsidRPr="00906C13">
        <w:rPr>
          <w:szCs w:val="24"/>
        </w:rPr>
        <w:lastRenderedPageBreak/>
        <w:t xml:space="preserve">Výše daňových úlev </w:t>
      </w:r>
      <w:r>
        <w:rPr>
          <w:szCs w:val="24"/>
        </w:rPr>
        <w:t xml:space="preserve">byla vyčíslena na roční bázi pro roky 2016 a 2017 metodou ušlých příjmů za předpokladu statického přístupu </w:t>
      </w:r>
      <w:r w:rsidRPr="00E0271E">
        <w:rPr>
          <w:szCs w:val="24"/>
        </w:rPr>
        <w:t>a současně bez zohlednění možné provázanosti mezi jednotlivými daňovými úlevami.</w:t>
      </w:r>
      <w:r>
        <w:rPr>
          <w:szCs w:val="24"/>
        </w:rPr>
        <w:t xml:space="preserve"> Vyčíslení veškerých daňových úlev, které český daňový systém zahrnuje, není možné, hlavním důvodem je především neexistence, nedostupnost nebo neúplnost </w:t>
      </w:r>
      <w:r w:rsidRPr="00973D4A">
        <w:rPr>
          <w:szCs w:val="24"/>
        </w:rPr>
        <w:t>dat potřebných pro provedení vyčíslení výše daňových úlev</w:t>
      </w:r>
      <w:r>
        <w:rPr>
          <w:szCs w:val="24"/>
        </w:rPr>
        <w:t>.</w:t>
      </w:r>
      <w:r w:rsidRPr="00973D4A">
        <w:rPr>
          <w:szCs w:val="24"/>
        </w:rPr>
        <w:t xml:space="preserve"> Dalším důvodem je pak nepřiměřeně vysoká administrativní zátěž na získání dat potřebných k vyčíslení výše daňových úlev ve srovnání s dopadem výše takto zjištěných daňových úlev na veřejné rozpočty, který je v naprosté většině případů zcela zanedbatelný. S ohledem na všechny výše uvedené skutečnosti tak byly </w:t>
      </w:r>
      <w:r w:rsidRPr="00973D4A">
        <w:rPr>
          <w:szCs w:val="24"/>
        </w:rPr>
        <w:lastRenderedPageBreak/>
        <w:t xml:space="preserve">vyčísleny pouze ty daňové úlevy, které bylo možné s ohledem na dostupnost dat vyčíslit a současně jejich dopad na veřejné rozpočty převyšuje částku 100 milionů Kč. </w:t>
      </w:r>
    </w:p>
    <w:p w:rsidR="0039205A" w:rsidRDefault="0039205A" w:rsidP="0039205A">
      <w:pPr>
        <w:widowControl w:val="0"/>
        <w:rPr>
          <w:szCs w:val="24"/>
        </w:rPr>
      </w:pPr>
      <w:r>
        <w:rPr>
          <w:szCs w:val="24"/>
        </w:rPr>
        <w:t>K vyčíslení výše daňových úlev byl u většiny případů použit Automatizovaný daňový informační systém (tzv. ADIS), do jehož agregované verze má Ministerstvo financí přístup. Dalšími zdroji pak jsou veřejně publikované a interní výkazy věcně příslušných institucí.</w:t>
      </w:r>
    </w:p>
    <w:p w:rsidR="0039205A" w:rsidRDefault="0039205A" w:rsidP="0039205A">
      <w:pPr>
        <w:widowControl w:val="0"/>
        <w:rPr>
          <w:szCs w:val="24"/>
        </w:rPr>
      </w:pPr>
      <w:r>
        <w:rPr>
          <w:szCs w:val="24"/>
        </w:rPr>
        <w:t xml:space="preserve">V následujícím textu je uvedeno vyčíslení výše daňových úlev pro roky 2016 a 2017 z daní z příjmů a z daně z přidané hodnoty. </w:t>
      </w:r>
    </w:p>
    <w:p w:rsidR="0039205A" w:rsidRDefault="0039205A" w:rsidP="007C3561">
      <w:pPr>
        <w:pStyle w:val="Nadpis2"/>
        <w:sectPr w:rsidR="0039205A" w:rsidSect="00F30468">
          <w:type w:val="continuous"/>
          <w:pgSz w:w="11906" w:h="16838" w:code="9"/>
          <w:pgMar w:top="1134" w:right="1134" w:bottom="1134" w:left="1134" w:header="709" w:footer="709" w:gutter="0"/>
          <w:cols w:num="2" w:space="397"/>
          <w:docGrid w:linePitch="360"/>
        </w:sectPr>
      </w:pPr>
    </w:p>
    <w:p w:rsidR="007C3561" w:rsidRDefault="007C3561" w:rsidP="007C3561">
      <w:pPr>
        <w:pStyle w:val="Nadpis2"/>
      </w:pPr>
      <w:r>
        <w:lastRenderedPageBreak/>
        <w:t xml:space="preserve">Daň z příjmů </w:t>
      </w:r>
      <w:r w:rsidRPr="00B025CD">
        <w:t>fyzických</w:t>
      </w:r>
      <w:r>
        <w:t xml:space="preserve"> osob – výše daňových úlev pro rok 201</w:t>
      </w:r>
      <w:bookmarkEnd w:id="1"/>
      <w:r>
        <w:t>6</w:t>
      </w:r>
    </w:p>
    <w:p w:rsidR="007C3561" w:rsidRDefault="007C3561" w:rsidP="007C3561">
      <w:pPr>
        <w:widowControl w:val="0"/>
        <w:rPr>
          <w:szCs w:val="24"/>
        </w:rPr>
        <w:sectPr w:rsidR="007C3561" w:rsidSect="00F30468">
          <w:type w:val="continuous"/>
          <w:pgSz w:w="11906" w:h="16838" w:code="9"/>
          <w:pgMar w:top="1134" w:right="1134" w:bottom="1134" w:left="1134" w:header="709" w:footer="709" w:gutter="0"/>
          <w:cols w:space="397"/>
          <w:docGrid w:linePitch="360"/>
        </w:sectPr>
      </w:pPr>
    </w:p>
    <w:p w:rsidR="0039205A" w:rsidRDefault="0039205A" w:rsidP="0039205A">
      <w:pPr>
        <w:widowControl w:val="0"/>
        <w:rPr>
          <w:szCs w:val="24"/>
        </w:rPr>
      </w:pPr>
      <w:r>
        <w:rPr>
          <w:szCs w:val="24"/>
        </w:rPr>
        <w:lastRenderedPageBreak/>
        <w:t xml:space="preserve">S ohledem na veškeré výše uvedené skutečnosti zachycuje následující tabulka přehled těch daňových </w:t>
      </w:r>
      <w:r>
        <w:rPr>
          <w:szCs w:val="24"/>
        </w:rPr>
        <w:lastRenderedPageBreak/>
        <w:t xml:space="preserve">úlev, jejichž výše byla pro roky 2016 a 2017 vyčíslena. </w:t>
      </w:r>
    </w:p>
    <w:p w:rsidR="0039205A" w:rsidRDefault="0039205A" w:rsidP="007C3561">
      <w:pPr>
        <w:sectPr w:rsidR="0039205A" w:rsidSect="00F30468">
          <w:type w:val="continuous"/>
          <w:pgSz w:w="11906" w:h="16838" w:code="9"/>
          <w:pgMar w:top="1134" w:right="1134" w:bottom="1134" w:left="1134" w:header="709" w:footer="709" w:gutter="0"/>
          <w:cols w:num="2" w:space="397"/>
          <w:docGrid w:linePitch="360"/>
        </w:sectPr>
      </w:pPr>
    </w:p>
    <w:p w:rsidR="00A23A7F" w:rsidRDefault="00A23A7F" w:rsidP="007C3561"/>
    <w:p w:rsidR="00A23A7F" w:rsidRDefault="00A23A7F" w:rsidP="007C3561"/>
    <w:p w:rsidR="00A23A7F" w:rsidRDefault="00A23A7F" w:rsidP="007C3561"/>
    <w:p w:rsidR="007C3561" w:rsidRPr="007C3561" w:rsidRDefault="007C3561" w:rsidP="00A23A7F">
      <w:pPr>
        <w:pStyle w:val="Titulek"/>
        <w:keepNext/>
        <w:spacing w:after="0"/>
        <w:jc w:val="left"/>
        <w:rPr>
          <w:color w:val="auto"/>
          <w:sz w:val="20"/>
        </w:rPr>
      </w:pPr>
      <w:r w:rsidRPr="007C3561">
        <w:rPr>
          <w:color w:val="auto"/>
          <w:sz w:val="20"/>
        </w:rPr>
        <w:lastRenderedPageBreak/>
        <w:t xml:space="preserve">Tabulka č. </w:t>
      </w:r>
      <w:r w:rsidRPr="007C3561">
        <w:rPr>
          <w:color w:val="auto"/>
          <w:sz w:val="20"/>
        </w:rPr>
        <w:fldChar w:fldCharType="begin"/>
      </w:r>
      <w:r w:rsidRPr="007C3561">
        <w:rPr>
          <w:color w:val="auto"/>
          <w:sz w:val="20"/>
        </w:rPr>
        <w:instrText xml:space="preserve"> SEQ Tabulka_č. \* ARABIC </w:instrText>
      </w:r>
      <w:r w:rsidRPr="007C3561">
        <w:rPr>
          <w:color w:val="auto"/>
          <w:sz w:val="20"/>
        </w:rPr>
        <w:fldChar w:fldCharType="separate"/>
      </w:r>
      <w:r w:rsidR="00CF78CA">
        <w:rPr>
          <w:noProof/>
          <w:color w:val="auto"/>
          <w:sz w:val="20"/>
        </w:rPr>
        <w:t>1</w:t>
      </w:r>
      <w:r w:rsidRPr="007C3561">
        <w:rPr>
          <w:color w:val="auto"/>
          <w:sz w:val="20"/>
        </w:rPr>
        <w:fldChar w:fldCharType="end"/>
      </w:r>
      <w:r w:rsidRPr="007C3561">
        <w:rPr>
          <w:color w:val="auto"/>
          <w:sz w:val="20"/>
        </w:rPr>
        <w:t xml:space="preserve"> Vyčíslené daňové úlevy u daně z příjmů fyzických osob</w:t>
      </w:r>
    </w:p>
    <w:tbl>
      <w:tblPr>
        <w:tblW w:w="9639" w:type="dxa"/>
        <w:jc w:val="center"/>
        <w:tblCellMar>
          <w:left w:w="70" w:type="dxa"/>
          <w:right w:w="70" w:type="dxa"/>
        </w:tblCellMar>
        <w:tblLook w:val="04A0" w:firstRow="1" w:lastRow="0" w:firstColumn="1" w:lastColumn="0" w:noHBand="0" w:noVBand="1"/>
      </w:tblPr>
      <w:tblGrid>
        <w:gridCol w:w="1986"/>
        <w:gridCol w:w="5433"/>
        <w:gridCol w:w="2220"/>
      </w:tblGrid>
      <w:tr w:rsidR="007C3561" w:rsidRPr="00696A26" w:rsidTr="002921F5">
        <w:trPr>
          <w:trHeight w:val="215"/>
          <w:jc w:val="center"/>
        </w:trPr>
        <w:tc>
          <w:tcPr>
            <w:tcW w:w="1986" w:type="dxa"/>
            <w:tcBorders>
              <w:top w:val="single" w:sz="8" w:space="0" w:color="auto"/>
              <w:left w:val="single" w:sz="8" w:space="0" w:color="auto"/>
              <w:bottom w:val="single" w:sz="4" w:space="0" w:color="000000"/>
              <w:right w:val="single" w:sz="4" w:space="0" w:color="000000"/>
            </w:tcBorders>
            <w:shd w:val="clear" w:color="000000" w:fill="E4DFEC"/>
            <w:vAlign w:val="center"/>
            <w:hideMark/>
          </w:tcPr>
          <w:p w:rsidR="007C3561" w:rsidRPr="00696A26" w:rsidRDefault="007C3561" w:rsidP="006E5044">
            <w:pPr>
              <w:spacing w:after="0"/>
              <w:jc w:val="center"/>
              <w:rPr>
                <w:b/>
                <w:bCs/>
                <w:color w:val="000000"/>
                <w:sz w:val="16"/>
                <w:szCs w:val="16"/>
              </w:rPr>
            </w:pPr>
            <w:bookmarkStart w:id="2" w:name="RANGE!B3"/>
            <w:bookmarkStart w:id="3" w:name="OLE_LINK1" w:colFirst="1" w:colLast="2"/>
            <w:r w:rsidRPr="00696A26">
              <w:rPr>
                <w:b/>
                <w:bCs/>
                <w:color w:val="000000"/>
                <w:sz w:val="16"/>
                <w:szCs w:val="16"/>
              </w:rPr>
              <w:t>Kategorie</w:t>
            </w:r>
            <w:bookmarkEnd w:id="2"/>
          </w:p>
        </w:tc>
        <w:tc>
          <w:tcPr>
            <w:tcW w:w="5433" w:type="dxa"/>
            <w:tcBorders>
              <w:top w:val="single" w:sz="8" w:space="0" w:color="auto"/>
              <w:left w:val="nil"/>
              <w:bottom w:val="single" w:sz="4" w:space="0" w:color="000000"/>
              <w:right w:val="single" w:sz="4" w:space="0" w:color="000000"/>
            </w:tcBorders>
            <w:shd w:val="clear" w:color="000000" w:fill="E4DFEC"/>
            <w:vAlign w:val="center"/>
            <w:hideMark/>
          </w:tcPr>
          <w:p w:rsidR="007C3561" w:rsidRPr="00696A26" w:rsidRDefault="007C3561" w:rsidP="006E5044">
            <w:pPr>
              <w:spacing w:after="0"/>
              <w:jc w:val="center"/>
              <w:rPr>
                <w:b/>
                <w:bCs/>
                <w:color w:val="000000"/>
                <w:sz w:val="16"/>
                <w:szCs w:val="16"/>
              </w:rPr>
            </w:pPr>
            <w:r w:rsidRPr="00696A26">
              <w:rPr>
                <w:b/>
                <w:bCs/>
                <w:color w:val="000000"/>
                <w:sz w:val="16"/>
                <w:szCs w:val="16"/>
              </w:rPr>
              <w:t>Název daňové úlevy</w:t>
            </w:r>
          </w:p>
        </w:tc>
        <w:tc>
          <w:tcPr>
            <w:tcW w:w="2220" w:type="dxa"/>
            <w:tcBorders>
              <w:top w:val="single" w:sz="8" w:space="0" w:color="auto"/>
              <w:left w:val="nil"/>
              <w:bottom w:val="single" w:sz="4" w:space="0" w:color="000000"/>
              <w:right w:val="single" w:sz="8" w:space="0" w:color="auto"/>
            </w:tcBorders>
            <w:shd w:val="clear" w:color="000000" w:fill="E4DFEC"/>
            <w:vAlign w:val="center"/>
            <w:hideMark/>
          </w:tcPr>
          <w:p w:rsidR="007C3561" w:rsidRPr="00696A26" w:rsidRDefault="007C3561" w:rsidP="006E5044">
            <w:pPr>
              <w:spacing w:after="0"/>
              <w:jc w:val="center"/>
              <w:rPr>
                <w:b/>
                <w:bCs/>
                <w:color w:val="000000"/>
                <w:sz w:val="16"/>
                <w:szCs w:val="16"/>
              </w:rPr>
            </w:pPr>
            <w:r w:rsidRPr="00696A26">
              <w:rPr>
                <w:b/>
                <w:bCs/>
                <w:color w:val="000000"/>
                <w:sz w:val="16"/>
                <w:szCs w:val="16"/>
              </w:rPr>
              <w:t>§ ZDP</w:t>
            </w:r>
          </w:p>
        </w:tc>
      </w:tr>
      <w:tr w:rsidR="007C3561" w:rsidRPr="00696A26" w:rsidTr="002921F5">
        <w:trPr>
          <w:trHeight w:val="215"/>
          <w:jc w:val="center"/>
        </w:trPr>
        <w:tc>
          <w:tcPr>
            <w:tcW w:w="1986" w:type="dxa"/>
            <w:vMerge w:val="restart"/>
            <w:tcBorders>
              <w:top w:val="nil"/>
              <w:left w:val="single" w:sz="8" w:space="0" w:color="auto"/>
              <w:bottom w:val="single" w:sz="4" w:space="0" w:color="000000"/>
              <w:right w:val="single" w:sz="4" w:space="0" w:color="000000"/>
            </w:tcBorders>
            <w:shd w:val="clear" w:color="000000" w:fill="FFFFFF"/>
            <w:vAlign w:val="center"/>
            <w:hideMark/>
          </w:tcPr>
          <w:p w:rsidR="007C3561" w:rsidRPr="00696A26" w:rsidRDefault="007C3561" w:rsidP="006E5044">
            <w:pPr>
              <w:spacing w:after="0"/>
              <w:jc w:val="center"/>
              <w:rPr>
                <w:b/>
                <w:bCs/>
                <w:color w:val="000000"/>
                <w:sz w:val="16"/>
                <w:szCs w:val="16"/>
              </w:rPr>
            </w:pPr>
            <w:r w:rsidRPr="00696A26">
              <w:rPr>
                <w:b/>
                <w:bCs/>
                <w:color w:val="000000"/>
                <w:sz w:val="16"/>
                <w:szCs w:val="16"/>
              </w:rPr>
              <w:t>Osvobození od daně</w:t>
            </w: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dávek a služeb z důchodového pojištění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plnění ze všeobecného zdravotního pojištění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výher z loterií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10</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dávek státní sociální podpory</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stravování poskytované zaměstnavatelem</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6</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 xml:space="preserve">Osvobození dávek z nemocenského pojištění </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 xml:space="preserve">Osvobození dávek sociální péče a příjmu plynoucího z péče o blízkou osobu </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plnění z pojištění osob kromě jednorázových plnění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 xml:space="preserve">Osvobození plnění z nástrojů státní politiky zaměstnanosti </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dávek pomoci v hmotné nouzi</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příspěvku zaměstnavatele na penzijní připojištění zaměstnance</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6</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Výsluhové náležitosti a služební příspěvek na bydlení u vojáků z povolání a výsluhové nároky u příslušníků bezpečnostních složek</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sociálních služeb</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plnění z FKSP, ze sociálního fondu a ze zisku</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6</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stipendií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4</w:t>
            </w:r>
          </w:p>
        </w:tc>
      </w:tr>
      <w:tr w:rsidR="007C3561" w:rsidRPr="00696A26" w:rsidTr="002921F5">
        <w:trPr>
          <w:trHeight w:val="215"/>
          <w:jc w:val="center"/>
        </w:trPr>
        <w:tc>
          <w:tcPr>
            <w:tcW w:w="1986" w:type="dxa"/>
            <w:vMerge w:val="restart"/>
            <w:tcBorders>
              <w:top w:val="nil"/>
              <w:left w:val="single" w:sz="8" w:space="0" w:color="auto"/>
              <w:bottom w:val="single" w:sz="4" w:space="0" w:color="000000"/>
              <w:right w:val="single" w:sz="4" w:space="0" w:color="000000"/>
            </w:tcBorders>
            <w:shd w:val="clear" w:color="000000" w:fill="FFFFFF"/>
            <w:vAlign w:val="center"/>
            <w:hideMark/>
          </w:tcPr>
          <w:p w:rsidR="007C3561" w:rsidRPr="00696A26" w:rsidRDefault="007C3561" w:rsidP="006E5044">
            <w:pPr>
              <w:spacing w:after="0"/>
              <w:jc w:val="center"/>
              <w:rPr>
                <w:b/>
                <w:bCs/>
                <w:color w:val="000000"/>
                <w:sz w:val="16"/>
                <w:szCs w:val="16"/>
              </w:rPr>
            </w:pPr>
            <w:r w:rsidRPr="00696A26">
              <w:rPr>
                <w:b/>
                <w:bCs/>
                <w:color w:val="000000"/>
                <w:sz w:val="16"/>
                <w:szCs w:val="16"/>
              </w:rPr>
              <w:t>Položky snižující základ daně</w:t>
            </w: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Úroky z úvěrů pro financování bydlení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15</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Příspěvky na životní pojištění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15</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Příspěvky na penzijní připojištění, pojištění a spoření</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15</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Dary na veřejně prospěšnou činnost</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15</w:t>
            </w:r>
          </w:p>
        </w:tc>
      </w:tr>
      <w:tr w:rsidR="007C3561" w:rsidRPr="00696A26" w:rsidTr="002921F5">
        <w:trPr>
          <w:trHeight w:val="215"/>
          <w:jc w:val="center"/>
        </w:trPr>
        <w:tc>
          <w:tcPr>
            <w:tcW w:w="1986" w:type="dxa"/>
            <w:vMerge/>
            <w:tcBorders>
              <w:top w:val="nil"/>
              <w:left w:val="single" w:sz="8" w:space="0" w:color="auto"/>
              <w:bottom w:val="single" w:sz="4"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Osvobození odběru krve nebo orgánů</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15</w:t>
            </w:r>
          </w:p>
        </w:tc>
      </w:tr>
      <w:tr w:rsidR="007C3561" w:rsidRPr="00696A26" w:rsidTr="002921F5">
        <w:trPr>
          <w:trHeight w:val="215"/>
          <w:jc w:val="center"/>
        </w:trPr>
        <w:tc>
          <w:tcPr>
            <w:tcW w:w="1986" w:type="dxa"/>
            <w:vMerge w:val="restart"/>
            <w:tcBorders>
              <w:top w:val="nil"/>
              <w:left w:val="single" w:sz="8" w:space="0" w:color="auto"/>
              <w:bottom w:val="single" w:sz="8" w:space="0" w:color="000000"/>
              <w:right w:val="single" w:sz="4" w:space="0" w:color="000000"/>
            </w:tcBorders>
            <w:shd w:val="clear" w:color="000000" w:fill="FFFFFF"/>
            <w:vAlign w:val="center"/>
            <w:hideMark/>
          </w:tcPr>
          <w:p w:rsidR="007C3561" w:rsidRPr="00696A26" w:rsidRDefault="007C3561" w:rsidP="006E5044">
            <w:pPr>
              <w:spacing w:after="0"/>
              <w:jc w:val="center"/>
              <w:rPr>
                <w:b/>
                <w:bCs/>
                <w:color w:val="000000"/>
                <w:sz w:val="16"/>
                <w:szCs w:val="16"/>
              </w:rPr>
            </w:pPr>
            <w:r w:rsidRPr="00696A26">
              <w:rPr>
                <w:b/>
                <w:bCs/>
                <w:color w:val="000000"/>
                <w:sz w:val="16"/>
                <w:szCs w:val="16"/>
              </w:rPr>
              <w:t>Položky snižující daň</w:t>
            </w: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Základní sleva na dani pro poplatníka</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Daňové zvýhodnění na děti</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35c</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Daňový bonus</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35c</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na dani na manžela/-ku</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na dani za umístění dítěte</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na dani na studenta</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na dani na invaliditu</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Rozšířená sleva na dani na invaliditu</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na dani pro osoby se ZTP/P</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na dani za zaměstnávání osob se zdravotním postižením</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za zaměstnávání osob s těžším zdravotním postižením</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4" w:space="0" w:color="000000"/>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Sleva na dani na manžela/-ku se zvlášť těžkým postižením</w:t>
            </w:r>
          </w:p>
        </w:tc>
        <w:tc>
          <w:tcPr>
            <w:tcW w:w="2220" w:type="dxa"/>
            <w:tcBorders>
              <w:top w:val="nil"/>
              <w:left w:val="nil"/>
              <w:bottom w:val="single" w:sz="4" w:space="0" w:color="000000"/>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35ba</w:t>
            </w:r>
          </w:p>
        </w:tc>
      </w:tr>
      <w:tr w:rsidR="007C3561" w:rsidRPr="00696A26" w:rsidTr="002921F5">
        <w:trPr>
          <w:trHeight w:val="215"/>
          <w:jc w:val="center"/>
        </w:trPr>
        <w:tc>
          <w:tcPr>
            <w:tcW w:w="1986" w:type="dxa"/>
            <w:vMerge/>
            <w:tcBorders>
              <w:top w:val="nil"/>
              <w:left w:val="single" w:sz="8" w:space="0" w:color="auto"/>
              <w:bottom w:val="single" w:sz="8" w:space="0" w:color="000000"/>
              <w:right w:val="single" w:sz="4" w:space="0" w:color="000000"/>
            </w:tcBorders>
            <w:vAlign w:val="center"/>
            <w:hideMark/>
          </w:tcPr>
          <w:p w:rsidR="007C3561" w:rsidRPr="00696A26" w:rsidRDefault="007C3561" w:rsidP="006E5044">
            <w:pPr>
              <w:spacing w:after="0"/>
              <w:jc w:val="left"/>
              <w:rPr>
                <w:b/>
                <w:bCs/>
                <w:color w:val="000000"/>
                <w:sz w:val="16"/>
                <w:szCs w:val="16"/>
              </w:rPr>
            </w:pPr>
          </w:p>
        </w:tc>
        <w:tc>
          <w:tcPr>
            <w:tcW w:w="5433" w:type="dxa"/>
            <w:tcBorders>
              <w:top w:val="nil"/>
              <w:left w:val="nil"/>
              <w:bottom w:val="single" w:sz="8" w:space="0" w:color="auto"/>
              <w:right w:val="single" w:sz="4" w:space="0" w:color="000000"/>
            </w:tcBorders>
            <w:shd w:val="clear" w:color="000000" w:fill="FFFFFF"/>
            <w:vAlign w:val="center"/>
            <w:hideMark/>
          </w:tcPr>
          <w:p w:rsidR="007C3561" w:rsidRPr="00696A26" w:rsidRDefault="007C3561" w:rsidP="006E5044">
            <w:pPr>
              <w:spacing w:after="0"/>
              <w:jc w:val="left"/>
              <w:rPr>
                <w:color w:val="000000"/>
                <w:sz w:val="16"/>
                <w:szCs w:val="16"/>
              </w:rPr>
            </w:pPr>
            <w:r w:rsidRPr="00696A26">
              <w:rPr>
                <w:color w:val="000000"/>
                <w:sz w:val="16"/>
                <w:szCs w:val="16"/>
              </w:rPr>
              <w:t>Investiční pobídky</w:t>
            </w:r>
          </w:p>
        </w:tc>
        <w:tc>
          <w:tcPr>
            <w:tcW w:w="2220" w:type="dxa"/>
            <w:tcBorders>
              <w:top w:val="nil"/>
              <w:left w:val="nil"/>
              <w:bottom w:val="single" w:sz="8" w:space="0" w:color="auto"/>
              <w:right w:val="single" w:sz="8" w:space="0" w:color="auto"/>
            </w:tcBorders>
            <w:shd w:val="clear" w:color="000000" w:fill="FFFFFF"/>
            <w:vAlign w:val="center"/>
            <w:hideMark/>
          </w:tcPr>
          <w:p w:rsidR="007C3561" w:rsidRPr="00696A26" w:rsidRDefault="007C3561" w:rsidP="006E5044">
            <w:pPr>
              <w:spacing w:after="0"/>
              <w:jc w:val="center"/>
              <w:rPr>
                <w:color w:val="000000"/>
                <w:sz w:val="16"/>
                <w:szCs w:val="16"/>
              </w:rPr>
            </w:pPr>
            <w:r w:rsidRPr="00696A26">
              <w:rPr>
                <w:color w:val="000000"/>
                <w:sz w:val="16"/>
                <w:szCs w:val="16"/>
              </w:rPr>
              <w:t>§§ 35a, 35b</w:t>
            </w:r>
          </w:p>
        </w:tc>
      </w:tr>
      <w:bookmarkEnd w:id="3"/>
    </w:tbl>
    <w:p w:rsidR="007C3561" w:rsidRPr="00DF41B4" w:rsidRDefault="007C3561" w:rsidP="007C3561">
      <w:pPr>
        <w:sectPr w:rsidR="007C3561" w:rsidRPr="00DF41B4" w:rsidSect="00F30468">
          <w:type w:val="continuous"/>
          <w:pgSz w:w="11906" w:h="16838" w:code="9"/>
          <w:pgMar w:top="1134" w:right="1134" w:bottom="1134" w:left="1134" w:header="709" w:footer="709" w:gutter="0"/>
          <w:cols w:space="397"/>
          <w:docGrid w:linePitch="360"/>
        </w:sectPr>
      </w:pPr>
    </w:p>
    <w:p w:rsidR="007C3561" w:rsidRDefault="007C3561" w:rsidP="00A23A7F">
      <w:pPr>
        <w:spacing w:before="240"/>
      </w:pPr>
      <w:r w:rsidRPr="00696A26">
        <w:lastRenderedPageBreak/>
        <w:t>Následující tabulka zachycuje vyčíslenou výši daňových úlev u daně z příjmů fyzických osob pro rok</w:t>
      </w:r>
      <w:r w:rsidR="00B363C2">
        <w:t>y</w:t>
      </w:r>
      <w:r w:rsidRPr="00696A26">
        <w:t xml:space="preserve"> 2016</w:t>
      </w:r>
      <w:r w:rsidR="00027182">
        <w:t xml:space="preserve"> a 2017</w:t>
      </w:r>
      <w:r>
        <w:t>.</w:t>
      </w:r>
    </w:p>
    <w:p w:rsidR="007C3561" w:rsidRDefault="007C3561" w:rsidP="007C3561">
      <w:pPr>
        <w:sectPr w:rsidR="007C3561" w:rsidSect="00F30468">
          <w:type w:val="continuous"/>
          <w:pgSz w:w="11906" w:h="16838" w:code="9"/>
          <w:pgMar w:top="1134" w:right="1134" w:bottom="1134" w:left="1134" w:header="709" w:footer="709" w:gutter="0"/>
          <w:cols w:num="2" w:space="397"/>
          <w:docGrid w:linePitch="360"/>
        </w:sectPr>
      </w:pPr>
    </w:p>
    <w:p w:rsidR="007C3561" w:rsidRPr="007C3561" w:rsidRDefault="007C3561" w:rsidP="00A23A7F">
      <w:pPr>
        <w:pStyle w:val="Titulek"/>
        <w:keepNext/>
        <w:spacing w:after="0"/>
        <w:jc w:val="center"/>
        <w:rPr>
          <w:color w:val="auto"/>
          <w:sz w:val="20"/>
        </w:rPr>
      </w:pPr>
      <w:r w:rsidRPr="007C3561">
        <w:rPr>
          <w:color w:val="auto"/>
          <w:sz w:val="20"/>
        </w:rPr>
        <w:lastRenderedPageBreak/>
        <w:t xml:space="preserve">Tabulka č. </w:t>
      </w:r>
      <w:r w:rsidRPr="007C3561">
        <w:rPr>
          <w:color w:val="auto"/>
          <w:sz w:val="20"/>
        </w:rPr>
        <w:fldChar w:fldCharType="begin"/>
      </w:r>
      <w:r w:rsidRPr="007C3561">
        <w:rPr>
          <w:color w:val="auto"/>
          <w:sz w:val="20"/>
        </w:rPr>
        <w:instrText xml:space="preserve"> SEQ Tabulka_č. \* ARABIC </w:instrText>
      </w:r>
      <w:r w:rsidRPr="007C3561">
        <w:rPr>
          <w:color w:val="auto"/>
          <w:sz w:val="20"/>
        </w:rPr>
        <w:fldChar w:fldCharType="separate"/>
      </w:r>
      <w:r w:rsidR="00CF78CA">
        <w:rPr>
          <w:noProof/>
          <w:color w:val="auto"/>
          <w:sz w:val="20"/>
        </w:rPr>
        <w:t>2</w:t>
      </w:r>
      <w:r w:rsidRPr="007C3561">
        <w:rPr>
          <w:color w:val="auto"/>
          <w:sz w:val="20"/>
        </w:rPr>
        <w:fldChar w:fldCharType="end"/>
      </w:r>
      <w:r w:rsidRPr="007C3561">
        <w:rPr>
          <w:color w:val="auto"/>
          <w:sz w:val="20"/>
        </w:rPr>
        <w:t xml:space="preserve"> Vyčíslená výše daňových úlev u daně z příjmů fyzických osob </w:t>
      </w:r>
      <w:r w:rsidRPr="00B363C2">
        <w:rPr>
          <w:b w:val="0"/>
          <w:i/>
          <w:color w:val="auto"/>
          <w:sz w:val="20"/>
        </w:rPr>
        <w:t>(v mil. Kč)</w:t>
      </w:r>
    </w:p>
    <w:tbl>
      <w:tblPr>
        <w:tblW w:w="7144" w:type="dxa"/>
        <w:jc w:val="center"/>
        <w:tblCellMar>
          <w:left w:w="70" w:type="dxa"/>
          <w:right w:w="70" w:type="dxa"/>
        </w:tblCellMar>
        <w:tblLook w:val="04A0" w:firstRow="1" w:lastRow="0" w:firstColumn="1" w:lastColumn="0" w:noHBand="0" w:noVBand="1"/>
      </w:tblPr>
      <w:tblGrid>
        <w:gridCol w:w="3406"/>
        <w:gridCol w:w="2150"/>
        <w:gridCol w:w="1588"/>
      </w:tblGrid>
      <w:tr w:rsidR="00F1539E" w:rsidRPr="00F1539E" w:rsidTr="009116B3">
        <w:trPr>
          <w:trHeight w:val="541"/>
          <w:jc w:val="center"/>
        </w:trPr>
        <w:tc>
          <w:tcPr>
            <w:tcW w:w="3125" w:type="dxa"/>
            <w:tcBorders>
              <w:top w:val="single" w:sz="8" w:space="0" w:color="auto"/>
              <w:left w:val="single" w:sz="8" w:space="0" w:color="auto"/>
              <w:bottom w:val="single" w:sz="4" w:space="0" w:color="auto"/>
              <w:right w:val="single" w:sz="4" w:space="0" w:color="auto"/>
            </w:tcBorders>
            <w:shd w:val="clear" w:color="000000" w:fill="E4DFEC"/>
            <w:noWrap/>
            <w:vAlign w:val="center"/>
            <w:hideMark/>
          </w:tcPr>
          <w:p w:rsidR="00F1539E" w:rsidRPr="00F1539E" w:rsidRDefault="00F1539E" w:rsidP="00F1539E">
            <w:pPr>
              <w:spacing w:after="0"/>
              <w:jc w:val="center"/>
              <w:rPr>
                <w:b/>
                <w:bCs/>
                <w:color w:val="000000"/>
                <w:sz w:val="16"/>
                <w:szCs w:val="16"/>
              </w:rPr>
            </w:pPr>
            <w:r w:rsidRPr="00F1539E">
              <w:rPr>
                <w:b/>
                <w:bCs/>
                <w:color w:val="000000"/>
                <w:sz w:val="16"/>
                <w:szCs w:val="16"/>
              </w:rPr>
              <w:t>Kategorie</w:t>
            </w:r>
          </w:p>
        </w:tc>
        <w:tc>
          <w:tcPr>
            <w:tcW w:w="1972" w:type="dxa"/>
            <w:tcBorders>
              <w:top w:val="single" w:sz="8" w:space="0" w:color="auto"/>
              <w:left w:val="nil"/>
              <w:bottom w:val="single" w:sz="4" w:space="0" w:color="auto"/>
              <w:right w:val="single" w:sz="4" w:space="0" w:color="auto"/>
            </w:tcBorders>
            <w:shd w:val="clear" w:color="000000" w:fill="E4DFEC"/>
            <w:noWrap/>
            <w:vAlign w:val="center"/>
            <w:hideMark/>
          </w:tcPr>
          <w:p w:rsidR="00F1539E" w:rsidRPr="00F1539E" w:rsidRDefault="00F1539E" w:rsidP="00F1539E">
            <w:pPr>
              <w:spacing w:after="0"/>
              <w:jc w:val="center"/>
              <w:rPr>
                <w:b/>
                <w:bCs/>
                <w:color w:val="000000"/>
                <w:sz w:val="16"/>
                <w:szCs w:val="16"/>
              </w:rPr>
            </w:pPr>
            <w:r w:rsidRPr="00F1539E">
              <w:rPr>
                <w:b/>
                <w:bCs/>
                <w:color w:val="000000"/>
                <w:sz w:val="16"/>
                <w:szCs w:val="16"/>
              </w:rPr>
              <w:t>2016</w:t>
            </w:r>
          </w:p>
        </w:tc>
        <w:tc>
          <w:tcPr>
            <w:tcW w:w="1457" w:type="dxa"/>
            <w:tcBorders>
              <w:top w:val="single" w:sz="8" w:space="0" w:color="auto"/>
              <w:left w:val="nil"/>
              <w:bottom w:val="single" w:sz="4" w:space="0" w:color="auto"/>
              <w:right w:val="single" w:sz="8" w:space="0" w:color="auto"/>
            </w:tcBorders>
            <w:shd w:val="clear" w:color="000000" w:fill="E4DFEC"/>
            <w:vAlign w:val="center"/>
            <w:hideMark/>
          </w:tcPr>
          <w:p w:rsidR="00F1539E" w:rsidRPr="00F1539E" w:rsidRDefault="00F1539E" w:rsidP="00F1539E">
            <w:pPr>
              <w:spacing w:after="0"/>
              <w:jc w:val="center"/>
              <w:rPr>
                <w:b/>
                <w:bCs/>
                <w:color w:val="000000"/>
                <w:sz w:val="16"/>
                <w:szCs w:val="16"/>
              </w:rPr>
            </w:pPr>
            <w:r w:rsidRPr="00F1539E">
              <w:rPr>
                <w:b/>
                <w:bCs/>
                <w:color w:val="000000"/>
                <w:sz w:val="16"/>
                <w:szCs w:val="16"/>
              </w:rPr>
              <w:t>2017</w:t>
            </w:r>
          </w:p>
        </w:tc>
      </w:tr>
      <w:tr w:rsidR="00F1539E" w:rsidRPr="00F1539E" w:rsidTr="009116B3">
        <w:trPr>
          <w:trHeight w:val="460"/>
          <w:jc w:val="center"/>
        </w:trPr>
        <w:tc>
          <w:tcPr>
            <w:tcW w:w="312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F1539E" w:rsidRPr="00F1539E" w:rsidRDefault="00F1539E" w:rsidP="00F1539E">
            <w:pPr>
              <w:spacing w:after="0"/>
              <w:jc w:val="left"/>
              <w:rPr>
                <w:color w:val="000000"/>
                <w:sz w:val="16"/>
                <w:szCs w:val="16"/>
              </w:rPr>
            </w:pPr>
            <w:r w:rsidRPr="00F1539E">
              <w:rPr>
                <w:color w:val="000000"/>
                <w:sz w:val="16"/>
                <w:szCs w:val="16"/>
              </w:rPr>
              <w:t>Osvobození od daně</w:t>
            </w:r>
          </w:p>
        </w:tc>
        <w:tc>
          <w:tcPr>
            <w:tcW w:w="1972" w:type="dxa"/>
            <w:tcBorders>
              <w:top w:val="single" w:sz="4" w:space="0" w:color="auto"/>
              <w:left w:val="nil"/>
              <w:bottom w:val="single" w:sz="4" w:space="0" w:color="auto"/>
              <w:right w:val="single" w:sz="4" w:space="0" w:color="auto"/>
            </w:tcBorders>
            <w:shd w:val="clear" w:color="000000" w:fill="FFFFFF"/>
            <w:noWrap/>
            <w:vAlign w:val="center"/>
            <w:hideMark/>
          </w:tcPr>
          <w:p w:rsidR="00F1539E" w:rsidRPr="00F1539E" w:rsidRDefault="00B363C2" w:rsidP="00F1539E">
            <w:pPr>
              <w:spacing w:after="0"/>
              <w:jc w:val="right"/>
              <w:rPr>
                <w:color w:val="000000"/>
                <w:sz w:val="16"/>
                <w:szCs w:val="16"/>
              </w:rPr>
            </w:pPr>
            <w:r>
              <w:rPr>
                <w:color w:val="000000"/>
                <w:sz w:val="16"/>
                <w:szCs w:val="16"/>
              </w:rPr>
              <w:t>147 160</w:t>
            </w:r>
          </w:p>
        </w:tc>
        <w:tc>
          <w:tcPr>
            <w:tcW w:w="1457" w:type="dxa"/>
            <w:tcBorders>
              <w:top w:val="single" w:sz="4" w:space="0" w:color="auto"/>
              <w:left w:val="nil"/>
              <w:bottom w:val="single" w:sz="4" w:space="0" w:color="auto"/>
              <w:right w:val="single" w:sz="8" w:space="0" w:color="auto"/>
            </w:tcBorders>
            <w:shd w:val="clear" w:color="000000" w:fill="FFFFFF"/>
            <w:vAlign w:val="center"/>
            <w:hideMark/>
          </w:tcPr>
          <w:p w:rsidR="00F1539E" w:rsidRPr="00F1539E" w:rsidRDefault="00B363C2" w:rsidP="00F1539E">
            <w:pPr>
              <w:spacing w:after="0"/>
              <w:jc w:val="right"/>
              <w:rPr>
                <w:color w:val="000000"/>
                <w:sz w:val="16"/>
                <w:szCs w:val="16"/>
              </w:rPr>
            </w:pPr>
            <w:r>
              <w:rPr>
                <w:color w:val="000000"/>
                <w:sz w:val="16"/>
                <w:szCs w:val="16"/>
              </w:rPr>
              <w:t>156 176</w:t>
            </w:r>
          </w:p>
        </w:tc>
      </w:tr>
      <w:tr w:rsidR="00F1539E" w:rsidRPr="00F1539E" w:rsidTr="009116B3">
        <w:trPr>
          <w:trHeight w:val="460"/>
          <w:jc w:val="center"/>
        </w:trPr>
        <w:tc>
          <w:tcPr>
            <w:tcW w:w="3125" w:type="dxa"/>
            <w:tcBorders>
              <w:top w:val="nil"/>
              <w:left w:val="single" w:sz="8" w:space="0" w:color="auto"/>
              <w:bottom w:val="single" w:sz="4" w:space="0" w:color="auto"/>
              <w:right w:val="single" w:sz="4" w:space="0" w:color="auto"/>
            </w:tcBorders>
            <w:shd w:val="clear" w:color="000000" w:fill="FFFFFF"/>
            <w:noWrap/>
            <w:vAlign w:val="center"/>
            <w:hideMark/>
          </w:tcPr>
          <w:p w:rsidR="00F1539E" w:rsidRPr="00F1539E" w:rsidRDefault="00F1539E" w:rsidP="00F1539E">
            <w:pPr>
              <w:spacing w:after="0"/>
              <w:jc w:val="left"/>
              <w:rPr>
                <w:color w:val="000000"/>
                <w:sz w:val="16"/>
                <w:szCs w:val="16"/>
              </w:rPr>
            </w:pPr>
            <w:r w:rsidRPr="00F1539E">
              <w:rPr>
                <w:color w:val="000000"/>
                <w:sz w:val="16"/>
                <w:szCs w:val="16"/>
              </w:rPr>
              <w:t>Položky snižující základ daně</w:t>
            </w:r>
          </w:p>
        </w:tc>
        <w:tc>
          <w:tcPr>
            <w:tcW w:w="1972" w:type="dxa"/>
            <w:tcBorders>
              <w:top w:val="nil"/>
              <w:left w:val="nil"/>
              <w:bottom w:val="single" w:sz="4" w:space="0" w:color="auto"/>
              <w:right w:val="single" w:sz="4" w:space="0" w:color="auto"/>
            </w:tcBorders>
            <w:shd w:val="clear" w:color="000000" w:fill="FFFFFF"/>
            <w:noWrap/>
            <w:vAlign w:val="center"/>
            <w:hideMark/>
          </w:tcPr>
          <w:p w:rsidR="00F1539E" w:rsidRPr="00F1539E" w:rsidRDefault="00B363C2" w:rsidP="00F1539E">
            <w:pPr>
              <w:spacing w:after="0"/>
              <w:jc w:val="right"/>
              <w:rPr>
                <w:color w:val="000000"/>
                <w:sz w:val="16"/>
                <w:szCs w:val="16"/>
              </w:rPr>
            </w:pPr>
            <w:r>
              <w:rPr>
                <w:color w:val="000000"/>
                <w:sz w:val="16"/>
                <w:szCs w:val="16"/>
              </w:rPr>
              <w:t>7 907</w:t>
            </w:r>
          </w:p>
        </w:tc>
        <w:tc>
          <w:tcPr>
            <w:tcW w:w="1457" w:type="dxa"/>
            <w:tcBorders>
              <w:top w:val="nil"/>
              <w:left w:val="nil"/>
              <w:bottom w:val="single" w:sz="4" w:space="0" w:color="auto"/>
              <w:right w:val="single" w:sz="8" w:space="0" w:color="auto"/>
            </w:tcBorders>
            <w:shd w:val="clear" w:color="000000" w:fill="FFFFFF"/>
            <w:vAlign w:val="center"/>
            <w:hideMark/>
          </w:tcPr>
          <w:p w:rsidR="00F1539E" w:rsidRPr="00F1539E" w:rsidRDefault="00B363C2" w:rsidP="00F1539E">
            <w:pPr>
              <w:spacing w:after="0"/>
              <w:jc w:val="right"/>
              <w:rPr>
                <w:color w:val="000000"/>
                <w:sz w:val="16"/>
                <w:szCs w:val="16"/>
              </w:rPr>
            </w:pPr>
            <w:r>
              <w:rPr>
                <w:color w:val="000000"/>
                <w:sz w:val="16"/>
                <w:szCs w:val="16"/>
              </w:rPr>
              <w:t>8 432</w:t>
            </w:r>
          </w:p>
        </w:tc>
      </w:tr>
      <w:tr w:rsidR="00F1539E" w:rsidRPr="00F1539E" w:rsidTr="009116B3">
        <w:trPr>
          <w:trHeight w:val="460"/>
          <w:jc w:val="center"/>
        </w:trPr>
        <w:tc>
          <w:tcPr>
            <w:tcW w:w="3125" w:type="dxa"/>
            <w:tcBorders>
              <w:top w:val="nil"/>
              <w:left w:val="single" w:sz="8" w:space="0" w:color="auto"/>
              <w:bottom w:val="single" w:sz="4" w:space="0" w:color="auto"/>
              <w:right w:val="single" w:sz="4" w:space="0" w:color="auto"/>
            </w:tcBorders>
            <w:shd w:val="clear" w:color="000000" w:fill="FFFFFF"/>
            <w:noWrap/>
            <w:vAlign w:val="center"/>
            <w:hideMark/>
          </w:tcPr>
          <w:p w:rsidR="00F1539E" w:rsidRPr="00F1539E" w:rsidRDefault="00F1539E" w:rsidP="00F1539E">
            <w:pPr>
              <w:spacing w:after="0"/>
              <w:jc w:val="left"/>
              <w:rPr>
                <w:color w:val="000000"/>
                <w:sz w:val="16"/>
                <w:szCs w:val="16"/>
              </w:rPr>
            </w:pPr>
            <w:r w:rsidRPr="00F1539E">
              <w:rPr>
                <w:color w:val="000000"/>
                <w:sz w:val="16"/>
                <w:szCs w:val="16"/>
              </w:rPr>
              <w:t>Položky snižující daň</w:t>
            </w:r>
          </w:p>
        </w:tc>
        <w:tc>
          <w:tcPr>
            <w:tcW w:w="1972" w:type="dxa"/>
            <w:tcBorders>
              <w:top w:val="nil"/>
              <w:left w:val="nil"/>
              <w:bottom w:val="single" w:sz="4" w:space="0" w:color="auto"/>
              <w:right w:val="single" w:sz="4" w:space="0" w:color="auto"/>
            </w:tcBorders>
            <w:shd w:val="clear" w:color="000000" w:fill="FFFFFF"/>
            <w:noWrap/>
            <w:vAlign w:val="center"/>
            <w:hideMark/>
          </w:tcPr>
          <w:p w:rsidR="00F1539E" w:rsidRPr="00F1539E" w:rsidRDefault="00B363C2" w:rsidP="00F1539E">
            <w:pPr>
              <w:spacing w:after="0"/>
              <w:jc w:val="right"/>
              <w:rPr>
                <w:color w:val="000000"/>
                <w:sz w:val="16"/>
                <w:szCs w:val="16"/>
              </w:rPr>
            </w:pPr>
            <w:r>
              <w:rPr>
                <w:color w:val="000000"/>
                <w:sz w:val="16"/>
                <w:szCs w:val="16"/>
              </w:rPr>
              <w:t>151 248</w:t>
            </w:r>
          </w:p>
        </w:tc>
        <w:tc>
          <w:tcPr>
            <w:tcW w:w="1457" w:type="dxa"/>
            <w:tcBorders>
              <w:top w:val="nil"/>
              <w:left w:val="nil"/>
              <w:bottom w:val="single" w:sz="4" w:space="0" w:color="auto"/>
              <w:right w:val="single" w:sz="8" w:space="0" w:color="auto"/>
            </w:tcBorders>
            <w:shd w:val="clear" w:color="000000" w:fill="FFFFFF"/>
            <w:vAlign w:val="center"/>
            <w:hideMark/>
          </w:tcPr>
          <w:p w:rsidR="00F1539E" w:rsidRPr="00F1539E" w:rsidRDefault="00B363C2" w:rsidP="00F1539E">
            <w:pPr>
              <w:spacing w:after="0"/>
              <w:jc w:val="right"/>
              <w:rPr>
                <w:color w:val="000000"/>
                <w:sz w:val="16"/>
                <w:szCs w:val="16"/>
              </w:rPr>
            </w:pPr>
            <w:r>
              <w:rPr>
                <w:color w:val="000000"/>
                <w:sz w:val="16"/>
                <w:szCs w:val="16"/>
              </w:rPr>
              <w:t>155 323</w:t>
            </w:r>
          </w:p>
        </w:tc>
      </w:tr>
      <w:tr w:rsidR="00F1539E" w:rsidRPr="00F1539E" w:rsidTr="009116B3">
        <w:trPr>
          <w:trHeight w:val="460"/>
          <w:jc w:val="center"/>
        </w:trPr>
        <w:tc>
          <w:tcPr>
            <w:tcW w:w="3125" w:type="dxa"/>
            <w:tcBorders>
              <w:top w:val="nil"/>
              <w:left w:val="single" w:sz="8" w:space="0" w:color="auto"/>
              <w:bottom w:val="single" w:sz="8" w:space="0" w:color="auto"/>
              <w:right w:val="single" w:sz="4" w:space="0" w:color="auto"/>
            </w:tcBorders>
            <w:shd w:val="clear" w:color="000000" w:fill="FFFFFF"/>
            <w:noWrap/>
            <w:vAlign w:val="center"/>
            <w:hideMark/>
          </w:tcPr>
          <w:p w:rsidR="00F1539E" w:rsidRPr="00F1539E" w:rsidRDefault="00F1539E" w:rsidP="00F1539E">
            <w:pPr>
              <w:spacing w:after="0"/>
              <w:jc w:val="left"/>
              <w:rPr>
                <w:b/>
                <w:bCs/>
                <w:color w:val="000000"/>
                <w:sz w:val="16"/>
                <w:szCs w:val="16"/>
              </w:rPr>
            </w:pPr>
            <w:r w:rsidRPr="00F1539E">
              <w:rPr>
                <w:b/>
                <w:bCs/>
                <w:color w:val="000000"/>
                <w:sz w:val="16"/>
                <w:szCs w:val="16"/>
              </w:rPr>
              <w:t>Celkem</w:t>
            </w:r>
          </w:p>
        </w:tc>
        <w:tc>
          <w:tcPr>
            <w:tcW w:w="1972" w:type="dxa"/>
            <w:tcBorders>
              <w:top w:val="nil"/>
              <w:left w:val="nil"/>
              <w:bottom w:val="single" w:sz="8" w:space="0" w:color="auto"/>
              <w:right w:val="single" w:sz="4" w:space="0" w:color="auto"/>
            </w:tcBorders>
            <w:shd w:val="clear" w:color="000000" w:fill="FFFFFF"/>
            <w:noWrap/>
            <w:vAlign w:val="center"/>
            <w:hideMark/>
          </w:tcPr>
          <w:p w:rsidR="00F1539E" w:rsidRPr="00F1539E" w:rsidRDefault="00B363C2" w:rsidP="00F1539E">
            <w:pPr>
              <w:spacing w:after="0"/>
              <w:jc w:val="right"/>
              <w:rPr>
                <w:b/>
                <w:bCs/>
                <w:color w:val="000000"/>
                <w:sz w:val="16"/>
                <w:szCs w:val="16"/>
              </w:rPr>
            </w:pPr>
            <w:r>
              <w:rPr>
                <w:b/>
                <w:bCs/>
                <w:color w:val="000000"/>
                <w:sz w:val="16"/>
                <w:szCs w:val="16"/>
              </w:rPr>
              <w:t>306 315</w:t>
            </w:r>
          </w:p>
        </w:tc>
        <w:tc>
          <w:tcPr>
            <w:tcW w:w="1457" w:type="dxa"/>
            <w:tcBorders>
              <w:top w:val="nil"/>
              <w:left w:val="nil"/>
              <w:bottom w:val="single" w:sz="8" w:space="0" w:color="auto"/>
              <w:right w:val="single" w:sz="8" w:space="0" w:color="auto"/>
            </w:tcBorders>
            <w:shd w:val="clear" w:color="000000" w:fill="FFFFFF"/>
            <w:vAlign w:val="center"/>
            <w:hideMark/>
          </w:tcPr>
          <w:p w:rsidR="00F1539E" w:rsidRPr="00F1539E" w:rsidRDefault="00B363C2" w:rsidP="00F1539E">
            <w:pPr>
              <w:spacing w:after="0"/>
              <w:jc w:val="right"/>
              <w:rPr>
                <w:b/>
                <w:bCs/>
                <w:color w:val="000000"/>
                <w:sz w:val="16"/>
                <w:szCs w:val="16"/>
              </w:rPr>
            </w:pPr>
            <w:r>
              <w:rPr>
                <w:b/>
                <w:bCs/>
                <w:color w:val="000000"/>
                <w:sz w:val="16"/>
                <w:szCs w:val="16"/>
              </w:rPr>
              <w:t>319 931</w:t>
            </w:r>
          </w:p>
        </w:tc>
      </w:tr>
    </w:tbl>
    <w:p w:rsidR="007C3561" w:rsidRDefault="007C3561" w:rsidP="007C3561"/>
    <w:p w:rsidR="007C3561" w:rsidRDefault="007C3561" w:rsidP="007C3561">
      <w:pPr>
        <w:sectPr w:rsidR="007C3561" w:rsidSect="00F30468">
          <w:type w:val="continuous"/>
          <w:pgSz w:w="11906" w:h="16838" w:code="9"/>
          <w:pgMar w:top="1134" w:right="1134" w:bottom="1134" w:left="1134" w:header="709" w:footer="709" w:gutter="0"/>
          <w:cols w:space="397"/>
          <w:docGrid w:linePitch="360"/>
        </w:sectPr>
      </w:pPr>
    </w:p>
    <w:p w:rsidR="007C3561" w:rsidRDefault="007C3561" w:rsidP="007C3561">
      <w:r w:rsidRPr="00696A26">
        <w:lastRenderedPageBreak/>
        <w:t xml:space="preserve">Jakkoli se celková výše daňových úlev u daně z příjmů fyzických osob může zdát vysoká, je důležité zmínit, že cca 90 % těchto úlev tvoří úlevy sociálního charakteru. </w:t>
      </w:r>
      <w:r w:rsidRPr="00696A26">
        <w:lastRenderedPageBreak/>
        <w:t>Výši podílů těch nejvýznamnějších daňových úlev zachycuje následující tabulka.</w:t>
      </w:r>
    </w:p>
    <w:p w:rsidR="007C3561" w:rsidRDefault="007C3561" w:rsidP="007C3561">
      <w:pPr>
        <w:sectPr w:rsidR="007C3561" w:rsidSect="00F30468">
          <w:type w:val="continuous"/>
          <w:pgSz w:w="11906" w:h="16838" w:code="9"/>
          <w:pgMar w:top="1134" w:right="1134" w:bottom="1134" w:left="1134" w:header="709" w:footer="709" w:gutter="0"/>
          <w:cols w:num="2" w:space="397"/>
          <w:docGrid w:linePitch="360"/>
        </w:sectPr>
      </w:pPr>
    </w:p>
    <w:p w:rsidR="007C3561" w:rsidRDefault="007C3561" w:rsidP="007C3561"/>
    <w:p w:rsidR="00A23A7F" w:rsidRDefault="00A23A7F" w:rsidP="001F3590">
      <w:pPr>
        <w:pStyle w:val="Titulek"/>
        <w:keepNext/>
        <w:jc w:val="center"/>
        <w:rPr>
          <w:color w:val="auto"/>
          <w:sz w:val="20"/>
        </w:rPr>
      </w:pPr>
    </w:p>
    <w:p w:rsidR="00A23A7F" w:rsidRPr="00A23A7F" w:rsidRDefault="00A23A7F" w:rsidP="00A23A7F"/>
    <w:p w:rsidR="007C3561" w:rsidRPr="001F3590" w:rsidRDefault="00B86C6C" w:rsidP="00A23A7F">
      <w:pPr>
        <w:pStyle w:val="Titulek"/>
        <w:keepNext/>
        <w:spacing w:after="0"/>
        <w:jc w:val="center"/>
        <w:rPr>
          <w:color w:val="auto"/>
          <w:sz w:val="20"/>
        </w:rPr>
      </w:pPr>
      <w:r w:rsidRPr="00B86C6C">
        <w:rPr>
          <w:color w:val="auto"/>
          <w:sz w:val="20"/>
        </w:rPr>
        <w:lastRenderedPageBreak/>
        <w:t xml:space="preserve">Tabulka </w:t>
      </w:r>
      <w:proofErr w:type="gramStart"/>
      <w:r w:rsidRPr="00B86C6C">
        <w:rPr>
          <w:color w:val="auto"/>
          <w:sz w:val="20"/>
        </w:rPr>
        <w:t xml:space="preserve">č. </w:t>
      </w:r>
      <w:r w:rsidRPr="00B86C6C">
        <w:rPr>
          <w:color w:val="auto"/>
          <w:sz w:val="20"/>
        </w:rPr>
        <w:fldChar w:fldCharType="begin"/>
      </w:r>
      <w:r w:rsidRPr="00B86C6C">
        <w:rPr>
          <w:color w:val="auto"/>
          <w:sz w:val="20"/>
        </w:rPr>
        <w:instrText xml:space="preserve"> SEQ Tabulka_č. \* ARABIC </w:instrText>
      </w:r>
      <w:r w:rsidRPr="00B86C6C">
        <w:rPr>
          <w:color w:val="auto"/>
          <w:sz w:val="20"/>
        </w:rPr>
        <w:fldChar w:fldCharType="separate"/>
      </w:r>
      <w:r w:rsidR="00CF78CA">
        <w:rPr>
          <w:noProof/>
          <w:color w:val="auto"/>
          <w:sz w:val="20"/>
        </w:rPr>
        <w:t>3</w:t>
      </w:r>
      <w:r w:rsidRPr="00B86C6C">
        <w:rPr>
          <w:color w:val="auto"/>
          <w:sz w:val="20"/>
        </w:rPr>
        <w:fldChar w:fldCharType="end"/>
      </w:r>
      <w:r w:rsidRPr="00B86C6C">
        <w:rPr>
          <w:color w:val="auto"/>
          <w:sz w:val="20"/>
        </w:rPr>
        <w:t xml:space="preserve"> Podíl</w:t>
      </w:r>
      <w:proofErr w:type="gramEnd"/>
      <w:r w:rsidRPr="00B86C6C">
        <w:rPr>
          <w:color w:val="auto"/>
          <w:sz w:val="20"/>
        </w:rPr>
        <w:t xml:space="preserve"> výše daňových úlev sociálního charakteru na celkové výši daňových úlev u daně z příjmů fyzických osob</w:t>
      </w:r>
    </w:p>
    <w:tbl>
      <w:tblPr>
        <w:tblW w:w="7144" w:type="dxa"/>
        <w:jc w:val="center"/>
        <w:tblCellMar>
          <w:left w:w="70" w:type="dxa"/>
          <w:right w:w="70" w:type="dxa"/>
        </w:tblCellMar>
        <w:tblLook w:val="04A0" w:firstRow="1" w:lastRow="0" w:firstColumn="1" w:lastColumn="0" w:noHBand="0" w:noVBand="1"/>
      </w:tblPr>
      <w:tblGrid>
        <w:gridCol w:w="5287"/>
        <w:gridCol w:w="908"/>
        <w:gridCol w:w="949"/>
      </w:tblGrid>
      <w:tr w:rsidR="001F3590" w:rsidRPr="001F3590" w:rsidTr="009116B3">
        <w:trPr>
          <w:trHeight w:val="305"/>
          <w:jc w:val="center"/>
        </w:trPr>
        <w:tc>
          <w:tcPr>
            <w:tcW w:w="4963" w:type="dxa"/>
            <w:tcBorders>
              <w:top w:val="single" w:sz="8" w:space="0" w:color="auto"/>
              <w:left w:val="single" w:sz="8" w:space="0" w:color="auto"/>
              <w:bottom w:val="single" w:sz="4" w:space="0" w:color="auto"/>
              <w:right w:val="single" w:sz="4" w:space="0" w:color="auto"/>
            </w:tcBorders>
            <w:shd w:val="clear" w:color="000000" w:fill="E4DFEC"/>
            <w:vAlign w:val="center"/>
            <w:hideMark/>
          </w:tcPr>
          <w:p w:rsidR="001F3590" w:rsidRPr="001F3590" w:rsidRDefault="001F3590" w:rsidP="001F3590">
            <w:pPr>
              <w:spacing w:after="0"/>
              <w:rPr>
                <w:b/>
                <w:bCs/>
                <w:color w:val="000000"/>
                <w:sz w:val="16"/>
                <w:szCs w:val="16"/>
              </w:rPr>
            </w:pPr>
            <w:r w:rsidRPr="001F3590">
              <w:rPr>
                <w:b/>
                <w:bCs/>
                <w:color w:val="000000"/>
                <w:sz w:val="16"/>
                <w:szCs w:val="16"/>
              </w:rPr>
              <w:t>Daňové úlevy sociálního charakteru</w:t>
            </w:r>
          </w:p>
        </w:tc>
        <w:tc>
          <w:tcPr>
            <w:tcW w:w="852" w:type="dxa"/>
            <w:tcBorders>
              <w:top w:val="single" w:sz="8" w:space="0" w:color="auto"/>
              <w:left w:val="nil"/>
              <w:bottom w:val="single" w:sz="4" w:space="0" w:color="auto"/>
              <w:right w:val="single" w:sz="4" w:space="0" w:color="auto"/>
            </w:tcBorders>
            <w:shd w:val="clear" w:color="000000" w:fill="E4DFEC"/>
            <w:noWrap/>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2016</w:t>
            </w:r>
          </w:p>
        </w:tc>
        <w:tc>
          <w:tcPr>
            <w:tcW w:w="891" w:type="dxa"/>
            <w:tcBorders>
              <w:top w:val="single" w:sz="8" w:space="0" w:color="auto"/>
              <w:left w:val="nil"/>
              <w:bottom w:val="single" w:sz="4" w:space="0" w:color="auto"/>
              <w:right w:val="single" w:sz="8" w:space="0" w:color="auto"/>
            </w:tcBorders>
            <w:shd w:val="clear" w:color="000000" w:fill="E4DFEC"/>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2017</w:t>
            </w:r>
          </w:p>
        </w:tc>
      </w:tr>
      <w:tr w:rsidR="001F3590" w:rsidRPr="001F3590" w:rsidTr="009116B3">
        <w:trPr>
          <w:trHeight w:val="305"/>
          <w:jc w:val="center"/>
        </w:trPr>
        <w:tc>
          <w:tcPr>
            <w:tcW w:w="4963"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Osvobození dávek a služeb z důchodového pojištění</w:t>
            </w:r>
          </w:p>
        </w:tc>
        <w:tc>
          <w:tcPr>
            <w:tcW w:w="852" w:type="dxa"/>
            <w:tcBorders>
              <w:top w:val="single" w:sz="4" w:space="0" w:color="auto"/>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20%</w:t>
            </w:r>
          </w:p>
        </w:tc>
        <w:tc>
          <w:tcPr>
            <w:tcW w:w="891" w:type="dxa"/>
            <w:tcBorders>
              <w:top w:val="single" w:sz="4" w:space="0" w:color="auto"/>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19%</w:t>
            </w:r>
          </w:p>
        </w:tc>
      </w:tr>
      <w:tr w:rsidR="001F3590" w:rsidRPr="001F3590" w:rsidTr="009116B3">
        <w:trPr>
          <w:trHeight w:val="305"/>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Osvobození plnění ze všeobecného zdravotního pojištění</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12%</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13%</w:t>
            </w:r>
          </w:p>
        </w:tc>
      </w:tr>
      <w:tr w:rsidR="001F3590" w:rsidRPr="001F3590" w:rsidTr="009116B3">
        <w:trPr>
          <w:trHeight w:val="305"/>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Osvobození dávek státní sociální podpory</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2%</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2%</w:t>
            </w:r>
          </w:p>
        </w:tc>
      </w:tr>
      <w:tr w:rsidR="001F3590" w:rsidRPr="001F3590" w:rsidTr="009116B3">
        <w:trPr>
          <w:trHeight w:val="305"/>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Osvobození dávek z nemocenského pojištění</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Osvobození dávek sociální péče a příjmu plynoucího z péče o blízkou osobu</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Osvobození plnění z pojištění osob kromě jednorázových plnění</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Osvobození plnění z nástrojů státní politiky zaměstnanosti</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Osvobození dávek pomoci v hmotné nouzi</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0%</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Úroky z úvěrů pro financování bydlení</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2%</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Základní sleva na dani pro poplatníka</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34%</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33%</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24"/>
              </w:rPr>
              <w:t>Daňové zvýhodnění na děti</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11%</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11%</w:t>
            </w:r>
          </w:p>
        </w:tc>
      </w:tr>
      <w:tr w:rsidR="001F3590" w:rsidRPr="001F3590" w:rsidTr="009116B3">
        <w:trPr>
          <w:trHeight w:val="259"/>
          <w:jc w:val="center"/>
        </w:trPr>
        <w:tc>
          <w:tcPr>
            <w:tcW w:w="4963" w:type="dxa"/>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Sleva na dani na manžela/-ku</w:t>
            </w:r>
          </w:p>
        </w:tc>
        <w:tc>
          <w:tcPr>
            <w:tcW w:w="852" w:type="dxa"/>
            <w:tcBorders>
              <w:top w:val="nil"/>
              <w:left w:val="nil"/>
              <w:bottom w:val="single" w:sz="4" w:space="0" w:color="auto"/>
              <w:right w:val="single" w:sz="4" w:space="0" w:color="auto"/>
            </w:tcBorders>
            <w:shd w:val="clear" w:color="000000" w:fill="FFFFFF"/>
            <w:noWrap/>
            <w:vAlign w:val="center"/>
            <w:hideMark/>
          </w:tcPr>
          <w:p w:rsidR="001F3590" w:rsidRPr="001F3590" w:rsidRDefault="001F3590" w:rsidP="00253E44">
            <w:pPr>
              <w:spacing w:after="0"/>
              <w:jc w:val="center"/>
              <w:rPr>
                <w:color w:val="000000"/>
                <w:sz w:val="16"/>
                <w:szCs w:val="16"/>
              </w:rPr>
            </w:pPr>
            <w:r w:rsidRPr="001F3590">
              <w:rPr>
                <w:color w:val="000000"/>
                <w:sz w:val="16"/>
                <w:szCs w:val="16"/>
              </w:rPr>
              <w:t>2%</w:t>
            </w:r>
          </w:p>
        </w:tc>
        <w:tc>
          <w:tcPr>
            <w:tcW w:w="891"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253E44">
            <w:pPr>
              <w:spacing w:after="0"/>
              <w:jc w:val="center"/>
              <w:rPr>
                <w:color w:val="000000"/>
                <w:sz w:val="16"/>
                <w:szCs w:val="16"/>
              </w:rPr>
            </w:pPr>
            <w:r w:rsidRPr="001F3590">
              <w:rPr>
                <w:color w:val="000000"/>
                <w:sz w:val="16"/>
                <w:szCs w:val="16"/>
              </w:rPr>
              <w:t>1%</w:t>
            </w:r>
          </w:p>
        </w:tc>
      </w:tr>
      <w:tr w:rsidR="001F3590" w:rsidRPr="001F3590" w:rsidTr="009116B3">
        <w:trPr>
          <w:trHeight w:val="259"/>
          <w:jc w:val="center"/>
        </w:trPr>
        <w:tc>
          <w:tcPr>
            <w:tcW w:w="4963" w:type="dxa"/>
            <w:tcBorders>
              <w:top w:val="nil"/>
              <w:left w:val="single" w:sz="8" w:space="0" w:color="auto"/>
              <w:bottom w:val="single" w:sz="8" w:space="0" w:color="auto"/>
              <w:right w:val="single" w:sz="4" w:space="0" w:color="auto"/>
            </w:tcBorders>
            <w:shd w:val="clear" w:color="000000" w:fill="FFFFFF"/>
            <w:vAlign w:val="center"/>
            <w:hideMark/>
          </w:tcPr>
          <w:p w:rsidR="001F3590" w:rsidRPr="001F3590" w:rsidRDefault="001F3590" w:rsidP="001F3590">
            <w:pPr>
              <w:spacing w:after="0"/>
              <w:rPr>
                <w:b/>
                <w:bCs/>
                <w:color w:val="000000"/>
                <w:sz w:val="16"/>
                <w:szCs w:val="16"/>
              </w:rPr>
            </w:pPr>
            <w:r w:rsidRPr="001F3590">
              <w:rPr>
                <w:b/>
                <w:bCs/>
                <w:color w:val="000000"/>
                <w:sz w:val="16"/>
                <w:szCs w:val="16"/>
              </w:rPr>
              <w:t>Celkem</w:t>
            </w:r>
          </w:p>
        </w:tc>
        <w:tc>
          <w:tcPr>
            <w:tcW w:w="852" w:type="dxa"/>
            <w:tcBorders>
              <w:top w:val="nil"/>
              <w:left w:val="nil"/>
              <w:bottom w:val="single" w:sz="8" w:space="0" w:color="auto"/>
              <w:right w:val="single" w:sz="4" w:space="0" w:color="auto"/>
            </w:tcBorders>
            <w:shd w:val="clear" w:color="000000" w:fill="FFFFFF"/>
            <w:noWrap/>
            <w:vAlign w:val="center"/>
            <w:hideMark/>
          </w:tcPr>
          <w:p w:rsidR="001F3590" w:rsidRPr="001F3590" w:rsidRDefault="001F3590" w:rsidP="00253E44">
            <w:pPr>
              <w:spacing w:after="0"/>
              <w:jc w:val="center"/>
              <w:rPr>
                <w:b/>
                <w:bCs/>
                <w:color w:val="000000"/>
                <w:sz w:val="16"/>
                <w:szCs w:val="16"/>
              </w:rPr>
            </w:pPr>
            <w:r w:rsidRPr="001F3590">
              <w:rPr>
                <w:b/>
                <w:bCs/>
                <w:color w:val="000000"/>
                <w:sz w:val="16"/>
                <w:szCs w:val="16"/>
              </w:rPr>
              <w:t>86%</w:t>
            </w:r>
          </w:p>
        </w:tc>
        <w:tc>
          <w:tcPr>
            <w:tcW w:w="891" w:type="dxa"/>
            <w:tcBorders>
              <w:top w:val="nil"/>
              <w:left w:val="nil"/>
              <w:bottom w:val="single" w:sz="8" w:space="0" w:color="auto"/>
              <w:right w:val="single" w:sz="8" w:space="0" w:color="auto"/>
            </w:tcBorders>
            <w:shd w:val="clear" w:color="000000" w:fill="FFFFFF"/>
            <w:vAlign w:val="center"/>
            <w:hideMark/>
          </w:tcPr>
          <w:p w:rsidR="001F3590" w:rsidRPr="001F3590" w:rsidRDefault="001F3590" w:rsidP="00253E44">
            <w:pPr>
              <w:spacing w:after="0"/>
              <w:jc w:val="center"/>
              <w:rPr>
                <w:b/>
                <w:bCs/>
                <w:color w:val="000000"/>
                <w:sz w:val="16"/>
                <w:szCs w:val="16"/>
              </w:rPr>
            </w:pPr>
            <w:r w:rsidRPr="001F3590">
              <w:rPr>
                <w:b/>
                <w:bCs/>
                <w:color w:val="000000"/>
                <w:sz w:val="16"/>
                <w:szCs w:val="16"/>
              </w:rPr>
              <w:t>85%</w:t>
            </w:r>
          </w:p>
        </w:tc>
      </w:tr>
    </w:tbl>
    <w:p w:rsidR="001F3590" w:rsidRDefault="001F3590" w:rsidP="007C3561">
      <w:pPr>
        <w:sectPr w:rsidR="001F3590" w:rsidSect="00F30468">
          <w:type w:val="continuous"/>
          <w:pgSz w:w="11906" w:h="16838" w:code="9"/>
          <w:pgMar w:top="1134" w:right="1134" w:bottom="1134" w:left="1134" w:header="709" w:footer="709" w:gutter="0"/>
          <w:cols w:space="397"/>
          <w:docGrid w:linePitch="360"/>
        </w:sectPr>
      </w:pPr>
    </w:p>
    <w:p w:rsidR="007C3561" w:rsidRPr="00DF41B4" w:rsidRDefault="007C3561" w:rsidP="007C3561">
      <w:pPr>
        <w:pStyle w:val="Nadpis2"/>
      </w:pPr>
      <w:r w:rsidRPr="00DF41B4">
        <w:lastRenderedPageBreak/>
        <w:t>Daň z příjmů fyzických osob – výše daňových úlev pro rok</w:t>
      </w:r>
      <w:r w:rsidR="00B363C2">
        <w:t>y</w:t>
      </w:r>
      <w:r w:rsidRPr="00DF41B4">
        <w:t xml:space="preserve"> 2016</w:t>
      </w:r>
      <w:r w:rsidR="00027182">
        <w:t xml:space="preserve"> a 2017</w:t>
      </w:r>
    </w:p>
    <w:p w:rsidR="007C3561" w:rsidRDefault="007C3561" w:rsidP="007C3561">
      <w:pPr>
        <w:widowControl w:val="0"/>
        <w:rPr>
          <w:szCs w:val="24"/>
        </w:rPr>
        <w:sectPr w:rsidR="007C3561" w:rsidSect="00F30468">
          <w:type w:val="continuous"/>
          <w:pgSz w:w="11906" w:h="16838" w:code="9"/>
          <w:pgMar w:top="1134" w:right="1134" w:bottom="1134" w:left="1134" w:header="709" w:footer="709" w:gutter="0"/>
          <w:cols w:space="397"/>
          <w:docGrid w:linePitch="360"/>
        </w:sectPr>
      </w:pPr>
    </w:p>
    <w:p w:rsidR="007C3561" w:rsidRDefault="007C3561" w:rsidP="007C3561">
      <w:pPr>
        <w:widowControl w:val="0"/>
        <w:rPr>
          <w:szCs w:val="24"/>
        </w:rPr>
      </w:pPr>
      <w:r w:rsidRPr="00DF41B4">
        <w:rPr>
          <w:szCs w:val="24"/>
        </w:rPr>
        <w:lastRenderedPageBreak/>
        <w:t xml:space="preserve">S ohledem na veškeré výše uvedené skutečnosti zachycuje následující tabulka přehled těch daňových </w:t>
      </w:r>
      <w:r w:rsidRPr="00DF41B4">
        <w:rPr>
          <w:szCs w:val="24"/>
        </w:rPr>
        <w:lastRenderedPageBreak/>
        <w:t>úlev, jejichž výše byla pro rok</w:t>
      </w:r>
      <w:r w:rsidR="00B363C2">
        <w:rPr>
          <w:szCs w:val="24"/>
        </w:rPr>
        <w:t>y</w:t>
      </w:r>
      <w:r w:rsidRPr="00DF41B4">
        <w:rPr>
          <w:szCs w:val="24"/>
        </w:rPr>
        <w:t xml:space="preserve"> 2016 </w:t>
      </w:r>
      <w:r w:rsidR="00027182">
        <w:rPr>
          <w:szCs w:val="24"/>
        </w:rPr>
        <w:t xml:space="preserve">a 2017 </w:t>
      </w:r>
      <w:r w:rsidRPr="00DF41B4">
        <w:rPr>
          <w:szCs w:val="24"/>
        </w:rPr>
        <w:t xml:space="preserve">vyčíslena. </w:t>
      </w:r>
      <w:r>
        <w:rPr>
          <w:szCs w:val="24"/>
        </w:rPr>
        <w:t xml:space="preserve"> </w:t>
      </w:r>
    </w:p>
    <w:p w:rsidR="007C3561" w:rsidRDefault="007C3561" w:rsidP="007C3561">
      <w:pPr>
        <w:widowControl w:val="0"/>
        <w:rPr>
          <w:szCs w:val="24"/>
        </w:rPr>
        <w:sectPr w:rsidR="007C3561" w:rsidSect="00F30468">
          <w:type w:val="continuous"/>
          <w:pgSz w:w="11906" w:h="16838" w:code="9"/>
          <w:pgMar w:top="1134" w:right="1134" w:bottom="1134" w:left="1134" w:header="709" w:footer="709" w:gutter="0"/>
          <w:cols w:num="2" w:space="397"/>
          <w:docGrid w:linePitch="360"/>
        </w:sectPr>
      </w:pPr>
    </w:p>
    <w:p w:rsidR="007C3561" w:rsidRDefault="007C3561" w:rsidP="007C3561">
      <w:pPr>
        <w:widowControl w:val="0"/>
        <w:rPr>
          <w:szCs w:val="24"/>
        </w:rPr>
        <w:sectPr w:rsidR="007C3561" w:rsidSect="00F30468">
          <w:type w:val="continuous"/>
          <w:pgSz w:w="11906" w:h="16838" w:code="9"/>
          <w:pgMar w:top="1134" w:right="1134" w:bottom="1134" w:left="1134" w:header="709" w:footer="709" w:gutter="0"/>
          <w:cols w:num="2" w:space="397"/>
          <w:docGrid w:linePitch="360"/>
        </w:sectPr>
      </w:pPr>
    </w:p>
    <w:p w:rsidR="00B86C6C" w:rsidRPr="00B86C6C" w:rsidRDefault="00B86C6C" w:rsidP="00A23A7F">
      <w:pPr>
        <w:pStyle w:val="Titulek"/>
        <w:keepNext/>
        <w:spacing w:after="0"/>
        <w:jc w:val="center"/>
        <w:rPr>
          <w:color w:val="auto"/>
          <w:sz w:val="20"/>
        </w:rPr>
      </w:pPr>
      <w:r w:rsidRPr="00B86C6C">
        <w:rPr>
          <w:color w:val="auto"/>
          <w:sz w:val="20"/>
        </w:rPr>
        <w:lastRenderedPageBreak/>
        <w:t xml:space="preserve">Tabulka č. </w:t>
      </w:r>
      <w:r w:rsidRPr="00B86C6C">
        <w:rPr>
          <w:color w:val="auto"/>
          <w:sz w:val="20"/>
        </w:rPr>
        <w:fldChar w:fldCharType="begin"/>
      </w:r>
      <w:r w:rsidRPr="00B86C6C">
        <w:rPr>
          <w:color w:val="auto"/>
          <w:sz w:val="20"/>
        </w:rPr>
        <w:instrText xml:space="preserve"> SEQ Tabulka_č. \* ARABIC </w:instrText>
      </w:r>
      <w:r w:rsidRPr="00B86C6C">
        <w:rPr>
          <w:color w:val="auto"/>
          <w:sz w:val="20"/>
        </w:rPr>
        <w:fldChar w:fldCharType="separate"/>
      </w:r>
      <w:r w:rsidR="00CF78CA">
        <w:rPr>
          <w:noProof/>
          <w:color w:val="auto"/>
          <w:sz w:val="20"/>
        </w:rPr>
        <w:t>4</w:t>
      </w:r>
      <w:r w:rsidRPr="00B86C6C">
        <w:rPr>
          <w:color w:val="auto"/>
          <w:sz w:val="20"/>
        </w:rPr>
        <w:fldChar w:fldCharType="end"/>
      </w:r>
      <w:r w:rsidRPr="00B86C6C">
        <w:rPr>
          <w:color w:val="auto"/>
          <w:sz w:val="20"/>
        </w:rPr>
        <w:t xml:space="preserve"> Vyčíslené daňové úlevy u daně z příjmů právnických osob</w:t>
      </w:r>
    </w:p>
    <w:tbl>
      <w:tblPr>
        <w:tblW w:w="7144" w:type="dxa"/>
        <w:jc w:val="center"/>
        <w:tblCellMar>
          <w:left w:w="70" w:type="dxa"/>
          <w:right w:w="70" w:type="dxa"/>
        </w:tblCellMar>
        <w:tblLook w:val="04A0" w:firstRow="1" w:lastRow="0" w:firstColumn="1" w:lastColumn="0" w:noHBand="0" w:noVBand="1"/>
      </w:tblPr>
      <w:tblGrid>
        <w:gridCol w:w="1128"/>
        <w:gridCol w:w="5116"/>
        <w:gridCol w:w="900"/>
      </w:tblGrid>
      <w:tr w:rsidR="001F3590" w:rsidRPr="001F3590" w:rsidTr="009116B3">
        <w:trPr>
          <w:trHeight w:val="300"/>
          <w:jc w:val="center"/>
        </w:trPr>
        <w:tc>
          <w:tcPr>
            <w:tcW w:w="1160" w:type="dxa"/>
            <w:tcBorders>
              <w:top w:val="single" w:sz="8" w:space="0" w:color="auto"/>
              <w:left w:val="single" w:sz="8" w:space="0" w:color="auto"/>
              <w:bottom w:val="single" w:sz="4" w:space="0" w:color="auto"/>
              <w:right w:val="single" w:sz="4" w:space="0" w:color="auto"/>
            </w:tcBorders>
            <w:shd w:val="clear" w:color="000000" w:fill="E4DFEC"/>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Kategorie</w:t>
            </w:r>
          </w:p>
        </w:tc>
        <w:tc>
          <w:tcPr>
            <w:tcW w:w="5740" w:type="dxa"/>
            <w:tcBorders>
              <w:top w:val="single" w:sz="8" w:space="0" w:color="auto"/>
              <w:left w:val="nil"/>
              <w:bottom w:val="single" w:sz="4" w:space="0" w:color="auto"/>
              <w:right w:val="single" w:sz="4" w:space="0" w:color="auto"/>
            </w:tcBorders>
            <w:shd w:val="clear" w:color="000000" w:fill="E4DFEC"/>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Název daňové úlevy</w:t>
            </w:r>
          </w:p>
        </w:tc>
        <w:tc>
          <w:tcPr>
            <w:tcW w:w="960" w:type="dxa"/>
            <w:tcBorders>
              <w:top w:val="single" w:sz="8" w:space="0" w:color="auto"/>
              <w:left w:val="nil"/>
              <w:bottom w:val="single" w:sz="4" w:space="0" w:color="auto"/>
              <w:right w:val="single" w:sz="8" w:space="0" w:color="auto"/>
            </w:tcBorders>
            <w:shd w:val="clear" w:color="000000" w:fill="E4DFEC"/>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 ZDP</w:t>
            </w:r>
          </w:p>
        </w:tc>
      </w:tr>
      <w:tr w:rsidR="001F3590" w:rsidRPr="001F3590" w:rsidTr="009116B3">
        <w:trPr>
          <w:trHeight w:val="300"/>
          <w:jc w:val="center"/>
        </w:trPr>
        <w:tc>
          <w:tcPr>
            <w:tcW w:w="1160" w:type="dxa"/>
            <w:vMerge w:val="restart"/>
            <w:tcBorders>
              <w:top w:val="single" w:sz="4" w:space="0" w:color="auto"/>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Osvobození od daně</w:t>
            </w:r>
          </w:p>
        </w:tc>
        <w:tc>
          <w:tcPr>
            <w:tcW w:w="5740" w:type="dxa"/>
            <w:tcBorders>
              <w:top w:val="single" w:sz="4" w:space="0" w:color="auto"/>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Osvobození příjmů PGRLF</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19</w:t>
            </w:r>
          </w:p>
        </w:tc>
      </w:tr>
      <w:tr w:rsidR="001F3590" w:rsidRPr="001F3590" w:rsidTr="009116B3">
        <w:trPr>
          <w:trHeight w:val="450"/>
          <w:jc w:val="center"/>
        </w:trPr>
        <w:tc>
          <w:tcPr>
            <w:tcW w:w="1160" w:type="dxa"/>
            <w:vMerge/>
            <w:tcBorders>
              <w:top w:val="single" w:sz="4" w:space="0" w:color="auto"/>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Osvobození příjmů Státního ústavu pro kontrolu léčiv a Ústavu pro státní kontrolu veterinárních biopreparátů a léčiv</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19</w:t>
            </w:r>
          </w:p>
        </w:tc>
      </w:tr>
      <w:tr w:rsidR="001F3590" w:rsidRPr="001F3590" w:rsidTr="009116B3">
        <w:trPr>
          <w:trHeight w:val="300"/>
          <w:jc w:val="center"/>
        </w:trPr>
        <w:tc>
          <w:tcPr>
            <w:tcW w:w="1160" w:type="dxa"/>
            <w:vMerge/>
            <w:tcBorders>
              <w:top w:val="single" w:sz="4" w:space="0" w:color="auto"/>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Osvobození příspěvků do fondu České kanceláře pojistitelů</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19</w:t>
            </w:r>
          </w:p>
        </w:tc>
      </w:tr>
      <w:tr w:rsidR="001F3590" w:rsidRPr="001F3590" w:rsidTr="009116B3">
        <w:trPr>
          <w:trHeight w:val="330"/>
          <w:jc w:val="center"/>
        </w:trPr>
        <w:tc>
          <w:tcPr>
            <w:tcW w:w="1160" w:type="dxa"/>
            <w:vMerge/>
            <w:tcBorders>
              <w:top w:val="single" w:sz="4" w:space="0" w:color="auto"/>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Osvobození příjmů Fondu pojištění vkladů, Garančního a Zajišťovacího fondu</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19</w:t>
            </w:r>
          </w:p>
        </w:tc>
      </w:tr>
      <w:tr w:rsidR="001F3590" w:rsidRPr="001F3590" w:rsidTr="009116B3">
        <w:trPr>
          <w:trHeight w:val="300"/>
          <w:jc w:val="center"/>
        </w:trPr>
        <w:tc>
          <w:tcPr>
            <w:tcW w:w="1160" w:type="dxa"/>
            <w:vMerge w:val="restart"/>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Položky snižující základ daně</w:t>
            </w: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 xml:space="preserve">Odpočet výdajů na vědu a výzkum </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34a, 34b</w:t>
            </w:r>
          </w:p>
        </w:tc>
      </w:tr>
      <w:tr w:rsidR="001F3590" w:rsidRPr="001F3590" w:rsidTr="009116B3">
        <w:trPr>
          <w:trHeight w:val="300"/>
          <w:jc w:val="center"/>
        </w:trPr>
        <w:tc>
          <w:tcPr>
            <w:tcW w:w="1160" w:type="dxa"/>
            <w:vMerge/>
            <w:tcBorders>
              <w:top w:val="nil"/>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Odpočet na podporu odborného vzdělávání</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§§34f - 34h</w:t>
            </w:r>
          </w:p>
        </w:tc>
      </w:tr>
      <w:tr w:rsidR="001F3590" w:rsidRPr="001F3590" w:rsidTr="009116B3">
        <w:trPr>
          <w:trHeight w:val="300"/>
          <w:jc w:val="center"/>
        </w:trPr>
        <w:tc>
          <w:tcPr>
            <w:tcW w:w="1160" w:type="dxa"/>
            <w:vMerge/>
            <w:tcBorders>
              <w:top w:val="nil"/>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Další snížení základu daně u veřejně prospěšných poplatníků</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20</w:t>
            </w:r>
          </w:p>
        </w:tc>
      </w:tr>
      <w:tr w:rsidR="001F3590" w:rsidRPr="001F3590" w:rsidTr="009116B3">
        <w:trPr>
          <w:trHeight w:val="300"/>
          <w:jc w:val="center"/>
        </w:trPr>
        <w:tc>
          <w:tcPr>
            <w:tcW w:w="1160" w:type="dxa"/>
            <w:vMerge/>
            <w:tcBorders>
              <w:top w:val="nil"/>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Dary na veřejně prospěšnou činnost</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20</w:t>
            </w:r>
          </w:p>
        </w:tc>
      </w:tr>
      <w:tr w:rsidR="001F3590" w:rsidRPr="001F3590" w:rsidTr="009116B3">
        <w:trPr>
          <w:trHeight w:val="300"/>
          <w:jc w:val="center"/>
        </w:trPr>
        <w:tc>
          <w:tcPr>
            <w:tcW w:w="1160" w:type="dxa"/>
            <w:vMerge w:val="restart"/>
            <w:tcBorders>
              <w:top w:val="nil"/>
              <w:left w:val="single" w:sz="8" w:space="0" w:color="auto"/>
              <w:bottom w:val="single" w:sz="4" w:space="0" w:color="auto"/>
              <w:right w:val="single" w:sz="4" w:space="0" w:color="auto"/>
            </w:tcBorders>
            <w:shd w:val="clear" w:color="000000" w:fill="FFFFFF"/>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Položky snižující daň</w:t>
            </w: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Investiční pobídky</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35a, 35b</w:t>
            </w:r>
          </w:p>
        </w:tc>
      </w:tr>
      <w:tr w:rsidR="001F3590" w:rsidRPr="001F3590" w:rsidTr="009116B3">
        <w:trPr>
          <w:trHeight w:val="300"/>
          <w:jc w:val="center"/>
        </w:trPr>
        <w:tc>
          <w:tcPr>
            <w:tcW w:w="1160" w:type="dxa"/>
            <w:vMerge/>
            <w:tcBorders>
              <w:top w:val="nil"/>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Sleva na dani za zaměstnávání osob se zdravotním postižením</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35</w:t>
            </w:r>
          </w:p>
        </w:tc>
      </w:tr>
      <w:tr w:rsidR="001F3590" w:rsidRPr="001F3590" w:rsidTr="009116B3">
        <w:trPr>
          <w:trHeight w:val="300"/>
          <w:jc w:val="center"/>
        </w:trPr>
        <w:tc>
          <w:tcPr>
            <w:tcW w:w="1160" w:type="dxa"/>
            <w:vMerge/>
            <w:tcBorders>
              <w:top w:val="nil"/>
              <w:left w:val="single" w:sz="8" w:space="0" w:color="auto"/>
              <w:bottom w:val="single" w:sz="4" w:space="0" w:color="auto"/>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Sleva na dani za zaměstnávání osob s těžším zdravotním postižením</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35</w:t>
            </w:r>
          </w:p>
        </w:tc>
      </w:tr>
      <w:tr w:rsidR="001F3590" w:rsidRPr="001F3590" w:rsidTr="009116B3">
        <w:trPr>
          <w:trHeight w:val="300"/>
          <w:jc w:val="center"/>
        </w:trPr>
        <w:tc>
          <w:tcPr>
            <w:tcW w:w="1160" w:type="dxa"/>
            <w:vMerge w:val="restart"/>
            <w:tcBorders>
              <w:top w:val="nil"/>
              <w:left w:val="single" w:sz="8" w:space="0" w:color="auto"/>
              <w:bottom w:val="single" w:sz="8" w:space="0" w:color="000000"/>
              <w:right w:val="single" w:sz="4" w:space="0" w:color="auto"/>
            </w:tcBorders>
            <w:shd w:val="clear" w:color="000000" w:fill="FFFFFF"/>
            <w:vAlign w:val="center"/>
            <w:hideMark/>
          </w:tcPr>
          <w:p w:rsidR="001F3590" w:rsidRPr="001F3590" w:rsidRDefault="001F3590" w:rsidP="001F3590">
            <w:pPr>
              <w:spacing w:after="0"/>
              <w:jc w:val="center"/>
              <w:rPr>
                <w:b/>
                <w:bCs/>
                <w:color w:val="000000"/>
                <w:sz w:val="16"/>
                <w:szCs w:val="16"/>
              </w:rPr>
            </w:pPr>
            <w:r w:rsidRPr="001F3590">
              <w:rPr>
                <w:b/>
                <w:bCs/>
                <w:color w:val="000000"/>
                <w:sz w:val="16"/>
                <w:szCs w:val="16"/>
              </w:rPr>
              <w:t>Snížená sazba daně</w:t>
            </w: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Snížená sazba daně u podílových fondů</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21</w:t>
            </w:r>
          </w:p>
        </w:tc>
      </w:tr>
      <w:tr w:rsidR="001F3590" w:rsidRPr="001F3590" w:rsidTr="009116B3">
        <w:trPr>
          <w:trHeight w:val="255"/>
          <w:jc w:val="center"/>
        </w:trPr>
        <w:tc>
          <w:tcPr>
            <w:tcW w:w="1160" w:type="dxa"/>
            <w:vMerge/>
            <w:tcBorders>
              <w:top w:val="nil"/>
              <w:left w:val="single" w:sz="8" w:space="0" w:color="auto"/>
              <w:bottom w:val="single" w:sz="8" w:space="0" w:color="000000"/>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4"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Snížená sazba daně u investičních fondů</w:t>
            </w:r>
          </w:p>
        </w:tc>
        <w:tc>
          <w:tcPr>
            <w:tcW w:w="960" w:type="dxa"/>
            <w:tcBorders>
              <w:top w:val="nil"/>
              <w:left w:val="nil"/>
              <w:bottom w:val="single" w:sz="4"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21</w:t>
            </w:r>
          </w:p>
        </w:tc>
      </w:tr>
      <w:tr w:rsidR="001F3590" w:rsidRPr="001F3590" w:rsidTr="009116B3">
        <w:trPr>
          <w:trHeight w:val="255"/>
          <w:jc w:val="center"/>
        </w:trPr>
        <w:tc>
          <w:tcPr>
            <w:tcW w:w="1160" w:type="dxa"/>
            <w:vMerge/>
            <w:tcBorders>
              <w:top w:val="nil"/>
              <w:left w:val="single" w:sz="8" w:space="0" w:color="auto"/>
              <w:bottom w:val="single" w:sz="8" w:space="0" w:color="000000"/>
              <w:right w:val="single" w:sz="4" w:space="0" w:color="auto"/>
            </w:tcBorders>
            <w:vAlign w:val="center"/>
            <w:hideMark/>
          </w:tcPr>
          <w:p w:rsidR="001F3590" w:rsidRPr="001F3590" w:rsidRDefault="001F3590" w:rsidP="001F3590">
            <w:pPr>
              <w:spacing w:after="0"/>
              <w:jc w:val="left"/>
              <w:rPr>
                <w:b/>
                <w:bCs/>
                <w:color w:val="000000"/>
                <w:sz w:val="16"/>
                <w:szCs w:val="16"/>
              </w:rPr>
            </w:pPr>
          </w:p>
        </w:tc>
        <w:tc>
          <w:tcPr>
            <w:tcW w:w="5740" w:type="dxa"/>
            <w:tcBorders>
              <w:top w:val="nil"/>
              <w:left w:val="nil"/>
              <w:bottom w:val="single" w:sz="8" w:space="0" w:color="auto"/>
              <w:right w:val="single" w:sz="4" w:space="0" w:color="auto"/>
            </w:tcBorders>
            <w:shd w:val="clear" w:color="000000" w:fill="FFFFFF"/>
            <w:vAlign w:val="center"/>
            <w:hideMark/>
          </w:tcPr>
          <w:p w:rsidR="001F3590" w:rsidRPr="001F3590" w:rsidRDefault="001F3590" w:rsidP="001F3590">
            <w:pPr>
              <w:spacing w:after="0"/>
              <w:jc w:val="left"/>
              <w:rPr>
                <w:color w:val="000000"/>
                <w:sz w:val="16"/>
                <w:szCs w:val="16"/>
              </w:rPr>
            </w:pPr>
            <w:r w:rsidRPr="001F3590">
              <w:rPr>
                <w:color w:val="000000"/>
                <w:sz w:val="16"/>
                <w:szCs w:val="16"/>
              </w:rPr>
              <w:t>Snížená sazba daně u penzijních fondů</w:t>
            </w:r>
          </w:p>
        </w:tc>
        <w:tc>
          <w:tcPr>
            <w:tcW w:w="960" w:type="dxa"/>
            <w:tcBorders>
              <w:top w:val="nil"/>
              <w:left w:val="nil"/>
              <w:bottom w:val="single" w:sz="8" w:space="0" w:color="auto"/>
              <w:right w:val="single" w:sz="8" w:space="0" w:color="auto"/>
            </w:tcBorders>
            <w:shd w:val="clear" w:color="000000" w:fill="FFFFFF"/>
            <w:vAlign w:val="center"/>
            <w:hideMark/>
          </w:tcPr>
          <w:p w:rsidR="001F3590" w:rsidRPr="001F3590" w:rsidRDefault="001F3590" w:rsidP="001F3590">
            <w:pPr>
              <w:spacing w:after="0"/>
              <w:jc w:val="center"/>
              <w:rPr>
                <w:color w:val="000000"/>
                <w:sz w:val="16"/>
                <w:szCs w:val="16"/>
              </w:rPr>
            </w:pPr>
            <w:r w:rsidRPr="001F3590">
              <w:rPr>
                <w:color w:val="000000"/>
                <w:sz w:val="16"/>
                <w:szCs w:val="16"/>
              </w:rPr>
              <w:t>§ 21</w:t>
            </w:r>
          </w:p>
        </w:tc>
      </w:tr>
    </w:tbl>
    <w:p w:rsidR="007C3561" w:rsidRDefault="007C3561" w:rsidP="007C3561">
      <w:pPr>
        <w:sectPr w:rsidR="007C3561" w:rsidSect="00F30468">
          <w:type w:val="continuous"/>
          <w:pgSz w:w="11906" w:h="16838" w:code="9"/>
          <w:pgMar w:top="1134" w:right="1134" w:bottom="1134" w:left="1134" w:header="709" w:footer="709" w:gutter="0"/>
          <w:cols w:space="397"/>
          <w:docGrid w:linePitch="360"/>
        </w:sectPr>
      </w:pPr>
    </w:p>
    <w:p w:rsidR="002921F5" w:rsidRDefault="002921F5" w:rsidP="007C3561">
      <w:pPr>
        <w:sectPr w:rsidR="002921F5" w:rsidSect="00F30468">
          <w:type w:val="continuous"/>
          <w:pgSz w:w="11906" w:h="16838" w:code="9"/>
          <w:pgMar w:top="1134" w:right="1134" w:bottom="1134" w:left="1134" w:header="709" w:footer="709" w:gutter="0"/>
          <w:cols w:num="2" w:space="397"/>
          <w:docGrid w:linePitch="360"/>
        </w:sectPr>
      </w:pPr>
    </w:p>
    <w:p w:rsidR="007C3561" w:rsidRDefault="007C3561" w:rsidP="007C3561">
      <w:pPr>
        <w:sectPr w:rsidR="007C3561" w:rsidSect="00F30468">
          <w:type w:val="continuous"/>
          <w:pgSz w:w="11906" w:h="16838" w:code="9"/>
          <w:pgMar w:top="1134" w:right="1134" w:bottom="1134" w:left="1134" w:header="709" w:footer="709" w:gutter="0"/>
          <w:cols w:num="2" w:space="397"/>
          <w:docGrid w:linePitch="360"/>
        </w:sectPr>
      </w:pPr>
      <w:r>
        <w:lastRenderedPageBreak/>
        <w:t>Následující tabulka zachycuje vyčíslenou výši daňových úlev u daně z příjmů právnických osob pro rok</w:t>
      </w:r>
      <w:r w:rsidR="00B363C2">
        <w:t>y</w:t>
      </w:r>
      <w:r>
        <w:t xml:space="preserve"> 201</w:t>
      </w:r>
      <w:r w:rsidR="002921F5">
        <w:t>6</w:t>
      </w:r>
      <w:r w:rsidR="00027182">
        <w:t xml:space="preserve"> a 2017</w:t>
      </w:r>
      <w:r w:rsidR="002921F5">
        <w:t>.</w:t>
      </w:r>
    </w:p>
    <w:p w:rsidR="00A23A7F" w:rsidRDefault="00A23A7F">
      <w:pPr>
        <w:spacing w:after="200" w:line="276" w:lineRule="auto"/>
        <w:jc w:val="left"/>
        <w:rPr>
          <w:b/>
          <w:bCs/>
          <w:szCs w:val="18"/>
        </w:rPr>
      </w:pPr>
      <w:r>
        <w:lastRenderedPageBreak/>
        <w:br w:type="page"/>
      </w:r>
    </w:p>
    <w:p w:rsidR="00B86C6C" w:rsidRPr="00B86C6C" w:rsidRDefault="00B86C6C" w:rsidP="00A23A7F">
      <w:pPr>
        <w:pStyle w:val="Titulek"/>
        <w:keepNext/>
        <w:spacing w:after="0"/>
        <w:jc w:val="center"/>
        <w:rPr>
          <w:color w:val="auto"/>
          <w:sz w:val="20"/>
        </w:rPr>
      </w:pPr>
      <w:r w:rsidRPr="00B86C6C">
        <w:rPr>
          <w:color w:val="auto"/>
          <w:sz w:val="20"/>
        </w:rPr>
        <w:lastRenderedPageBreak/>
        <w:t xml:space="preserve">Tabulka č. </w:t>
      </w:r>
      <w:r w:rsidRPr="00B86C6C">
        <w:rPr>
          <w:color w:val="auto"/>
          <w:sz w:val="20"/>
        </w:rPr>
        <w:fldChar w:fldCharType="begin"/>
      </w:r>
      <w:r w:rsidRPr="00B86C6C">
        <w:rPr>
          <w:color w:val="auto"/>
          <w:sz w:val="20"/>
        </w:rPr>
        <w:instrText xml:space="preserve"> SEQ Tabulka_č. \* ARABIC </w:instrText>
      </w:r>
      <w:r w:rsidRPr="00B86C6C">
        <w:rPr>
          <w:color w:val="auto"/>
          <w:sz w:val="20"/>
        </w:rPr>
        <w:fldChar w:fldCharType="separate"/>
      </w:r>
      <w:r w:rsidR="00CF78CA">
        <w:rPr>
          <w:noProof/>
          <w:color w:val="auto"/>
          <w:sz w:val="20"/>
        </w:rPr>
        <w:t>5</w:t>
      </w:r>
      <w:r w:rsidRPr="00B86C6C">
        <w:rPr>
          <w:color w:val="auto"/>
          <w:sz w:val="20"/>
        </w:rPr>
        <w:fldChar w:fldCharType="end"/>
      </w:r>
      <w:r w:rsidRPr="00B86C6C">
        <w:rPr>
          <w:color w:val="auto"/>
          <w:sz w:val="20"/>
        </w:rPr>
        <w:t xml:space="preserve"> Vyčíslená výše daňových úlev u daně z příjmů právnických osob </w:t>
      </w:r>
      <w:r w:rsidRPr="00B363C2">
        <w:rPr>
          <w:b w:val="0"/>
          <w:i/>
          <w:color w:val="auto"/>
          <w:sz w:val="20"/>
        </w:rPr>
        <w:t>(v mil. Kč)</w:t>
      </w:r>
    </w:p>
    <w:tbl>
      <w:tblPr>
        <w:tblW w:w="7144" w:type="dxa"/>
        <w:jc w:val="center"/>
        <w:tblCellMar>
          <w:left w:w="70" w:type="dxa"/>
          <w:right w:w="70" w:type="dxa"/>
        </w:tblCellMar>
        <w:tblLook w:val="04A0" w:firstRow="1" w:lastRow="0" w:firstColumn="1" w:lastColumn="0" w:noHBand="0" w:noVBand="1"/>
      </w:tblPr>
      <w:tblGrid>
        <w:gridCol w:w="4301"/>
        <w:gridCol w:w="1794"/>
        <w:gridCol w:w="1049"/>
      </w:tblGrid>
      <w:tr w:rsidR="00AB6839" w:rsidRPr="00AB6839" w:rsidTr="009116B3">
        <w:trPr>
          <w:trHeight w:val="517"/>
          <w:jc w:val="center"/>
        </w:trPr>
        <w:tc>
          <w:tcPr>
            <w:tcW w:w="4301" w:type="dxa"/>
            <w:tcBorders>
              <w:top w:val="single" w:sz="8" w:space="0" w:color="auto"/>
              <w:left w:val="single" w:sz="8" w:space="0" w:color="auto"/>
              <w:bottom w:val="single" w:sz="4" w:space="0" w:color="auto"/>
              <w:right w:val="single" w:sz="4" w:space="0" w:color="auto"/>
            </w:tcBorders>
            <w:shd w:val="clear" w:color="000000" w:fill="E4DFEC"/>
            <w:noWrap/>
            <w:vAlign w:val="center"/>
            <w:hideMark/>
          </w:tcPr>
          <w:p w:rsidR="00AB6839" w:rsidRPr="00AB6839" w:rsidRDefault="00AB6839" w:rsidP="00AB6839">
            <w:pPr>
              <w:spacing w:after="0"/>
              <w:rPr>
                <w:b/>
                <w:bCs/>
                <w:color w:val="000000"/>
                <w:sz w:val="16"/>
                <w:szCs w:val="16"/>
              </w:rPr>
            </w:pPr>
            <w:r w:rsidRPr="00AB6839">
              <w:rPr>
                <w:b/>
                <w:bCs/>
                <w:color w:val="000000"/>
                <w:sz w:val="16"/>
                <w:szCs w:val="16"/>
              </w:rPr>
              <w:t>Kategorie</w:t>
            </w:r>
          </w:p>
        </w:tc>
        <w:tc>
          <w:tcPr>
            <w:tcW w:w="1794" w:type="dxa"/>
            <w:tcBorders>
              <w:top w:val="single" w:sz="8" w:space="0" w:color="auto"/>
              <w:left w:val="nil"/>
              <w:bottom w:val="single" w:sz="4" w:space="0" w:color="auto"/>
              <w:right w:val="single" w:sz="4" w:space="0" w:color="auto"/>
            </w:tcBorders>
            <w:shd w:val="clear" w:color="000000" w:fill="E4DFEC"/>
            <w:noWrap/>
            <w:vAlign w:val="center"/>
            <w:hideMark/>
          </w:tcPr>
          <w:p w:rsidR="00AB6839" w:rsidRPr="00AB6839" w:rsidRDefault="00AB6839" w:rsidP="00AB6839">
            <w:pPr>
              <w:spacing w:after="0"/>
              <w:jc w:val="center"/>
              <w:rPr>
                <w:b/>
                <w:bCs/>
                <w:color w:val="000000"/>
                <w:sz w:val="16"/>
                <w:szCs w:val="16"/>
              </w:rPr>
            </w:pPr>
            <w:r w:rsidRPr="00AB6839">
              <w:rPr>
                <w:b/>
                <w:bCs/>
                <w:color w:val="000000"/>
                <w:sz w:val="16"/>
                <w:szCs w:val="16"/>
              </w:rPr>
              <w:t>2016</w:t>
            </w:r>
          </w:p>
        </w:tc>
        <w:tc>
          <w:tcPr>
            <w:tcW w:w="1794" w:type="dxa"/>
            <w:tcBorders>
              <w:top w:val="single" w:sz="8" w:space="0" w:color="auto"/>
              <w:left w:val="nil"/>
              <w:bottom w:val="single" w:sz="4" w:space="0" w:color="auto"/>
              <w:right w:val="single" w:sz="8" w:space="0" w:color="auto"/>
            </w:tcBorders>
            <w:shd w:val="clear" w:color="000000" w:fill="E4DFEC"/>
            <w:vAlign w:val="center"/>
            <w:hideMark/>
          </w:tcPr>
          <w:p w:rsidR="00AB6839" w:rsidRPr="00AB6839" w:rsidRDefault="00AB6839" w:rsidP="00AB6839">
            <w:pPr>
              <w:spacing w:after="0"/>
              <w:jc w:val="center"/>
              <w:rPr>
                <w:b/>
                <w:bCs/>
                <w:color w:val="000000"/>
                <w:sz w:val="16"/>
                <w:szCs w:val="16"/>
              </w:rPr>
            </w:pPr>
            <w:r w:rsidRPr="00AB6839">
              <w:rPr>
                <w:b/>
                <w:bCs/>
                <w:color w:val="000000"/>
                <w:sz w:val="16"/>
                <w:szCs w:val="16"/>
              </w:rPr>
              <w:t>2017</w:t>
            </w:r>
          </w:p>
        </w:tc>
      </w:tr>
      <w:tr w:rsidR="00AB6839" w:rsidRPr="00AB6839" w:rsidTr="009116B3">
        <w:trPr>
          <w:trHeight w:val="517"/>
          <w:jc w:val="center"/>
        </w:trPr>
        <w:tc>
          <w:tcPr>
            <w:tcW w:w="430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B6839" w:rsidRPr="00AB6839" w:rsidRDefault="00AB6839" w:rsidP="00AB6839">
            <w:pPr>
              <w:spacing w:after="0"/>
              <w:rPr>
                <w:color w:val="000000"/>
                <w:sz w:val="16"/>
                <w:szCs w:val="16"/>
              </w:rPr>
            </w:pPr>
            <w:r w:rsidRPr="00AB6839">
              <w:rPr>
                <w:color w:val="000000"/>
                <w:sz w:val="16"/>
                <w:szCs w:val="16"/>
              </w:rPr>
              <w:t>Osvobození od daně</w:t>
            </w:r>
          </w:p>
        </w:tc>
        <w:tc>
          <w:tcPr>
            <w:tcW w:w="1794" w:type="dxa"/>
            <w:tcBorders>
              <w:top w:val="single" w:sz="4" w:space="0" w:color="auto"/>
              <w:left w:val="nil"/>
              <w:bottom w:val="single" w:sz="4" w:space="0" w:color="auto"/>
              <w:right w:val="single" w:sz="4" w:space="0" w:color="auto"/>
            </w:tcBorders>
            <w:shd w:val="clear" w:color="000000" w:fill="FFFFFF"/>
            <w:noWrap/>
            <w:vAlign w:val="center"/>
            <w:hideMark/>
          </w:tcPr>
          <w:p w:rsidR="00AB6839" w:rsidRPr="00AB6839" w:rsidRDefault="00B363C2" w:rsidP="00AB6839">
            <w:pPr>
              <w:spacing w:after="0"/>
              <w:jc w:val="right"/>
              <w:rPr>
                <w:color w:val="000000"/>
                <w:sz w:val="16"/>
                <w:szCs w:val="16"/>
              </w:rPr>
            </w:pPr>
            <w:r>
              <w:rPr>
                <w:color w:val="000000"/>
                <w:sz w:val="16"/>
                <w:szCs w:val="16"/>
              </w:rPr>
              <w:t>443</w:t>
            </w:r>
          </w:p>
        </w:tc>
        <w:tc>
          <w:tcPr>
            <w:tcW w:w="1794" w:type="dxa"/>
            <w:tcBorders>
              <w:top w:val="single" w:sz="4" w:space="0" w:color="auto"/>
              <w:left w:val="nil"/>
              <w:bottom w:val="single" w:sz="4" w:space="0" w:color="auto"/>
              <w:right w:val="single" w:sz="8" w:space="0" w:color="auto"/>
            </w:tcBorders>
            <w:shd w:val="clear" w:color="000000" w:fill="FFFFFF"/>
            <w:vAlign w:val="center"/>
            <w:hideMark/>
          </w:tcPr>
          <w:p w:rsidR="00AB6839" w:rsidRPr="00AB6839" w:rsidRDefault="00B363C2" w:rsidP="00AB6839">
            <w:pPr>
              <w:spacing w:after="0"/>
              <w:jc w:val="right"/>
              <w:rPr>
                <w:color w:val="000000"/>
                <w:sz w:val="16"/>
                <w:szCs w:val="16"/>
              </w:rPr>
            </w:pPr>
            <w:r>
              <w:rPr>
                <w:color w:val="000000"/>
                <w:sz w:val="16"/>
                <w:szCs w:val="16"/>
              </w:rPr>
              <w:t>451</w:t>
            </w:r>
          </w:p>
        </w:tc>
      </w:tr>
      <w:tr w:rsidR="00AB6839" w:rsidRPr="00AB6839" w:rsidTr="009116B3">
        <w:trPr>
          <w:trHeight w:val="440"/>
          <w:jc w:val="center"/>
        </w:trPr>
        <w:tc>
          <w:tcPr>
            <w:tcW w:w="4301" w:type="dxa"/>
            <w:tcBorders>
              <w:top w:val="nil"/>
              <w:left w:val="single" w:sz="8" w:space="0" w:color="auto"/>
              <w:bottom w:val="single" w:sz="4" w:space="0" w:color="auto"/>
              <w:right w:val="single" w:sz="4" w:space="0" w:color="auto"/>
            </w:tcBorders>
            <w:shd w:val="clear" w:color="000000" w:fill="FFFFFF"/>
            <w:noWrap/>
            <w:vAlign w:val="center"/>
            <w:hideMark/>
          </w:tcPr>
          <w:p w:rsidR="00AB6839" w:rsidRPr="00AB6839" w:rsidRDefault="00AB6839" w:rsidP="00AB6839">
            <w:pPr>
              <w:spacing w:after="0"/>
              <w:rPr>
                <w:color w:val="000000"/>
                <w:sz w:val="16"/>
                <w:szCs w:val="16"/>
              </w:rPr>
            </w:pPr>
            <w:r w:rsidRPr="00AB6839">
              <w:rPr>
                <w:color w:val="000000"/>
                <w:sz w:val="16"/>
                <w:szCs w:val="16"/>
              </w:rPr>
              <w:t>Položky snižující základ daně</w:t>
            </w:r>
          </w:p>
        </w:tc>
        <w:tc>
          <w:tcPr>
            <w:tcW w:w="1794" w:type="dxa"/>
            <w:tcBorders>
              <w:top w:val="nil"/>
              <w:left w:val="nil"/>
              <w:bottom w:val="single" w:sz="4" w:space="0" w:color="auto"/>
              <w:right w:val="single" w:sz="4" w:space="0" w:color="auto"/>
            </w:tcBorders>
            <w:shd w:val="clear" w:color="000000" w:fill="FFFFFF"/>
            <w:noWrap/>
            <w:vAlign w:val="center"/>
            <w:hideMark/>
          </w:tcPr>
          <w:p w:rsidR="00AB6839" w:rsidRPr="00AB6839" w:rsidRDefault="00B363C2" w:rsidP="00AB6839">
            <w:pPr>
              <w:spacing w:after="0"/>
              <w:jc w:val="right"/>
              <w:rPr>
                <w:color w:val="000000"/>
                <w:sz w:val="16"/>
                <w:szCs w:val="16"/>
              </w:rPr>
            </w:pPr>
            <w:r>
              <w:rPr>
                <w:color w:val="000000"/>
                <w:sz w:val="16"/>
                <w:szCs w:val="16"/>
              </w:rPr>
              <w:t>3 858</w:t>
            </w:r>
          </w:p>
        </w:tc>
        <w:tc>
          <w:tcPr>
            <w:tcW w:w="1794" w:type="dxa"/>
            <w:tcBorders>
              <w:top w:val="nil"/>
              <w:left w:val="nil"/>
              <w:bottom w:val="single" w:sz="4" w:space="0" w:color="auto"/>
              <w:right w:val="single" w:sz="8" w:space="0" w:color="auto"/>
            </w:tcBorders>
            <w:shd w:val="clear" w:color="000000" w:fill="FFFFFF"/>
            <w:vAlign w:val="center"/>
            <w:hideMark/>
          </w:tcPr>
          <w:p w:rsidR="00AB6839" w:rsidRPr="00AB6839" w:rsidRDefault="00B363C2" w:rsidP="00AB6839">
            <w:pPr>
              <w:spacing w:after="0"/>
              <w:jc w:val="right"/>
              <w:rPr>
                <w:color w:val="000000"/>
                <w:sz w:val="16"/>
                <w:szCs w:val="16"/>
              </w:rPr>
            </w:pPr>
            <w:r>
              <w:rPr>
                <w:color w:val="000000"/>
                <w:sz w:val="16"/>
                <w:szCs w:val="16"/>
              </w:rPr>
              <w:t>4 055</w:t>
            </w:r>
          </w:p>
        </w:tc>
      </w:tr>
      <w:tr w:rsidR="00AB6839" w:rsidRPr="00AB6839" w:rsidTr="009116B3">
        <w:trPr>
          <w:trHeight w:val="440"/>
          <w:jc w:val="center"/>
        </w:trPr>
        <w:tc>
          <w:tcPr>
            <w:tcW w:w="4301" w:type="dxa"/>
            <w:tcBorders>
              <w:top w:val="nil"/>
              <w:left w:val="single" w:sz="8" w:space="0" w:color="auto"/>
              <w:bottom w:val="single" w:sz="4" w:space="0" w:color="auto"/>
              <w:right w:val="single" w:sz="4" w:space="0" w:color="auto"/>
            </w:tcBorders>
            <w:shd w:val="clear" w:color="000000" w:fill="FFFFFF"/>
            <w:noWrap/>
            <w:vAlign w:val="center"/>
            <w:hideMark/>
          </w:tcPr>
          <w:p w:rsidR="00AB6839" w:rsidRPr="00AB6839" w:rsidRDefault="00AB6839" w:rsidP="00AB6839">
            <w:pPr>
              <w:spacing w:after="0"/>
              <w:rPr>
                <w:color w:val="000000"/>
                <w:sz w:val="16"/>
                <w:szCs w:val="16"/>
              </w:rPr>
            </w:pPr>
            <w:r w:rsidRPr="00AB6839">
              <w:rPr>
                <w:color w:val="000000"/>
                <w:sz w:val="16"/>
                <w:szCs w:val="16"/>
              </w:rPr>
              <w:t>Položky snižující daň</w:t>
            </w:r>
          </w:p>
        </w:tc>
        <w:tc>
          <w:tcPr>
            <w:tcW w:w="1794" w:type="dxa"/>
            <w:tcBorders>
              <w:top w:val="nil"/>
              <w:left w:val="nil"/>
              <w:bottom w:val="single" w:sz="4" w:space="0" w:color="auto"/>
              <w:right w:val="single" w:sz="4" w:space="0" w:color="auto"/>
            </w:tcBorders>
            <w:shd w:val="clear" w:color="000000" w:fill="FFFFFF"/>
            <w:noWrap/>
            <w:vAlign w:val="center"/>
            <w:hideMark/>
          </w:tcPr>
          <w:p w:rsidR="00AB6839" w:rsidRPr="00AB6839" w:rsidRDefault="00B363C2" w:rsidP="00AB6839">
            <w:pPr>
              <w:spacing w:after="0"/>
              <w:jc w:val="right"/>
              <w:rPr>
                <w:color w:val="000000"/>
                <w:sz w:val="16"/>
                <w:szCs w:val="16"/>
              </w:rPr>
            </w:pPr>
            <w:r>
              <w:rPr>
                <w:color w:val="000000"/>
                <w:sz w:val="16"/>
                <w:szCs w:val="16"/>
              </w:rPr>
              <w:t>7 224</w:t>
            </w:r>
          </w:p>
        </w:tc>
        <w:tc>
          <w:tcPr>
            <w:tcW w:w="1794" w:type="dxa"/>
            <w:tcBorders>
              <w:top w:val="nil"/>
              <w:left w:val="nil"/>
              <w:bottom w:val="single" w:sz="4" w:space="0" w:color="auto"/>
              <w:right w:val="single" w:sz="8" w:space="0" w:color="auto"/>
            </w:tcBorders>
            <w:shd w:val="clear" w:color="000000" w:fill="FFFFFF"/>
            <w:vAlign w:val="center"/>
            <w:hideMark/>
          </w:tcPr>
          <w:p w:rsidR="00AB6839" w:rsidRPr="00AB6839" w:rsidRDefault="00B363C2" w:rsidP="00AB6839">
            <w:pPr>
              <w:spacing w:after="0"/>
              <w:jc w:val="right"/>
              <w:rPr>
                <w:color w:val="000000"/>
                <w:sz w:val="16"/>
                <w:szCs w:val="16"/>
              </w:rPr>
            </w:pPr>
            <w:r>
              <w:rPr>
                <w:color w:val="000000"/>
                <w:sz w:val="16"/>
                <w:szCs w:val="16"/>
              </w:rPr>
              <w:t>6 157</w:t>
            </w:r>
          </w:p>
        </w:tc>
      </w:tr>
      <w:tr w:rsidR="00AB6839" w:rsidRPr="00AB6839" w:rsidTr="009116B3">
        <w:trPr>
          <w:trHeight w:val="440"/>
          <w:jc w:val="center"/>
        </w:trPr>
        <w:tc>
          <w:tcPr>
            <w:tcW w:w="4301" w:type="dxa"/>
            <w:tcBorders>
              <w:top w:val="nil"/>
              <w:left w:val="single" w:sz="8" w:space="0" w:color="auto"/>
              <w:bottom w:val="single" w:sz="4" w:space="0" w:color="auto"/>
              <w:right w:val="single" w:sz="4" w:space="0" w:color="auto"/>
            </w:tcBorders>
            <w:shd w:val="clear" w:color="000000" w:fill="FFFFFF"/>
            <w:noWrap/>
            <w:vAlign w:val="center"/>
            <w:hideMark/>
          </w:tcPr>
          <w:p w:rsidR="00AB6839" w:rsidRPr="00AB6839" w:rsidRDefault="00AB6839" w:rsidP="00AB6839">
            <w:pPr>
              <w:spacing w:after="0"/>
              <w:rPr>
                <w:color w:val="000000"/>
                <w:sz w:val="16"/>
                <w:szCs w:val="16"/>
              </w:rPr>
            </w:pPr>
            <w:r w:rsidRPr="00AB6839">
              <w:rPr>
                <w:color w:val="000000"/>
                <w:sz w:val="16"/>
                <w:szCs w:val="16"/>
              </w:rPr>
              <w:t>Snížená sazba daně</w:t>
            </w:r>
          </w:p>
        </w:tc>
        <w:tc>
          <w:tcPr>
            <w:tcW w:w="1794" w:type="dxa"/>
            <w:tcBorders>
              <w:top w:val="nil"/>
              <w:left w:val="nil"/>
              <w:bottom w:val="single" w:sz="4" w:space="0" w:color="auto"/>
              <w:right w:val="single" w:sz="4" w:space="0" w:color="auto"/>
            </w:tcBorders>
            <w:shd w:val="clear" w:color="000000" w:fill="FFFFFF"/>
            <w:noWrap/>
            <w:vAlign w:val="center"/>
            <w:hideMark/>
          </w:tcPr>
          <w:p w:rsidR="00AB6839" w:rsidRPr="00AB6839" w:rsidRDefault="00B363C2" w:rsidP="00AB6839">
            <w:pPr>
              <w:spacing w:after="0"/>
              <w:jc w:val="right"/>
              <w:rPr>
                <w:color w:val="000000"/>
                <w:sz w:val="16"/>
                <w:szCs w:val="16"/>
              </w:rPr>
            </w:pPr>
            <w:r>
              <w:rPr>
                <w:color w:val="000000"/>
                <w:sz w:val="16"/>
                <w:szCs w:val="16"/>
              </w:rPr>
              <w:t>2 264</w:t>
            </w:r>
          </w:p>
        </w:tc>
        <w:tc>
          <w:tcPr>
            <w:tcW w:w="1794" w:type="dxa"/>
            <w:tcBorders>
              <w:top w:val="nil"/>
              <w:left w:val="nil"/>
              <w:bottom w:val="single" w:sz="4" w:space="0" w:color="auto"/>
              <w:right w:val="single" w:sz="8" w:space="0" w:color="auto"/>
            </w:tcBorders>
            <w:shd w:val="clear" w:color="000000" w:fill="FFFFFF"/>
            <w:vAlign w:val="center"/>
            <w:hideMark/>
          </w:tcPr>
          <w:p w:rsidR="00AB6839" w:rsidRPr="00AB6839" w:rsidRDefault="00B363C2" w:rsidP="00AB6839">
            <w:pPr>
              <w:spacing w:after="0"/>
              <w:jc w:val="right"/>
              <w:rPr>
                <w:color w:val="000000"/>
                <w:sz w:val="16"/>
                <w:szCs w:val="16"/>
              </w:rPr>
            </w:pPr>
            <w:r>
              <w:rPr>
                <w:color w:val="000000"/>
                <w:sz w:val="16"/>
                <w:szCs w:val="16"/>
              </w:rPr>
              <w:t>2 994</w:t>
            </w:r>
          </w:p>
        </w:tc>
      </w:tr>
      <w:tr w:rsidR="00AB6839" w:rsidRPr="00AB6839" w:rsidTr="009116B3">
        <w:trPr>
          <w:trHeight w:val="440"/>
          <w:jc w:val="center"/>
        </w:trPr>
        <w:tc>
          <w:tcPr>
            <w:tcW w:w="4301" w:type="dxa"/>
            <w:tcBorders>
              <w:top w:val="nil"/>
              <w:left w:val="single" w:sz="8" w:space="0" w:color="auto"/>
              <w:bottom w:val="single" w:sz="8" w:space="0" w:color="auto"/>
              <w:right w:val="single" w:sz="4" w:space="0" w:color="auto"/>
            </w:tcBorders>
            <w:shd w:val="clear" w:color="000000" w:fill="FFFFFF"/>
            <w:noWrap/>
            <w:vAlign w:val="center"/>
            <w:hideMark/>
          </w:tcPr>
          <w:p w:rsidR="00AB6839" w:rsidRPr="00AB6839" w:rsidRDefault="00AB6839" w:rsidP="00AB6839">
            <w:pPr>
              <w:spacing w:after="0"/>
              <w:rPr>
                <w:b/>
                <w:bCs/>
                <w:color w:val="000000"/>
                <w:sz w:val="16"/>
                <w:szCs w:val="16"/>
              </w:rPr>
            </w:pPr>
            <w:r w:rsidRPr="00AB6839">
              <w:rPr>
                <w:b/>
                <w:bCs/>
                <w:color w:val="000000"/>
                <w:sz w:val="16"/>
                <w:szCs w:val="16"/>
              </w:rPr>
              <w:t>Celkem</w:t>
            </w:r>
          </w:p>
        </w:tc>
        <w:tc>
          <w:tcPr>
            <w:tcW w:w="1794" w:type="dxa"/>
            <w:tcBorders>
              <w:top w:val="nil"/>
              <w:left w:val="nil"/>
              <w:bottom w:val="single" w:sz="8" w:space="0" w:color="auto"/>
              <w:right w:val="single" w:sz="4" w:space="0" w:color="auto"/>
            </w:tcBorders>
            <w:shd w:val="clear" w:color="000000" w:fill="FFFFFF"/>
            <w:noWrap/>
            <w:vAlign w:val="center"/>
            <w:hideMark/>
          </w:tcPr>
          <w:p w:rsidR="00AB6839" w:rsidRPr="00AB6839" w:rsidRDefault="00B363C2" w:rsidP="00AB6839">
            <w:pPr>
              <w:spacing w:after="0"/>
              <w:jc w:val="right"/>
              <w:rPr>
                <w:b/>
                <w:bCs/>
                <w:color w:val="000000"/>
                <w:sz w:val="16"/>
                <w:szCs w:val="16"/>
              </w:rPr>
            </w:pPr>
            <w:r>
              <w:rPr>
                <w:b/>
                <w:bCs/>
                <w:color w:val="000000"/>
                <w:sz w:val="16"/>
                <w:szCs w:val="16"/>
              </w:rPr>
              <w:t>13 789</w:t>
            </w:r>
          </w:p>
        </w:tc>
        <w:tc>
          <w:tcPr>
            <w:tcW w:w="1794" w:type="dxa"/>
            <w:tcBorders>
              <w:top w:val="nil"/>
              <w:left w:val="nil"/>
              <w:bottom w:val="single" w:sz="8" w:space="0" w:color="auto"/>
              <w:right w:val="single" w:sz="8" w:space="0" w:color="auto"/>
            </w:tcBorders>
            <w:shd w:val="clear" w:color="000000" w:fill="FFFFFF"/>
            <w:vAlign w:val="center"/>
            <w:hideMark/>
          </w:tcPr>
          <w:p w:rsidR="00AB6839" w:rsidRPr="00AB6839" w:rsidRDefault="00B363C2" w:rsidP="00AB6839">
            <w:pPr>
              <w:spacing w:after="0"/>
              <w:jc w:val="right"/>
              <w:rPr>
                <w:b/>
                <w:bCs/>
                <w:color w:val="000000"/>
                <w:sz w:val="16"/>
                <w:szCs w:val="16"/>
              </w:rPr>
            </w:pPr>
            <w:r>
              <w:rPr>
                <w:b/>
                <w:bCs/>
                <w:color w:val="000000"/>
                <w:sz w:val="16"/>
                <w:szCs w:val="16"/>
              </w:rPr>
              <w:t>13 656</w:t>
            </w:r>
          </w:p>
        </w:tc>
      </w:tr>
    </w:tbl>
    <w:p w:rsidR="007C3561" w:rsidRDefault="007C3561" w:rsidP="007C3561">
      <w:pPr>
        <w:widowControl w:val="0"/>
        <w:rPr>
          <w:szCs w:val="24"/>
        </w:rPr>
        <w:sectPr w:rsidR="007C3561" w:rsidSect="00F30468">
          <w:type w:val="continuous"/>
          <w:pgSz w:w="11906" w:h="16838" w:code="9"/>
          <w:pgMar w:top="1134" w:right="1134" w:bottom="1134" w:left="1134" w:header="709" w:footer="709" w:gutter="0"/>
          <w:cols w:space="397"/>
          <w:docGrid w:linePitch="360"/>
        </w:sectPr>
      </w:pPr>
    </w:p>
    <w:p w:rsidR="00B076AF" w:rsidRDefault="00B076AF" w:rsidP="007C3561">
      <w:pPr>
        <w:widowControl w:val="0"/>
        <w:rPr>
          <w:szCs w:val="24"/>
        </w:rPr>
        <w:sectPr w:rsidR="00B076AF" w:rsidSect="00F30468">
          <w:type w:val="continuous"/>
          <w:pgSz w:w="11906" w:h="16838" w:code="9"/>
          <w:pgMar w:top="1134" w:right="1134" w:bottom="1134" w:left="1134" w:header="709" w:footer="709" w:gutter="0"/>
          <w:cols w:num="2" w:space="397"/>
          <w:docGrid w:linePitch="360"/>
        </w:sectPr>
      </w:pPr>
    </w:p>
    <w:p w:rsidR="00A70AEC" w:rsidRDefault="00A70AEC" w:rsidP="00A70AEC">
      <w:pPr>
        <w:widowControl w:val="0"/>
      </w:pPr>
      <w:r w:rsidRPr="004904A7">
        <w:rPr>
          <w:szCs w:val="24"/>
        </w:rPr>
        <w:lastRenderedPageBreak/>
        <w:t>Do vyčíslení daňových úlev není zahrnuto osvobození příjmů z podílů na zisku mezi dceřinou a mateřskou společností, a to z důvodu nedostupnosti dat potřebných pro vyčíslení.</w:t>
      </w:r>
      <w:r>
        <w:rPr>
          <w:szCs w:val="24"/>
        </w:rPr>
        <w:t xml:space="preserve"> Nicméně zařazení této položky do daňových úlev je sporné – jedná se o rozdělení zisku, </w:t>
      </w:r>
      <w:r>
        <w:rPr>
          <w:szCs w:val="24"/>
        </w:rPr>
        <w:lastRenderedPageBreak/>
        <w:t>který již byl jednou zdaněn.</w:t>
      </w:r>
      <w:r w:rsidRPr="004904A7">
        <w:rPr>
          <w:szCs w:val="24"/>
        </w:rPr>
        <w:t xml:space="preserve"> </w:t>
      </w:r>
      <w:r>
        <w:rPr>
          <w:szCs w:val="24"/>
        </w:rPr>
        <w:t>V</w:t>
      </w:r>
      <w:r w:rsidRPr="004904A7">
        <w:rPr>
          <w:szCs w:val="24"/>
        </w:rPr>
        <w:t xml:space="preserve">ýši této </w:t>
      </w:r>
      <w:r>
        <w:rPr>
          <w:szCs w:val="24"/>
        </w:rPr>
        <w:t>položky lze</w:t>
      </w:r>
      <w:r w:rsidRPr="004904A7">
        <w:rPr>
          <w:szCs w:val="24"/>
        </w:rPr>
        <w:t xml:space="preserve"> odhad</w:t>
      </w:r>
      <w:r>
        <w:rPr>
          <w:szCs w:val="24"/>
        </w:rPr>
        <w:t>nout</w:t>
      </w:r>
      <w:r w:rsidRPr="004904A7">
        <w:rPr>
          <w:szCs w:val="24"/>
        </w:rPr>
        <w:t xml:space="preserve"> na </w:t>
      </w:r>
      <w:r w:rsidRPr="00A70AEC">
        <w:rPr>
          <w:szCs w:val="24"/>
        </w:rPr>
        <w:t>desítky miliard korun</w:t>
      </w:r>
      <w:r w:rsidRPr="004904A7">
        <w:rPr>
          <w:szCs w:val="24"/>
        </w:rPr>
        <w:t xml:space="preserve"> – tedy vyšší, než je součet celkem vyčíslených daňových úlev u daně z příjmů právnických osob.</w:t>
      </w:r>
      <w:r>
        <w:t xml:space="preserve"> </w:t>
      </w:r>
    </w:p>
    <w:p w:rsidR="007C3561" w:rsidRDefault="007C3561" w:rsidP="007C3561">
      <w:pPr>
        <w:widowControl w:val="0"/>
      </w:pPr>
      <w:r>
        <w:t xml:space="preserve"> </w:t>
      </w:r>
    </w:p>
    <w:p w:rsidR="007C3561" w:rsidRDefault="007C3561" w:rsidP="007C3561">
      <w:pPr>
        <w:pStyle w:val="Nadpis2"/>
        <w:sectPr w:rsidR="007C3561" w:rsidSect="00F30468">
          <w:type w:val="continuous"/>
          <w:pgSz w:w="11906" w:h="16838" w:code="9"/>
          <w:pgMar w:top="1134" w:right="1134" w:bottom="1134" w:left="1134" w:header="709" w:footer="709" w:gutter="0"/>
          <w:cols w:num="2" w:space="397"/>
          <w:docGrid w:linePitch="360"/>
        </w:sectPr>
      </w:pPr>
    </w:p>
    <w:p w:rsidR="007C3561" w:rsidRDefault="007C3561" w:rsidP="007C3561">
      <w:pPr>
        <w:pStyle w:val="Nadpis2"/>
      </w:pPr>
      <w:r>
        <w:lastRenderedPageBreak/>
        <w:t>Daň z přidané hodnoty – výše daňových úlev pro rok</w:t>
      </w:r>
      <w:r w:rsidR="00B363C2">
        <w:t>y</w:t>
      </w:r>
      <w:r>
        <w:t xml:space="preserve"> 2016</w:t>
      </w:r>
      <w:r w:rsidR="00A70AEC">
        <w:t xml:space="preserve"> a 2017</w:t>
      </w:r>
    </w:p>
    <w:p w:rsidR="007C3561" w:rsidRDefault="007C3561" w:rsidP="007C3561">
      <w:pPr>
        <w:widowControl w:val="0"/>
        <w:rPr>
          <w:szCs w:val="24"/>
        </w:rPr>
        <w:sectPr w:rsidR="007C3561" w:rsidSect="00F30468">
          <w:type w:val="continuous"/>
          <w:pgSz w:w="11906" w:h="16838" w:code="9"/>
          <w:pgMar w:top="1134" w:right="1134" w:bottom="1134" w:left="1134" w:header="709" w:footer="709" w:gutter="0"/>
          <w:cols w:space="397"/>
          <w:docGrid w:linePitch="360"/>
        </w:sectPr>
      </w:pPr>
    </w:p>
    <w:p w:rsidR="00A70AEC" w:rsidRDefault="00A70AEC" w:rsidP="00A70AEC">
      <w:pPr>
        <w:widowControl w:val="0"/>
        <w:rPr>
          <w:szCs w:val="24"/>
        </w:rPr>
      </w:pPr>
      <w:r>
        <w:rPr>
          <w:szCs w:val="24"/>
        </w:rPr>
        <w:lastRenderedPageBreak/>
        <w:t xml:space="preserve">Pro přesný výpočet výše daňových úlev u daně z přidané hodnoty je nezbytné znát, zda plnění, které plátce daně poskytuje, je určené plátci či neplátci DPH. Nicméně takto detailní informace nejsou k dispozici. Může se tak vycházet pouze z údajů o výši plnění přijatých neplátci, které jsou obsažené v tabulkách dodávek a užití publikovaných Českým statistickým úřadem. (Mezi neplátce jsou zahrnovány domácnosti, veřejný sektor a </w:t>
      </w:r>
      <w:r>
        <w:rPr>
          <w:szCs w:val="24"/>
        </w:rPr>
        <w:lastRenderedPageBreak/>
        <w:t xml:space="preserve">osvobozené sektory dle zákona o DPH.) Z tohoto důvodu tak dochází při výpočtu výše daňových úlev k nepřesnostem. </w:t>
      </w:r>
    </w:p>
    <w:p w:rsidR="00A70AEC" w:rsidRDefault="00A70AEC" w:rsidP="00A70AEC">
      <w:pPr>
        <w:widowControl w:val="0"/>
        <w:rPr>
          <w:szCs w:val="24"/>
        </w:rPr>
      </w:pPr>
      <w:r>
        <w:rPr>
          <w:szCs w:val="24"/>
        </w:rPr>
        <w:t>Následující tabulka zachycuje přehled těch daňových úlev, jejichž výše byla pro roky 2016 a 2017 vyčíslena.</w:t>
      </w:r>
    </w:p>
    <w:p w:rsidR="007C3561" w:rsidRDefault="007C3561" w:rsidP="007C3561">
      <w:pPr>
        <w:widowControl w:val="0"/>
        <w:rPr>
          <w:szCs w:val="24"/>
        </w:rPr>
      </w:pPr>
    </w:p>
    <w:p w:rsidR="00A70AEC" w:rsidRDefault="00A70AEC" w:rsidP="007C3561">
      <w:pPr>
        <w:widowControl w:val="0"/>
        <w:rPr>
          <w:szCs w:val="24"/>
        </w:rPr>
      </w:pPr>
    </w:p>
    <w:p w:rsidR="00A70AEC" w:rsidRDefault="00A70AEC" w:rsidP="007C3561">
      <w:pPr>
        <w:widowControl w:val="0"/>
        <w:rPr>
          <w:szCs w:val="24"/>
        </w:rPr>
        <w:sectPr w:rsidR="00A70AEC" w:rsidSect="00F30468">
          <w:type w:val="continuous"/>
          <w:pgSz w:w="11906" w:h="16838" w:code="9"/>
          <w:pgMar w:top="1134" w:right="1134" w:bottom="1134" w:left="1134" w:header="709" w:footer="709" w:gutter="0"/>
          <w:cols w:num="2" w:space="397"/>
          <w:docGrid w:linePitch="360"/>
        </w:sectPr>
      </w:pPr>
    </w:p>
    <w:p w:rsidR="0043041F" w:rsidRPr="00B86C6C" w:rsidRDefault="00B86C6C" w:rsidP="00A23A7F">
      <w:pPr>
        <w:pStyle w:val="Titulek"/>
        <w:keepNext/>
        <w:spacing w:after="0"/>
        <w:jc w:val="center"/>
        <w:rPr>
          <w:color w:val="auto"/>
          <w:sz w:val="20"/>
        </w:rPr>
      </w:pPr>
      <w:r w:rsidRPr="00B86C6C">
        <w:rPr>
          <w:color w:val="auto"/>
          <w:sz w:val="20"/>
        </w:rPr>
        <w:lastRenderedPageBreak/>
        <w:t xml:space="preserve">Tabulka č. </w:t>
      </w:r>
      <w:r w:rsidRPr="00B86C6C">
        <w:rPr>
          <w:color w:val="auto"/>
          <w:sz w:val="20"/>
        </w:rPr>
        <w:fldChar w:fldCharType="begin"/>
      </w:r>
      <w:r w:rsidRPr="00B86C6C">
        <w:rPr>
          <w:color w:val="auto"/>
          <w:sz w:val="20"/>
        </w:rPr>
        <w:instrText xml:space="preserve"> SEQ Tabulka_č. \* ARABIC </w:instrText>
      </w:r>
      <w:r w:rsidRPr="00B86C6C">
        <w:rPr>
          <w:color w:val="auto"/>
          <w:sz w:val="20"/>
        </w:rPr>
        <w:fldChar w:fldCharType="separate"/>
      </w:r>
      <w:r w:rsidR="00CF78CA">
        <w:rPr>
          <w:noProof/>
          <w:color w:val="auto"/>
          <w:sz w:val="20"/>
        </w:rPr>
        <w:t>6</w:t>
      </w:r>
      <w:r w:rsidRPr="00B86C6C">
        <w:rPr>
          <w:color w:val="auto"/>
          <w:sz w:val="20"/>
        </w:rPr>
        <w:fldChar w:fldCharType="end"/>
      </w:r>
      <w:r w:rsidRPr="00B86C6C">
        <w:rPr>
          <w:color w:val="auto"/>
          <w:sz w:val="20"/>
        </w:rPr>
        <w:t xml:space="preserve"> Vyčíslené daňové úlevy u daně z přidané hodnoty</w:t>
      </w:r>
    </w:p>
    <w:tbl>
      <w:tblPr>
        <w:tblW w:w="7144" w:type="dxa"/>
        <w:jc w:val="center"/>
        <w:tblCellMar>
          <w:left w:w="70" w:type="dxa"/>
          <w:right w:w="70" w:type="dxa"/>
        </w:tblCellMar>
        <w:tblLook w:val="04A0" w:firstRow="1" w:lastRow="0" w:firstColumn="1" w:lastColumn="0" w:noHBand="0" w:noVBand="1"/>
      </w:tblPr>
      <w:tblGrid>
        <w:gridCol w:w="1358"/>
        <w:gridCol w:w="4425"/>
        <w:gridCol w:w="1361"/>
      </w:tblGrid>
      <w:tr w:rsidR="0043041F" w:rsidRPr="0043041F" w:rsidTr="009116B3">
        <w:trPr>
          <w:trHeight w:val="256"/>
          <w:jc w:val="center"/>
        </w:trPr>
        <w:tc>
          <w:tcPr>
            <w:tcW w:w="1417" w:type="dxa"/>
            <w:tcBorders>
              <w:top w:val="single" w:sz="8" w:space="0" w:color="auto"/>
              <w:left w:val="single" w:sz="8" w:space="0" w:color="auto"/>
              <w:bottom w:val="single" w:sz="4" w:space="0" w:color="auto"/>
              <w:right w:val="single" w:sz="4" w:space="0" w:color="auto"/>
            </w:tcBorders>
            <w:shd w:val="clear" w:color="000000" w:fill="E4DFEC"/>
            <w:vAlign w:val="center"/>
            <w:hideMark/>
          </w:tcPr>
          <w:p w:rsidR="0043041F" w:rsidRPr="0043041F" w:rsidRDefault="0043041F" w:rsidP="0043041F">
            <w:pPr>
              <w:spacing w:after="0"/>
              <w:jc w:val="center"/>
              <w:rPr>
                <w:b/>
                <w:bCs/>
                <w:color w:val="000000"/>
                <w:sz w:val="16"/>
                <w:szCs w:val="16"/>
              </w:rPr>
            </w:pPr>
            <w:r w:rsidRPr="0043041F">
              <w:rPr>
                <w:b/>
                <w:bCs/>
                <w:color w:val="000000"/>
                <w:sz w:val="16"/>
                <w:szCs w:val="16"/>
              </w:rPr>
              <w:t>Kategorie</w:t>
            </w:r>
          </w:p>
        </w:tc>
        <w:tc>
          <w:tcPr>
            <w:tcW w:w="4878" w:type="dxa"/>
            <w:tcBorders>
              <w:top w:val="single" w:sz="8" w:space="0" w:color="auto"/>
              <w:left w:val="nil"/>
              <w:bottom w:val="single" w:sz="4" w:space="0" w:color="auto"/>
              <w:right w:val="single" w:sz="4" w:space="0" w:color="auto"/>
            </w:tcBorders>
            <w:shd w:val="clear" w:color="000000" w:fill="E4DFEC"/>
            <w:vAlign w:val="center"/>
            <w:hideMark/>
          </w:tcPr>
          <w:p w:rsidR="0043041F" w:rsidRPr="0043041F" w:rsidRDefault="0043041F" w:rsidP="0043041F">
            <w:pPr>
              <w:spacing w:after="0"/>
              <w:jc w:val="center"/>
              <w:rPr>
                <w:b/>
                <w:bCs/>
                <w:color w:val="000000"/>
                <w:sz w:val="16"/>
                <w:szCs w:val="16"/>
              </w:rPr>
            </w:pPr>
            <w:r w:rsidRPr="0043041F">
              <w:rPr>
                <w:b/>
                <w:bCs/>
                <w:color w:val="000000"/>
                <w:sz w:val="16"/>
                <w:szCs w:val="16"/>
              </w:rPr>
              <w:t>Název daňové úlevy</w:t>
            </w:r>
          </w:p>
        </w:tc>
        <w:tc>
          <w:tcPr>
            <w:tcW w:w="1438" w:type="dxa"/>
            <w:tcBorders>
              <w:top w:val="single" w:sz="8" w:space="0" w:color="auto"/>
              <w:left w:val="nil"/>
              <w:bottom w:val="single" w:sz="4" w:space="0" w:color="auto"/>
              <w:right w:val="single" w:sz="8" w:space="0" w:color="auto"/>
            </w:tcBorders>
            <w:shd w:val="clear" w:color="000000" w:fill="E4DFEC"/>
            <w:vAlign w:val="center"/>
            <w:hideMark/>
          </w:tcPr>
          <w:p w:rsidR="0043041F" w:rsidRPr="0043041F" w:rsidRDefault="0043041F" w:rsidP="0043041F">
            <w:pPr>
              <w:spacing w:after="0"/>
              <w:jc w:val="center"/>
              <w:rPr>
                <w:b/>
                <w:bCs/>
                <w:color w:val="000000"/>
                <w:sz w:val="16"/>
                <w:szCs w:val="16"/>
              </w:rPr>
            </w:pPr>
            <w:r w:rsidRPr="0043041F">
              <w:rPr>
                <w:b/>
                <w:bCs/>
                <w:color w:val="000000"/>
                <w:sz w:val="16"/>
                <w:szCs w:val="16"/>
              </w:rPr>
              <w:t>§ ZDPH</w:t>
            </w:r>
          </w:p>
        </w:tc>
      </w:tr>
      <w:tr w:rsidR="0043041F" w:rsidRPr="0043041F" w:rsidTr="009116B3">
        <w:trPr>
          <w:trHeight w:val="256"/>
          <w:jc w:val="center"/>
        </w:trPr>
        <w:tc>
          <w:tcPr>
            <w:tcW w:w="1417" w:type="dxa"/>
            <w:vMerge w:val="restart"/>
            <w:tcBorders>
              <w:top w:val="single" w:sz="4" w:space="0" w:color="auto"/>
              <w:left w:val="single" w:sz="8" w:space="0" w:color="auto"/>
              <w:bottom w:val="single" w:sz="4" w:space="0" w:color="auto"/>
              <w:right w:val="single" w:sz="4" w:space="0" w:color="auto"/>
            </w:tcBorders>
            <w:shd w:val="clear" w:color="000000" w:fill="FFFFFF"/>
            <w:vAlign w:val="center"/>
            <w:hideMark/>
          </w:tcPr>
          <w:p w:rsidR="0043041F" w:rsidRPr="0043041F" w:rsidRDefault="0043041F" w:rsidP="0043041F">
            <w:pPr>
              <w:spacing w:after="0"/>
              <w:jc w:val="center"/>
              <w:rPr>
                <w:b/>
                <w:bCs/>
                <w:color w:val="000000"/>
                <w:sz w:val="16"/>
                <w:szCs w:val="16"/>
              </w:rPr>
            </w:pPr>
            <w:r w:rsidRPr="0043041F">
              <w:rPr>
                <w:b/>
                <w:bCs/>
                <w:color w:val="000000"/>
                <w:sz w:val="16"/>
                <w:szCs w:val="16"/>
              </w:rPr>
              <w:t>Osvobození od daně</w:t>
            </w:r>
          </w:p>
        </w:tc>
        <w:tc>
          <w:tcPr>
            <w:tcW w:w="4878" w:type="dxa"/>
            <w:tcBorders>
              <w:top w:val="single" w:sz="4" w:space="0" w:color="auto"/>
              <w:left w:val="nil"/>
              <w:bottom w:val="single" w:sz="4"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Osvobození nájmu nemovitých věcí</w:t>
            </w:r>
          </w:p>
        </w:tc>
        <w:tc>
          <w:tcPr>
            <w:tcW w:w="1438" w:type="dxa"/>
            <w:tcBorders>
              <w:top w:val="single" w:sz="4" w:space="0" w:color="auto"/>
              <w:left w:val="nil"/>
              <w:bottom w:val="single" w:sz="4" w:space="0" w:color="auto"/>
              <w:right w:val="single" w:sz="8" w:space="0" w:color="auto"/>
            </w:tcBorders>
            <w:shd w:val="clear" w:color="000000" w:fill="FFFFFF"/>
            <w:vAlign w:val="center"/>
            <w:hideMark/>
          </w:tcPr>
          <w:p w:rsidR="0043041F" w:rsidRPr="0043041F" w:rsidRDefault="0043041F" w:rsidP="0043041F">
            <w:pPr>
              <w:spacing w:after="0"/>
              <w:jc w:val="center"/>
              <w:rPr>
                <w:color w:val="000000"/>
                <w:sz w:val="16"/>
                <w:szCs w:val="16"/>
              </w:rPr>
            </w:pPr>
            <w:r w:rsidRPr="0043041F">
              <w:rPr>
                <w:color w:val="000000"/>
                <w:sz w:val="16"/>
                <w:szCs w:val="16"/>
              </w:rPr>
              <w:t>§§ 51, 56, 56a</w:t>
            </w:r>
          </w:p>
        </w:tc>
      </w:tr>
      <w:tr w:rsidR="0043041F" w:rsidRPr="0043041F" w:rsidTr="009116B3">
        <w:trPr>
          <w:trHeight w:val="256"/>
          <w:jc w:val="center"/>
        </w:trPr>
        <w:tc>
          <w:tcPr>
            <w:tcW w:w="1417" w:type="dxa"/>
            <w:vMerge/>
            <w:tcBorders>
              <w:top w:val="single" w:sz="4" w:space="0" w:color="auto"/>
              <w:left w:val="single" w:sz="8" w:space="0" w:color="auto"/>
              <w:bottom w:val="single" w:sz="4" w:space="0" w:color="auto"/>
              <w:right w:val="single" w:sz="4" w:space="0" w:color="auto"/>
            </w:tcBorders>
            <w:vAlign w:val="center"/>
            <w:hideMark/>
          </w:tcPr>
          <w:p w:rsidR="0043041F" w:rsidRPr="0043041F" w:rsidRDefault="0043041F" w:rsidP="0043041F">
            <w:pPr>
              <w:spacing w:after="0"/>
              <w:jc w:val="left"/>
              <w:rPr>
                <w:b/>
                <w:bCs/>
                <w:color w:val="000000"/>
                <w:sz w:val="16"/>
                <w:szCs w:val="16"/>
              </w:rPr>
            </w:pPr>
          </w:p>
        </w:tc>
        <w:tc>
          <w:tcPr>
            <w:tcW w:w="4878" w:type="dxa"/>
            <w:tcBorders>
              <w:top w:val="nil"/>
              <w:left w:val="nil"/>
              <w:bottom w:val="single" w:sz="4"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 xml:space="preserve">Osvobození finančních činností </w:t>
            </w:r>
          </w:p>
        </w:tc>
        <w:tc>
          <w:tcPr>
            <w:tcW w:w="1438" w:type="dxa"/>
            <w:tcBorders>
              <w:top w:val="nil"/>
              <w:left w:val="nil"/>
              <w:bottom w:val="single" w:sz="4" w:space="0" w:color="auto"/>
              <w:right w:val="single" w:sz="8" w:space="0" w:color="auto"/>
            </w:tcBorders>
            <w:shd w:val="clear" w:color="000000" w:fill="FFFFFF"/>
            <w:vAlign w:val="center"/>
            <w:hideMark/>
          </w:tcPr>
          <w:p w:rsidR="0043041F" w:rsidRPr="0043041F" w:rsidRDefault="0043041F" w:rsidP="0043041F">
            <w:pPr>
              <w:spacing w:after="0"/>
              <w:jc w:val="center"/>
              <w:rPr>
                <w:color w:val="000000"/>
                <w:sz w:val="16"/>
                <w:szCs w:val="16"/>
              </w:rPr>
            </w:pPr>
            <w:r w:rsidRPr="0043041F">
              <w:rPr>
                <w:color w:val="000000"/>
                <w:sz w:val="16"/>
                <w:szCs w:val="16"/>
              </w:rPr>
              <w:t>§§ 51, 54</w:t>
            </w:r>
          </w:p>
        </w:tc>
      </w:tr>
      <w:tr w:rsidR="0043041F" w:rsidRPr="0043041F" w:rsidTr="009116B3">
        <w:trPr>
          <w:trHeight w:val="218"/>
          <w:jc w:val="center"/>
        </w:trPr>
        <w:tc>
          <w:tcPr>
            <w:tcW w:w="1417" w:type="dxa"/>
            <w:vMerge/>
            <w:tcBorders>
              <w:top w:val="single" w:sz="4" w:space="0" w:color="auto"/>
              <w:left w:val="single" w:sz="8" w:space="0" w:color="auto"/>
              <w:bottom w:val="single" w:sz="4" w:space="0" w:color="auto"/>
              <w:right w:val="single" w:sz="4" w:space="0" w:color="auto"/>
            </w:tcBorders>
            <w:vAlign w:val="center"/>
            <w:hideMark/>
          </w:tcPr>
          <w:p w:rsidR="0043041F" w:rsidRPr="0043041F" w:rsidRDefault="0043041F" w:rsidP="0043041F">
            <w:pPr>
              <w:spacing w:after="0"/>
              <w:jc w:val="left"/>
              <w:rPr>
                <w:b/>
                <w:bCs/>
                <w:color w:val="000000"/>
                <w:sz w:val="16"/>
                <w:szCs w:val="16"/>
              </w:rPr>
            </w:pPr>
          </w:p>
        </w:tc>
        <w:tc>
          <w:tcPr>
            <w:tcW w:w="4878" w:type="dxa"/>
            <w:tcBorders>
              <w:top w:val="nil"/>
              <w:left w:val="nil"/>
              <w:bottom w:val="single" w:sz="4"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 xml:space="preserve">Osvobození pojišťovacích činností </w:t>
            </w:r>
          </w:p>
        </w:tc>
        <w:tc>
          <w:tcPr>
            <w:tcW w:w="1438" w:type="dxa"/>
            <w:tcBorders>
              <w:top w:val="nil"/>
              <w:left w:val="nil"/>
              <w:bottom w:val="single" w:sz="4" w:space="0" w:color="auto"/>
              <w:right w:val="single" w:sz="8" w:space="0" w:color="auto"/>
            </w:tcBorders>
            <w:shd w:val="clear" w:color="000000" w:fill="FFFFFF"/>
            <w:vAlign w:val="center"/>
            <w:hideMark/>
          </w:tcPr>
          <w:p w:rsidR="0043041F" w:rsidRPr="0043041F" w:rsidRDefault="0043041F" w:rsidP="0043041F">
            <w:pPr>
              <w:spacing w:after="0"/>
              <w:jc w:val="center"/>
              <w:rPr>
                <w:color w:val="000000"/>
                <w:sz w:val="16"/>
                <w:szCs w:val="16"/>
              </w:rPr>
            </w:pPr>
            <w:r w:rsidRPr="0043041F">
              <w:rPr>
                <w:color w:val="000000"/>
                <w:sz w:val="16"/>
                <w:szCs w:val="16"/>
              </w:rPr>
              <w:t>§§ 51, 55</w:t>
            </w:r>
          </w:p>
        </w:tc>
      </w:tr>
      <w:tr w:rsidR="0043041F" w:rsidRPr="0043041F" w:rsidTr="009116B3">
        <w:trPr>
          <w:trHeight w:val="256"/>
          <w:jc w:val="center"/>
        </w:trPr>
        <w:tc>
          <w:tcPr>
            <w:tcW w:w="1417" w:type="dxa"/>
            <w:vMerge/>
            <w:tcBorders>
              <w:top w:val="single" w:sz="4" w:space="0" w:color="auto"/>
              <w:left w:val="single" w:sz="8" w:space="0" w:color="auto"/>
              <w:bottom w:val="single" w:sz="4" w:space="0" w:color="auto"/>
              <w:right w:val="single" w:sz="4" w:space="0" w:color="auto"/>
            </w:tcBorders>
            <w:vAlign w:val="center"/>
            <w:hideMark/>
          </w:tcPr>
          <w:p w:rsidR="0043041F" w:rsidRPr="0043041F" w:rsidRDefault="0043041F" w:rsidP="0043041F">
            <w:pPr>
              <w:spacing w:after="0"/>
              <w:jc w:val="left"/>
              <w:rPr>
                <w:b/>
                <w:bCs/>
                <w:color w:val="000000"/>
                <w:sz w:val="16"/>
                <w:szCs w:val="16"/>
              </w:rPr>
            </w:pPr>
          </w:p>
        </w:tc>
        <w:tc>
          <w:tcPr>
            <w:tcW w:w="4878" w:type="dxa"/>
            <w:tcBorders>
              <w:top w:val="nil"/>
              <w:left w:val="nil"/>
              <w:bottom w:val="single" w:sz="4"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Osvobození malých podnikatelů bez nároku na odpočet</w:t>
            </w:r>
          </w:p>
        </w:tc>
        <w:tc>
          <w:tcPr>
            <w:tcW w:w="1438" w:type="dxa"/>
            <w:tcBorders>
              <w:top w:val="nil"/>
              <w:left w:val="nil"/>
              <w:bottom w:val="single" w:sz="4" w:space="0" w:color="auto"/>
              <w:right w:val="single" w:sz="8" w:space="0" w:color="auto"/>
            </w:tcBorders>
            <w:shd w:val="clear" w:color="000000" w:fill="FFFFFF"/>
            <w:vAlign w:val="center"/>
            <w:hideMark/>
          </w:tcPr>
          <w:p w:rsidR="0043041F" w:rsidRPr="0043041F" w:rsidRDefault="0043041F" w:rsidP="0043041F">
            <w:pPr>
              <w:spacing w:after="0"/>
              <w:jc w:val="center"/>
              <w:rPr>
                <w:color w:val="000000"/>
                <w:sz w:val="16"/>
                <w:szCs w:val="16"/>
              </w:rPr>
            </w:pPr>
            <w:r w:rsidRPr="0043041F">
              <w:rPr>
                <w:color w:val="000000"/>
                <w:sz w:val="16"/>
                <w:szCs w:val="16"/>
              </w:rPr>
              <w:t>§ 6</w:t>
            </w:r>
          </w:p>
        </w:tc>
      </w:tr>
      <w:tr w:rsidR="0043041F" w:rsidRPr="0043041F" w:rsidTr="009116B3">
        <w:trPr>
          <w:trHeight w:val="218"/>
          <w:jc w:val="center"/>
        </w:trPr>
        <w:tc>
          <w:tcPr>
            <w:tcW w:w="1417" w:type="dxa"/>
            <w:vMerge/>
            <w:tcBorders>
              <w:top w:val="single" w:sz="4" w:space="0" w:color="auto"/>
              <w:left w:val="single" w:sz="8" w:space="0" w:color="auto"/>
              <w:bottom w:val="single" w:sz="4" w:space="0" w:color="auto"/>
              <w:right w:val="single" w:sz="4" w:space="0" w:color="auto"/>
            </w:tcBorders>
            <w:vAlign w:val="center"/>
            <w:hideMark/>
          </w:tcPr>
          <w:p w:rsidR="0043041F" w:rsidRPr="0043041F" w:rsidRDefault="0043041F" w:rsidP="0043041F">
            <w:pPr>
              <w:spacing w:after="0"/>
              <w:jc w:val="left"/>
              <w:rPr>
                <w:b/>
                <w:bCs/>
                <w:color w:val="000000"/>
                <w:sz w:val="16"/>
                <w:szCs w:val="16"/>
              </w:rPr>
            </w:pPr>
          </w:p>
        </w:tc>
        <w:tc>
          <w:tcPr>
            <w:tcW w:w="4878" w:type="dxa"/>
            <w:tcBorders>
              <w:top w:val="nil"/>
              <w:left w:val="nil"/>
              <w:bottom w:val="single" w:sz="4"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Osvobození provozování loterií a jiných podobných her</w:t>
            </w:r>
          </w:p>
        </w:tc>
        <w:tc>
          <w:tcPr>
            <w:tcW w:w="1438" w:type="dxa"/>
            <w:tcBorders>
              <w:top w:val="nil"/>
              <w:left w:val="nil"/>
              <w:bottom w:val="single" w:sz="4" w:space="0" w:color="auto"/>
              <w:right w:val="single" w:sz="8" w:space="0" w:color="auto"/>
            </w:tcBorders>
            <w:shd w:val="clear" w:color="000000" w:fill="FFFFFF"/>
            <w:vAlign w:val="center"/>
            <w:hideMark/>
          </w:tcPr>
          <w:p w:rsidR="0043041F" w:rsidRPr="0043041F" w:rsidRDefault="0043041F" w:rsidP="0043041F">
            <w:pPr>
              <w:spacing w:after="0"/>
              <w:jc w:val="center"/>
              <w:rPr>
                <w:color w:val="000000"/>
                <w:sz w:val="16"/>
                <w:szCs w:val="16"/>
              </w:rPr>
            </w:pPr>
            <w:r w:rsidRPr="0043041F">
              <w:rPr>
                <w:color w:val="000000"/>
                <w:sz w:val="16"/>
                <w:szCs w:val="16"/>
              </w:rPr>
              <w:t>§§ 51, 60</w:t>
            </w:r>
          </w:p>
        </w:tc>
      </w:tr>
      <w:tr w:rsidR="0043041F" w:rsidRPr="0043041F" w:rsidTr="009116B3">
        <w:trPr>
          <w:trHeight w:val="218"/>
          <w:jc w:val="center"/>
        </w:trPr>
        <w:tc>
          <w:tcPr>
            <w:tcW w:w="1417" w:type="dxa"/>
            <w:vMerge/>
            <w:tcBorders>
              <w:top w:val="single" w:sz="4" w:space="0" w:color="auto"/>
              <w:left w:val="single" w:sz="8" w:space="0" w:color="auto"/>
              <w:bottom w:val="single" w:sz="4" w:space="0" w:color="auto"/>
              <w:right w:val="single" w:sz="4" w:space="0" w:color="auto"/>
            </w:tcBorders>
            <w:vAlign w:val="center"/>
            <w:hideMark/>
          </w:tcPr>
          <w:p w:rsidR="0043041F" w:rsidRPr="0043041F" w:rsidRDefault="0043041F" w:rsidP="0043041F">
            <w:pPr>
              <w:spacing w:after="0"/>
              <w:jc w:val="left"/>
              <w:rPr>
                <w:b/>
                <w:bCs/>
                <w:color w:val="000000"/>
                <w:sz w:val="16"/>
                <w:szCs w:val="16"/>
              </w:rPr>
            </w:pPr>
          </w:p>
        </w:tc>
        <w:tc>
          <w:tcPr>
            <w:tcW w:w="4878" w:type="dxa"/>
            <w:tcBorders>
              <w:top w:val="nil"/>
              <w:left w:val="nil"/>
              <w:bottom w:val="single" w:sz="4"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Osvobození základní poštovní služby a dodání poštovních známek</w:t>
            </w:r>
          </w:p>
        </w:tc>
        <w:tc>
          <w:tcPr>
            <w:tcW w:w="1438" w:type="dxa"/>
            <w:tcBorders>
              <w:top w:val="nil"/>
              <w:left w:val="nil"/>
              <w:bottom w:val="single" w:sz="4" w:space="0" w:color="auto"/>
              <w:right w:val="single" w:sz="8" w:space="0" w:color="auto"/>
            </w:tcBorders>
            <w:shd w:val="clear" w:color="000000" w:fill="FFFFFF"/>
            <w:vAlign w:val="center"/>
            <w:hideMark/>
          </w:tcPr>
          <w:p w:rsidR="0043041F" w:rsidRPr="0043041F" w:rsidRDefault="0043041F" w:rsidP="0043041F">
            <w:pPr>
              <w:spacing w:after="0"/>
              <w:jc w:val="center"/>
              <w:rPr>
                <w:color w:val="000000"/>
                <w:sz w:val="16"/>
                <w:szCs w:val="16"/>
              </w:rPr>
            </w:pPr>
            <w:r w:rsidRPr="0043041F">
              <w:rPr>
                <w:color w:val="000000"/>
                <w:sz w:val="16"/>
                <w:szCs w:val="16"/>
              </w:rPr>
              <w:t>§§ 51, 52</w:t>
            </w:r>
          </w:p>
        </w:tc>
      </w:tr>
      <w:tr w:rsidR="0043041F" w:rsidRPr="0043041F" w:rsidTr="009116B3">
        <w:trPr>
          <w:trHeight w:val="218"/>
          <w:jc w:val="center"/>
        </w:trPr>
        <w:tc>
          <w:tcPr>
            <w:tcW w:w="1417" w:type="dxa"/>
            <w:vMerge/>
            <w:tcBorders>
              <w:top w:val="single" w:sz="4" w:space="0" w:color="auto"/>
              <w:left w:val="single" w:sz="8" w:space="0" w:color="auto"/>
              <w:bottom w:val="single" w:sz="4" w:space="0" w:color="auto"/>
              <w:right w:val="single" w:sz="4" w:space="0" w:color="auto"/>
            </w:tcBorders>
            <w:vAlign w:val="center"/>
            <w:hideMark/>
          </w:tcPr>
          <w:p w:rsidR="0043041F" w:rsidRPr="0043041F" w:rsidRDefault="0043041F" w:rsidP="0043041F">
            <w:pPr>
              <w:spacing w:after="0"/>
              <w:jc w:val="left"/>
              <w:rPr>
                <w:b/>
                <w:bCs/>
                <w:color w:val="000000"/>
                <w:sz w:val="16"/>
                <w:szCs w:val="16"/>
              </w:rPr>
            </w:pPr>
          </w:p>
        </w:tc>
        <w:tc>
          <w:tcPr>
            <w:tcW w:w="4878" w:type="dxa"/>
            <w:tcBorders>
              <w:top w:val="nil"/>
              <w:left w:val="nil"/>
              <w:bottom w:val="single" w:sz="4"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Osvobození mezinárodní přepravy osob</w:t>
            </w:r>
          </w:p>
        </w:tc>
        <w:tc>
          <w:tcPr>
            <w:tcW w:w="1438" w:type="dxa"/>
            <w:tcBorders>
              <w:top w:val="nil"/>
              <w:left w:val="nil"/>
              <w:bottom w:val="single" w:sz="4" w:space="0" w:color="auto"/>
              <w:right w:val="single" w:sz="8" w:space="0" w:color="auto"/>
            </w:tcBorders>
            <w:shd w:val="clear" w:color="000000" w:fill="FFFFFF"/>
            <w:vAlign w:val="center"/>
            <w:hideMark/>
          </w:tcPr>
          <w:p w:rsidR="0043041F" w:rsidRPr="0043041F" w:rsidRDefault="0043041F" w:rsidP="0043041F">
            <w:pPr>
              <w:spacing w:after="0"/>
              <w:jc w:val="center"/>
              <w:rPr>
                <w:color w:val="000000"/>
                <w:sz w:val="16"/>
                <w:szCs w:val="16"/>
              </w:rPr>
            </w:pPr>
            <w:r w:rsidRPr="0043041F">
              <w:rPr>
                <w:color w:val="000000"/>
                <w:sz w:val="16"/>
                <w:szCs w:val="16"/>
              </w:rPr>
              <w:t>§§ 63, 70</w:t>
            </w:r>
          </w:p>
        </w:tc>
      </w:tr>
      <w:tr w:rsidR="0043041F" w:rsidRPr="0043041F" w:rsidTr="009116B3">
        <w:trPr>
          <w:trHeight w:val="397"/>
          <w:jc w:val="center"/>
        </w:trPr>
        <w:tc>
          <w:tcPr>
            <w:tcW w:w="1417" w:type="dxa"/>
            <w:tcBorders>
              <w:top w:val="nil"/>
              <w:left w:val="single" w:sz="8" w:space="0" w:color="auto"/>
              <w:bottom w:val="single" w:sz="8" w:space="0" w:color="auto"/>
              <w:right w:val="single" w:sz="4" w:space="0" w:color="auto"/>
            </w:tcBorders>
            <w:shd w:val="clear" w:color="000000" w:fill="FFFFFF"/>
            <w:vAlign w:val="center"/>
            <w:hideMark/>
          </w:tcPr>
          <w:p w:rsidR="0043041F" w:rsidRPr="0043041F" w:rsidRDefault="0043041F" w:rsidP="0043041F">
            <w:pPr>
              <w:spacing w:after="0"/>
              <w:jc w:val="center"/>
              <w:rPr>
                <w:b/>
                <w:bCs/>
                <w:color w:val="000000"/>
                <w:sz w:val="16"/>
                <w:szCs w:val="16"/>
              </w:rPr>
            </w:pPr>
            <w:r w:rsidRPr="0043041F">
              <w:rPr>
                <w:b/>
                <w:bCs/>
                <w:color w:val="000000"/>
                <w:sz w:val="16"/>
                <w:szCs w:val="16"/>
              </w:rPr>
              <w:t>Snížená sazba daně</w:t>
            </w:r>
          </w:p>
        </w:tc>
        <w:tc>
          <w:tcPr>
            <w:tcW w:w="4878" w:type="dxa"/>
            <w:tcBorders>
              <w:top w:val="nil"/>
              <w:left w:val="nil"/>
              <w:bottom w:val="single" w:sz="8" w:space="0" w:color="auto"/>
              <w:right w:val="single" w:sz="4" w:space="0" w:color="auto"/>
            </w:tcBorders>
            <w:shd w:val="clear" w:color="000000" w:fill="FFFFFF"/>
            <w:vAlign w:val="center"/>
            <w:hideMark/>
          </w:tcPr>
          <w:p w:rsidR="0043041F" w:rsidRPr="0043041F" w:rsidRDefault="0043041F" w:rsidP="0043041F">
            <w:pPr>
              <w:spacing w:after="0"/>
              <w:jc w:val="left"/>
              <w:rPr>
                <w:color w:val="000000"/>
                <w:sz w:val="16"/>
                <w:szCs w:val="16"/>
              </w:rPr>
            </w:pPr>
            <w:r w:rsidRPr="0043041F">
              <w:rPr>
                <w:color w:val="000000"/>
                <w:sz w:val="16"/>
                <w:szCs w:val="16"/>
              </w:rPr>
              <w:t>Snížená sazba daně</w:t>
            </w:r>
          </w:p>
        </w:tc>
        <w:tc>
          <w:tcPr>
            <w:tcW w:w="1438" w:type="dxa"/>
            <w:tcBorders>
              <w:top w:val="nil"/>
              <w:left w:val="nil"/>
              <w:bottom w:val="single" w:sz="8" w:space="0" w:color="auto"/>
              <w:right w:val="single" w:sz="8" w:space="0" w:color="auto"/>
            </w:tcBorders>
            <w:shd w:val="clear" w:color="000000" w:fill="FFFFFF"/>
            <w:vAlign w:val="center"/>
            <w:hideMark/>
          </w:tcPr>
          <w:p w:rsidR="0043041F" w:rsidRPr="0043041F" w:rsidRDefault="00B363C2" w:rsidP="0043041F">
            <w:pPr>
              <w:spacing w:after="0"/>
              <w:jc w:val="center"/>
              <w:rPr>
                <w:color w:val="000000"/>
                <w:sz w:val="16"/>
                <w:szCs w:val="16"/>
              </w:rPr>
            </w:pPr>
            <w:r>
              <w:rPr>
                <w:color w:val="000000"/>
                <w:sz w:val="16"/>
                <w:szCs w:val="16"/>
              </w:rPr>
              <w:t xml:space="preserve">§ 47, 48, </w:t>
            </w:r>
            <w:r w:rsidR="0043041F" w:rsidRPr="0043041F">
              <w:rPr>
                <w:color w:val="000000"/>
                <w:sz w:val="16"/>
                <w:szCs w:val="16"/>
              </w:rPr>
              <w:t>49</w:t>
            </w:r>
          </w:p>
        </w:tc>
      </w:tr>
    </w:tbl>
    <w:p w:rsidR="00B86C6C" w:rsidRPr="00B86C6C" w:rsidRDefault="00B86C6C" w:rsidP="00B076AF">
      <w:pPr>
        <w:pStyle w:val="Titulek"/>
        <w:keepNext/>
        <w:jc w:val="left"/>
        <w:rPr>
          <w:color w:val="auto"/>
          <w:sz w:val="20"/>
        </w:rPr>
      </w:pPr>
    </w:p>
    <w:p w:rsidR="007C3561" w:rsidRDefault="007C3561" w:rsidP="007C3561">
      <w:pPr>
        <w:sectPr w:rsidR="007C3561" w:rsidSect="00F30468">
          <w:type w:val="continuous"/>
          <w:pgSz w:w="11906" w:h="16838" w:code="9"/>
          <w:pgMar w:top="1134" w:right="1134" w:bottom="1134" w:left="1134" w:header="709" w:footer="709" w:gutter="0"/>
          <w:cols w:space="397"/>
          <w:docGrid w:linePitch="360"/>
        </w:sectPr>
      </w:pPr>
    </w:p>
    <w:p w:rsidR="00A70AEC" w:rsidRDefault="00A70AEC" w:rsidP="00A70AEC">
      <w:pPr>
        <w:sectPr w:rsidR="00A70AEC" w:rsidSect="00F30468">
          <w:type w:val="continuous"/>
          <w:pgSz w:w="11906" w:h="16838" w:code="9"/>
          <w:pgMar w:top="1134" w:right="1134" w:bottom="1134" w:left="1134" w:header="709" w:footer="709" w:gutter="0"/>
          <w:cols w:num="2" w:space="397"/>
          <w:docGrid w:linePitch="360"/>
        </w:sectPr>
      </w:pPr>
      <w:r>
        <w:lastRenderedPageBreak/>
        <w:t>Následující tabulka zachycuje vyčíslenou výši daňových úlev u daně z přidané hodnoty pro roky 2016 a 2017.</w:t>
      </w:r>
    </w:p>
    <w:p w:rsidR="00A70AEC" w:rsidRDefault="00A70AEC" w:rsidP="00A70AEC"/>
    <w:p w:rsidR="00B85BC1" w:rsidRPr="00B86C6C" w:rsidRDefault="00B86C6C" w:rsidP="00A23A7F">
      <w:pPr>
        <w:pStyle w:val="Titulek"/>
        <w:keepNext/>
        <w:spacing w:after="0"/>
        <w:jc w:val="center"/>
        <w:rPr>
          <w:color w:val="auto"/>
          <w:sz w:val="20"/>
        </w:rPr>
      </w:pPr>
      <w:r w:rsidRPr="00B86C6C">
        <w:rPr>
          <w:color w:val="auto"/>
          <w:sz w:val="20"/>
        </w:rPr>
        <w:t xml:space="preserve">Tabulka č. </w:t>
      </w:r>
      <w:r w:rsidRPr="00B86C6C">
        <w:rPr>
          <w:color w:val="auto"/>
          <w:sz w:val="20"/>
        </w:rPr>
        <w:fldChar w:fldCharType="begin"/>
      </w:r>
      <w:r w:rsidRPr="00B86C6C">
        <w:rPr>
          <w:color w:val="auto"/>
          <w:sz w:val="20"/>
        </w:rPr>
        <w:instrText xml:space="preserve"> SEQ Tabulka_č. \* ARABIC </w:instrText>
      </w:r>
      <w:r w:rsidRPr="00B86C6C">
        <w:rPr>
          <w:color w:val="auto"/>
          <w:sz w:val="20"/>
        </w:rPr>
        <w:fldChar w:fldCharType="separate"/>
      </w:r>
      <w:r w:rsidR="00CF78CA">
        <w:rPr>
          <w:noProof/>
          <w:color w:val="auto"/>
          <w:sz w:val="20"/>
        </w:rPr>
        <w:t>7</w:t>
      </w:r>
      <w:r w:rsidRPr="00B86C6C">
        <w:rPr>
          <w:color w:val="auto"/>
          <w:sz w:val="20"/>
        </w:rPr>
        <w:fldChar w:fldCharType="end"/>
      </w:r>
      <w:r w:rsidRPr="00B86C6C">
        <w:rPr>
          <w:color w:val="auto"/>
          <w:sz w:val="20"/>
        </w:rPr>
        <w:t xml:space="preserve"> Vyčíslená výše daňových úlev u daně z přidané hodnoty </w:t>
      </w:r>
      <w:r w:rsidRPr="00A23A7F">
        <w:rPr>
          <w:b w:val="0"/>
          <w:i/>
          <w:color w:val="auto"/>
          <w:sz w:val="20"/>
        </w:rPr>
        <w:t>(v mil. Kč)</w:t>
      </w:r>
    </w:p>
    <w:tbl>
      <w:tblPr>
        <w:tblW w:w="7107" w:type="dxa"/>
        <w:jc w:val="center"/>
        <w:tblCellMar>
          <w:left w:w="70" w:type="dxa"/>
          <w:right w:w="70" w:type="dxa"/>
        </w:tblCellMar>
        <w:tblLook w:val="04A0" w:firstRow="1" w:lastRow="0" w:firstColumn="1" w:lastColumn="0" w:noHBand="0" w:noVBand="1"/>
      </w:tblPr>
      <w:tblGrid>
        <w:gridCol w:w="2522"/>
        <w:gridCol w:w="2653"/>
        <w:gridCol w:w="1932"/>
      </w:tblGrid>
      <w:tr w:rsidR="009116B3" w:rsidRPr="00B85BC1" w:rsidTr="009116B3">
        <w:trPr>
          <w:trHeight w:val="626"/>
          <w:jc w:val="center"/>
        </w:trPr>
        <w:tc>
          <w:tcPr>
            <w:tcW w:w="2522" w:type="dxa"/>
            <w:tcBorders>
              <w:top w:val="single" w:sz="8" w:space="0" w:color="auto"/>
              <w:left w:val="single" w:sz="8" w:space="0" w:color="auto"/>
              <w:bottom w:val="single" w:sz="4" w:space="0" w:color="auto"/>
              <w:right w:val="single" w:sz="4" w:space="0" w:color="auto"/>
            </w:tcBorders>
            <w:shd w:val="clear" w:color="000000" w:fill="E4DFEC"/>
            <w:noWrap/>
            <w:vAlign w:val="center"/>
            <w:hideMark/>
          </w:tcPr>
          <w:p w:rsidR="00B85BC1" w:rsidRPr="00B85BC1" w:rsidRDefault="00B85BC1" w:rsidP="00B85BC1">
            <w:pPr>
              <w:spacing w:after="0"/>
              <w:rPr>
                <w:b/>
                <w:bCs/>
                <w:color w:val="000000"/>
                <w:sz w:val="16"/>
                <w:szCs w:val="16"/>
              </w:rPr>
            </w:pPr>
            <w:r w:rsidRPr="00B85BC1">
              <w:rPr>
                <w:b/>
                <w:bCs/>
                <w:color w:val="000000"/>
                <w:sz w:val="16"/>
                <w:szCs w:val="16"/>
              </w:rPr>
              <w:t>Kategorie</w:t>
            </w:r>
          </w:p>
        </w:tc>
        <w:tc>
          <w:tcPr>
            <w:tcW w:w="2653" w:type="dxa"/>
            <w:tcBorders>
              <w:top w:val="single" w:sz="8" w:space="0" w:color="auto"/>
              <w:left w:val="nil"/>
              <w:bottom w:val="single" w:sz="4" w:space="0" w:color="auto"/>
              <w:right w:val="single" w:sz="4" w:space="0" w:color="auto"/>
            </w:tcBorders>
            <w:shd w:val="clear" w:color="000000" w:fill="E4DFEC"/>
            <w:noWrap/>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2016</w:t>
            </w:r>
          </w:p>
        </w:tc>
        <w:tc>
          <w:tcPr>
            <w:tcW w:w="1932" w:type="dxa"/>
            <w:tcBorders>
              <w:top w:val="single" w:sz="8" w:space="0" w:color="auto"/>
              <w:left w:val="nil"/>
              <w:bottom w:val="single" w:sz="4" w:space="0" w:color="auto"/>
              <w:right w:val="single" w:sz="8"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2017</w:t>
            </w:r>
          </w:p>
        </w:tc>
      </w:tr>
      <w:tr w:rsidR="009116B3" w:rsidRPr="00B85BC1" w:rsidTr="009116B3">
        <w:trPr>
          <w:trHeight w:val="532"/>
          <w:jc w:val="center"/>
        </w:trPr>
        <w:tc>
          <w:tcPr>
            <w:tcW w:w="252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B85BC1" w:rsidRPr="00B85BC1" w:rsidRDefault="00B85BC1" w:rsidP="00B85BC1">
            <w:pPr>
              <w:spacing w:after="0"/>
              <w:rPr>
                <w:color w:val="000000"/>
                <w:sz w:val="16"/>
                <w:szCs w:val="16"/>
              </w:rPr>
            </w:pPr>
            <w:r w:rsidRPr="00B85BC1">
              <w:rPr>
                <w:color w:val="000000"/>
                <w:sz w:val="16"/>
                <w:szCs w:val="16"/>
              </w:rPr>
              <w:t>Osvobození od daně</w:t>
            </w:r>
          </w:p>
        </w:tc>
        <w:tc>
          <w:tcPr>
            <w:tcW w:w="2653" w:type="dxa"/>
            <w:tcBorders>
              <w:top w:val="single" w:sz="4" w:space="0" w:color="auto"/>
              <w:left w:val="nil"/>
              <w:bottom w:val="single" w:sz="4" w:space="0" w:color="auto"/>
              <w:right w:val="single" w:sz="4" w:space="0" w:color="auto"/>
            </w:tcBorders>
            <w:shd w:val="clear" w:color="000000" w:fill="FFFFFF"/>
            <w:noWrap/>
            <w:vAlign w:val="center"/>
            <w:hideMark/>
          </w:tcPr>
          <w:p w:rsidR="00B85BC1" w:rsidRPr="00B85BC1" w:rsidRDefault="00B363C2" w:rsidP="00B85BC1">
            <w:pPr>
              <w:spacing w:after="0"/>
              <w:jc w:val="right"/>
              <w:rPr>
                <w:color w:val="000000"/>
                <w:sz w:val="16"/>
                <w:szCs w:val="16"/>
              </w:rPr>
            </w:pPr>
            <w:r>
              <w:rPr>
                <w:color w:val="000000"/>
                <w:sz w:val="16"/>
                <w:szCs w:val="16"/>
              </w:rPr>
              <w:t>122 019</w:t>
            </w:r>
          </w:p>
        </w:tc>
        <w:tc>
          <w:tcPr>
            <w:tcW w:w="1932" w:type="dxa"/>
            <w:tcBorders>
              <w:top w:val="single" w:sz="4" w:space="0" w:color="auto"/>
              <w:left w:val="nil"/>
              <w:bottom w:val="single" w:sz="4" w:space="0" w:color="auto"/>
              <w:right w:val="single" w:sz="8"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125 902</w:t>
            </w:r>
          </w:p>
        </w:tc>
      </w:tr>
      <w:tr w:rsidR="009116B3" w:rsidRPr="00B85BC1" w:rsidTr="009116B3">
        <w:trPr>
          <w:trHeight w:val="532"/>
          <w:jc w:val="center"/>
        </w:trPr>
        <w:tc>
          <w:tcPr>
            <w:tcW w:w="2522" w:type="dxa"/>
            <w:tcBorders>
              <w:top w:val="nil"/>
              <w:left w:val="single" w:sz="8" w:space="0" w:color="auto"/>
              <w:bottom w:val="single" w:sz="4" w:space="0" w:color="auto"/>
              <w:right w:val="single" w:sz="4" w:space="0" w:color="auto"/>
            </w:tcBorders>
            <w:shd w:val="clear" w:color="000000" w:fill="FFFFFF"/>
            <w:noWrap/>
            <w:vAlign w:val="center"/>
            <w:hideMark/>
          </w:tcPr>
          <w:p w:rsidR="00B85BC1" w:rsidRPr="00B85BC1" w:rsidRDefault="00B85BC1" w:rsidP="00B85BC1">
            <w:pPr>
              <w:spacing w:after="0"/>
              <w:rPr>
                <w:color w:val="000000"/>
                <w:sz w:val="16"/>
                <w:szCs w:val="16"/>
              </w:rPr>
            </w:pPr>
            <w:r w:rsidRPr="00B85BC1">
              <w:rPr>
                <w:color w:val="000000"/>
                <w:sz w:val="16"/>
                <w:szCs w:val="16"/>
              </w:rPr>
              <w:t>Snížená sazba daně</w:t>
            </w:r>
          </w:p>
        </w:tc>
        <w:tc>
          <w:tcPr>
            <w:tcW w:w="2653" w:type="dxa"/>
            <w:tcBorders>
              <w:top w:val="nil"/>
              <w:left w:val="nil"/>
              <w:bottom w:val="single" w:sz="4" w:space="0" w:color="auto"/>
              <w:right w:val="single" w:sz="4" w:space="0" w:color="auto"/>
            </w:tcBorders>
            <w:shd w:val="clear" w:color="000000" w:fill="FFFFFF"/>
            <w:noWrap/>
            <w:vAlign w:val="center"/>
            <w:hideMark/>
          </w:tcPr>
          <w:p w:rsidR="00B85BC1" w:rsidRPr="00B85BC1" w:rsidRDefault="00B363C2" w:rsidP="00B85BC1">
            <w:pPr>
              <w:spacing w:after="0"/>
              <w:jc w:val="right"/>
              <w:rPr>
                <w:color w:val="000000"/>
                <w:sz w:val="16"/>
                <w:szCs w:val="16"/>
              </w:rPr>
            </w:pPr>
            <w:r>
              <w:rPr>
                <w:color w:val="000000"/>
                <w:sz w:val="16"/>
                <w:szCs w:val="16"/>
              </w:rPr>
              <w:t>46 514</w:t>
            </w:r>
          </w:p>
        </w:tc>
        <w:tc>
          <w:tcPr>
            <w:tcW w:w="1932" w:type="dxa"/>
            <w:tcBorders>
              <w:top w:val="nil"/>
              <w:left w:val="nil"/>
              <w:bottom w:val="single" w:sz="4" w:space="0" w:color="auto"/>
              <w:right w:val="single" w:sz="8"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53 466</w:t>
            </w:r>
          </w:p>
        </w:tc>
      </w:tr>
      <w:tr w:rsidR="009116B3" w:rsidRPr="00B85BC1" w:rsidTr="009116B3">
        <w:trPr>
          <w:trHeight w:val="532"/>
          <w:jc w:val="center"/>
        </w:trPr>
        <w:tc>
          <w:tcPr>
            <w:tcW w:w="2522" w:type="dxa"/>
            <w:tcBorders>
              <w:top w:val="nil"/>
              <w:left w:val="single" w:sz="8" w:space="0" w:color="auto"/>
              <w:bottom w:val="single" w:sz="8" w:space="0" w:color="auto"/>
              <w:right w:val="single" w:sz="4" w:space="0" w:color="auto"/>
            </w:tcBorders>
            <w:shd w:val="clear" w:color="000000" w:fill="FFFFFF"/>
            <w:noWrap/>
            <w:vAlign w:val="center"/>
            <w:hideMark/>
          </w:tcPr>
          <w:p w:rsidR="00B85BC1" w:rsidRPr="00B85BC1" w:rsidRDefault="00B85BC1" w:rsidP="00B85BC1">
            <w:pPr>
              <w:spacing w:after="0"/>
              <w:rPr>
                <w:b/>
                <w:bCs/>
                <w:color w:val="000000"/>
                <w:sz w:val="16"/>
                <w:szCs w:val="16"/>
              </w:rPr>
            </w:pPr>
            <w:r w:rsidRPr="00B85BC1">
              <w:rPr>
                <w:b/>
                <w:bCs/>
                <w:color w:val="000000"/>
                <w:sz w:val="16"/>
                <w:szCs w:val="16"/>
              </w:rPr>
              <w:t>Celkem</w:t>
            </w:r>
          </w:p>
        </w:tc>
        <w:tc>
          <w:tcPr>
            <w:tcW w:w="2653" w:type="dxa"/>
            <w:tcBorders>
              <w:top w:val="nil"/>
              <w:left w:val="nil"/>
              <w:bottom w:val="single" w:sz="8" w:space="0" w:color="auto"/>
              <w:right w:val="single" w:sz="4" w:space="0" w:color="auto"/>
            </w:tcBorders>
            <w:shd w:val="clear" w:color="000000" w:fill="FFFFFF"/>
            <w:noWrap/>
            <w:vAlign w:val="center"/>
            <w:hideMark/>
          </w:tcPr>
          <w:p w:rsidR="00B85BC1" w:rsidRPr="00B85BC1" w:rsidRDefault="00B363C2" w:rsidP="00B85BC1">
            <w:pPr>
              <w:spacing w:after="0"/>
              <w:jc w:val="right"/>
              <w:rPr>
                <w:b/>
                <w:bCs/>
                <w:color w:val="000000"/>
                <w:sz w:val="16"/>
                <w:szCs w:val="16"/>
              </w:rPr>
            </w:pPr>
            <w:r>
              <w:rPr>
                <w:b/>
                <w:bCs/>
                <w:color w:val="000000"/>
                <w:sz w:val="16"/>
                <w:szCs w:val="16"/>
              </w:rPr>
              <w:t>168 533</w:t>
            </w:r>
          </w:p>
        </w:tc>
        <w:tc>
          <w:tcPr>
            <w:tcW w:w="1932" w:type="dxa"/>
            <w:tcBorders>
              <w:top w:val="nil"/>
              <w:left w:val="nil"/>
              <w:bottom w:val="single" w:sz="8" w:space="0" w:color="auto"/>
              <w:right w:val="single" w:sz="8"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179 368</w:t>
            </w:r>
          </w:p>
        </w:tc>
      </w:tr>
    </w:tbl>
    <w:p w:rsidR="007C3561" w:rsidRDefault="007D49F3" w:rsidP="00CF78CA">
      <w:pPr>
        <w:pStyle w:val="Nadpis1"/>
        <w:numPr>
          <w:ilvl w:val="0"/>
          <w:numId w:val="0"/>
        </w:numPr>
        <w:ind w:left="567" w:hanging="567"/>
      </w:pPr>
      <w:r>
        <w:br w:type="page"/>
      </w:r>
      <w:r w:rsidR="007C3561">
        <w:lastRenderedPageBreak/>
        <w:t>Závěr</w:t>
      </w:r>
    </w:p>
    <w:p w:rsidR="007C3561" w:rsidRDefault="007C3561" w:rsidP="007C3561">
      <w:pPr>
        <w:widowControl w:val="0"/>
        <w:sectPr w:rsidR="007C3561" w:rsidSect="00F30468">
          <w:type w:val="continuous"/>
          <w:pgSz w:w="11906" w:h="16838" w:code="9"/>
          <w:pgMar w:top="1134" w:right="1134" w:bottom="1134" w:left="1134" w:header="709" w:footer="709" w:gutter="0"/>
          <w:cols w:space="397"/>
          <w:docGrid w:linePitch="360"/>
        </w:sectPr>
      </w:pPr>
    </w:p>
    <w:p w:rsidR="00A70AEC" w:rsidRPr="00A70AEC" w:rsidRDefault="00A70AEC" w:rsidP="00A70AEC">
      <w:pPr>
        <w:widowControl w:val="0"/>
      </w:pPr>
      <w:r w:rsidRPr="00A70AEC">
        <w:lastRenderedPageBreak/>
        <w:t xml:space="preserve">Agregovanou výši daňových úlev v České republice je obtížné vyčíslit. Jednotlivé daňové úlevy se vzájemně ovlivňují a není metodicky správné provést prostý součet výše vyčíslených daňových úlev. Ale lze jej použít pro získání hrubého nástinu celkových distorzí způsobených současným nastavením daňového systému. </w:t>
      </w:r>
    </w:p>
    <w:p w:rsidR="00A70AEC" w:rsidRPr="00A70AEC" w:rsidRDefault="00A70AEC" w:rsidP="00A70AEC">
      <w:pPr>
        <w:widowControl w:val="0"/>
      </w:pPr>
      <w:r w:rsidRPr="00A70AEC">
        <w:t xml:space="preserve">Vzhledem k použité metodě ušlých příjmů, statického přístupu a nezohlednění možné provázanosti mezi jednotlivými daňovými úlevami nepředstavují jednotlivé vyčíslené výše daňových úlev současně odhad zvýšení daňových výnosů, kterých by mohlo být dosaženo jejich případným zrušením. Statický přístup, který je základním </w:t>
      </w:r>
      <w:r w:rsidRPr="00A70AEC">
        <w:lastRenderedPageBreak/>
        <w:t>předpokladem pro použití metody ušlých příjmů, nebere v úvahu reakci subjektů na případné zrušení či změnu daňové úlevy. Je tudíž</w:t>
      </w:r>
      <w:r w:rsidRPr="00A70AEC">
        <w:rPr>
          <w:szCs w:val="24"/>
        </w:rPr>
        <w:t> </w:t>
      </w:r>
      <w:r w:rsidRPr="00A70AEC">
        <w:t>pravděpodobné, že v případě více změn najednou dojde ke změně chování subjektů, což povede i k odlišnému dopadu na veřejné rozpočty. Celkový dopad zrušení daného osvobození by tak mohl být menší než dopad vyčíslený čistě staticky bez zohlednění provázanosti.</w:t>
      </w:r>
    </w:p>
    <w:p w:rsidR="00A70AEC" w:rsidRPr="00A70AEC" w:rsidRDefault="00A70AEC" w:rsidP="00A70AEC">
      <w:pPr>
        <w:widowControl w:val="0"/>
      </w:pPr>
      <w:r w:rsidRPr="00A70AEC">
        <w:t>V následující tabulce je proveden prostý součet výše vyčíslených výší daňových úlev sloužící pro získání zevrubného odhadu celkových distorzí způsobených současným nastavením daňového systému.</w:t>
      </w:r>
    </w:p>
    <w:p w:rsidR="00A70AEC" w:rsidRDefault="00A70AEC" w:rsidP="00B86C6C">
      <w:pPr>
        <w:pStyle w:val="Titulek"/>
        <w:keepNext/>
        <w:jc w:val="center"/>
        <w:rPr>
          <w:color w:val="auto"/>
          <w:sz w:val="20"/>
        </w:rPr>
        <w:sectPr w:rsidR="00A70AEC" w:rsidSect="00F30468">
          <w:type w:val="continuous"/>
          <w:pgSz w:w="11906" w:h="16838" w:code="9"/>
          <w:pgMar w:top="1134" w:right="1134" w:bottom="1134" w:left="1134" w:header="709" w:footer="709" w:gutter="0"/>
          <w:cols w:num="2" w:space="397"/>
          <w:docGrid w:linePitch="360"/>
        </w:sectPr>
      </w:pPr>
    </w:p>
    <w:p w:rsidR="00B86C6C" w:rsidRPr="00B86C6C" w:rsidRDefault="00B86C6C" w:rsidP="00CF78CA">
      <w:pPr>
        <w:pStyle w:val="Titulek"/>
        <w:keepNext/>
        <w:spacing w:after="0"/>
        <w:jc w:val="center"/>
        <w:rPr>
          <w:color w:val="auto"/>
          <w:sz w:val="20"/>
        </w:rPr>
      </w:pPr>
      <w:r w:rsidRPr="00B86C6C">
        <w:rPr>
          <w:color w:val="auto"/>
          <w:sz w:val="20"/>
        </w:rPr>
        <w:lastRenderedPageBreak/>
        <w:t xml:space="preserve">Tabulka č. </w:t>
      </w:r>
      <w:r w:rsidRPr="00B86C6C">
        <w:rPr>
          <w:color w:val="auto"/>
          <w:sz w:val="20"/>
        </w:rPr>
        <w:fldChar w:fldCharType="begin"/>
      </w:r>
      <w:r w:rsidRPr="00B86C6C">
        <w:rPr>
          <w:color w:val="auto"/>
          <w:sz w:val="20"/>
        </w:rPr>
        <w:instrText xml:space="preserve"> SEQ Tabulka_č. \* ARABIC </w:instrText>
      </w:r>
      <w:r w:rsidRPr="00B86C6C">
        <w:rPr>
          <w:color w:val="auto"/>
          <w:sz w:val="20"/>
        </w:rPr>
        <w:fldChar w:fldCharType="separate"/>
      </w:r>
      <w:r w:rsidR="00CF78CA">
        <w:rPr>
          <w:noProof/>
          <w:color w:val="auto"/>
          <w:sz w:val="20"/>
        </w:rPr>
        <w:t>8</w:t>
      </w:r>
      <w:r w:rsidRPr="00B86C6C">
        <w:rPr>
          <w:color w:val="auto"/>
          <w:sz w:val="20"/>
        </w:rPr>
        <w:fldChar w:fldCharType="end"/>
      </w:r>
      <w:r w:rsidRPr="00B86C6C">
        <w:rPr>
          <w:color w:val="auto"/>
          <w:sz w:val="20"/>
        </w:rPr>
        <w:t xml:space="preserve"> Souhrnná výše vyčíslených daňových úlev pro rok</w:t>
      </w:r>
      <w:r w:rsidR="00B363C2">
        <w:rPr>
          <w:color w:val="auto"/>
          <w:sz w:val="20"/>
        </w:rPr>
        <w:t>y</w:t>
      </w:r>
      <w:r w:rsidRPr="00B86C6C">
        <w:rPr>
          <w:color w:val="auto"/>
          <w:sz w:val="20"/>
        </w:rPr>
        <w:t xml:space="preserve"> 2016</w:t>
      </w:r>
      <w:r w:rsidR="00B363C2">
        <w:rPr>
          <w:color w:val="auto"/>
          <w:sz w:val="20"/>
        </w:rPr>
        <w:t xml:space="preserve"> a 2017</w:t>
      </w:r>
      <w:r w:rsidRPr="00B86C6C">
        <w:rPr>
          <w:color w:val="auto"/>
          <w:sz w:val="20"/>
        </w:rPr>
        <w:t xml:space="preserve"> </w:t>
      </w:r>
      <w:r w:rsidRPr="00B363C2">
        <w:rPr>
          <w:b w:val="0"/>
          <w:i/>
          <w:color w:val="auto"/>
          <w:sz w:val="20"/>
        </w:rPr>
        <w:t>(v mil. Kč)</w:t>
      </w:r>
    </w:p>
    <w:tbl>
      <w:tblPr>
        <w:tblW w:w="7144" w:type="dxa"/>
        <w:jc w:val="center"/>
        <w:tblCellMar>
          <w:left w:w="70" w:type="dxa"/>
          <w:right w:w="70" w:type="dxa"/>
        </w:tblCellMar>
        <w:tblLook w:val="04A0" w:firstRow="1" w:lastRow="0" w:firstColumn="1" w:lastColumn="0" w:noHBand="0" w:noVBand="1"/>
      </w:tblPr>
      <w:tblGrid>
        <w:gridCol w:w="1940"/>
        <w:gridCol w:w="876"/>
        <w:gridCol w:w="881"/>
        <w:gridCol w:w="845"/>
        <w:gridCol w:w="876"/>
        <w:gridCol w:w="881"/>
        <w:gridCol w:w="845"/>
      </w:tblGrid>
      <w:tr w:rsidR="00B85BC1" w:rsidRPr="00B85BC1" w:rsidTr="009116B3">
        <w:trPr>
          <w:trHeight w:val="689"/>
          <w:jc w:val="center"/>
        </w:trPr>
        <w:tc>
          <w:tcPr>
            <w:tcW w:w="2594" w:type="dxa"/>
            <w:vMerge w:val="restart"/>
            <w:tcBorders>
              <w:top w:val="single" w:sz="8" w:space="0" w:color="auto"/>
              <w:left w:val="single" w:sz="8" w:space="0" w:color="auto"/>
              <w:bottom w:val="single" w:sz="4" w:space="0" w:color="auto"/>
              <w:right w:val="single" w:sz="4"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Kategorie</w:t>
            </w:r>
          </w:p>
        </w:tc>
        <w:tc>
          <w:tcPr>
            <w:tcW w:w="3336" w:type="dxa"/>
            <w:gridSpan w:val="3"/>
            <w:tcBorders>
              <w:top w:val="single" w:sz="8" w:space="0" w:color="auto"/>
              <w:left w:val="single" w:sz="4" w:space="0" w:color="auto"/>
              <w:bottom w:val="single" w:sz="4" w:space="0" w:color="auto"/>
              <w:right w:val="single" w:sz="4"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2016</w:t>
            </w:r>
          </w:p>
        </w:tc>
        <w:tc>
          <w:tcPr>
            <w:tcW w:w="3336" w:type="dxa"/>
            <w:gridSpan w:val="3"/>
            <w:tcBorders>
              <w:top w:val="single" w:sz="8" w:space="0" w:color="auto"/>
              <w:left w:val="nil"/>
              <w:bottom w:val="single" w:sz="4" w:space="0" w:color="auto"/>
              <w:right w:val="single" w:sz="8" w:space="0" w:color="000000"/>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2017</w:t>
            </w:r>
          </w:p>
        </w:tc>
      </w:tr>
      <w:tr w:rsidR="00B85BC1" w:rsidRPr="00B85BC1" w:rsidTr="009116B3">
        <w:trPr>
          <w:trHeight w:val="585"/>
          <w:jc w:val="center"/>
        </w:trPr>
        <w:tc>
          <w:tcPr>
            <w:tcW w:w="2594" w:type="dxa"/>
            <w:vMerge/>
            <w:tcBorders>
              <w:top w:val="single" w:sz="8" w:space="0" w:color="auto"/>
              <w:left w:val="single" w:sz="8" w:space="0" w:color="auto"/>
              <w:bottom w:val="single" w:sz="4" w:space="0" w:color="auto"/>
              <w:right w:val="single" w:sz="4" w:space="0" w:color="auto"/>
            </w:tcBorders>
            <w:vAlign w:val="center"/>
            <w:hideMark/>
          </w:tcPr>
          <w:p w:rsidR="00B85BC1" w:rsidRPr="00B85BC1" w:rsidRDefault="00B85BC1" w:rsidP="00B85BC1">
            <w:pPr>
              <w:spacing w:after="0"/>
              <w:jc w:val="left"/>
              <w:rPr>
                <w:b/>
                <w:bCs/>
                <w:color w:val="000000"/>
                <w:sz w:val="16"/>
                <w:szCs w:val="16"/>
              </w:rPr>
            </w:pPr>
          </w:p>
        </w:tc>
        <w:tc>
          <w:tcPr>
            <w:tcW w:w="1112" w:type="dxa"/>
            <w:tcBorders>
              <w:top w:val="single" w:sz="4" w:space="0" w:color="auto"/>
              <w:left w:val="nil"/>
              <w:bottom w:val="single" w:sz="4" w:space="0" w:color="auto"/>
              <w:right w:val="single" w:sz="4"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DPFO</w:t>
            </w:r>
          </w:p>
        </w:tc>
        <w:tc>
          <w:tcPr>
            <w:tcW w:w="1112" w:type="dxa"/>
            <w:tcBorders>
              <w:top w:val="single" w:sz="4" w:space="0" w:color="auto"/>
              <w:left w:val="nil"/>
              <w:bottom w:val="single" w:sz="4" w:space="0" w:color="auto"/>
              <w:right w:val="single" w:sz="4"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DPPO</w:t>
            </w:r>
          </w:p>
        </w:tc>
        <w:tc>
          <w:tcPr>
            <w:tcW w:w="1112" w:type="dxa"/>
            <w:tcBorders>
              <w:top w:val="single" w:sz="4" w:space="0" w:color="auto"/>
              <w:left w:val="nil"/>
              <w:bottom w:val="single" w:sz="4" w:space="0" w:color="auto"/>
              <w:right w:val="single" w:sz="4"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DPH</w:t>
            </w:r>
          </w:p>
        </w:tc>
        <w:tc>
          <w:tcPr>
            <w:tcW w:w="1112" w:type="dxa"/>
            <w:tcBorders>
              <w:top w:val="single" w:sz="4" w:space="0" w:color="auto"/>
              <w:left w:val="nil"/>
              <w:bottom w:val="single" w:sz="4" w:space="0" w:color="auto"/>
              <w:right w:val="single" w:sz="4"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DPFO</w:t>
            </w:r>
          </w:p>
        </w:tc>
        <w:tc>
          <w:tcPr>
            <w:tcW w:w="1112" w:type="dxa"/>
            <w:tcBorders>
              <w:top w:val="single" w:sz="4" w:space="0" w:color="auto"/>
              <w:left w:val="nil"/>
              <w:bottom w:val="single" w:sz="4" w:space="0" w:color="auto"/>
              <w:right w:val="single" w:sz="4"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DPPO</w:t>
            </w:r>
          </w:p>
        </w:tc>
        <w:tc>
          <w:tcPr>
            <w:tcW w:w="1112" w:type="dxa"/>
            <w:tcBorders>
              <w:top w:val="single" w:sz="4" w:space="0" w:color="auto"/>
              <w:left w:val="nil"/>
              <w:bottom w:val="single" w:sz="4" w:space="0" w:color="auto"/>
              <w:right w:val="single" w:sz="8" w:space="0" w:color="auto"/>
            </w:tcBorders>
            <w:shd w:val="clear" w:color="000000" w:fill="E4DFEC"/>
            <w:vAlign w:val="center"/>
            <w:hideMark/>
          </w:tcPr>
          <w:p w:rsidR="00B85BC1" w:rsidRPr="00B85BC1" w:rsidRDefault="00B85BC1" w:rsidP="00B85BC1">
            <w:pPr>
              <w:spacing w:after="0"/>
              <w:jc w:val="center"/>
              <w:rPr>
                <w:b/>
                <w:bCs/>
                <w:color w:val="000000"/>
                <w:sz w:val="16"/>
                <w:szCs w:val="16"/>
              </w:rPr>
            </w:pPr>
            <w:r w:rsidRPr="00B85BC1">
              <w:rPr>
                <w:b/>
                <w:bCs/>
                <w:color w:val="000000"/>
                <w:sz w:val="16"/>
                <w:szCs w:val="16"/>
              </w:rPr>
              <w:t>DPH</w:t>
            </w:r>
          </w:p>
        </w:tc>
      </w:tr>
      <w:tr w:rsidR="00B85BC1" w:rsidRPr="00B85BC1" w:rsidTr="009116B3">
        <w:trPr>
          <w:trHeight w:val="355"/>
          <w:jc w:val="center"/>
        </w:trPr>
        <w:tc>
          <w:tcPr>
            <w:tcW w:w="2594" w:type="dxa"/>
            <w:tcBorders>
              <w:top w:val="nil"/>
              <w:left w:val="single" w:sz="8" w:space="0" w:color="auto"/>
              <w:bottom w:val="single" w:sz="4" w:space="0" w:color="auto"/>
              <w:right w:val="single" w:sz="4" w:space="0" w:color="auto"/>
            </w:tcBorders>
            <w:shd w:val="clear" w:color="000000" w:fill="FFFFFF"/>
            <w:vAlign w:val="center"/>
            <w:hideMark/>
          </w:tcPr>
          <w:p w:rsidR="00B85BC1" w:rsidRPr="00B85BC1" w:rsidRDefault="00B85BC1" w:rsidP="00B85BC1">
            <w:pPr>
              <w:spacing w:after="0"/>
              <w:jc w:val="left"/>
              <w:rPr>
                <w:b/>
                <w:bCs/>
                <w:color w:val="000000"/>
                <w:sz w:val="16"/>
                <w:szCs w:val="16"/>
              </w:rPr>
            </w:pPr>
            <w:r w:rsidRPr="00B85BC1">
              <w:rPr>
                <w:b/>
                <w:bCs/>
                <w:color w:val="000000"/>
                <w:sz w:val="16"/>
                <w:szCs w:val="16"/>
              </w:rPr>
              <w:t>Osvobození od daně</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147 160</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443</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122 019</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156 176</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451</w:t>
            </w:r>
          </w:p>
        </w:tc>
        <w:tc>
          <w:tcPr>
            <w:tcW w:w="1112" w:type="dxa"/>
            <w:tcBorders>
              <w:top w:val="nil"/>
              <w:left w:val="nil"/>
              <w:bottom w:val="single" w:sz="4" w:space="0" w:color="auto"/>
              <w:right w:val="single" w:sz="8"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125 902</w:t>
            </w:r>
          </w:p>
        </w:tc>
      </w:tr>
      <w:tr w:rsidR="00B85BC1" w:rsidRPr="00B85BC1" w:rsidTr="009116B3">
        <w:trPr>
          <w:trHeight w:val="418"/>
          <w:jc w:val="center"/>
        </w:trPr>
        <w:tc>
          <w:tcPr>
            <w:tcW w:w="2594" w:type="dxa"/>
            <w:tcBorders>
              <w:top w:val="nil"/>
              <w:left w:val="single" w:sz="8" w:space="0" w:color="auto"/>
              <w:bottom w:val="single" w:sz="4" w:space="0" w:color="auto"/>
              <w:right w:val="single" w:sz="4" w:space="0" w:color="auto"/>
            </w:tcBorders>
            <w:shd w:val="clear" w:color="000000" w:fill="FFFFFF"/>
            <w:vAlign w:val="center"/>
            <w:hideMark/>
          </w:tcPr>
          <w:p w:rsidR="00B85BC1" w:rsidRPr="00B85BC1" w:rsidRDefault="00B85BC1" w:rsidP="00B85BC1">
            <w:pPr>
              <w:spacing w:after="0"/>
              <w:jc w:val="left"/>
              <w:rPr>
                <w:b/>
                <w:bCs/>
                <w:color w:val="000000"/>
                <w:sz w:val="16"/>
                <w:szCs w:val="16"/>
              </w:rPr>
            </w:pPr>
            <w:r w:rsidRPr="00B85BC1">
              <w:rPr>
                <w:b/>
                <w:bCs/>
                <w:color w:val="000000"/>
                <w:sz w:val="16"/>
                <w:szCs w:val="16"/>
              </w:rPr>
              <w:t>Položky snižující základ daně</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7 907</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3 858</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85BC1" w:rsidP="00B85BC1">
            <w:pPr>
              <w:spacing w:after="0"/>
              <w:jc w:val="right"/>
              <w:rPr>
                <w:color w:val="000000"/>
                <w:sz w:val="16"/>
                <w:szCs w:val="16"/>
              </w:rPr>
            </w:pPr>
            <w:r w:rsidRPr="00B85BC1">
              <w:rPr>
                <w:color w:val="000000"/>
                <w:sz w:val="16"/>
                <w:szCs w:val="16"/>
              </w:rPr>
              <w:t>-</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8 432</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85BC1" w:rsidP="00B85BC1">
            <w:pPr>
              <w:spacing w:after="0"/>
              <w:jc w:val="right"/>
              <w:rPr>
                <w:color w:val="000000"/>
                <w:sz w:val="16"/>
                <w:szCs w:val="16"/>
              </w:rPr>
            </w:pPr>
            <w:r w:rsidRPr="00B85BC1">
              <w:rPr>
                <w:color w:val="000000"/>
                <w:sz w:val="16"/>
                <w:szCs w:val="16"/>
              </w:rPr>
              <w:t xml:space="preserve">4 </w:t>
            </w:r>
            <w:r w:rsidR="00B363C2">
              <w:rPr>
                <w:color w:val="000000"/>
                <w:sz w:val="16"/>
                <w:szCs w:val="16"/>
              </w:rPr>
              <w:t>055</w:t>
            </w:r>
          </w:p>
        </w:tc>
        <w:tc>
          <w:tcPr>
            <w:tcW w:w="1112" w:type="dxa"/>
            <w:tcBorders>
              <w:top w:val="nil"/>
              <w:left w:val="nil"/>
              <w:bottom w:val="single" w:sz="4" w:space="0" w:color="auto"/>
              <w:right w:val="single" w:sz="8" w:space="0" w:color="auto"/>
            </w:tcBorders>
            <w:shd w:val="clear" w:color="000000" w:fill="FFFFFF"/>
            <w:vAlign w:val="center"/>
            <w:hideMark/>
          </w:tcPr>
          <w:p w:rsidR="00B85BC1" w:rsidRPr="00B85BC1" w:rsidRDefault="00B85BC1" w:rsidP="00B85BC1">
            <w:pPr>
              <w:spacing w:after="0"/>
              <w:jc w:val="right"/>
              <w:rPr>
                <w:color w:val="000000"/>
                <w:sz w:val="16"/>
                <w:szCs w:val="16"/>
              </w:rPr>
            </w:pPr>
            <w:r w:rsidRPr="00B85BC1">
              <w:rPr>
                <w:color w:val="000000"/>
                <w:sz w:val="16"/>
                <w:szCs w:val="16"/>
              </w:rPr>
              <w:t>-</w:t>
            </w:r>
          </w:p>
        </w:tc>
      </w:tr>
      <w:tr w:rsidR="00B85BC1" w:rsidRPr="00B85BC1" w:rsidTr="009116B3">
        <w:trPr>
          <w:trHeight w:val="355"/>
          <w:jc w:val="center"/>
        </w:trPr>
        <w:tc>
          <w:tcPr>
            <w:tcW w:w="2594" w:type="dxa"/>
            <w:tcBorders>
              <w:top w:val="nil"/>
              <w:left w:val="single" w:sz="8" w:space="0" w:color="auto"/>
              <w:bottom w:val="single" w:sz="4" w:space="0" w:color="auto"/>
              <w:right w:val="single" w:sz="4" w:space="0" w:color="auto"/>
            </w:tcBorders>
            <w:shd w:val="clear" w:color="000000" w:fill="FFFFFF"/>
            <w:vAlign w:val="center"/>
            <w:hideMark/>
          </w:tcPr>
          <w:p w:rsidR="00B85BC1" w:rsidRPr="00B85BC1" w:rsidRDefault="00B85BC1" w:rsidP="00B85BC1">
            <w:pPr>
              <w:spacing w:after="0"/>
              <w:jc w:val="left"/>
              <w:rPr>
                <w:b/>
                <w:bCs/>
                <w:color w:val="000000"/>
                <w:sz w:val="16"/>
                <w:szCs w:val="16"/>
              </w:rPr>
            </w:pPr>
            <w:r w:rsidRPr="00B85BC1">
              <w:rPr>
                <w:b/>
                <w:bCs/>
                <w:color w:val="000000"/>
                <w:sz w:val="16"/>
                <w:szCs w:val="16"/>
              </w:rPr>
              <w:t>Položky snižující daň</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151 248</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7 224</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85BC1" w:rsidP="00B85BC1">
            <w:pPr>
              <w:spacing w:after="0"/>
              <w:jc w:val="right"/>
              <w:rPr>
                <w:color w:val="000000"/>
                <w:sz w:val="16"/>
                <w:szCs w:val="16"/>
              </w:rPr>
            </w:pPr>
            <w:r w:rsidRPr="00B85BC1">
              <w:rPr>
                <w:color w:val="000000"/>
                <w:sz w:val="16"/>
                <w:szCs w:val="16"/>
              </w:rPr>
              <w:t>-</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155 323</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6 157</w:t>
            </w:r>
          </w:p>
        </w:tc>
        <w:tc>
          <w:tcPr>
            <w:tcW w:w="1112" w:type="dxa"/>
            <w:tcBorders>
              <w:top w:val="nil"/>
              <w:left w:val="nil"/>
              <w:bottom w:val="single" w:sz="4" w:space="0" w:color="auto"/>
              <w:right w:val="single" w:sz="8" w:space="0" w:color="auto"/>
            </w:tcBorders>
            <w:shd w:val="clear" w:color="000000" w:fill="FFFFFF"/>
            <w:vAlign w:val="center"/>
            <w:hideMark/>
          </w:tcPr>
          <w:p w:rsidR="00B85BC1" w:rsidRPr="00B85BC1" w:rsidRDefault="00B85BC1" w:rsidP="00B85BC1">
            <w:pPr>
              <w:spacing w:after="0"/>
              <w:jc w:val="right"/>
              <w:rPr>
                <w:color w:val="000000"/>
                <w:sz w:val="16"/>
                <w:szCs w:val="16"/>
              </w:rPr>
            </w:pPr>
            <w:r w:rsidRPr="00B85BC1">
              <w:rPr>
                <w:color w:val="000000"/>
                <w:sz w:val="16"/>
                <w:szCs w:val="16"/>
              </w:rPr>
              <w:t>-</w:t>
            </w:r>
          </w:p>
        </w:tc>
      </w:tr>
      <w:tr w:rsidR="00B85BC1" w:rsidRPr="00B85BC1" w:rsidTr="009116B3">
        <w:trPr>
          <w:trHeight w:val="355"/>
          <w:jc w:val="center"/>
        </w:trPr>
        <w:tc>
          <w:tcPr>
            <w:tcW w:w="2594" w:type="dxa"/>
            <w:tcBorders>
              <w:top w:val="nil"/>
              <w:left w:val="single" w:sz="8" w:space="0" w:color="auto"/>
              <w:bottom w:val="single" w:sz="4" w:space="0" w:color="auto"/>
              <w:right w:val="single" w:sz="4" w:space="0" w:color="auto"/>
            </w:tcBorders>
            <w:shd w:val="clear" w:color="000000" w:fill="FFFFFF"/>
            <w:vAlign w:val="center"/>
            <w:hideMark/>
          </w:tcPr>
          <w:p w:rsidR="00B85BC1" w:rsidRPr="00B85BC1" w:rsidRDefault="00B85BC1" w:rsidP="00B85BC1">
            <w:pPr>
              <w:spacing w:after="0"/>
              <w:jc w:val="left"/>
              <w:rPr>
                <w:b/>
                <w:bCs/>
                <w:color w:val="000000"/>
                <w:sz w:val="16"/>
                <w:szCs w:val="16"/>
              </w:rPr>
            </w:pPr>
            <w:r w:rsidRPr="00B85BC1">
              <w:rPr>
                <w:b/>
                <w:bCs/>
                <w:color w:val="000000"/>
                <w:sz w:val="16"/>
                <w:szCs w:val="16"/>
              </w:rPr>
              <w:t>Snížená sazba daně</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85BC1" w:rsidP="00B85BC1">
            <w:pPr>
              <w:spacing w:after="0"/>
              <w:jc w:val="right"/>
              <w:rPr>
                <w:color w:val="000000"/>
                <w:sz w:val="16"/>
                <w:szCs w:val="16"/>
              </w:rPr>
            </w:pPr>
            <w:r w:rsidRPr="00B85BC1">
              <w:rPr>
                <w:color w:val="000000"/>
                <w:sz w:val="16"/>
                <w:szCs w:val="16"/>
              </w:rPr>
              <w:t>-</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2 264</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46 514</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85BC1" w:rsidP="00B85BC1">
            <w:pPr>
              <w:spacing w:after="0"/>
              <w:jc w:val="right"/>
              <w:rPr>
                <w:color w:val="000000"/>
                <w:sz w:val="16"/>
                <w:szCs w:val="16"/>
              </w:rPr>
            </w:pPr>
            <w:r w:rsidRPr="00B85BC1">
              <w:rPr>
                <w:color w:val="000000"/>
                <w:sz w:val="16"/>
                <w:szCs w:val="16"/>
              </w:rPr>
              <w:t>-</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2 994</w:t>
            </w:r>
          </w:p>
        </w:tc>
        <w:tc>
          <w:tcPr>
            <w:tcW w:w="1112" w:type="dxa"/>
            <w:tcBorders>
              <w:top w:val="nil"/>
              <w:left w:val="nil"/>
              <w:bottom w:val="single" w:sz="4" w:space="0" w:color="auto"/>
              <w:right w:val="single" w:sz="8" w:space="0" w:color="auto"/>
            </w:tcBorders>
            <w:shd w:val="clear" w:color="000000" w:fill="FFFFFF"/>
            <w:vAlign w:val="center"/>
            <w:hideMark/>
          </w:tcPr>
          <w:p w:rsidR="00B85BC1" w:rsidRPr="00B85BC1" w:rsidRDefault="00B363C2" w:rsidP="00B85BC1">
            <w:pPr>
              <w:spacing w:after="0"/>
              <w:jc w:val="right"/>
              <w:rPr>
                <w:color w:val="000000"/>
                <w:sz w:val="16"/>
                <w:szCs w:val="16"/>
              </w:rPr>
            </w:pPr>
            <w:r>
              <w:rPr>
                <w:color w:val="000000"/>
                <w:sz w:val="16"/>
                <w:szCs w:val="16"/>
              </w:rPr>
              <w:t>53 466</w:t>
            </w:r>
          </w:p>
        </w:tc>
      </w:tr>
      <w:tr w:rsidR="00B85BC1" w:rsidRPr="00B85BC1" w:rsidTr="009116B3">
        <w:trPr>
          <w:trHeight w:val="355"/>
          <w:jc w:val="center"/>
        </w:trPr>
        <w:tc>
          <w:tcPr>
            <w:tcW w:w="2594" w:type="dxa"/>
            <w:tcBorders>
              <w:top w:val="nil"/>
              <w:left w:val="single" w:sz="8" w:space="0" w:color="auto"/>
              <w:bottom w:val="single" w:sz="4" w:space="0" w:color="auto"/>
              <w:right w:val="single" w:sz="4" w:space="0" w:color="auto"/>
            </w:tcBorders>
            <w:shd w:val="clear" w:color="000000" w:fill="FFFFFF"/>
            <w:vAlign w:val="center"/>
            <w:hideMark/>
          </w:tcPr>
          <w:p w:rsidR="00B85BC1" w:rsidRPr="00B85BC1" w:rsidRDefault="00B85BC1" w:rsidP="00B85BC1">
            <w:pPr>
              <w:spacing w:after="0"/>
              <w:jc w:val="left"/>
              <w:rPr>
                <w:b/>
                <w:bCs/>
                <w:color w:val="000000"/>
                <w:sz w:val="16"/>
                <w:szCs w:val="16"/>
              </w:rPr>
            </w:pPr>
            <w:r w:rsidRPr="00B85BC1">
              <w:rPr>
                <w:b/>
                <w:bCs/>
                <w:color w:val="000000"/>
                <w:sz w:val="16"/>
                <w:szCs w:val="16"/>
              </w:rPr>
              <w:t>Celkem</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306 315</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13 789</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168 533</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319 931</w:t>
            </w:r>
          </w:p>
        </w:tc>
        <w:tc>
          <w:tcPr>
            <w:tcW w:w="1112" w:type="dxa"/>
            <w:tcBorders>
              <w:top w:val="nil"/>
              <w:left w:val="nil"/>
              <w:bottom w:val="single" w:sz="4" w:space="0" w:color="auto"/>
              <w:right w:val="single" w:sz="4"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13 656</w:t>
            </w:r>
          </w:p>
        </w:tc>
        <w:tc>
          <w:tcPr>
            <w:tcW w:w="1112" w:type="dxa"/>
            <w:tcBorders>
              <w:top w:val="nil"/>
              <w:left w:val="nil"/>
              <w:bottom w:val="single" w:sz="4" w:space="0" w:color="auto"/>
              <w:right w:val="single" w:sz="8"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179 368</w:t>
            </w:r>
          </w:p>
        </w:tc>
      </w:tr>
      <w:tr w:rsidR="00B85BC1" w:rsidRPr="00B85BC1" w:rsidTr="009116B3">
        <w:trPr>
          <w:trHeight w:val="355"/>
          <w:jc w:val="center"/>
        </w:trPr>
        <w:tc>
          <w:tcPr>
            <w:tcW w:w="2594" w:type="dxa"/>
            <w:tcBorders>
              <w:top w:val="single" w:sz="4" w:space="0" w:color="auto"/>
              <w:left w:val="single" w:sz="8" w:space="0" w:color="auto"/>
              <w:bottom w:val="single" w:sz="8" w:space="0" w:color="000000"/>
              <w:right w:val="single" w:sz="4" w:space="0" w:color="auto"/>
            </w:tcBorders>
            <w:shd w:val="clear" w:color="000000" w:fill="FFFFFF"/>
            <w:vAlign w:val="center"/>
            <w:hideMark/>
          </w:tcPr>
          <w:p w:rsidR="00B85BC1" w:rsidRPr="00B85BC1" w:rsidRDefault="00B85BC1" w:rsidP="00B85BC1">
            <w:pPr>
              <w:spacing w:after="0"/>
              <w:jc w:val="left"/>
              <w:rPr>
                <w:b/>
                <w:bCs/>
                <w:color w:val="000000"/>
                <w:sz w:val="16"/>
                <w:szCs w:val="16"/>
              </w:rPr>
            </w:pPr>
            <w:r w:rsidRPr="00B85BC1">
              <w:rPr>
                <w:b/>
                <w:bCs/>
                <w:color w:val="000000"/>
                <w:sz w:val="16"/>
                <w:szCs w:val="16"/>
              </w:rPr>
              <w:t>Celkem rok</w:t>
            </w:r>
          </w:p>
        </w:tc>
        <w:tc>
          <w:tcPr>
            <w:tcW w:w="3336" w:type="dxa"/>
            <w:gridSpan w:val="3"/>
            <w:tcBorders>
              <w:top w:val="single" w:sz="4" w:space="0" w:color="auto"/>
              <w:left w:val="nil"/>
              <w:bottom w:val="single" w:sz="8" w:space="0" w:color="000000"/>
              <w:right w:val="single" w:sz="4" w:space="0" w:color="auto"/>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488 637</w:t>
            </w:r>
          </w:p>
        </w:tc>
        <w:tc>
          <w:tcPr>
            <w:tcW w:w="3336" w:type="dxa"/>
            <w:gridSpan w:val="3"/>
            <w:tcBorders>
              <w:top w:val="single" w:sz="4" w:space="0" w:color="auto"/>
              <w:left w:val="nil"/>
              <w:bottom w:val="single" w:sz="8" w:space="0" w:color="000000"/>
              <w:right w:val="single" w:sz="8" w:space="0" w:color="000000"/>
            </w:tcBorders>
            <w:shd w:val="clear" w:color="000000" w:fill="FFFFFF"/>
            <w:vAlign w:val="center"/>
            <w:hideMark/>
          </w:tcPr>
          <w:p w:rsidR="00B85BC1" w:rsidRPr="00B85BC1" w:rsidRDefault="00B363C2" w:rsidP="00B85BC1">
            <w:pPr>
              <w:spacing w:after="0"/>
              <w:jc w:val="right"/>
              <w:rPr>
                <w:b/>
                <w:bCs/>
                <w:color w:val="000000"/>
                <w:sz w:val="16"/>
                <w:szCs w:val="16"/>
              </w:rPr>
            </w:pPr>
            <w:r>
              <w:rPr>
                <w:b/>
                <w:bCs/>
                <w:color w:val="000000"/>
                <w:sz w:val="16"/>
                <w:szCs w:val="16"/>
              </w:rPr>
              <w:t>512 955</w:t>
            </w:r>
          </w:p>
        </w:tc>
      </w:tr>
    </w:tbl>
    <w:p w:rsidR="007C3561" w:rsidRDefault="007C3561" w:rsidP="007C3561">
      <w:pPr>
        <w:widowControl w:val="0"/>
        <w:rPr>
          <w:szCs w:val="24"/>
        </w:rPr>
      </w:pPr>
    </w:p>
    <w:p w:rsidR="00EB0C35" w:rsidRDefault="00EB0C35"/>
    <w:sectPr w:rsidR="00EB0C35" w:rsidSect="00F30468">
      <w:type w:val="continuous"/>
      <w:pgSz w:w="11906" w:h="16838" w:code="9"/>
      <w:pgMar w:top="1134" w:right="1134" w:bottom="1134" w:left="1134" w:header="709" w:footer="709" w:gutter="0"/>
      <w:cols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CC9" w:rsidRDefault="00E43CC9" w:rsidP="0039205A">
      <w:pPr>
        <w:spacing w:after="0"/>
      </w:pPr>
      <w:r>
        <w:separator/>
      </w:r>
    </w:p>
  </w:endnote>
  <w:endnote w:type="continuationSeparator" w:id="0">
    <w:p w:rsidR="00E43CC9" w:rsidRDefault="00E43CC9" w:rsidP="003920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259120"/>
      <w:docPartObj>
        <w:docPartGallery w:val="Page Numbers (Bottom of Page)"/>
        <w:docPartUnique/>
      </w:docPartObj>
    </w:sdtPr>
    <w:sdtEndPr/>
    <w:sdtContent>
      <w:p w:rsidR="00F30468" w:rsidRDefault="00F30468">
        <w:pPr>
          <w:pStyle w:val="Zpat"/>
          <w:jc w:val="center"/>
        </w:pPr>
        <w:r>
          <w:fldChar w:fldCharType="begin"/>
        </w:r>
        <w:r>
          <w:instrText>PAGE   \* MERGEFORMAT</w:instrText>
        </w:r>
        <w:r>
          <w:fldChar w:fldCharType="separate"/>
        </w:r>
        <w:r w:rsidR="00E40C00">
          <w:rPr>
            <w:noProof/>
          </w:rPr>
          <w:t>1</w:t>
        </w:r>
        <w:r>
          <w:fldChar w:fldCharType="end"/>
        </w:r>
      </w:p>
    </w:sdtContent>
  </w:sdt>
  <w:p w:rsidR="00F30468" w:rsidRDefault="00F3046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468" w:rsidRDefault="00F30468">
    <w:pPr>
      <w:pStyle w:val="Zpat"/>
      <w:jc w:val="center"/>
    </w:pPr>
  </w:p>
  <w:p w:rsidR="00F30468" w:rsidRDefault="00F3046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CC9" w:rsidRDefault="00E43CC9" w:rsidP="0039205A">
      <w:pPr>
        <w:spacing w:after="0"/>
      </w:pPr>
      <w:r>
        <w:separator/>
      </w:r>
    </w:p>
  </w:footnote>
  <w:footnote w:type="continuationSeparator" w:id="0">
    <w:p w:rsidR="00E43CC9" w:rsidRDefault="00E43CC9" w:rsidP="0039205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E15A6"/>
    <w:multiLevelType w:val="multilevel"/>
    <w:tmpl w:val="6CB86544"/>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851"/>
        </w:tabs>
        <w:ind w:left="851" w:hanging="567"/>
      </w:pPr>
      <w:rPr>
        <w:rFonts w:hint="default"/>
        <w:b/>
      </w:rPr>
    </w:lvl>
    <w:lvl w:ilvl="2">
      <w:start w:val="1"/>
      <w:numFmt w:val="decimal"/>
      <w:pStyle w:val="Nadpis3"/>
      <w:lvlText w:val="%1.%2.%3"/>
      <w:lvlJc w:val="left"/>
      <w:pPr>
        <w:tabs>
          <w:tab w:val="num" w:pos="4689"/>
        </w:tabs>
        <w:ind w:left="4689"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70B77BD9"/>
    <w:multiLevelType w:val="multilevel"/>
    <w:tmpl w:val="61FC85E0"/>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561"/>
    <w:rsid w:val="0002349E"/>
    <w:rsid w:val="00027182"/>
    <w:rsid w:val="0003211A"/>
    <w:rsid w:val="000E057C"/>
    <w:rsid w:val="001E209B"/>
    <w:rsid w:val="001F3590"/>
    <w:rsid w:val="00253E44"/>
    <w:rsid w:val="0028133E"/>
    <w:rsid w:val="002921F5"/>
    <w:rsid w:val="0039205A"/>
    <w:rsid w:val="00397F39"/>
    <w:rsid w:val="0043041F"/>
    <w:rsid w:val="004309CD"/>
    <w:rsid w:val="006C7E04"/>
    <w:rsid w:val="007C3561"/>
    <w:rsid w:val="007D49F3"/>
    <w:rsid w:val="009116B3"/>
    <w:rsid w:val="00A23A7F"/>
    <w:rsid w:val="00A70AEC"/>
    <w:rsid w:val="00AB6839"/>
    <w:rsid w:val="00B076AF"/>
    <w:rsid w:val="00B363C2"/>
    <w:rsid w:val="00B83F23"/>
    <w:rsid w:val="00B85BC1"/>
    <w:rsid w:val="00B86C6C"/>
    <w:rsid w:val="00CF78CA"/>
    <w:rsid w:val="00D01DD5"/>
    <w:rsid w:val="00D32E39"/>
    <w:rsid w:val="00E1207A"/>
    <w:rsid w:val="00E40C00"/>
    <w:rsid w:val="00E43CC9"/>
    <w:rsid w:val="00EB0C35"/>
    <w:rsid w:val="00F1539E"/>
    <w:rsid w:val="00F30468"/>
    <w:rsid w:val="00F51CBF"/>
    <w:rsid w:val="00F917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hidden/>
    <w:qFormat/>
    <w:rsid w:val="007C3561"/>
    <w:pPr>
      <w:spacing w:after="120" w:line="240" w:lineRule="auto"/>
      <w:jc w:val="both"/>
    </w:pPr>
    <w:rPr>
      <w:rFonts w:ascii="Calibri" w:eastAsia="Times New Roman" w:hAnsi="Calibri" w:cs="Times New Roman"/>
      <w:sz w:val="20"/>
      <w:szCs w:val="20"/>
      <w:lang w:eastAsia="cs-CZ"/>
    </w:rPr>
  </w:style>
  <w:style w:type="paragraph" w:styleId="Nadpis1">
    <w:name w:val="heading 1"/>
    <w:basedOn w:val="Normln"/>
    <w:next w:val="Normln"/>
    <w:link w:val="Nadpis1Char"/>
    <w:uiPriority w:val="9"/>
    <w:qFormat/>
    <w:rsid w:val="00F30468"/>
    <w:pPr>
      <w:keepNext/>
      <w:numPr>
        <w:numId w:val="1"/>
      </w:numPr>
      <w:outlineLvl w:val="0"/>
    </w:pPr>
    <w:rPr>
      <w:rFonts w:cs="Arial"/>
      <w:b/>
      <w:bCs/>
      <w:kern w:val="32"/>
      <w:sz w:val="40"/>
      <w:szCs w:val="32"/>
    </w:rPr>
  </w:style>
  <w:style w:type="paragraph" w:styleId="Nadpis2">
    <w:name w:val="heading 2"/>
    <w:basedOn w:val="Normln"/>
    <w:next w:val="Normln"/>
    <w:link w:val="Nadpis2Char"/>
    <w:uiPriority w:val="9"/>
    <w:qFormat/>
    <w:rsid w:val="007C3561"/>
    <w:pPr>
      <w:keepNext/>
      <w:numPr>
        <w:ilvl w:val="1"/>
        <w:numId w:val="1"/>
      </w:numPr>
      <w:pBdr>
        <w:bottom w:val="single" w:sz="12" w:space="1" w:color="E5DFEC"/>
      </w:pBdr>
      <w:spacing w:before="480" w:after="60"/>
      <w:outlineLvl w:val="1"/>
    </w:pPr>
    <w:rPr>
      <w:rFonts w:cs="Arial"/>
      <w:b/>
      <w:bCs/>
      <w:iCs/>
      <w:sz w:val="28"/>
      <w:szCs w:val="28"/>
    </w:rPr>
  </w:style>
  <w:style w:type="paragraph" w:styleId="Nadpis3">
    <w:name w:val="heading 3"/>
    <w:basedOn w:val="Normln"/>
    <w:next w:val="Normln"/>
    <w:link w:val="Nadpis3Char"/>
    <w:uiPriority w:val="9"/>
    <w:qFormat/>
    <w:rsid w:val="007C3561"/>
    <w:pPr>
      <w:keepNext/>
      <w:numPr>
        <w:ilvl w:val="2"/>
        <w:numId w:val="1"/>
      </w:numPr>
      <w:tabs>
        <w:tab w:val="left" w:pos="567"/>
      </w:tabs>
      <w:spacing w:before="240" w:after="0"/>
      <w:ind w:left="567" w:hanging="567"/>
      <w:outlineLvl w:val="2"/>
    </w:pPr>
    <w:rPr>
      <w:rFonts w:cs="Arial"/>
      <w:b/>
      <w:bCs/>
      <w:szCs w:val="26"/>
    </w:rPr>
  </w:style>
  <w:style w:type="paragraph" w:styleId="Nadpis5">
    <w:name w:val="heading 5"/>
    <w:basedOn w:val="Normln"/>
    <w:next w:val="Normln"/>
    <w:link w:val="Nadpis5Char"/>
    <w:uiPriority w:val="9"/>
    <w:unhideWhenUsed/>
    <w:qFormat/>
    <w:rsid w:val="0039205A"/>
    <w:pPr>
      <w:keepNext/>
      <w:keepLines/>
      <w:spacing w:before="200" w:line="360" w:lineRule="auto"/>
      <w:ind w:left="1008" w:hanging="1008"/>
      <w:outlineLvl w:val="4"/>
    </w:pPr>
    <w:rPr>
      <w:rFonts w:asciiTheme="majorHAnsi" w:eastAsiaTheme="majorEastAsia" w:hAnsiTheme="majorHAnsi" w:cstheme="majorBidi"/>
      <w:color w:val="243F60" w:themeColor="accent1" w:themeShade="7F"/>
      <w:sz w:val="24"/>
      <w:szCs w:val="22"/>
      <w:lang w:eastAsia="en-US"/>
    </w:rPr>
  </w:style>
  <w:style w:type="paragraph" w:styleId="Nadpis6">
    <w:name w:val="heading 6"/>
    <w:basedOn w:val="Normln"/>
    <w:next w:val="Normln"/>
    <w:link w:val="Nadpis6Char"/>
    <w:uiPriority w:val="9"/>
    <w:semiHidden/>
    <w:unhideWhenUsed/>
    <w:qFormat/>
    <w:rsid w:val="0039205A"/>
    <w:pPr>
      <w:keepNext/>
      <w:keepLines/>
      <w:spacing w:before="200" w:line="360" w:lineRule="auto"/>
      <w:ind w:left="1152" w:hanging="1152"/>
      <w:outlineLvl w:val="5"/>
    </w:pPr>
    <w:rPr>
      <w:rFonts w:asciiTheme="majorHAnsi" w:eastAsiaTheme="majorEastAsia" w:hAnsiTheme="majorHAnsi" w:cstheme="majorBidi"/>
      <w:i/>
      <w:iCs/>
      <w:color w:val="243F60" w:themeColor="accent1" w:themeShade="7F"/>
      <w:sz w:val="24"/>
      <w:szCs w:val="22"/>
      <w:lang w:eastAsia="en-US"/>
    </w:rPr>
  </w:style>
  <w:style w:type="paragraph" w:styleId="Nadpis7">
    <w:name w:val="heading 7"/>
    <w:basedOn w:val="Normln"/>
    <w:next w:val="Normln"/>
    <w:link w:val="Nadpis7Char"/>
    <w:uiPriority w:val="9"/>
    <w:semiHidden/>
    <w:unhideWhenUsed/>
    <w:qFormat/>
    <w:rsid w:val="0039205A"/>
    <w:pPr>
      <w:keepNext/>
      <w:keepLines/>
      <w:spacing w:before="200" w:line="360" w:lineRule="auto"/>
      <w:ind w:left="1296" w:hanging="1296"/>
      <w:outlineLvl w:val="6"/>
    </w:pPr>
    <w:rPr>
      <w:rFonts w:asciiTheme="majorHAnsi" w:eastAsiaTheme="majorEastAsia" w:hAnsiTheme="majorHAnsi" w:cstheme="majorBidi"/>
      <w:i/>
      <w:iCs/>
      <w:color w:val="404040" w:themeColor="text1" w:themeTint="BF"/>
      <w:sz w:val="24"/>
      <w:szCs w:val="22"/>
      <w:lang w:eastAsia="en-US"/>
    </w:rPr>
  </w:style>
  <w:style w:type="paragraph" w:styleId="Nadpis8">
    <w:name w:val="heading 8"/>
    <w:basedOn w:val="Normln"/>
    <w:next w:val="Normln"/>
    <w:link w:val="Nadpis8Char"/>
    <w:uiPriority w:val="9"/>
    <w:semiHidden/>
    <w:unhideWhenUsed/>
    <w:qFormat/>
    <w:rsid w:val="0039205A"/>
    <w:pPr>
      <w:keepNext/>
      <w:keepLines/>
      <w:spacing w:before="200" w:line="360" w:lineRule="auto"/>
      <w:ind w:left="1440" w:hanging="1440"/>
      <w:outlineLvl w:val="7"/>
    </w:pPr>
    <w:rPr>
      <w:rFonts w:asciiTheme="majorHAnsi" w:eastAsiaTheme="majorEastAsia" w:hAnsiTheme="majorHAnsi" w:cstheme="majorBidi"/>
      <w:color w:val="404040" w:themeColor="text1" w:themeTint="BF"/>
      <w:lang w:eastAsia="en-US"/>
    </w:rPr>
  </w:style>
  <w:style w:type="paragraph" w:styleId="Nadpis9">
    <w:name w:val="heading 9"/>
    <w:basedOn w:val="Normln"/>
    <w:next w:val="Normln"/>
    <w:link w:val="Nadpis9Char"/>
    <w:uiPriority w:val="9"/>
    <w:semiHidden/>
    <w:unhideWhenUsed/>
    <w:qFormat/>
    <w:rsid w:val="0039205A"/>
    <w:pPr>
      <w:keepNext/>
      <w:keepLines/>
      <w:spacing w:before="200" w:line="360" w:lineRule="auto"/>
      <w:ind w:left="1584" w:hanging="1584"/>
      <w:outlineLvl w:val="8"/>
    </w:pPr>
    <w:rPr>
      <w:rFonts w:asciiTheme="majorHAnsi" w:eastAsiaTheme="majorEastAsia" w:hAnsiTheme="majorHAnsi" w:cstheme="majorBidi"/>
      <w:i/>
      <w:iCs/>
      <w:color w:val="404040" w:themeColor="text1" w:themeTint="BF"/>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30468"/>
    <w:rPr>
      <w:rFonts w:ascii="Calibri" w:eastAsia="Times New Roman" w:hAnsi="Calibri" w:cs="Arial"/>
      <w:b/>
      <w:bCs/>
      <w:kern w:val="32"/>
      <w:sz w:val="40"/>
      <w:szCs w:val="32"/>
      <w:lang w:eastAsia="cs-CZ"/>
    </w:rPr>
  </w:style>
  <w:style w:type="character" w:customStyle="1" w:styleId="Nadpis2Char">
    <w:name w:val="Nadpis 2 Char"/>
    <w:basedOn w:val="Standardnpsmoodstavce"/>
    <w:link w:val="Nadpis2"/>
    <w:uiPriority w:val="9"/>
    <w:rsid w:val="007C3561"/>
    <w:rPr>
      <w:rFonts w:ascii="Calibri" w:eastAsia="Times New Roman" w:hAnsi="Calibri" w:cs="Arial"/>
      <w:b/>
      <w:bCs/>
      <w:iCs/>
      <w:sz w:val="28"/>
      <w:szCs w:val="28"/>
      <w:lang w:eastAsia="cs-CZ"/>
    </w:rPr>
  </w:style>
  <w:style w:type="character" w:customStyle="1" w:styleId="Nadpis3Char">
    <w:name w:val="Nadpis 3 Char"/>
    <w:basedOn w:val="Standardnpsmoodstavce"/>
    <w:link w:val="Nadpis3"/>
    <w:uiPriority w:val="9"/>
    <w:rsid w:val="007C3561"/>
    <w:rPr>
      <w:rFonts w:ascii="Calibri" w:eastAsia="Times New Roman" w:hAnsi="Calibri" w:cs="Arial"/>
      <w:b/>
      <w:bCs/>
      <w:sz w:val="20"/>
      <w:szCs w:val="26"/>
      <w:lang w:eastAsia="cs-CZ"/>
    </w:rPr>
  </w:style>
  <w:style w:type="paragraph" w:styleId="Titulek">
    <w:name w:val="caption"/>
    <w:basedOn w:val="Normln"/>
    <w:next w:val="Normln"/>
    <w:uiPriority w:val="35"/>
    <w:unhideWhenUsed/>
    <w:qFormat/>
    <w:rsid w:val="007C3561"/>
    <w:pPr>
      <w:spacing w:after="200"/>
    </w:pPr>
    <w:rPr>
      <w:b/>
      <w:bCs/>
      <w:color w:val="4F81BD" w:themeColor="accent1"/>
      <w:sz w:val="18"/>
      <w:szCs w:val="18"/>
    </w:rPr>
  </w:style>
  <w:style w:type="character" w:customStyle="1" w:styleId="Nadpis5Char">
    <w:name w:val="Nadpis 5 Char"/>
    <w:basedOn w:val="Standardnpsmoodstavce"/>
    <w:link w:val="Nadpis5"/>
    <w:uiPriority w:val="9"/>
    <w:rsid w:val="0039205A"/>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39205A"/>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39205A"/>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39205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39205A"/>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semiHidden/>
    <w:unhideWhenUsed/>
    <w:rsid w:val="0039205A"/>
    <w:pPr>
      <w:spacing w:after="0"/>
    </w:pPr>
    <w:rPr>
      <w:rFonts w:ascii="Times New Roman" w:eastAsiaTheme="minorHAnsi" w:hAnsi="Times New Roman" w:cstheme="minorBidi"/>
      <w:lang w:eastAsia="en-US"/>
    </w:rPr>
  </w:style>
  <w:style w:type="character" w:customStyle="1" w:styleId="TextpoznpodarouChar">
    <w:name w:val="Text pozn. pod čarou Char"/>
    <w:basedOn w:val="Standardnpsmoodstavce"/>
    <w:link w:val="Textpoznpodarou"/>
    <w:semiHidden/>
    <w:rsid w:val="0039205A"/>
    <w:rPr>
      <w:rFonts w:ascii="Times New Roman" w:hAnsi="Times New Roman"/>
      <w:sz w:val="20"/>
      <w:szCs w:val="20"/>
    </w:rPr>
  </w:style>
  <w:style w:type="character" w:styleId="Znakapoznpodarou">
    <w:name w:val="footnote reference"/>
    <w:basedOn w:val="Standardnpsmoodstavce"/>
    <w:semiHidden/>
    <w:unhideWhenUsed/>
    <w:rsid w:val="0039205A"/>
    <w:rPr>
      <w:vertAlign w:val="superscript"/>
    </w:rPr>
  </w:style>
  <w:style w:type="paragraph" w:customStyle="1" w:styleId="Nadpismal">
    <w:name w:val="Nadpis malý"/>
    <w:next w:val="Normln"/>
    <w:qFormat/>
    <w:rsid w:val="000E057C"/>
    <w:pPr>
      <w:keepNext/>
      <w:keepLines/>
      <w:spacing w:before="360" w:after="60" w:line="240" w:lineRule="auto"/>
      <w:jc w:val="both"/>
    </w:pPr>
    <w:rPr>
      <w:rFonts w:ascii="Calibri" w:eastAsia="Times New Roman" w:hAnsi="Calibri" w:cs="Times New Roman"/>
      <w:b/>
      <w:sz w:val="24"/>
      <w:szCs w:val="24"/>
      <w:lang w:eastAsia="cs-CZ"/>
    </w:rPr>
  </w:style>
  <w:style w:type="paragraph" w:styleId="Odstavecseseznamem">
    <w:name w:val="List Paragraph"/>
    <w:basedOn w:val="Normln"/>
    <w:uiPriority w:val="34"/>
    <w:qFormat/>
    <w:rsid w:val="00E1207A"/>
    <w:pPr>
      <w:ind w:left="720"/>
      <w:contextualSpacing/>
    </w:pPr>
  </w:style>
  <w:style w:type="paragraph" w:styleId="Zhlav">
    <w:name w:val="header"/>
    <w:basedOn w:val="Normln"/>
    <w:link w:val="ZhlavChar"/>
    <w:uiPriority w:val="99"/>
    <w:unhideWhenUsed/>
    <w:rsid w:val="007D49F3"/>
    <w:pPr>
      <w:tabs>
        <w:tab w:val="center" w:pos="4536"/>
        <w:tab w:val="right" w:pos="9072"/>
      </w:tabs>
      <w:spacing w:after="0"/>
    </w:pPr>
  </w:style>
  <w:style w:type="character" w:customStyle="1" w:styleId="ZhlavChar">
    <w:name w:val="Záhlaví Char"/>
    <w:basedOn w:val="Standardnpsmoodstavce"/>
    <w:link w:val="Zhlav"/>
    <w:uiPriority w:val="99"/>
    <w:rsid w:val="007D49F3"/>
    <w:rPr>
      <w:rFonts w:ascii="Calibri" w:eastAsia="Times New Roman" w:hAnsi="Calibri" w:cs="Times New Roman"/>
      <w:sz w:val="20"/>
      <w:szCs w:val="20"/>
      <w:lang w:eastAsia="cs-CZ"/>
    </w:rPr>
  </w:style>
  <w:style w:type="paragraph" w:styleId="Zpat">
    <w:name w:val="footer"/>
    <w:basedOn w:val="Normln"/>
    <w:link w:val="ZpatChar"/>
    <w:uiPriority w:val="99"/>
    <w:unhideWhenUsed/>
    <w:rsid w:val="007D49F3"/>
    <w:pPr>
      <w:tabs>
        <w:tab w:val="center" w:pos="4536"/>
        <w:tab w:val="right" w:pos="9072"/>
      </w:tabs>
      <w:spacing w:after="0"/>
    </w:pPr>
  </w:style>
  <w:style w:type="character" w:customStyle="1" w:styleId="ZpatChar">
    <w:name w:val="Zápatí Char"/>
    <w:basedOn w:val="Standardnpsmoodstavce"/>
    <w:link w:val="Zpat"/>
    <w:uiPriority w:val="99"/>
    <w:rsid w:val="007D49F3"/>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CF78C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78C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hidden/>
    <w:qFormat/>
    <w:rsid w:val="007C3561"/>
    <w:pPr>
      <w:spacing w:after="120" w:line="240" w:lineRule="auto"/>
      <w:jc w:val="both"/>
    </w:pPr>
    <w:rPr>
      <w:rFonts w:ascii="Calibri" w:eastAsia="Times New Roman" w:hAnsi="Calibri" w:cs="Times New Roman"/>
      <w:sz w:val="20"/>
      <w:szCs w:val="20"/>
      <w:lang w:eastAsia="cs-CZ"/>
    </w:rPr>
  </w:style>
  <w:style w:type="paragraph" w:styleId="Nadpis1">
    <w:name w:val="heading 1"/>
    <w:basedOn w:val="Normln"/>
    <w:next w:val="Normln"/>
    <w:link w:val="Nadpis1Char"/>
    <w:uiPriority w:val="9"/>
    <w:qFormat/>
    <w:rsid w:val="00F30468"/>
    <w:pPr>
      <w:keepNext/>
      <w:numPr>
        <w:numId w:val="1"/>
      </w:numPr>
      <w:outlineLvl w:val="0"/>
    </w:pPr>
    <w:rPr>
      <w:rFonts w:cs="Arial"/>
      <w:b/>
      <w:bCs/>
      <w:kern w:val="32"/>
      <w:sz w:val="40"/>
      <w:szCs w:val="32"/>
    </w:rPr>
  </w:style>
  <w:style w:type="paragraph" w:styleId="Nadpis2">
    <w:name w:val="heading 2"/>
    <w:basedOn w:val="Normln"/>
    <w:next w:val="Normln"/>
    <w:link w:val="Nadpis2Char"/>
    <w:uiPriority w:val="9"/>
    <w:qFormat/>
    <w:rsid w:val="007C3561"/>
    <w:pPr>
      <w:keepNext/>
      <w:numPr>
        <w:ilvl w:val="1"/>
        <w:numId w:val="1"/>
      </w:numPr>
      <w:pBdr>
        <w:bottom w:val="single" w:sz="12" w:space="1" w:color="E5DFEC"/>
      </w:pBdr>
      <w:spacing w:before="480" w:after="60"/>
      <w:outlineLvl w:val="1"/>
    </w:pPr>
    <w:rPr>
      <w:rFonts w:cs="Arial"/>
      <w:b/>
      <w:bCs/>
      <w:iCs/>
      <w:sz w:val="28"/>
      <w:szCs w:val="28"/>
    </w:rPr>
  </w:style>
  <w:style w:type="paragraph" w:styleId="Nadpis3">
    <w:name w:val="heading 3"/>
    <w:basedOn w:val="Normln"/>
    <w:next w:val="Normln"/>
    <w:link w:val="Nadpis3Char"/>
    <w:uiPriority w:val="9"/>
    <w:qFormat/>
    <w:rsid w:val="007C3561"/>
    <w:pPr>
      <w:keepNext/>
      <w:numPr>
        <w:ilvl w:val="2"/>
        <w:numId w:val="1"/>
      </w:numPr>
      <w:tabs>
        <w:tab w:val="left" w:pos="567"/>
      </w:tabs>
      <w:spacing w:before="240" w:after="0"/>
      <w:ind w:left="567" w:hanging="567"/>
      <w:outlineLvl w:val="2"/>
    </w:pPr>
    <w:rPr>
      <w:rFonts w:cs="Arial"/>
      <w:b/>
      <w:bCs/>
      <w:szCs w:val="26"/>
    </w:rPr>
  </w:style>
  <w:style w:type="paragraph" w:styleId="Nadpis5">
    <w:name w:val="heading 5"/>
    <w:basedOn w:val="Normln"/>
    <w:next w:val="Normln"/>
    <w:link w:val="Nadpis5Char"/>
    <w:uiPriority w:val="9"/>
    <w:unhideWhenUsed/>
    <w:qFormat/>
    <w:rsid w:val="0039205A"/>
    <w:pPr>
      <w:keepNext/>
      <w:keepLines/>
      <w:spacing w:before="200" w:line="360" w:lineRule="auto"/>
      <w:ind w:left="1008" w:hanging="1008"/>
      <w:outlineLvl w:val="4"/>
    </w:pPr>
    <w:rPr>
      <w:rFonts w:asciiTheme="majorHAnsi" w:eastAsiaTheme="majorEastAsia" w:hAnsiTheme="majorHAnsi" w:cstheme="majorBidi"/>
      <w:color w:val="243F60" w:themeColor="accent1" w:themeShade="7F"/>
      <w:sz w:val="24"/>
      <w:szCs w:val="22"/>
      <w:lang w:eastAsia="en-US"/>
    </w:rPr>
  </w:style>
  <w:style w:type="paragraph" w:styleId="Nadpis6">
    <w:name w:val="heading 6"/>
    <w:basedOn w:val="Normln"/>
    <w:next w:val="Normln"/>
    <w:link w:val="Nadpis6Char"/>
    <w:uiPriority w:val="9"/>
    <w:semiHidden/>
    <w:unhideWhenUsed/>
    <w:qFormat/>
    <w:rsid w:val="0039205A"/>
    <w:pPr>
      <w:keepNext/>
      <w:keepLines/>
      <w:spacing w:before="200" w:line="360" w:lineRule="auto"/>
      <w:ind w:left="1152" w:hanging="1152"/>
      <w:outlineLvl w:val="5"/>
    </w:pPr>
    <w:rPr>
      <w:rFonts w:asciiTheme="majorHAnsi" w:eastAsiaTheme="majorEastAsia" w:hAnsiTheme="majorHAnsi" w:cstheme="majorBidi"/>
      <w:i/>
      <w:iCs/>
      <w:color w:val="243F60" w:themeColor="accent1" w:themeShade="7F"/>
      <w:sz w:val="24"/>
      <w:szCs w:val="22"/>
      <w:lang w:eastAsia="en-US"/>
    </w:rPr>
  </w:style>
  <w:style w:type="paragraph" w:styleId="Nadpis7">
    <w:name w:val="heading 7"/>
    <w:basedOn w:val="Normln"/>
    <w:next w:val="Normln"/>
    <w:link w:val="Nadpis7Char"/>
    <w:uiPriority w:val="9"/>
    <w:semiHidden/>
    <w:unhideWhenUsed/>
    <w:qFormat/>
    <w:rsid w:val="0039205A"/>
    <w:pPr>
      <w:keepNext/>
      <w:keepLines/>
      <w:spacing w:before="200" w:line="360" w:lineRule="auto"/>
      <w:ind w:left="1296" w:hanging="1296"/>
      <w:outlineLvl w:val="6"/>
    </w:pPr>
    <w:rPr>
      <w:rFonts w:asciiTheme="majorHAnsi" w:eastAsiaTheme="majorEastAsia" w:hAnsiTheme="majorHAnsi" w:cstheme="majorBidi"/>
      <w:i/>
      <w:iCs/>
      <w:color w:val="404040" w:themeColor="text1" w:themeTint="BF"/>
      <w:sz w:val="24"/>
      <w:szCs w:val="22"/>
      <w:lang w:eastAsia="en-US"/>
    </w:rPr>
  </w:style>
  <w:style w:type="paragraph" w:styleId="Nadpis8">
    <w:name w:val="heading 8"/>
    <w:basedOn w:val="Normln"/>
    <w:next w:val="Normln"/>
    <w:link w:val="Nadpis8Char"/>
    <w:uiPriority w:val="9"/>
    <w:semiHidden/>
    <w:unhideWhenUsed/>
    <w:qFormat/>
    <w:rsid w:val="0039205A"/>
    <w:pPr>
      <w:keepNext/>
      <w:keepLines/>
      <w:spacing w:before="200" w:line="360" w:lineRule="auto"/>
      <w:ind w:left="1440" w:hanging="1440"/>
      <w:outlineLvl w:val="7"/>
    </w:pPr>
    <w:rPr>
      <w:rFonts w:asciiTheme="majorHAnsi" w:eastAsiaTheme="majorEastAsia" w:hAnsiTheme="majorHAnsi" w:cstheme="majorBidi"/>
      <w:color w:val="404040" w:themeColor="text1" w:themeTint="BF"/>
      <w:lang w:eastAsia="en-US"/>
    </w:rPr>
  </w:style>
  <w:style w:type="paragraph" w:styleId="Nadpis9">
    <w:name w:val="heading 9"/>
    <w:basedOn w:val="Normln"/>
    <w:next w:val="Normln"/>
    <w:link w:val="Nadpis9Char"/>
    <w:uiPriority w:val="9"/>
    <w:semiHidden/>
    <w:unhideWhenUsed/>
    <w:qFormat/>
    <w:rsid w:val="0039205A"/>
    <w:pPr>
      <w:keepNext/>
      <w:keepLines/>
      <w:spacing w:before="200" w:line="360" w:lineRule="auto"/>
      <w:ind w:left="1584" w:hanging="1584"/>
      <w:outlineLvl w:val="8"/>
    </w:pPr>
    <w:rPr>
      <w:rFonts w:asciiTheme="majorHAnsi" w:eastAsiaTheme="majorEastAsia" w:hAnsiTheme="majorHAnsi" w:cstheme="majorBidi"/>
      <w:i/>
      <w:iCs/>
      <w:color w:val="404040" w:themeColor="text1" w:themeTint="BF"/>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30468"/>
    <w:rPr>
      <w:rFonts w:ascii="Calibri" w:eastAsia="Times New Roman" w:hAnsi="Calibri" w:cs="Arial"/>
      <w:b/>
      <w:bCs/>
      <w:kern w:val="32"/>
      <w:sz w:val="40"/>
      <w:szCs w:val="32"/>
      <w:lang w:eastAsia="cs-CZ"/>
    </w:rPr>
  </w:style>
  <w:style w:type="character" w:customStyle="1" w:styleId="Nadpis2Char">
    <w:name w:val="Nadpis 2 Char"/>
    <w:basedOn w:val="Standardnpsmoodstavce"/>
    <w:link w:val="Nadpis2"/>
    <w:uiPriority w:val="9"/>
    <w:rsid w:val="007C3561"/>
    <w:rPr>
      <w:rFonts w:ascii="Calibri" w:eastAsia="Times New Roman" w:hAnsi="Calibri" w:cs="Arial"/>
      <w:b/>
      <w:bCs/>
      <w:iCs/>
      <w:sz w:val="28"/>
      <w:szCs w:val="28"/>
      <w:lang w:eastAsia="cs-CZ"/>
    </w:rPr>
  </w:style>
  <w:style w:type="character" w:customStyle="1" w:styleId="Nadpis3Char">
    <w:name w:val="Nadpis 3 Char"/>
    <w:basedOn w:val="Standardnpsmoodstavce"/>
    <w:link w:val="Nadpis3"/>
    <w:uiPriority w:val="9"/>
    <w:rsid w:val="007C3561"/>
    <w:rPr>
      <w:rFonts w:ascii="Calibri" w:eastAsia="Times New Roman" w:hAnsi="Calibri" w:cs="Arial"/>
      <w:b/>
      <w:bCs/>
      <w:sz w:val="20"/>
      <w:szCs w:val="26"/>
      <w:lang w:eastAsia="cs-CZ"/>
    </w:rPr>
  </w:style>
  <w:style w:type="paragraph" w:styleId="Titulek">
    <w:name w:val="caption"/>
    <w:basedOn w:val="Normln"/>
    <w:next w:val="Normln"/>
    <w:uiPriority w:val="35"/>
    <w:unhideWhenUsed/>
    <w:qFormat/>
    <w:rsid w:val="007C3561"/>
    <w:pPr>
      <w:spacing w:after="200"/>
    </w:pPr>
    <w:rPr>
      <w:b/>
      <w:bCs/>
      <w:color w:val="4F81BD" w:themeColor="accent1"/>
      <w:sz w:val="18"/>
      <w:szCs w:val="18"/>
    </w:rPr>
  </w:style>
  <w:style w:type="character" w:customStyle="1" w:styleId="Nadpis5Char">
    <w:name w:val="Nadpis 5 Char"/>
    <w:basedOn w:val="Standardnpsmoodstavce"/>
    <w:link w:val="Nadpis5"/>
    <w:uiPriority w:val="9"/>
    <w:rsid w:val="0039205A"/>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39205A"/>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39205A"/>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39205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39205A"/>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semiHidden/>
    <w:unhideWhenUsed/>
    <w:rsid w:val="0039205A"/>
    <w:pPr>
      <w:spacing w:after="0"/>
    </w:pPr>
    <w:rPr>
      <w:rFonts w:ascii="Times New Roman" w:eastAsiaTheme="minorHAnsi" w:hAnsi="Times New Roman" w:cstheme="minorBidi"/>
      <w:lang w:eastAsia="en-US"/>
    </w:rPr>
  </w:style>
  <w:style w:type="character" w:customStyle="1" w:styleId="TextpoznpodarouChar">
    <w:name w:val="Text pozn. pod čarou Char"/>
    <w:basedOn w:val="Standardnpsmoodstavce"/>
    <w:link w:val="Textpoznpodarou"/>
    <w:semiHidden/>
    <w:rsid w:val="0039205A"/>
    <w:rPr>
      <w:rFonts w:ascii="Times New Roman" w:hAnsi="Times New Roman"/>
      <w:sz w:val="20"/>
      <w:szCs w:val="20"/>
    </w:rPr>
  </w:style>
  <w:style w:type="character" w:styleId="Znakapoznpodarou">
    <w:name w:val="footnote reference"/>
    <w:basedOn w:val="Standardnpsmoodstavce"/>
    <w:semiHidden/>
    <w:unhideWhenUsed/>
    <w:rsid w:val="0039205A"/>
    <w:rPr>
      <w:vertAlign w:val="superscript"/>
    </w:rPr>
  </w:style>
  <w:style w:type="paragraph" w:customStyle="1" w:styleId="Nadpismal">
    <w:name w:val="Nadpis malý"/>
    <w:next w:val="Normln"/>
    <w:qFormat/>
    <w:rsid w:val="000E057C"/>
    <w:pPr>
      <w:keepNext/>
      <w:keepLines/>
      <w:spacing w:before="360" w:after="60" w:line="240" w:lineRule="auto"/>
      <w:jc w:val="both"/>
    </w:pPr>
    <w:rPr>
      <w:rFonts w:ascii="Calibri" w:eastAsia="Times New Roman" w:hAnsi="Calibri" w:cs="Times New Roman"/>
      <w:b/>
      <w:sz w:val="24"/>
      <w:szCs w:val="24"/>
      <w:lang w:eastAsia="cs-CZ"/>
    </w:rPr>
  </w:style>
  <w:style w:type="paragraph" w:styleId="Odstavecseseznamem">
    <w:name w:val="List Paragraph"/>
    <w:basedOn w:val="Normln"/>
    <w:uiPriority w:val="34"/>
    <w:qFormat/>
    <w:rsid w:val="00E1207A"/>
    <w:pPr>
      <w:ind w:left="720"/>
      <w:contextualSpacing/>
    </w:pPr>
  </w:style>
  <w:style w:type="paragraph" w:styleId="Zhlav">
    <w:name w:val="header"/>
    <w:basedOn w:val="Normln"/>
    <w:link w:val="ZhlavChar"/>
    <w:uiPriority w:val="99"/>
    <w:unhideWhenUsed/>
    <w:rsid w:val="007D49F3"/>
    <w:pPr>
      <w:tabs>
        <w:tab w:val="center" w:pos="4536"/>
        <w:tab w:val="right" w:pos="9072"/>
      </w:tabs>
      <w:spacing w:after="0"/>
    </w:pPr>
  </w:style>
  <w:style w:type="character" w:customStyle="1" w:styleId="ZhlavChar">
    <w:name w:val="Záhlaví Char"/>
    <w:basedOn w:val="Standardnpsmoodstavce"/>
    <w:link w:val="Zhlav"/>
    <w:uiPriority w:val="99"/>
    <w:rsid w:val="007D49F3"/>
    <w:rPr>
      <w:rFonts w:ascii="Calibri" w:eastAsia="Times New Roman" w:hAnsi="Calibri" w:cs="Times New Roman"/>
      <w:sz w:val="20"/>
      <w:szCs w:val="20"/>
      <w:lang w:eastAsia="cs-CZ"/>
    </w:rPr>
  </w:style>
  <w:style w:type="paragraph" w:styleId="Zpat">
    <w:name w:val="footer"/>
    <w:basedOn w:val="Normln"/>
    <w:link w:val="ZpatChar"/>
    <w:uiPriority w:val="99"/>
    <w:unhideWhenUsed/>
    <w:rsid w:val="007D49F3"/>
    <w:pPr>
      <w:tabs>
        <w:tab w:val="center" w:pos="4536"/>
        <w:tab w:val="right" w:pos="9072"/>
      </w:tabs>
      <w:spacing w:after="0"/>
    </w:pPr>
  </w:style>
  <w:style w:type="character" w:customStyle="1" w:styleId="ZpatChar">
    <w:name w:val="Zápatí Char"/>
    <w:basedOn w:val="Standardnpsmoodstavce"/>
    <w:link w:val="Zpat"/>
    <w:uiPriority w:val="99"/>
    <w:rsid w:val="007D49F3"/>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CF78C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78C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12351">
      <w:bodyDiv w:val="1"/>
      <w:marLeft w:val="0"/>
      <w:marRight w:val="0"/>
      <w:marTop w:val="0"/>
      <w:marBottom w:val="0"/>
      <w:divBdr>
        <w:top w:val="none" w:sz="0" w:space="0" w:color="auto"/>
        <w:left w:val="none" w:sz="0" w:space="0" w:color="auto"/>
        <w:bottom w:val="none" w:sz="0" w:space="0" w:color="auto"/>
        <w:right w:val="none" w:sz="0" w:space="0" w:color="auto"/>
      </w:divBdr>
    </w:div>
    <w:div w:id="461583407">
      <w:bodyDiv w:val="1"/>
      <w:marLeft w:val="0"/>
      <w:marRight w:val="0"/>
      <w:marTop w:val="0"/>
      <w:marBottom w:val="0"/>
      <w:divBdr>
        <w:top w:val="none" w:sz="0" w:space="0" w:color="auto"/>
        <w:left w:val="none" w:sz="0" w:space="0" w:color="auto"/>
        <w:bottom w:val="none" w:sz="0" w:space="0" w:color="auto"/>
        <w:right w:val="none" w:sz="0" w:space="0" w:color="auto"/>
      </w:divBdr>
    </w:div>
    <w:div w:id="705524863">
      <w:bodyDiv w:val="1"/>
      <w:marLeft w:val="0"/>
      <w:marRight w:val="0"/>
      <w:marTop w:val="0"/>
      <w:marBottom w:val="0"/>
      <w:divBdr>
        <w:top w:val="none" w:sz="0" w:space="0" w:color="auto"/>
        <w:left w:val="none" w:sz="0" w:space="0" w:color="auto"/>
        <w:bottom w:val="none" w:sz="0" w:space="0" w:color="auto"/>
        <w:right w:val="none" w:sz="0" w:space="0" w:color="auto"/>
      </w:divBdr>
    </w:div>
    <w:div w:id="810515135">
      <w:bodyDiv w:val="1"/>
      <w:marLeft w:val="0"/>
      <w:marRight w:val="0"/>
      <w:marTop w:val="0"/>
      <w:marBottom w:val="0"/>
      <w:divBdr>
        <w:top w:val="none" w:sz="0" w:space="0" w:color="auto"/>
        <w:left w:val="none" w:sz="0" w:space="0" w:color="auto"/>
        <w:bottom w:val="none" w:sz="0" w:space="0" w:color="auto"/>
        <w:right w:val="none" w:sz="0" w:space="0" w:color="auto"/>
      </w:divBdr>
    </w:div>
    <w:div w:id="900477940">
      <w:bodyDiv w:val="1"/>
      <w:marLeft w:val="0"/>
      <w:marRight w:val="0"/>
      <w:marTop w:val="0"/>
      <w:marBottom w:val="0"/>
      <w:divBdr>
        <w:top w:val="none" w:sz="0" w:space="0" w:color="auto"/>
        <w:left w:val="none" w:sz="0" w:space="0" w:color="auto"/>
        <w:bottom w:val="none" w:sz="0" w:space="0" w:color="auto"/>
        <w:right w:val="none" w:sz="0" w:space="0" w:color="auto"/>
      </w:divBdr>
    </w:div>
    <w:div w:id="2021662500">
      <w:bodyDiv w:val="1"/>
      <w:marLeft w:val="0"/>
      <w:marRight w:val="0"/>
      <w:marTop w:val="0"/>
      <w:marBottom w:val="0"/>
      <w:divBdr>
        <w:top w:val="none" w:sz="0" w:space="0" w:color="auto"/>
        <w:left w:val="none" w:sz="0" w:space="0" w:color="auto"/>
        <w:bottom w:val="none" w:sz="0" w:space="0" w:color="auto"/>
        <w:right w:val="none" w:sz="0" w:space="0" w:color="auto"/>
      </w:divBdr>
    </w:div>
    <w:div w:id="2052416251">
      <w:bodyDiv w:val="1"/>
      <w:marLeft w:val="0"/>
      <w:marRight w:val="0"/>
      <w:marTop w:val="0"/>
      <w:marBottom w:val="0"/>
      <w:divBdr>
        <w:top w:val="none" w:sz="0" w:space="0" w:color="auto"/>
        <w:left w:val="none" w:sz="0" w:space="0" w:color="auto"/>
        <w:bottom w:val="none" w:sz="0" w:space="0" w:color="auto"/>
        <w:right w:val="none" w:sz="0" w:space="0" w:color="auto"/>
      </w:divBdr>
    </w:div>
    <w:div w:id="206976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8D350-EABF-430E-83AB-FA3BAC9F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6</Pages>
  <Words>1886</Words>
  <Characters>11131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Šeráková Nikola Ing.</dc:creator>
  <cp:lastModifiedBy>Šeráková Nikola Ing.</cp:lastModifiedBy>
  <cp:revision>11</cp:revision>
  <cp:lastPrinted>2019-09-05T07:33:00Z</cp:lastPrinted>
  <dcterms:created xsi:type="dcterms:W3CDTF">2019-08-21T13:01:00Z</dcterms:created>
  <dcterms:modified xsi:type="dcterms:W3CDTF">2019-09-19T13:56:00Z</dcterms:modified>
</cp:coreProperties>
</file>