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F4723E" w:rsidRPr="00F4723E">
        <w:rPr>
          <w:b/>
          <w:sz w:val="24"/>
          <w:szCs w:val="24"/>
        </w:rPr>
        <w:t>vládnímu návrhu</w:t>
      </w:r>
      <w:r w:rsidR="00F4723E" w:rsidRPr="00F4723E">
        <w:rPr>
          <w:b/>
          <w:sz w:val="24"/>
          <w:szCs w:val="24"/>
          <w:shd w:val="clear" w:color="auto" w:fill="FFFFFF"/>
        </w:rPr>
        <w:t xml:space="preserve"> zákona </w:t>
      </w:r>
      <w:r w:rsidR="00F4723E" w:rsidRPr="00F4723E">
        <w:rPr>
          <w:b/>
          <w:sz w:val="24"/>
          <w:szCs w:val="24"/>
        </w:rPr>
        <w:t>o výběru osob do řídících a dozorčích orgánů právnických osob s majetkovou účastí státu (nominační zákon</w:t>
      </w:r>
      <w:r w:rsidR="00F4723E">
        <w:rPr>
          <w:b/>
          <w:sz w:val="24"/>
          <w:szCs w:val="24"/>
        </w:rPr>
        <w:t>)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F4723E">
        <w:rPr>
          <w:b/>
          <w:bCs/>
          <w:sz w:val="24"/>
        </w:rPr>
        <w:t>220)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</w:t>
      </w:r>
      <w:r w:rsidR="00F4723E">
        <w:t xml:space="preserve">hospodářského </w:t>
      </w:r>
      <w:r>
        <w:t xml:space="preserve">výboru č. </w:t>
      </w:r>
      <w:r w:rsidR="00F4723E">
        <w:t>159</w:t>
      </w:r>
      <w:r>
        <w:t xml:space="preserve"> z</w:t>
      </w:r>
      <w:r w:rsidR="00FA6809">
        <w:t> </w:t>
      </w:r>
      <w:r w:rsidR="00F4723E">
        <w:t>25</w:t>
      </w:r>
      <w:r>
        <w:t>.</w:t>
      </w:r>
      <w:r w:rsidR="00F4723E">
        <w:t> </w:t>
      </w:r>
      <w:r w:rsidR="00A63076">
        <w:t xml:space="preserve">schůze konané dne </w:t>
      </w:r>
      <w:r w:rsidR="00F4723E">
        <w:t>20. března 2019</w:t>
      </w:r>
      <w:r>
        <w:t xml:space="preserve"> (tisk </w:t>
      </w:r>
      <w:r w:rsidR="00F4723E">
        <w:t>220</w:t>
      </w:r>
      <w:r>
        <w:t>/</w:t>
      </w:r>
      <w:r w:rsidR="00F4723E">
        <w:t>2</w:t>
      </w:r>
      <w:r>
        <w:t>)</w:t>
      </w:r>
    </w:p>
    <w:p w:rsidR="00F4723E" w:rsidRPr="00206B85" w:rsidRDefault="00F4723E" w:rsidP="00F4723E">
      <w:pPr>
        <w:pStyle w:val="Odstavecseseznamem"/>
        <w:numPr>
          <w:ilvl w:val="0"/>
          <w:numId w:val="3"/>
        </w:numPr>
        <w:spacing w:before="240" w:after="120" w:line="240" w:lineRule="auto"/>
        <w:ind w:left="721" w:hanging="437"/>
        <w:contextualSpacing w:val="0"/>
        <w:rPr>
          <w:rFonts w:ascii="Times New Roman" w:hAnsi="Times New Roman"/>
          <w:sz w:val="24"/>
          <w:szCs w:val="24"/>
        </w:rPr>
      </w:pPr>
      <w:r w:rsidRPr="00206B85">
        <w:rPr>
          <w:rFonts w:ascii="Times New Roman" w:hAnsi="Times New Roman"/>
          <w:sz w:val="24"/>
          <w:szCs w:val="24"/>
        </w:rPr>
        <w:t xml:space="preserve">V části třetí § 11 odst. 2 písm. a) se číslo </w:t>
      </w:r>
      <w:r w:rsidR="00F82799">
        <w:rPr>
          <w:rFonts w:ascii="Times New Roman" w:hAnsi="Times New Roman"/>
          <w:sz w:val="24"/>
          <w:szCs w:val="24"/>
        </w:rPr>
        <w:t>„</w:t>
      </w:r>
      <w:r w:rsidRPr="00206B85">
        <w:rPr>
          <w:rFonts w:ascii="Times New Roman" w:hAnsi="Times New Roman"/>
          <w:sz w:val="24"/>
          <w:szCs w:val="24"/>
        </w:rPr>
        <w:t>28</w:t>
      </w:r>
      <w:r w:rsidR="00F82799">
        <w:rPr>
          <w:rFonts w:ascii="Times New Roman" w:hAnsi="Times New Roman"/>
          <w:sz w:val="24"/>
          <w:szCs w:val="24"/>
        </w:rPr>
        <w:t>“</w:t>
      </w:r>
      <w:r w:rsidRPr="00206B85">
        <w:rPr>
          <w:rFonts w:ascii="Times New Roman" w:hAnsi="Times New Roman"/>
          <w:sz w:val="24"/>
          <w:szCs w:val="24"/>
        </w:rPr>
        <w:t xml:space="preserve"> nahrazuje číslem </w:t>
      </w:r>
      <w:r w:rsidR="00F82799">
        <w:rPr>
          <w:rFonts w:ascii="Times New Roman" w:hAnsi="Times New Roman"/>
          <w:sz w:val="24"/>
          <w:szCs w:val="24"/>
        </w:rPr>
        <w:t>„</w:t>
      </w:r>
      <w:r w:rsidRPr="00206B85">
        <w:rPr>
          <w:rFonts w:ascii="Times New Roman" w:hAnsi="Times New Roman"/>
          <w:sz w:val="24"/>
          <w:szCs w:val="24"/>
        </w:rPr>
        <w:t>25</w:t>
      </w:r>
      <w:r w:rsidR="00F82799">
        <w:rPr>
          <w:rFonts w:ascii="Times New Roman" w:hAnsi="Times New Roman"/>
          <w:sz w:val="24"/>
          <w:szCs w:val="24"/>
        </w:rPr>
        <w:t>“</w:t>
      </w:r>
      <w:r w:rsidRPr="00206B85">
        <w:rPr>
          <w:rFonts w:ascii="Times New Roman" w:hAnsi="Times New Roman"/>
          <w:sz w:val="24"/>
          <w:szCs w:val="24"/>
        </w:rPr>
        <w:t>.</w:t>
      </w:r>
    </w:p>
    <w:p w:rsidR="00F4723E" w:rsidRPr="000F55B1" w:rsidRDefault="00F4723E" w:rsidP="00F4723E">
      <w:pPr>
        <w:pStyle w:val="Odstavecseseznamem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721" w:hanging="43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F55B1">
        <w:rPr>
          <w:rFonts w:ascii="Times New Roman" w:hAnsi="Times New Roman"/>
          <w:sz w:val="24"/>
          <w:szCs w:val="24"/>
        </w:rPr>
        <w:t>V části čtvrté § 20 zní:</w:t>
      </w:r>
    </w:p>
    <w:p w:rsidR="00F4723E" w:rsidRPr="001B234A" w:rsidRDefault="00F4723E" w:rsidP="00F4723E">
      <w:pPr>
        <w:ind w:left="721" w:hanging="437"/>
        <w:jc w:val="center"/>
      </w:pPr>
      <w:r w:rsidRPr="001B234A">
        <w:t>„§ 2</w:t>
      </w:r>
      <w:r w:rsidR="007C2384">
        <w:t>0</w:t>
      </w:r>
    </w:p>
    <w:p w:rsidR="00F4723E" w:rsidRPr="001B234A" w:rsidRDefault="00F4723E" w:rsidP="00F4723E">
      <w:pPr>
        <w:spacing w:after="120"/>
        <w:ind w:left="721" w:hanging="437"/>
        <w:jc w:val="center"/>
        <w:rPr>
          <w:b/>
        </w:rPr>
      </w:pPr>
      <w:r w:rsidRPr="001B234A">
        <w:rPr>
          <w:b/>
        </w:rPr>
        <w:t>Účinnost</w:t>
      </w:r>
    </w:p>
    <w:p w:rsidR="00F4723E" w:rsidRPr="003561DC" w:rsidRDefault="00F4723E" w:rsidP="00F4723E">
      <w:pPr>
        <w:tabs>
          <w:tab w:val="num" w:pos="1440"/>
        </w:tabs>
        <w:ind w:left="720" w:hanging="437"/>
        <w:jc w:val="both"/>
        <w:rPr>
          <w:rFonts w:eastAsia="Times New Roman"/>
          <w:spacing w:val="-4"/>
          <w:lang w:eastAsia="cs-CZ"/>
        </w:rPr>
      </w:pPr>
      <w:r w:rsidRPr="003561DC">
        <w:tab/>
        <w:t>Tento zákon nabývá účinnosti patnáctým dnem po jeho vyhlášení.“.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FA6809">
        <w:rPr>
          <w:b/>
        </w:rPr>
        <w:t>11. září 2019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</w:t>
      </w:r>
      <w:r w:rsidR="00F82799">
        <w:t>kyně Jana Pastuchová</w:t>
      </w:r>
    </w:p>
    <w:p w:rsidR="000C6893" w:rsidRPr="00017B12" w:rsidRDefault="00F82799">
      <w:pPr>
        <w:rPr>
          <w:i/>
        </w:rPr>
      </w:pPr>
      <w:r w:rsidRPr="00017B12">
        <w:rPr>
          <w:i/>
        </w:rPr>
        <w:t xml:space="preserve">SD </w:t>
      </w:r>
      <w:r w:rsidR="00017B12" w:rsidRPr="00017B12">
        <w:rPr>
          <w:i/>
        </w:rPr>
        <w:t>2726</w:t>
      </w:r>
    </w:p>
    <w:p w:rsidR="000C6893" w:rsidRDefault="000C6893"/>
    <w:p w:rsidR="00017B12" w:rsidRDefault="00017B12" w:rsidP="00017B12">
      <w:pPr>
        <w:pStyle w:val="Zkladntext"/>
        <w:spacing w:after="120"/>
        <w:jc w:val="both"/>
      </w:pPr>
      <w:r w:rsidRPr="00E01539">
        <w:t xml:space="preserve">V § 5 odst. 1 se </w:t>
      </w:r>
      <w:r w:rsidR="00BA6651">
        <w:t xml:space="preserve">na konci textu doplňuje </w:t>
      </w:r>
      <w:r>
        <w:t xml:space="preserve">věta: </w:t>
      </w:r>
    </w:p>
    <w:p w:rsidR="00017B12" w:rsidRPr="00BA6651" w:rsidRDefault="00017B12" w:rsidP="00017B12">
      <w:pPr>
        <w:pStyle w:val="Zkladntext"/>
        <w:spacing w:after="120"/>
        <w:jc w:val="both"/>
        <w:rPr>
          <w:rStyle w:val="Siln"/>
          <w:bCs w:val="0"/>
        </w:rPr>
      </w:pPr>
      <w:r>
        <w:tab/>
      </w:r>
      <w:r w:rsidRPr="00E01539">
        <w:t xml:space="preserve">„(1) </w:t>
      </w:r>
      <w:r w:rsidRPr="00BA6651">
        <w:t>Přihlíží přitom k vyrovnanému zastoupení žen a mužů mezi členy Výboru“</w:t>
      </w:r>
    </w:p>
    <w:p w:rsidR="00017B12" w:rsidRPr="00CF17D4" w:rsidRDefault="00017B12" w:rsidP="00017B12">
      <w:pPr>
        <w:pStyle w:val="Zkladntext"/>
        <w:spacing w:after="120"/>
        <w:jc w:val="both"/>
      </w:pPr>
    </w:p>
    <w:p w:rsidR="00017B12" w:rsidRDefault="00017B12" w:rsidP="00017B12">
      <w:pPr>
        <w:pStyle w:val="Zkladntext"/>
        <w:spacing w:after="120"/>
        <w:jc w:val="both"/>
      </w:pPr>
      <w:r>
        <w:rPr>
          <w:rFonts w:eastAsia="Calibri"/>
          <w:lang w:eastAsia="en-US"/>
        </w:rPr>
        <w:t>V § 12</w:t>
      </w:r>
      <w:r w:rsidRPr="00E01539">
        <w:rPr>
          <w:rFonts w:eastAsia="Calibri"/>
          <w:lang w:eastAsia="en-US"/>
        </w:rPr>
        <w:t xml:space="preserve"> </w:t>
      </w:r>
      <w:r w:rsidRPr="00E01539">
        <w:t xml:space="preserve">odst. 1 </w:t>
      </w:r>
      <w:r w:rsidR="00BA6651" w:rsidRPr="00E01539">
        <w:t xml:space="preserve">se </w:t>
      </w:r>
      <w:r w:rsidR="00BA6651">
        <w:t>na konci textu doplňuje věta</w:t>
      </w:r>
      <w:r>
        <w:t xml:space="preserve">: </w:t>
      </w:r>
    </w:p>
    <w:p w:rsidR="00017B12" w:rsidRPr="00BA6651" w:rsidRDefault="00017B12" w:rsidP="00017B12">
      <w:pPr>
        <w:pStyle w:val="Zkladntext"/>
        <w:spacing w:after="120"/>
        <w:jc w:val="both"/>
      </w:pPr>
      <w:r>
        <w:tab/>
        <w:t xml:space="preserve">„(1) </w:t>
      </w:r>
      <w:r w:rsidRPr="00BA6651">
        <w:t xml:space="preserve">Přihlíží přitom k vyrovnanému zastoupení žen a mužů mezi členy výběrové komise“. </w:t>
      </w:r>
    </w:p>
    <w:p w:rsidR="000C6893" w:rsidRPr="00BA6651" w:rsidRDefault="000C6893"/>
    <w:p w:rsidR="000C6893" w:rsidRDefault="000C6893"/>
    <w:p w:rsidR="000C6893" w:rsidRDefault="00017B12" w:rsidP="00017B12">
      <w:pPr>
        <w:pStyle w:val="PNposlanec"/>
      </w:pPr>
      <w:r>
        <w:t>Poslanec Radek Vondráček</w:t>
      </w:r>
    </w:p>
    <w:p w:rsidR="000C6893" w:rsidRPr="00017B12" w:rsidRDefault="00017B12">
      <w:pPr>
        <w:rPr>
          <w:i/>
        </w:rPr>
      </w:pPr>
      <w:r w:rsidRPr="00017B12">
        <w:rPr>
          <w:i/>
        </w:rPr>
        <w:t>SD 2992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eastAsia="Times New Roman" w:cs="Times New Roman"/>
          <w:color w:val="000000"/>
        </w:rPr>
      </w:pPr>
    </w:p>
    <w:p w:rsidR="00017B12" w:rsidRPr="00E8049F" w:rsidRDefault="00017B12" w:rsidP="00017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714" w:hanging="357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>V § 11 odst. 2 písm. a) se číslo „28“ nahrazuje číslem „25“.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ind w:left="714" w:hanging="720"/>
        <w:jc w:val="both"/>
        <w:rPr>
          <w:rFonts w:eastAsia="Times New Roman" w:cs="Times New Roman"/>
          <w:color w:val="000000"/>
        </w:rPr>
      </w:pPr>
    </w:p>
    <w:p w:rsidR="00017B12" w:rsidRPr="00E8049F" w:rsidRDefault="00017B12" w:rsidP="00017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714" w:hanging="357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>V § 13 odst. 3 se slova „a profesní životopis“ zrušují.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ind w:left="714" w:hanging="720"/>
        <w:jc w:val="both"/>
        <w:rPr>
          <w:rFonts w:eastAsia="Times New Roman" w:cs="Times New Roman"/>
          <w:color w:val="000000"/>
        </w:rPr>
      </w:pPr>
    </w:p>
    <w:p w:rsidR="00017B12" w:rsidRDefault="00017B12" w:rsidP="00017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240"/>
        <w:ind w:left="714" w:hanging="357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V § 13 odst. 5 se text „§ 14 odst. 1“ nahrazuje textem „§</w:t>
      </w:r>
      <w:r w:rsidR="00BA6651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15 odst. 1“.</w:t>
      </w:r>
    </w:p>
    <w:p w:rsidR="00BA6651" w:rsidRDefault="00BA6651">
      <w:pPr>
        <w:widowControl/>
        <w:suppressAutoHyphens w:val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br w:type="page"/>
      </w:r>
    </w:p>
    <w:p w:rsidR="00017B12" w:rsidRPr="00E8049F" w:rsidRDefault="00017B12" w:rsidP="00017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240"/>
        <w:ind w:left="714" w:hanging="357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lastRenderedPageBreak/>
        <w:t>Za § 13 se vkládá nový § 14, který zní: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>„§ 14</w:t>
      </w:r>
    </w:p>
    <w:p w:rsidR="00017B12" w:rsidRPr="00E8049F" w:rsidRDefault="00017B12" w:rsidP="00017B12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>Výbor posoudí, jestli nominovaná osoba</w:t>
      </w:r>
    </w:p>
    <w:p w:rsidR="00017B12" w:rsidRPr="00E8049F" w:rsidRDefault="00017B12" w:rsidP="00017B12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 xml:space="preserve">splňuje podmínky </w:t>
      </w:r>
      <w:r>
        <w:rPr>
          <w:rFonts w:eastAsia="Times New Roman" w:cs="Times New Roman"/>
          <w:color w:val="000000"/>
        </w:rPr>
        <w:t>po</w:t>
      </w:r>
      <w:r w:rsidRPr="00E8049F">
        <w:rPr>
          <w:rFonts w:eastAsia="Times New Roman" w:cs="Times New Roman"/>
          <w:color w:val="000000"/>
        </w:rPr>
        <w:t>dle § 11 odst</w:t>
      </w:r>
      <w:r>
        <w:rPr>
          <w:rFonts w:eastAsia="Times New Roman" w:cs="Times New Roman"/>
          <w:color w:val="000000"/>
        </w:rPr>
        <w:t>.</w:t>
      </w:r>
      <w:r w:rsidRPr="00E8049F">
        <w:rPr>
          <w:rFonts w:eastAsia="Times New Roman" w:cs="Times New Roman"/>
          <w:color w:val="000000"/>
        </w:rPr>
        <w:t xml:space="preserve"> 2 písm</w:t>
      </w:r>
      <w:r>
        <w:rPr>
          <w:rFonts w:eastAsia="Times New Roman" w:cs="Times New Roman"/>
          <w:color w:val="000000"/>
        </w:rPr>
        <w:t>.</w:t>
      </w:r>
      <w:r w:rsidRPr="00E8049F">
        <w:rPr>
          <w:rFonts w:eastAsia="Times New Roman" w:cs="Times New Roman"/>
          <w:color w:val="000000"/>
        </w:rPr>
        <w:t xml:space="preserve"> a) až d),</w:t>
      </w:r>
    </w:p>
    <w:p w:rsidR="00017B12" w:rsidRPr="00E8049F" w:rsidRDefault="00017B12" w:rsidP="00017B12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>je způsobilá seznamovat se s utajovanými informacemi v souladu se zákonem upravujícím ochranu utajovaných informací, je-li pro výkon funkce požadována,</w:t>
      </w:r>
    </w:p>
    <w:p w:rsidR="00017B12" w:rsidRPr="00E8049F" w:rsidRDefault="00017B12" w:rsidP="00017B12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/>
        <w:jc w:val="both"/>
        <w:rPr>
          <w:rFonts w:eastAsia="Times New Roman" w:cs="Times New Roman"/>
        </w:rPr>
      </w:pPr>
      <w:r w:rsidRPr="00E8049F">
        <w:rPr>
          <w:rFonts w:eastAsia="Times New Roman" w:cs="Times New Roman"/>
        </w:rPr>
        <w:t xml:space="preserve">byla uchazečem výběrového řízení pro výkon funkce v řídícím orgánu právnické osoby s majetkovou účastí státu a její přihláška nebyla vyloučena </w:t>
      </w:r>
      <w:r>
        <w:rPr>
          <w:rFonts w:eastAsia="Times New Roman" w:cs="Times New Roman"/>
        </w:rPr>
        <w:t>po</w:t>
      </w:r>
      <w:r w:rsidRPr="00E8049F">
        <w:rPr>
          <w:rFonts w:eastAsia="Times New Roman" w:cs="Times New Roman"/>
        </w:rPr>
        <w:t xml:space="preserve">dle § 12 odst. 2; to neplatí, nebylo-li konáno výběrové řízení z důvodu naléhavosti </w:t>
      </w:r>
      <w:r>
        <w:rPr>
          <w:rFonts w:eastAsia="Times New Roman" w:cs="Times New Roman"/>
        </w:rPr>
        <w:t>po</w:t>
      </w:r>
      <w:r w:rsidRPr="00E8049F">
        <w:rPr>
          <w:rFonts w:eastAsia="Times New Roman" w:cs="Times New Roman"/>
        </w:rPr>
        <w:t>dle § 10 odst. 4, a</w:t>
      </w:r>
    </w:p>
    <w:p w:rsidR="00017B12" w:rsidRPr="00E8049F" w:rsidRDefault="00017B12" w:rsidP="00017B12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 xml:space="preserve">splňuje ministerstvem stanovené podmínky pro výkon funkce v podobě příslušného stupně vzdělání a odpovídající praxe v požadovaném oboru </w:t>
      </w:r>
      <w:r>
        <w:rPr>
          <w:rFonts w:eastAsia="Times New Roman" w:cs="Times New Roman"/>
          <w:color w:val="000000"/>
        </w:rPr>
        <w:t>po</w:t>
      </w:r>
      <w:r w:rsidRPr="00E8049F">
        <w:rPr>
          <w:rFonts w:eastAsia="Times New Roman" w:cs="Times New Roman"/>
          <w:color w:val="000000"/>
        </w:rPr>
        <w:t>dle § 11 odst. 1, bylo-li konáno výběrové řízení.</w:t>
      </w:r>
    </w:p>
    <w:p w:rsidR="00017B12" w:rsidRPr="00E8049F" w:rsidRDefault="00017B12" w:rsidP="00017B12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>Nominovaná osoba dále nesmí ke dni jmenování nebo navržení do funkce</w:t>
      </w:r>
    </w:p>
    <w:p w:rsidR="00017B12" w:rsidRPr="00E8049F" w:rsidRDefault="00017B12" w:rsidP="00017B12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>podnikat nebo vykonávat jinou výdělečnou činnost v předmětu činnosti právnické osoby s majetkovou účastí státu, do jejíž funkce je nominována, a to ani ve prospěch jiných osob, ani zprostředkovávat obchody podniku pro jiného,</w:t>
      </w:r>
    </w:p>
    <w:p w:rsidR="00017B12" w:rsidRPr="00E8049F" w:rsidRDefault="00017B12" w:rsidP="00017B12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>být členem statutárního nebo kontrolního orgánu právnické osoby se stejným nebo obdobným předmětem podnikání s právnickou osobou s majetkovou účastí státu, do jejíž funkce je nominována,</w:t>
      </w:r>
    </w:p>
    <w:p w:rsidR="00017B12" w:rsidRPr="00E8049F" w:rsidRDefault="00017B12" w:rsidP="00017B12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>účastnit se na podnikání obchodní korporace se stejným nebo obdobným předmětem podnikání s právnickou osobou s majetkovou účastí státu, do jejíž funkce je nominována, nebo vykonávat ve prospěch této právnické osoby jinou výdělečnou činnost.“</w:t>
      </w:r>
    </w:p>
    <w:p w:rsidR="00017B12" w:rsidRPr="00E8049F" w:rsidRDefault="00017B12" w:rsidP="00017B12">
      <w:pPr>
        <w:spacing w:after="240"/>
        <w:ind w:firstLine="357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 xml:space="preserve">Následující paragrafy </w:t>
      </w:r>
      <w:r w:rsidRPr="00E8049F">
        <w:rPr>
          <w:rFonts w:eastAsia="Times New Roman" w:cs="Times New Roman"/>
        </w:rPr>
        <w:t>se přečíslují</w:t>
      </w:r>
      <w:r w:rsidRPr="00E8049F">
        <w:rPr>
          <w:rFonts w:eastAsia="Times New Roman" w:cs="Times New Roman"/>
          <w:color w:val="000000"/>
        </w:rPr>
        <w:t>.</w:t>
      </w:r>
    </w:p>
    <w:p w:rsidR="00017B12" w:rsidRPr="00E8049F" w:rsidRDefault="00017B12" w:rsidP="00017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240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</w:rPr>
        <w:t>Původní § 14, nově označený jako §</w:t>
      </w:r>
      <w:r w:rsidRPr="00E8049F">
        <w:rPr>
          <w:rFonts w:eastAsia="Times New Roman" w:cs="Times New Roman"/>
          <w:color w:val="000000"/>
        </w:rPr>
        <w:t xml:space="preserve"> 15</w:t>
      </w:r>
      <w:r>
        <w:rPr>
          <w:rFonts w:eastAsia="Times New Roman" w:cs="Times New Roman"/>
          <w:color w:val="000000"/>
        </w:rPr>
        <w:t>,</w:t>
      </w:r>
      <w:r w:rsidRPr="00E8049F">
        <w:rPr>
          <w:rFonts w:eastAsia="Times New Roman" w:cs="Times New Roman"/>
          <w:color w:val="000000"/>
        </w:rPr>
        <w:t xml:space="preserve"> zní:</w:t>
      </w:r>
    </w:p>
    <w:p w:rsidR="00017B12" w:rsidRPr="00E8049F" w:rsidRDefault="00017B12" w:rsidP="00017B1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>„§ 15</w:t>
      </w:r>
    </w:p>
    <w:p w:rsidR="00017B12" w:rsidRPr="00E8049F" w:rsidRDefault="00017B12" w:rsidP="00017B1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rFonts w:eastAsia="Times New Roman" w:cs="Times New Roman"/>
          <w:b/>
          <w:color w:val="000000"/>
        </w:rPr>
      </w:pPr>
      <w:r w:rsidRPr="00E8049F">
        <w:rPr>
          <w:rFonts w:eastAsia="Times New Roman" w:cs="Times New Roman"/>
          <w:b/>
          <w:color w:val="000000"/>
        </w:rPr>
        <w:t>Projednání nominace</w:t>
      </w:r>
    </w:p>
    <w:p w:rsidR="00017B12" w:rsidRPr="00E8049F" w:rsidRDefault="00017B12" w:rsidP="00017B12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uppressAutoHyphens w:val="0"/>
        <w:spacing w:before="120" w:after="120"/>
        <w:jc w:val="both"/>
        <w:rPr>
          <w:rFonts w:cs="Times New Roman"/>
        </w:rPr>
      </w:pPr>
      <w:bookmarkStart w:id="0" w:name="_gjdgxs" w:colFirst="0" w:colLast="0"/>
      <w:bookmarkEnd w:id="0"/>
      <w:r w:rsidRPr="00E8049F">
        <w:rPr>
          <w:rFonts w:eastAsia="Times New Roman" w:cs="Times New Roman"/>
          <w:color w:val="000000"/>
        </w:rPr>
        <w:t xml:space="preserve">Výbor návrh nominace konkrétní osoby projedná </w:t>
      </w:r>
      <w:r>
        <w:rPr>
          <w:rFonts w:eastAsia="Times New Roman" w:cs="Times New Roman"/>
          <w:color w:val="000000"/>
        </w:rPr>
        <w:t>do</w:t>
      </w:r>
      <w:r w:rsidRPr="00E8049F">
        <w:rPr>
          <w:rFonts w:eastAsia="Times New Roman" w:cs="Times New Roman"/>
          <w:color w:val="000000"/>
        </w:rPr>
        <w:t xml:space="preserve"> 10 pracovních dnů ode dne podání tohoto návrhu a </w:t>
      </w:r>
      <w:r>
        <w:rPr>
          <w:rFonts w:eastAsia="Times New Roman" w:cs="Times New Roman"/>
          <w:color w:val="000000"/>
        </w:rPr>
        <w:t>odmítne tento</w:t>
      </w:r>
      <w:r w:rsidRPr="00E8049F">
        <w:rPr>
          <w:rFonts w:eastAsia="Times New Roman" w:cs="Times New Roman"/>
          <w:color w:val="000000"/>
        </w:rPr>
        <w:t xml:space="preserve"> návrh nebo k němu zaujme stanovisko.</w:t>
      </w:r>
    </w:p>
    <w:p w:rsidR="00017B12" w:rsidRPr="00E8049F" w:rsidRDefault="00017B12" w:rsidP="00017B12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uppressAutoHyphens w:val="0"/>
        <w:spacing w:before="120" w:after="12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 xml:space="preserve">Výbor </w:t>
      </w:r>
      <w:r>
        <w:rPr>
          <w:rFonts w:eastAsia="Times New Roman" w:cs="Times New Roman"/>
          <w:color w:val="000000"/>
        </w:rPr>
        <w:t>odmítne návrh</w:t>
      </w:r>
      <w:r w:rsidRPr="00E8049F">
        <w:rPr>
          <w:rFonts w:eastAsia="Times New Roman" w:cs="Times New Roman"/>
          <w:color w:val="000000"/>
        </w:rPr>
        <w:t xml:space="preserve"> nominace osoby, která nesplňuje požadavky </w:t>
      </w:r>
      <w:r>
        <w:rPr>
          <w:rFonts w:eastAsia="Times New Roman" w:cs="Times New Roman"/>
          <w:color w:val="000000"/>
        </w:rPr>
        <w:t>po</w:t>
      </w:r>
      <w:r w:rsidRPr="00E8049F">
        <w:rPr>
          <w:rFonts w:eastAsia="Times New Roman" w:cs="Times New Roman"/>
          <w:color w:val="000000"/>
        </w:rPr>
        <w:t>dle § 14 odst</w:t>
      </w:r>
      <w:r>
        <w:rPr>
          <w:rFonts w:eastAsia="Times New Roman" w:cs="Times New Roman"/>
          <w:color w:val="000000"/>
        </w:rPr>
        <w:t>.</w:t>
      </w:r>
      <w:r w:rsidRPr="00E8049F">
        <w:rPr>
          <w:rFonts w:eastAsia="Times New Roman" w:cs="Times New Roman"/>
          <w:color w:val="000000"/>
        </w:rPr>
        <w:t xml:space="preserve"> 1.</w:t>
      </w:r>
    </w:p>
    <w:p w:rsidR="00017B12" w:rsidRPr="00E8049F" w:rsidRDefault="00017B12" w:rsidP="00017B12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uppressAutoHyphens w:val="0"/>
        <w:spacing w:before="120" w:after="12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 xml:space="preserve">Nebyl-li </w:t>
      </w:r>
      <w:r>
        <w:rPr>
          <w:rFonts w:eastAsia="Times New Roman" w:cs="Times New Roman"/>
          <w:color w:val="000000"/>
        </w:rPr>
        <w:t>návrh nominace odmítnut</w:t>
      </w:r>
      <w:r w:rsidRPr="00E8049F">
        <w:rPr>
          <w:rFonts w:eastAsia="Times New Roman" w:cs="Times New Roman"/>
          <w:color w:val="000000"/>
        </w:rPr>
        <w:t>, Výbor k němu zaujme stanovisko, ve kterém nominaci osoby doporučí nebo nedoporučí.</w:t>
      </w:r>
    </w:p>
    <w:p w:rsidR="00017B12" w:rsidRPr="00E8049F" w:rsidRDefault="00017B12" w:rsidP="00017B12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uppressAutoHyphens w:val="0"/>
        <w:spacing w:before="120" w:after="120"/>
        <w:jc w:val="both"/>
        <w:rPr>
          <w:rFonts w:cs="Times New Roman"/>
        </w:rPr>
      </w:pPr>
      <w:r w:rsidRPr="00BB26F7">
        <w:rPr>
          <w:rFonts w:eastAsia="Times New Roman" w:cs="Times New Roman"/>
          <w:color w:val="000000"/>
        </w:rPr>
        <w:t xml:space="preserve">Při posuzování návrhu nominace konkrétní osoby Výbor přihlíží k podmínkám pro výkon </w:t>
      </w:r>
      <w:r w:rsidRPr="00B51F9C">
        <w:rPr>
          <w:rFonts w:eastAsia="Times New Roman" w:cs="Times New Roman"/>
          <w:color w:val="000000"/>
        </w:rPr>
        <w:t>funkce uvedeným v § 11 odst. 1 nebo stanoveným jiným právním předpisem, k požadavkům obsaženým v zakladatelském právním jednání právnické osoby s majetkovou účastí státu a k odborným a osobnostním předpokladům pro výkon funkce.</w:t>
      </w:r>
      <w:r w:rsidRPr="00E8049F">
        <w:rPr>
          <w:rFonts w:eastAsia="Times New Roman" w:cs="Times New Roman"/>
          <w:color w:val="000000"/>
        </w:rPr>
        <w:t xml:space="preserve"> Za tímto účelem provede s uchazečem </w:t>
      </w:r>
      <w:r w:rsidRPr="00E8049F">
        <w:rPr>
          <w:rFonts w:eastAsia="Times New Roman" w:cs="Times New Roman"/>
          <w:color w:val="000000"/>
        </w:rPr>
        <w:lastRenderedPageBreak/>
        <w:t>pohovor. Výbor si může k posouzení návrhu nominace konkrétní osoby za účelem posouzení odborných předpokladů přizvat třetí nezávislou osobu.</w:t>
      </w:r>
    </w:p>
    <w:p w:rsidR="00017B12" w:rsidRPr="00E8049F" w:rsidRDefault="00017B12" w:rsidP="00017B12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uppressAutoHyphens w:val="0"/>
        <w:spacing w:before="120" w:after="12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 xml:space="preserve">O konání a průběhu pohovoru se pořizuje písemný záznam; písemný záznam obsahuje alespoň </w:t>
      </w:r>
    </w:p>
    <w:p w:rsidR="00017B12" w:rsidRPr="00E8049F" w:rsidRDefault="00017B12" w:rsidP="00017B12">
      <w:pPr>
        <w:widowControl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 xml:space="preserve">datum a místo konání pohovoru, </w:t>
      </w:r>
    </w:p>
    <w:p w:rsidR="00017B12" w:rsidRPr="00E8049F" w:rsidRDefault="00017B12" w:rsidP="00017B12">
      <w:pPr>
        <w:widowControl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 xml:space="preserve">identifikaci nominované osoby, </w:t>
      </w:r>
    </w:p>
    <w:p w:rsidR="00017B12" w:rsidRPr="00E8049F" w:rsidRDefault="00017B12" w:rsidP="00017B12">
      <w:pPr>
        <w:widowControl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>identifikaci právnické osoby s majetkovou účastí státu a označení orgánu, do kterého je osoba nominována,</w:t>
      </w:r>
    </w:p>
    <w:p w:rsidR="00017B12" w:rsidRPr="00E8049F" w:rsidRDefault="00017B12" w:rsidP="00017B12">
      <w:pPr>
        <w:widowControl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 xml:space="preserve">průběh pohovoru a </w:t>
      </w:r>
    </w:p>
    <w:p w:rsidR="00017B12" w:rsidRPr="00E8049F" w:rsidRDefault="00017B12" w:rsidP="00017B12">
      <w:pPr>
        <w:widowControl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cs="Times New Roman"/>
        </w:rPr>
      </w:pPr>
      <w:r w:rsidRPr="00E8049F">
        <w:rPr>
          <w:rFonts w:eastAsia="Times New Roman" w:cs="Times New Roman"/>
          <w:color w:val="000000"/>
        </w:rPr>
        <w:t>zdůvodněné stanovisko Výboru k návrhu nominace.</w:t>
      </w:r>
    </w:p>
    <w:p w:rsidR="00017B12" w:rsidRPr="00591B08" w:rsidRDefault="00017B12" w:rsidP="00017B12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uppressAutoHyphens w:val="0"/>
        <w:spacing w:before="120" w:after="120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>Záznam podle odstavce 5</w:t>
      </w:r>
      <w:r w:rsidRPr="00E8049F">
        <w:rPr>
          <w:rFonts w:eastAsia="Times New Roman" w:cs="Times New Roman"/>
          <w:color w:val="000000"/>
        </w:rPr>
        <w:t xml:space="preserve"> Výbor neprodleně, nejpozději však do 5 pracovních dnů ode dne jednání Výboru, zašle ministerstvu. Výbor záznam podle odstavce </w:t>
      </w:r>
      <w:r>
        <w:rPr>
          <w:rFonts w:eastAsia="Times New Roman" w:cs="Times New Roman"/>
          <w:color w:val="000000"/>
        </w:rPr>
        <w:t>5</w:t>
      </w:r>
      <w:r w:rsidRPr="00E8049F">
        <w:rPr>
          <w:rFonts w:eastAsia="Times New Roman" w:cs="Times New Roman"/>
          <w:color w:val="000000"/>
        </w:rPr>
        <w:t xml:space="preserve"> a profesní životopis uchazeče zveřejní na internetových stránkách Úřadu vlády</w:t>
      </w:r>
      <w:r>
        <w:rPr>
          <w:rFonts w:eastAsia="Times New Roman" w:cs="Times New Roman"/>
          <w:color w:val="000000"/>
        </w:rPr>
        <w:t xml:space="preserve"> bezprostředně poté, co dojde ke jmenování nebo navržení nominované osoby do funkce</w:t>
      </w:r>
      <w:r w:rsidRPr="00E8049F">
        <w:rPr>
          <w:rFonts w:eastAsia="Times New Roman" w:cs="Times New Roman"/>
          <w:color w:val="000000"/>
        </w:rPr>
        <w:t>.“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ind w:left="714" w:hanging="720"/>
        <w:jc w:val="both"/>
        <w:rPr>
          <w:rFonts w:eastAsia="Times New Roman" w:cs="Times New Roman"/>
          <w:color w:val="000000"/>
        </w:rPr>
      </w:pPr>
    </w:p>
    <w:p w:rsidR="00017B12" w:rsidRPr="00E8049F" w:rsidRDefault="00017B12" w:rsidP="00017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240"/>
        <w:ind w:left="714" w:hanging="357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</w:rPr>
        <w:t>Původní § 15, nově označený jako § 16</w:t>
      </w:r>
      <w:r>
        <w:rPr>
          <w:rFonts w:eastAsia="Times New Roman" w:cs="Times New Roman"/>
        </w:rPr>
        <w:t>,</w:t>
      </w:r>
      <w:r w:rsidRPr="00E8049F">
        <w:rPr>
          <w:rFonts w:eastAsia="Times New Roman" w:cs="Times New Roman"/>
        </w:rPr>
        <w:t xml:space="preserve"> zní</w:t>
      </w:r>
      <w:r w:rsidRPr="00E8049F">
        <w:rPr>
          <w:rFonts w:eastAsia="Times New Roman" w:cs="Times New Roman"/>
          <w:color w:val="000000"/>
        </w:rPr>
        <w:t>: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720"/>
        <w:jc w:val="center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>„§ 16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720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 xml:space="preserve">Stanovisko Výboru není pro ministerstvo závazné. Jmenování nebo navržení nominované osoby do funkce ministerstvo odůvodní s přihlédnutím ke stanovisku Výboru. Pokud ministerstvo jmenuje nebo navrhne nominovanou osobu do funkce přes nedoporučující stanovisko Výboru, odůvodnění musí obsahovat vysvětlení, proč ministerstvo dospělo k odlišnému závěru. </w:t>
      </w:r>
      <w:r>
        <w:rPr>
          <w:rFonts w:eastAsia="Times New Roman" w:cs="Times New Roman"/>
          <w:color w:val="000000"/>
        </w:rPr>
        <w:t>Informaci o j</w:t>
      </w:r>
      <w:r w:rsidRPr="00E8049F">
        <w:rPr>
          <w:rFonts w:eastAsia="Times New Roman" w:cs="Times New Roman"/>
          <w:color w:val="000000"/>
        </w:rPr>
        <w:t>menování nebo navržení do funkce s odůvodněním ministerstvo bez zbytečného odkladu zašle předsedovi Výboru a zveřejní na svých internetových stránkách.“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720"/>
        <w:jc w:val="both"/>
        <w:rPr>
          <w:rFonts w:eastAsia="Times New Roman" w:cs="Times New Roman"/>
          <w:color w:val="000000"/>
        </w:rPr>
      </w:pPr>
    </w:p>
    <w:p w:rsidR="00017B12" w:rsidRPr="00E8049F" w:rsidRDefault="00017B12" w:rsidP="00017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240"/>
        <w:ind w:left="714" w:hanging="357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 xml:space="preserve">Nadpis </w:t>
      </w:r>
      <w:r>
        <w:rPr>
          <w:rFonts w:eastAsia="Times New Roman" w:cs="Times New Roman"/>
          <w:color w:val="000000"/>
        </w:rPr>
        <w:t>č</w:t>
      </w:r>
      <w:r w:rsidRPr="00E8049F">
        <w:rPr>
          <w:rFonts w:eastAsia="Times New Roman" w:cs="Times New Roman"/>
          <w:color w:val="000000"/>
        </w:rPr>
        <w:t>ásti čtvrté zní: „</w:t>
      </w:r>
      <w:r w:rsidRPr="003C5F0E">
        <w:rPr>
          <w:rFonts w:eastAsia="Times New Roman" w:cs="Times New Roman"/>
          <w:b/>
          <w:color w:val="000000"/>
        </w:rPr>
        <w:t>SPOLEČNÁ, PŘECHODNÁ A ZÁVĚREČNÁ USTANOVENÍ</w:t>
      </w:r>
      <w:r w:rsidRPr="00E8049F">
        <w:rPr>
          <w:rFonts w:eastAsia="Times New Roman" w:cs="Times New Roman"/>
          <w:color w:val="000000"/>
        </w:rPr>
        <w:t>“.</w:t>
      </w:r>
    </w:p>
    <w:p w:rsidR="00017B12" w:rsidRPr="00E8049F" w:rsidRDefault="00017B12" w:rsidP="00017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240"/>
        <w:ind w:left="714" w:hanging="357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</w:rPr>
        <w:t>Původní § 19, nově označený jako § 20</w:t>
      </w:r>
      <w:r>
        <w:rPr>
          <w:rFonts w:eastAsia="Times New Roman" w:cs="Times New Roman"/>
        </w:rPr>
        <w:t>,</w:t>
      </w:r>
      <w:r w:rsidRPr="00E8049F">
        <w:rPr>
          <w:rFonts w:eastAsia="Times New Roman" w:cs="Times New Roman"/>
        </w:rPr>
        <w:t xml:space="preserve"> zní</w:t>
      </w:r>
      <w:r w:rsidRPr="00E8049F">
        <w:rPr>
          <w:rFonts w:eastAsia="Times New Roman" w:cs="Times New Roman"/>
          <w:color w:val="000000"/>
        </w:rPr>
        <w:t>: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spacing w:before="240"/>
        <w:ind w:left="720"/>
        <w:jc w:val="center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 xml:space="preserve"> „§ 20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spacing w:before="240"/>
        <w:ind w:left="720"/>
        <w:jc w:val="both"/>
        <w:rPr>
          <w:rFonts w:eastAsia="Times New Roman" w:cs="Times New Roman"/>
          <w:color w:val="000000"/>
        </w:rPr>
      </w:pPr>
      <w:bookmarkStart w:id="1" w:name="_30j0zll" w:colFirst="0" w:colLast="0"/>
      <w:bookmarkEnd w:id="1"/>
      <w:r w:rsidRPr="00E8049F">
        <w:rPr>
          <w:rFonts w:eastAsia="Times New Roman" w:cs="Times New Roman"/>
          <w:color w:val="000000"/>
        </w:rPr>
        <w:t xml:space="preserve">Pokud ministerstvo </w:t>
      </w:r>
      <w:r>
        <w:rPr>
          <w:rFonts w:eastAsia="Times New Roman" w:cs="Times New Roman"/>
          <w:color w:val="000000"/>
        </w:rPr>
        <w:t>jmenuje nebo navrhne</w:t>
      </w:r>
      <w:r w:rsidRPr="00E8049F">
        <w:rPr>
          <w:rFonts w:eastAsia="Times New Roman" w:cs="Times New Roman"/>
          <w:color w:val="000000"/>
        </w:rPr>
        <w:t xml:space="preserve"> do funkce osobu, jejíž nominace nebyla Výboru </w:t>
      </w:r>
      <w:r>
        <w:rPr>
          <w:rFonts w:eastAsia="Times New Roman" w:cs="Times New Roman"/>
          <w:color w:val="000000"/>
        </w:rPr>
        <w:t>předložena</w:t>
      </w:r>
      <w:r w:rsidRPr="00E8049F">
        <w:rPr>
          <w:rFonts w:eastAsia="Times New Roman" w:cs="Times New Roman"/>
          <w:color w:val="000000"/>
        </w:rPr>
        <w:t xml:space="preserve"> nebo jejíž nominaci Výbor odmítl, </w:t>
      </w:r>
      <w:r>
        <w:rPr>
          <w:rFonts w:eastAsia="Times New Roman" w:cs="Times New Roman"/>
          <w:color w:val="000000"/>
        </w:rPr>
        <w:t xml:space="preserve">hledí se </w:t>
      </w:r>
      <w:r w:rsidRPr="00E8049F">
        <w:rPr>
          <w:rFonts w:eastAsia="Times New Roman" w:cs="Times New Roman"/>
          <w:color w:val="000000"/>
        </w:rPr>
        <w:t xml:space="preserve">na takovou osobu, jako by jmenována nebo zvolena do funkce nebyla. Práva třetích osob nabytá v dobré víře </w:t>
      </w:r>
      <w:r>
        <w:rPr>
          <w:rFonts w:eastAsia="Times New Roman" w:cs="Times New Roman"/>
          <w:color w:val="000000"/>
        </w:rPr>
        <w:t xml:space="preserve">tím </w:t>
      </w:r>
      <w:r w:rsidRPr="00E8049F">
        <w:rPr>
          <w:rFonts w:eastAsia="Times New Roman" w:cs="Times New Roman"/>
          <w:color w:val="000000"/>
        </w:rPr>
        <w:t>nejsou dotčena.“</w:t>
      </w:r>
      <w:r>
        <w:rPr>
          <w:rFonts w:eastAsia="Times New Roman" w:cs="Times New Roman"/>
          <w:color w:val="000000"/>
        </w:rPr>
        <w:t>.</w:t>
      </w:r>
    </w:p>
    <w:p w:rsidR="00017B12" w:rsidRPr="00E8049F" w:rsidRDefault="00017B12" w:rsidP="00017B12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240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>Za původní § 19, nově označený jako § 20, se vkládá nový § 21, který zní: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spacing w:before="240"/>
        <w:ind w:left="720"/>
        <w:jc w:val="center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>„§ 21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spacing w:before="240"/>
        <w:ind w:left="720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>Na postup podle tohoto zákona se nevztahuje správní řád.“</w:t>
      </w:r>
    </w:p>
    <w:p w:rsidR="00BA6651" w:rsidRDefault="00BA6651">
      <w:pPr>
        <w:widowControl/>
        <w:suppressAutoHyphens w:val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br w:type="page"/>
      </w:r>
    </w:p>
    <w:p w:rsidR="00017B12" w:rsidRPr="00E8049F" w:rsidRDefault="00017B12" w:rsidP="00017B12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240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lastRenderedPageBreak/>
        <w:t>Za nový § 21 se vkládá nový § 22, který zní: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spacing w:before="240"/>
        <w:ind w:left="720"/>
        <w:jc w:val="center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>„§ 22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spacing w:before="240"/>
        <w:ind w:left="720"/>
        <w:jc w:val="center"/>
        <w:rPr>
          <w:rFonts w:eastAsia="Times New Roman" w:cs="Times New Roman"/>
          <w:b/>
          <w:bCs/>
          <w:color w:val="000000"/>
        </w:rPr>
      </w:pPr>
      <w:r w:rsidRPr="00E8049F">
        <w:rPr>
          <w:rFonts w:eastAsia="Times New Roman" w:cs="Times New Roman"/>
          <w:b/>
          <w:bCs/>
          <w:color w:val="000000"/>
        </w:rPr>
        <w:t>Přechodné ustanovení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spacing w:before="240"/>
        <w:ind w:left="720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>Vláda jmenuje první členy Výboru do 60 dnů ode dne nabytí účinnosti tohoto zákona. Současně se jmenováním prvních členů vláda určí jednoho člena, jehož funkční období je 1 rok, jednoho člena, jehož funkční období je 2 roky, jednoho člena, jehož funkční období je 3 roky a jednoho člena, jehož funkční období je 4 roky. Funkční období ostatních členů je 5 let.“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spacing w:before="240"/>
        <w:ind w:left="720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>Následující paragraf se přečísluje.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ind w:left="714" w:hanging="720"/>
        <w:jc w:val="both"/>
        <w:rPr>
          <w:rFonts w:eastAsia="Times New Roman" w:cs="Times New Roman"/>
          <w:color w:val="000000"/>
        </w:rPr>
      </w:pPr>
    </w:p>
    <w:p w:rsidR="00017B12" w:rsidRPr="00E8049F" w:rsidRDefault="00017B12" w:rsidP="00017B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240"/>
        <w:ind w:left="714" w:hanging="357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</w:rPr>
        <w:t>Původní § 20, nově označený jako § 23 zní</w:t>
      </w:r>
      <w:r w:rsidRPr="00E8049F">
        <w:rPr>
          <w:rFonts w:eastAsia="Times New Roman" w:cs="Times New Roman"/>
          <w:color w:val="000000"/>
        </w:rPr>
        <w:t>:</w:t>
      </w:r>
    </w:p>
    <w:p w:rsidR="00017B12" w:rsidRPr="00E8049F" w:rsidRDefault="00017B12" w:rsidP="00017B12">
      <w:pPr>
        <w:spacing w:after="240"/>
        <w:jc w:val="center"/>
        <w:rPr>
          <w:rFonts w:eastAsia="Times New Roman" w:cs="Times New Roman"/>
        </w:rPr>
      </w:pPr>
      <w:r w:rsidRPr="00E8049F">
        <w:rPr>
          <w:rFonts w:eastAsia="Times New Roman" w:cs="Times New Roman"/>
        </w:rPr>
        <w:t xml:space="preserve"> „§ 23</w:t>
      </w:r>
    </w:p>
    <w:p w:rsidR="00017B12" w:rsidRPr="00E8049F" w:rsidRDefault="00017B12" w:rsidP="00017B12">
      <w:pPr>
        <w:spacing w:after="240"/>
        <w:jc w:val="center"/>
        <w:rPr>
          <w:rFonts w:eastAsia="Times New Roman" w:cs="Times New Roman"/>
          <w:b/>
        </w:rPr>
      </w:pPr>
      <w:r w:rsidRPr="00E8049F">
        <w:rPr>
          <w:rFonts w:eastAsia="Times New Roman" w:cs="Times New Roman"/>
          <w:b/>
        </w:rPr>
        <w:t>Účinnost</w:t>
      </w:r>
    </w:p>
    <w:p w:rsidR="00017B12" w:rsidRPr="00E8049F" w:rsidRDefault="00017B12" w:rsidP="00017B12">
      <w:pPr>
        <w:pBdr>
          <w:top w:val="nil"/>
          <w:left w:val="nil"/>
          <w:bottom w:val="nil"/>
          <w:right w:val="nil"/>
          <w:between w:val="nil"/>
        </w:pBdr>
        <w:spacing w:before="240"/>
        <w:ind w:firstLine="425"/>
        <w:jc w:val="both"/>
        <w:rPr>
          <w:rFonts w:eastAsia="Times New Roman" w:cs="Times New Roman"/>
          <w:color w:val="000000"/>
        </w:rPr>
      </w:pPr>
      <w:r w:rsidRPr="00E8049F">
        <w:rPr>
          <w:rFonts w:eastAsia="Times New Roman" w:cs="Times New Roman"/>
          <w:color w:val="000000"/>
        </w:rPr>
        <w:t>Tento zákon nabývá účinnosti</w:t>
      </w:r>
      <w:r>
        <w:rPr>
          <w:rFonts w:eastAsia="Times New Roman" w:cs="Times New Roman"/>
          <w:color w:val="000000"/>
        </w:rPr>
        <w:t xml:space="preserve"> dnem 1. ledna 2020.</w:t>
      </w:r>
      <w:r w:rsidRPr="00E8049F">
        <w:rPr>
          <w:rFonts w:eastAsia="Times New Roman" w:cs="Times New Roman"/>
          <w:color w:val="000000"/>
        </w:rPr>
        <w:t>“</w:t>
      </w:r>
      <w:r w:rsidR="007C2384">
        <w:rPr>
          <w:rFonts w:eastAsia="Times New Roman" w:cs="Times New Roman"/>
          <w:color w:val="000000"/>
        </w:rPr>
        <w:t>.</w:t>
      </w:r>
    </w:p>
    <w:p w:rsidR="00017B12" w:rsidRPr="00E8049F" w:rsidRDefault="00017B12" w:rsidP="00017B12">
      <w:pPr>
        <w:spacing w:after="240"/>
        <w:ind w:left="357"/>
        <w:jc w:val="both"/>
        <w:rPr>
          <w:rFonts w:eastAsia="Times New Roman" w:cs="Times New Roman"/>
          <w:color w:val="000000"/>
        </w:rPr>
      </w:pPr>
    </w:p>
    <w:p w:rsidR="000C6893" w:rsidRDefault="000C6893"/>
    <w:p w:rsidR="000C6893" w:rsidRDefault="00017B12" w:rsidP="00017B12">
      <w:pPr>
        <w:pStyle w:val="PNposlanec"/>
      </w:pPr>
      <w:r>
        <w:t>Poslanec Tomáš Martínek</w:t>
      </w:r>
    </w:p>
    <w:p w:rsidR="000C6893" w:rsidRPr="00017B12" w:rsidRDefault="00017B12">
      <w:pPr>
        <w:rPr>
          <w:i/>
        </w:rPr>
      </w:pPr>
      <w:r w:rsidRPr="00017B12">
        <w:rPr>
          <w:i/>
        </w:rPr>
        <w:t>SD 2358</w:t>
      </w:r>
    </w:p>
    <w:p w:rsidR="000C6893" w:rsidRDefault="000C6893"/>
    <w:p w:rsidR="007C2384" w:rsidRDefault="007C2384" w:rsidP="007C2384">
      <w:pPr>
        <w:widowControl/>
        <w:numPr>
          <w:ilvl w:val="0"/>
          <w:numId w:val="9"/>
        </w:numPr>
        <w:suppressAutoHyphens w:val="0"/>
        <w:spacing w:line="276" w:lineRule="auto"/>
        <w:jc w:val="both"/>
      </w:pPr>
      <w:r>
        <w:t>V § 5 se slova “trvá 5 let.” nahrazují slovy “končí devadesátým dnem po přijetí usnesení o vyslovení důvěry vládě Poslaneckou sněmovnou.”.</w:t>
      </w:r>
    </w:p>
    <w:p w:rsidR="007C2384" w:rsidRDefault="007C2384" w:rsidP="007C2384">
      <w:pPr>
        <w:ind w:left="720"/>
        <w:jc w:val="both"/>
      </w:pPr>
    </w:p>
    <w:p w:rsidR="007C2384" w:rsidRDefault="007C2384" w:rsidP="007C2384">
      <w:pPr>
        <w:widowControl/>
        <w:numPr>
          <w:ilvl w:val="0"/>
          <w:numId w:val="9"/>
        </w:numPr>
        <w:suppressAutoHyphens w:val="0"/>
        <w:spacing w:line="276" w:lineRule="auto"/>
        <w:jc w:val="both"/>
      </w:pPr>
      <w:r>
        <w:t>V § 14 se na konci odstavce 1 doplňuje věta: “Výbor ve svém stanovisku nominaci osoby doporučí, nebo nedoporučí.”.</w:t>
      </w:r>
    </w:p>
    <w:p w:rsidR="007C2384" w:rsidRDefault="007C2384" w:rsidP="007C2384">
      <w:pPr>
        <w:ind w:left="720"/>
        <w:jc w:val="both"/>
      </w:pPr>
    </w:p>
    <w:p w:rsidR="007C2384" w:rsidRDefault="007C2384" w:rsidP="007C2384">
      <w:pPr>
        <w:widowControl/>
        <w:numPr>
          <w:ilvl w:val="0"/>
          <w:numId w:val="9"/>
        </w:numPr>
        <w:suppressAutoHyphens w:val="0"/>
        <w:spacing w:line="276" w:lineRule="auto"/>
        <w:jc w:val="both"/>
      </w:pPr>
      <w:r>
        <w:t>§ 15 včetně nadpisu zní:</w:t>
      </w:r>
    </w:p>
    <w:p w:rsidR="007C2384" w:rsidRDefault="007C2384" w:rsidP="007C2384">
      <w:pPr>
        <w:jc w:val="both"/>
      </w:pPr>
    </w:p>
    <w:p w:rsidR="007C2384" w:rsidRDefault="007C2384" w:rsidP="007C2384">
      <w:pPr>
        <w:jc w:val="center"/>
      </w:pPr>
      <w:r>
        <w:t>“§ 15</w:t>
      </w:r>
    </w:p>
    <w:p w:rsidR="007C2384" w:rsidRDefault="007C2384" w:rsidP="007C2384">
      <w:pPr>
        <w:jc w:val="center"/>
      </w:pPr>
      <w:r>
        <w:t>Závaznost  stanoviska</w:t>
      </w:r>
    </w:p>
    <w:p w:rsidR="007C2384" w:rsidRDefault="007C2384" w:rsidP="007C2384">
      <w:pPr>
        <w:jc w:val="center"/>
      </w:pPr>
    </w:p>
    <w:p w:rsidR="007C2384" w:rsidRDefault="007C2384" w:rsidP="007C2384">
      <w:pPr>
        <w:widowControl/>
        <w:numPr>
          <w:ilvl w:val="0"/>
          <w:numId w:val="10"/>
        </w:numPr>
        <w:suppressAutoHyphens w:val="0"/>
        <w:spacing w:line="276" w:lineRule="auto"/>
        <w:jc w:val="both"/>
      </w:pPr>
      <w:r>
        <w:t>Stanovisko Výboru je závazné. Je-li státem jmenována nebo na návrh státu zvolena osoba i přes nedoporučující stanovisko Výboru, nebo stanovisko Výboru nebylo vydáno, ačkoliv podle tohoto zákona měl být návrh Výborem projednán, hledí se na jmenování či volbu, jako by se nestaly.</w:t>
      </w:r>
    </w:p>
    <w:p w:rsidR="007C2384" w:rsidRDefault="007C2384" w:rsidP="007C2384">
      <w:pPr>
        <w:ind w:left="720"/>
        <w:jc w:val="both"/>
      </w:pPr>
    </w:p>
    <w:p w:rsidR="007C2384" w:rsidRDefault="007C2384" w:rsidP="007C2384">
      <w:pPr>
        <w:widowControl/>
        <w:numPr>
          <w:ilvl w:val="0"/>
          <w:numId w:val="10"/>
        </w:numPr>
        <w:suppressAutoHyphens w:val="0"/>
        <w:spacing w:line="276" w:lineRule="auto"/>
        <w:jc w:val="both"/>
      </w:pPr>
      <w:r>
        <w:t>Hledí-li se na jmenování či volbu, jako by se nestaly, nedotýká se to práva nabytého v dobré víře.”.</w:t>
      </w:r>
    </w:p>
    <w:p w:rsidR="007C2384" w:rsidRDefault="007C2384" w:rsidP="007C2384">
      <w:pPr>
        <w:jc w:val="both"/>
      </w:pPr>
    </w:p>
    <w:p w:rsidR="007C2384" w:rsidRDefault="007C2384" w:rsidP="007C2384">
      <w:pPr>
        <w:ind w:firstLine="360"/>
        <w:jc w:val="both"/>
      </w:pPr>
      <w:r>
        <w:t>4. § 19 se zrušuje.</w:t>
      </w:r>
    </w:p>
    <w:p w:rsidR="007C2384" w:rsidRDefault="007C2384" w:rsidP="007C2384">
      <w:pPr>
        <w:ind w:firstLine="360"/>
        <w:jc w:val="both"/>
      </w:pPr>
    </w:p>
    <w:p w:rsidR="007C2384" w:rsidRDefault="007C2384" w:rsidP="007C2384">
      <w:pPr>
        <w:ind w:firstLine="360"/>
        <w:jc w:val="both"/>
      </w:pPr>
      <w:r>
        <w:t>§ 20 se označuje jako § 19.</w:t>
      </w:r>
    </w:p>
    <w:p w:rsidR="000C6893" w:rsidRDefault="000C6893"/>
    <w:p w:rsidR="000C6893" w:rsidRDefault="007C2384">
      <w:pPr>
        <w:rPr>
          <w:i/>
        </w:rPr>
      </w:pPr>
      <w:r w:rsidRPr="007C2384">
        <w:rPr>
          <w:i/>
        </w:rPr>
        <w:lastRenderedPageBreak/>
        <w:t>SD 2458</w:t>
      </w:r>
    </w:p>
    <w:p w:rsidR="007C2384" w:rsidRPr="007C2384" w:rsidRDefault="007C2384">
      <w:pPr>
        <w:rPr>
          <w:i/>
        </w:rPr>
      </w:pPr>
    </w:p>
    <w:p w:rsidR="007C2384" w:rsidRPr="007C2384" w:rsidRDefault="007C2384" w:rsidP="007C2384">
      <w:pPr>
        <w:widowControl/>
        <w:numPr>
          <w:ilvl w:val="0"/>
          <w:numId w:val="11"/>
        </w:numPr>
        <w:suppressAutoHyphens w:val="0"/>
        <w:spacing w:line="276" w:lineRule="auto"/>
        <w:ind w:left="425"/>
        <w:rPr>
          <w:rFonts w:eastAsia="Arial" w:cs="Times New Roman"/>
        </w:rPr>
      </w:pPr>
      <w:r w:rsidRPr="007C2384">
        <w:rPr>
          <w:rFonts w:eastAsia="Arial" w:cs="Times New Roman"/>
        </w:rPr>
        <w:t>Nadpis Části čtvrté zní: „SPOLEČNÁ, PŘECHODNÁ A ZÁVĚREČNÁ USTANOVENÍ“.</w:t>
      </w:r>
    </w:p>
    <w:p w:rsidR="007C2384" w:rsidRPr="007C2384" w:rsidRDefault="007C2384" w:rsidP="007C2384">
      <w:pPr>
        <w:ind w:left="425" w:hanging="360"/>
        <w:rPr>
          <w:rFonts w:eastAsia="Arial" w:cs="Times New Roman"/>
        </w:rPr>
      </w:pPr>
    </w:p>
    <w:p w:rsidR="007C2384" w:rsidRPr="007C2384" w:rsidRDefault="007C2384" w:rsidP="007C2384">
      <w:pPr>
        <w:widowControl/>
        <w:numPr>
          <w:ilvl w:val="0"/>
          <w:numId w:val="11"/>
        </w:numPr>
        <w:suppressAutoHyphens w:val="0"/>
        <w:spacing w:line="276" w:lineRule="auto"/>
        <w:ind w:left="425"/>
        <w:rPr>
          <w:rFonts w:eastAsia="Arial" w:cs="Times New Roman"/>
        </w:rPr>
      </w:pPr>
      <w:r w:rsidRPr="007C2384">
        <w:rPr>
          <w:rFonts w:eastAsia="Arial" w:cs="Times New Roman"/>
        </w:rPr>
        <w:t>Za § 19 se vkládá nový § 20, který včetně nadpisu zní:</w:t>
      </w:r>
    </w:p>
    <w:p w:rsidR="007C2384" w:rsidRPr="007C2384" w:rsidRDefault="007C2384" w:rsidP="007C2384">
      <w:pPr>
        <w:pBdr>
          <w:top w:val="none" w:sz="0" w:space="3" w:color="auto"/>
          <w:left w:val="none" w:sz="0" w:space="11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center"/>
        <w:rPr>
          <w:rFonts w:eastAsia="Arial" w:cs="Times New Roman"/>
        </w:rPr>
      </w:pPr>
      <w:r w:rsidRPr="007C2384">
        <w:rPr>
          <w:rFonts w:eastAsia="Arial" w:cs="Times New Roman"/>
        </w:rPr>
        <w:t>„§ 20</w:t>
      </w:r>
    </w:p>
    <w:p w:rsidR="007C2384" w:rsidRPr="007C2384" w:rsidRDefault="007C2384" w:rsidP="007C2384">
      <w:pPr>
        <w:pBdr>
          <w:top w:val="none" w:sz="0" w:space="3" w:color="auto"/>
          <w:left w:val="none" w:sz="0" w:space="11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center"/>
        <w:rPr>
          <w:rFonts w:eastAsia="Arial" w:cs="Times New Roman"/>
          <w:b/>
        </w:rPr>
      </w:pPr>
      <w:r w:rsidRPr="007C2384">
        <w:rPr>
          <w:rFonts w:eastAsia="Arial" w:cs="Times New Roman"/>
          <w:b/>
        </w:rPr>
        <w:t>Přechodné ustanovení</w:t>
      </w:r>
    </w:p>
    <w:p w:rsidR="007C2384" w:rsidRPr="007C2384" w:rsidRDefault="007C2384" w:rsidP="007C2384">
      <w:pPr>
        <w:pBdr>
          <w:top w:val="none" w:sz="0" w:space="3" w:color="auto"/>
          <w:left w:val="none" w:sz="0" w:space="11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rFonts w:eastAsia="Arial" w:cs="Times New Roman"/>
        </w:rPr>
      </w:pPr>
      <w:r w:rsidRPr="007C2384">
        <w:rPr>
          <w:rFonts w:eastAsia="Arial" w:cs="Times New Roman"/>
        </w:rPr>
        <w:t>Vláda jmenuje první členy Výboru do 60 dnů ode dne nabytí účinnosti tohoto zákona. Současně se jmenováním prvních členů vláda určí jednoho člena, jehož funkční období je 1 rok, jednoho člena, jehož funkční období je 2 roky, jednoho člena, jehož funkční období je 3 roky a jednoho člena, jehož funkční období je 4 roky. Funkční období ostatních členů je 5 let.“.</w:t>
      </w:r>
    </w:p>
    <w:p w:rsidR="007C2384" w:rsidRPr="007C2384" w:rsidRDefault="007C2384" w:rsidP="007C2384">
      <w:pPr>
        <w:pBdr>
          <w:top w:val="none" w:sz="0" w:space="3" w:color="auto"/>
          <w:left w:val="none" w:sz="0" w:space="11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rFonts w:eastAsia="Arial" w:cs="Times New Roman"/>
        </w:rPr>
      </w:pPr>
    </w:p>
    <w:p w:rsidR="007C2384" w:rsidRPr="007C2384" w:rsidRDefault="007C2384" w:rsidP="007C2384">
      <w:pPr>
        <w:pBdr>
          <w:top w:val="none" w:sz="0" w:space="3" w:color="auto"/>
          <w:left w:val="none" w:sz="0" w:space="11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rFonts w:eastAsia="Arial" w:cs="Times New Roman"/>
        </w:rPr>
      </w:pPr>
      <w:r w:rsidRPr="007C2384">
        <w:rPr>
          <w:rFonts w:eastAsia="Arial" w:cs="Times New Roman"/>
        </w:rPr>
        <w:t>Dosavadní § 20 se označuje jako § 21.</w:t>
      </w:r>
    </w:p>
    <w:p w:rsidR="000C6893" w:rsidRDefault="000C6893"/>
    <w:p w:rsidR="007C2384" w:rsidRDefault="007C2384">
      <w:pPr>
        <w:rPr>
          <w:i/>
        </w:rPr>
      </w:pPr>
      <w:r w:rsidRPr="007C2384">
        <w:rPr>
          <w:i/>
        </w:rPr>
        <w:t>SD 2901</w:t>
      </w:r>
    </w:p>
    <w:p w:rsidR="007C2384" w:rsidRPr="007C2384" w:rsidRDefault="007C2384">
      <w:pPr>
        <w:rPr>
          <w:i/>
        </w:rPr>
      </w:pPr>
    </w:p>
    <w:p w:rsidR="007C2384" w:rsidRDefault="007C2384" w:rsidP="007C2384">
      <w:pPr>
        <w:widowControl/>
        <w:numPr>
          <w:ilvl w:val="0"/>
          <w:numId w:val="12"/>
        </w:numPr>
        <w:suppressAutoHyphens w:val="0"/>
        <w:spacing w:line="276" w:lineRule="auto"/>
      </w:pPr>
      <w:r>
        <w:t>V § 1 se doplňuje odstavec 3, který zní:</w:t>
      </w:r>
    </w:p>
    <w:p w:rsidR="007C2384" w:rsidRDefault="007C2384" w:rsidP="007C2384"/>
    <w:p w:rsidR="007C2384" w:rsidRDefault="00BA6651" w:rsidP="007C2384">
      <w:pPr>
        <w:ind w:firstLine="360"/>
        <w:jc w:val="both"/>
      </w:pPr>
      <w:r>
        <w:t>„</w:t>
      </w:r>
      <w:r w:rsidR="007C2384">
        <w:t>(3) Tento zákon se rovněž použije při výběru osob jmenovaných vládou do orgánů zdravotních pojišťoven a Všeobecné zdravotní pojišťovny. Stanoví-li však zvláštní zákon odchylné požadavky na členy těchto orgánů, použijí se požadavky stanovené zvláštním zákonem.”.</w:t>
      </w:r>
    </w:p>
    <w:p w:rsidR="007C2384" w:rsidRDefault="007C2384" w:rsidP="007C2384">
      <w:pPr>
        <w:jc w:val="both"/>
      </w:pPr>
    </w:p>
    <w:p w:rsidR="007C2384" w:rsidRDefault="007C2384" w:rsidP="007C2384">
      <w:pPr>
        <w:ind w:firstLine="425"/>
        <w:jc w:val="both"/>
      </w:pPr>
      <w:r>
        <w:t>2. V § 10 se doplňuje odstavec 5, který zní:</w:t>
      </w:r>
    </w:p>
    <w:p w:rsidR="007C2384" w:rsidRDefault="007C2384" w:rsidP="007C2384">
      <w:pPr>
        <w:ind w:firstLine="425"/>
        <w:jc w:val="both"/>
      </w:pPr>
    </w:p>
    <w:p w:rsidR="007C2384" w:rsidRDefault="00BA6651" w:rsidP="007C2384">
      <w:pPr>
        <w:ind w:firstLine="425"/>
        <w:jc w:val="both"/>
      </w:pPr>
      <w:r>
        <w:t>„</w:t>
      </w:r>
      <w:r w:rsidR="007C2384">
        <w:t>(5) Je-li k návrhu nominace příslušná vláda, koná výběrové řízení ten, kdo návrh nominace vládě navrhuje. Vláda může stanovit, že návrh nominace bude před jeho projednání Výborem předložen ke stanovisku dalším orgánům a osobám.”.</w:t>
      </w:r>
    </w:p>
    <w:p w:rsidR="007C2384" w:rsidRDefault="007C2384"/>
    <w:p w:rsidR="000C6893" w:rsidRDefault="000C6893"/>
    <w:p w:rsidR="007C2384" w:rsidRDefault="007C2384"/>
    <w:p w:rsidR="000C6893" w:rsidRDefault="007C2384" w:rsidP="007C2384">
      <w:pPr>
        <w:pStyle w:val="PNposlanec"/>
      </w:pPr>
      <w:r>
        <w:t>Poslanec Jakub Michálek</w:t>
      </w:r>
    </w:p>
    <w:p w:rsidR="000C6893" w:rsidRPr="00E440D1" w:rsidRDefault="007C2384">
      <w:pPr>
        <w:rPr>
          <w:i/>
        </w:rPr>
      </w:pPr>
      <w:r w:rsidRPr="00E440D1">
        <w:rPr>
          <w:i/>
        </w:rPr>
        <w:t>SD</w:t>
      </w:r>
      <w:r w:rsidR="00E440D1">
        <w:rPr>
          <w:i/>
        </w:rPr>
        <w:t xml:space="preserve"> </w:t>
      </w:r>
      <w:r w:rsidR="00E440D1" w:rsidRPr="00E440D1">
        <w:rPr>
          <w:i/>
        </w:rPr>
        <w:t>2615</w:t>
      </w:r>
    </w:p>
    <w:p w:rsidR="000C6893" w:rsidRDefault="000C6893"/>
    <w:p w:rsidR="00E440D1" w:rsidRDefault="00E440D1" w:rsidP="00E440D1">
      <w:pPr>
        <w:widowControl/>
        <w:numPr>
          <w:ilvl w:val="0"/>
          <w:numId w:val="13"/>
        </w:numPr>
        <w:suppressAutoHyphens w:val="0"/>
        <w:spacing w:line="276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V § 1 se na konci odstavce 1 tečka nahrazuje čárkou a doplňuje se písmeno c), které zní: </w:t>
      </w:r>
    </w:p>
    <w:p w:rsidR="00E440D1" w:rsidRDefault="00E440D1" w:rsidP="00E440D1">
      <w:pPr>
        <w:ind w:firstLine="720"/>
        <w:rPr>
          <w:rFonts w:eastAsia="Times New Roman" w:cs="Times New Roman"/>
        </w:rPr>
      </w:pPr>
      <w:r>
        <w:rPr>
          <w:rFonts w:eastAsia="Times New Roman" w:cs="Times New Roman"/>
        </w:rPr>
        <w:t>„c) vlastnickou politiku České republiky (dále jen „vlastnická politika“).“.</w:t>
      </w:r>
    </w:p>
    <w:p w:rsidR="00E440D1" w:rsidRDefault="00E440D1" w:rsidP="00E440D1">
      <w:pPr>
        <w:ind w:left="1440"/>
        <w:rPr>
          <w:rFonts w:eastAsia="Times New Roman" w:cs="Times New Roman"/>
        </w:rPr>
      </w:pPr>
    </w:p>
    <w:p w:rsidR="00E440D1" w:rsidRDefault="00E440D1" w:rsidP="00E440D1">
      <w:pPr>
        <w:widowControl/>
        <w:numPr>
          <w:ilvl w:val="0"/>
          <w:numId w:val="13"/>
        </w:numPr>
        <w:suppressAutoHyphens w:val="0"/>
        <w:spacing w:line="276" w:lineRule="auto"/>
        <w:rPr>
          <w:rFonts w:eastAsia="Times New Roman" w:cs="Times New Roman"/>
        </w:rPr>
      </w:pPr>
      <w:r>
        <w:rPr>
          <w:rFonts w:eastAsia="Times New Roman" w:cs="Times New Roman"/>
        </w:rPr>
        <w:t>Za část třetí se vkládá nová část čtvrtá, která včetně nadpisu zní:</w:t>
      </w:r>
    </w:p>
    <w:p w:rsidR="00E440D1" w:rsidRDefault="00E440D1" w:rsidP="00E440D1">
      <w:pPr>
        <w:ind w:left="720"/>
        <w:rPr>
          <w:rFonts w:eastAsia="Times New Roman" w:cs="Times New Roman"/>
        </w:rPr>
      </w:pPr>
    </w:p>
    <w:p w:rsidR="00E440D1" w:rsidRDefault="00E440D1" w:rsidP="00E440D1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„ČÁST ČTVRTÁ</w:t>
      </w:r>
    </w:p>
    <w:p w:rsidR="00E440D1" w:rsidRDefault="00E440D1" w:rsidP="00E440D1">
      <w:pPr>
        <w:spacing w:before="240"/>
        <w:ind w:firstLine="425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VLASTNICKÁ POLITIKA </w:t>
      </w:r>
    </w:p>
    <w:p w:rsidR="00E440D1" w:rsidRDefault="00E440D1" w:rsidP="00E440D1">
      <w:pPr>
        <w:spacing w:before="240"/>
        <w:ind w:firstLine="425"/>
        <w:jc w:val="center"/>
        <w:rPr>
          <w:rFonts w:eastAsia="Times New Roman" w:cs="Times New Roman"/>
          <w:strike/>
        </w:rPr>
      </w:pPr>
      <w:r>
        <w:rPr>
          <w:rFonts w:eastAsia="Times New Roman" w:cs="Times New Roman"/>
        </w:rPr>
        <w:t>§   16</w:t>
      </w:r>
    </w:p>
    <w:p w:rsidR="00E440D1" w:rsidRDefault="00E440D1" w:rsidP="00E440D1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440D1" w:rsidRDefault="00E440D1" w:rsidP="00E440D1">
      <w:pPr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Vlastnická politika je strategický dokument, který obsahuje obecné zájmy, cíle a základní principy činnosti státu jako společníka, vlastníka obchodního podílu, zakladatele nebo ovládající osoby ve vztahu k právnickým osobám, které vykonávají podnikatelskou nebo jinou významnou hospodářskou činnost.</w:t>
      </w:r>
    </w:p>
    <w:p w:rsidR="00E440D1" w:rsidRDefault="00E440D1" w:rsidP="00E440D1">
      <w:pPr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Práva a povinnosti ostatních společníků, vlastníků obchodního podílu, zakladatelů a ovládajících osob v právnických osobách podle odstavce 1 nejsou vlastnickou politikou dotčeny.</w:t>
      </w:r>
    </w:p>
    <w:p w:rsidR="00E440D1" w:rsidRDefault="00E440D1" w:rsidP="00E440D1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440D1" w:rsidRDefault="00E440D1" w:rsidP="00E440D1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§  17</w:t>
      </w:r>
    </w:p>
    <w:p w:rsidR="00E440D1" w:rsidRDefault="00E440D1" w:rsidP="00E440D1">
      <w:pPr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</w:t>
      </w:r>
    </w:p>
    <w:p w:rsidR="00E440D1" w:rsidRDefault="00E440D1" w:rsidP="00E440D1">
      <w:pPr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Obsah vlastnické politiky</w:t>
      </w:r>
    </w:p>
    <w:p w:rsidR="00E440D1" w:rsidRDefault="00E440D1" w:rsidP="00E440D1">
      <w:pPr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</w:t>
      </w:r>
    </w:p>
    <w:p w:rsidR="00E440D1" w:rsidRDefault="00E440D1" w:rsidP="00E440D1">
      <w:pPr>
        <w:rPr>
          <w:rFonts w:eastAsia="Times New Roman" w:cs="Times New Roman"/>
        </w:rPr>
      </w:pPr>
      <w:r>
        <w:rPr>
          <w:rFonts w:eastAsia="Times New Roman" w:cs="Times New Roman"/>
        </w:rPr>
        <w:t>Vlastnická politika obsahuje zejména:</w:t>
      </w:r>
    </w:p>
    <w:p w:rsidR="00E440D1" w:rsidRDefault="00E440D1" w:rsidP="00E440D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seznam právnických osob s majetkovou účastí státu a dalších právnických osob, ve kterých stát působí v postavení společníka, vlastníka podílu, zakladatele či ovládající osoby a které vykonávají podnikatelskou nebo jinou významnou hospodářskou činnost, s uvedením jejich právní formy a gesčního ministerstva,</w:t>
      </w:r>
    </w:p>
    <w:p w:rsidR="00E440D1" w:rsidRDefault="00E440D1" w:rsidP="00E440D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popis mechanismů a procesů, kterými jsou tyto právnické osoby řízeny a kontrolovány nebo kterými jsou uplatňována práva státu coby společníka, vlastníka obchodního podílu, zakladatele nebo ovládající osoby,</w:t>
      </w:r>
    </w:p>
    <w:p w:rsidR="00E440D1" w:rsidRDefault="00E440D1" w:rsidP="00E440D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rozsah použitelnosti vlastnické politiky na tyto právnické osoby,</w:t>
      </w:r>
    </w:p>
    <w:p w:rsidR="00E440D1" w:rsidRDefault="00E440D1" w:rsidP="00E440D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zásady výběru členů řídících a kontrolních orgánů,</w:t>
      </w:r>
    </w:p>
    <w:p w:rsidR="00E440D1" w:rsidRDefault="00E440D1" w:rsidP="00E440D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zásady odměňování členů řídících a kontrolních orgánů a způsob, jakým je při odměňování zohledněno naplňování cílů vlastnické politiky,</w:t>
      </w:r>
    </w:p>
    <w:p w:rsidR="00E440D1" w:rsidRDefault="00E440D1" w:rsidP="00E440D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postupy pro předcházení a řešení střetu zájmů u členů řídících a kontrolních orgánů,</w:t>
      </w:r>
    </w:p>
    <w:p w:rsidR="00E440D1" w:rsidRDefault="00E440D1" w:rsidP="00E440D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způsob ochrany veřejného zájmu a uplatňování společenské odpovědnosti při činnosti těchto právnických osob,</w:t>
      </w:r>
    </w:p>
    <w:p w:rsidR="00E440D1" w:rsidRDefault="00E440D1" w:rsidP="00E440D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cíle, kterých mají tyto právnické osoby dosahovat, a jejich prioritu,</w:t>
      </w:r>
    </w:p>
    <w:p w:rsidR="00E440D1" w:rsidRDefault="00E440D1" w:rsidP="00E440D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střednědobé cíle vlastnické politiky státu na období 3-6 let,</w:t>
      </w:r>
    </w:p>
    <w:p w:rsidR="00E440D1" w:rsidRDefault="00E440D1" w:rsidP="00E440D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dlouhodobé cíle vlastnické politiky státu na období 6 let a více,</w:t>
      </w:r>
    </w:p>
    <w:p w:rsidR="00E440D1" w:rsidRDefault="00E440D1" w:rsidP="00E440D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ukazatele umožňující vyhodnotit plnění jednotlivých cílů, jsou-li určeny,</w:t>
      </w:r>
    </w:p>
    <w:p w:rsidR="00E440D1" w:rsidRDefault="00E440D1" w:rsidP="00E440D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opatření a požadavky na udržování a prohlubování znalostí členů orgánů v oblasti řízení a správy společnosti, jakož i v oblasti, v níž je konkrétní právnická osoba činná,</w:t>
      </w:r>
    </w:p>
    <w:p w:rsidR="00E440D1" w:rsidRDefault="00E440D1" w:rsidP="00E440D1">
      <w:pPr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seznam opatření k provedení vlastnické politiky, termíny k jejich provedení a jiné podrobnosti týkající se provádění vlastnické politiky.</w:t>
      </w:r>
    </w:p>
    <w:p w:rsidR="00E440D1" w:rsidRDefault="00E440D1" w:rsidP="00E440D1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440D1" w:rsidRDefault="00E440D1" w:rsidP="00E440D1">
      <w:pPr>
        <w:jc w:val="center"/>
        <w:rPr>
          <w:rFonts w:eastAsia="Times New Roman" w:cs="Times New Roman"/>
          <w:strike/>
        </w:rPr>
      </w:pPr>
      <w:r>
        <w:rPr>
          <w:rFonts w:eastAsia="Times New Roman" w:cs="Times New Roman"/>
        </w:rPr>
        <w:t>§  18</w:t>
      </w:r>
    </w:p>
    <w:p w:rsidR="00E440D1" w:rsidRDefault="00E440D1" w:rsidP="00E440D1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440D1" w:rsidRDefault="00E440D1" w:rsidP="00E440D1">
      <w:pPr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Cíle určené vlastnickou politikou</w:t>
      </w:r>
    </w:p>
    <w:p w:rsidR="00E440D1" w:rsidRDefault="00E440D1" w:rsidP="00E440D1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440D1" w:rsidRDefault="00E440D1" w:rsidP="00E440D1">
      <w:pPr>
        <w:ind w:firstLine="7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(1) Cíle určené vlastnickou politikou mohou být finanční i nefinanční. Nefinančním cílem může být zejména poskytování služeb co největšímu počtu osob, poskytování služeb bez generování zisku, sociální nebo k životnímu prostředí šetrné podnikání nebo zaměstnávání osob se zdravotním postižením nebo osob jinak znevýhodněných.</w:t>
      </w:r>
    </w:p>
    <w:p w:rsidR="00E440D1" w:rsidRDefault="00E440D1" w:rsidP="00E440D1">
      <w:pPr>
        <w:ind w:firstLine="7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(2) Cíle musí být v souladu s veřejným zájmem a zájmem státu a musí být dosažitelné v rámci činnosti právnické osoby.</w:t>
      </w:r>
    </w:p>
    <w:p w:rsidR="00E440D1" w:rsidRDefault="00E440D1" w:rsidP="00E440D1">
      <w:pPr>
        <w:ind w:firstLine="7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(3) Cíle musí být stanoveny tak, aby byly měřitelné, je-li to v dané oblasti možné. Ke každému měřitelnému cíli musí být určen ukazatel umožňující vyhodnotit jeho plnění.</w:t>
      </w:r>
    </w:p>
    <w:p w:rsidR="00E440D1" w:rsidRDefault="00E440D1" w:rsidP="00E440D1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BA6651" w:rsidRDefault="00BA6651">
      <w:pPr>
        <w:widowControl/>
        <w:suppressAutoHyphens w:val="0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:rsidR="00E440D1" w:rsidRDefault="00E440D1" w:rsidP="00E440D1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§ 19</w:t>
      </w:r>
    </w:p>
    <w:p w:rsidR="00E440D1" w:rsidRDefault="00E440D1" w:rsidP="00E440D1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440D1" w:rsidRDefault="00E440D1" w:rsidP="00E440D1">
      <w:pPr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Schvalování vlastnické politiky</w:t>
      </w:r>
    </w:p>
    <w:p w:rsidR="00E440D1" w:rsidRDefault="00E440D1" w:rsidP="00E440D1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440D1" w:rsidRDefault="00E440D1" w:rsidP="00E440D1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Vlastnickou politiku zpracovává Ministerstvo financí ve spolupráci s ostatními ministerstvy.</w:t>
      </w:r>
    </w:p>
    <w:p w:rsidR="00E440D1" w:rsidRDefault="00E440D1" w:rsidP="00E440D1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Vlastnickou politiku a její změny schvaluje vláda.</w:t>
      </w:r>
    </w:p>
    <w:p w:rsidR="00E440D1" w:rsidRDefault="00E440D1" w:rsidP="00E440D1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Ministerstvo financí každoročně vyhodnocuje naplňování cílů stanovených vlastnickou politikou, a to nejpozději do 30. září následujícího roku.</w:t>
      </w:r>
    </w:p>
    <w:p w:rsidR="00E440D1" w:rsidRDefault="00E440D1" w:rsidP="00E440D1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Na základě vyhodnocení plnění cílů vlastnické politiky Ministerstvo financí nejméně jednou za tři roky zpracovává aktualizovanou podobu vlastnické politiky.</w:t>
      </w:r>
    </w:p>
    <w:p w:rsidR="00E440D1" w:rsidRDefault="00E440D1" w:rsidP="00E440D1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Schválenou vlastnickou politiku, její vyhodnocení a změny předkládá vláda na vědomí Poslanecké sněmovně.</w:t>
      </w:r>
    </w:p>
    <w:p w:rsidR="00E440D1" w:rsidRDefault="00E440D1" w:rsidP="00E440D1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Ministerstvo financí zveřejňuje na svých internetových stránkách schválenou vlastnickou politiku, její změny a vyhodnocení podle odstavce 3.</w:t>
      </w:r>
    </w:p>
    <w:p w:rsidR="00E440D1" w:rsidRDefault="00E440D1" w:rsidP="00E440D1">
      <w:pPr>
        <w:jc w:val="both"/>
        <w:rPr>
          <w:rFonts w:eastAsia="Times New Roman" w:cs="Times New Roman"/>
        </w:rPr>
      </w:pPr>
    </w:p>
    <w:p w:rsidR="00E440D1" w:rsidRDefault="00E440D1" w:rsidP="00E440D1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§ 20</w:t>
      </w:r>
    </w:p>
    <w:p w:rsidR="00E440D1" w:rsidRDefault="00E440D1" w:rsidP="00E440D1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440D1" w:rsidRDefault="00E440D1" w:rsidP="00E440D1">
      <w:pPr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Závaznost vlastnické politiky</w:t>
      </w:r>
    </w:p>
    <w:p w:rsidR="00E440D1" w:rsidRDefault="00E440D1" w:rsidP="00E440D1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440D1" w:rsidRDefault="00E440D1" w:rsidP="00E440D1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</w:t>
      </w:r>
      <w:r>
        <w:rPr>
          <w:rFonts w:eastAsia="Times New Roman" w:cs="Times New Roman"/>
        </w:rPr>
        <w:tab/>
        <w:t>(1) Není-li v ní stanoveno jinak, vlastnická politika je závazná pro stát a jeho orgány, jakož i pro osoby, které mají povinnost postupovat podle pokynů státu.</w:t>
      </w:r>
    </w:p>
    <w:p w:rsidR="00E440D1" w:rsidRDefault="00E440D1" w:rsidP="00E440D1">
      <w:pPr>
        <w:ind w:firstLine="7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(2) K provedení vlastnické politiky využije stát všech prostředků soukromého práva, které vyplývají z jeho postavení, zejména postavení ovládající osoby či akcionáře anebo postavení daného smluvním vztahem.</w:t>
      </w:r>
    </w:p>
    <w:p w:rsidR="00E440D1" w:rsidRDefault="00E440D1" w:rsidP="00E440D1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ab/>
        <w:t>(3) Vlastnickou politikou ani jakýmkoliv jednáním na jejím základě nejsou dotčena pravidla jednání člena orgánu stanovená jinými právními předpisy.</w:t>
      </w:r>
    </w:p>
    <w:p w:rsidR="00E440D1" w:rsidRDefault="00E440D1" w:rsidP="00E440D1">
      <w:pPr>
        <w:ind w:firstLine="7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(4) Stát nesmí využívat pravomoci plynoucí z postavení orgánu veřejné moci způsobem, který by obchodní společnost s majetkovou účastí státu či právnickou osobu, ve které stát působí v postavení společníka, vlastníka podílu, zakladatele či ovládající osoby, zvýhodnil či znevýhodnil vůči jiným osobám, nestanoví-li zákon jinak.“.</w:t>
      </w:r>
    </w:p>
    <w:p w:rsidR="00E440D1" w:rsidRDefault="00E440D1" w:rsidP="00E440D1">
      <w:pPr>
        <w:ind w:firstLine="720"/>
        <w:jc w:val="both"/>
        <w:rPr>
          <w:rFonts w:eastAsia="Times New Roman" w:cs="Times New Roman"/>
        </w:rPr>
      </w:pPr>
    </w:p>
    <w:p w:rsidR="00E440D1" w:rsidRDefault="00E440D1" w:rsidP="00BA6651">
      <w:pPr>
        <w:jc w:val="both"/>
      </w:pPr>
      <w:r>
        <w:rPr>
          <w:rFonts w:eastAsia="Times New Roman" w:cs="Times New Roman"/>
        </w:rPr>
        <w:t>Dosavadní Část čtvrtá se označuje jako Část pátá a dosavadní § 16 až 20 se označují jako § 21 až 25.</w:t>
      </w:r>
    </w:p>
    <w:p w:rsidR="00E440D1" w:rsidRDefault="00E440D1"/>
    <w:p w:rsidR="00E440D1" w:rsidRDefault="00E440D1"/>
    <w:p w:rsidR="00E440D1" w:rsidRDefault="00E440D1"/>
    <w:p w:rsidR="00E440D1" w:rsidRDefault="00E440D1"/>
    <w:p w:rsidR="00E440D1" w:rsidRDefault="00E440D1"/>
    <w:p w:rsidR="000C6893" w:rsidRDefault="000C6893">
      <w:pPr>
        <w:jc w:val="center"/>
      </w:pPr>
      <w:r>
        <w:t xml:space="preserve">V Praze </w:t>
      </w:r>
      <w:r w:rsidR="009D2ED7">
        <w:t>12</w:t>
      </w:r>
      <w:r w:rsidR="00E440D1">
        <w:t>. září 2019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E440D1" w:rsidRDefault="00E440D1">
      <w:pPr>
        <w:jc w:val="center"/>
      </w:pPr>
    </w:p>
    <w:p w:rsidR="00E440D1" w:rsidRDefault="00E440D1">
      <w:pPr>
        <w:jc w:val="center"/>
      </w:pPr>
    </w:p>
    <w:p w:rsidR="000C6893" w:rsidRDefault="000C6893">
      <w:pPr>
        <w:jc w:val="center"/>
      </w:pPr>
    </w:p>
    <w:p w:rsidR="00F4723E" w:rsidRDefault="00F4723E">
      <w:pPr>
        <w:jc w:val="center"/>
        <w:rPr>
          <w:lang w:eastAsia="cs-CZ"/>
        </w:rPr>
      </w:pPr>
      <w:r>
        <w:rPr>
          <w:lang w:eastAsia="cs-CZ"/>
        </w:rPr>
        <w:t xml:space="preserve">Leo </w:t>
      </w:r>
      <w:proofErr w:type="spellStart"/>
      <w:r>
        <w:rPr>
          <w:lang w:eastAsia="cs-CZ"/>
        </w:rPr>
        <w:t>Luzar</w:t>
      </w:r>
      <w:proofErr w:type="spellEnd"/>
      <w:r w:rsidR="009D2ED7">
        <w:rPr>
          <w:lang w:eastAsia="cs-CZ"/>
        </w:rPr>
        <w:t>, v.r.</w:t>
      </w:r>
      <w:bookmarkStart w:id="2" w:name="_GoBack"/>
      <w:bookmarkEnd w:id="2"/>
    </w:p>
    <w:p w:rsidR="000C6893" w:rsidRDefault="000C6893">
      <w:pPr>
        <w:jc w:val="center"/>
      </w:pPr>
      <w:r>
        <w:t>zpravodaj garančního</w:t>
      </w:r>
      <w:r w:rsidR="00F4723E">
        <w:t xml:space="preserve"> hospodářského</w:t>
      </w:r>
      <w:r>
        <w:t xml:space="preserve"> 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23E" w:rsidRDefault="00F4723E" w:rsidP="00087102">
      <w:r>
        <w:separator/>
      </w:r>
    </w:p>
  </w:endnote>
  <w:endnote w:type="continuationSeparator" w:id="0">
    <w:p w:rsidR="00F4723E" w:rsidRDefault="00F4723E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23E" w:rsidRDefault="00F4723E" w:rsidP="00087102">
      <w:r>
        <w:separator/>
      </w:r>
    </w:p>
  </w:footnote>
  <w:footnote w:type="continuationSeparator" w:id="0">
    <w:p w:rsidR="00F4723E" w:rsidRDefault="00F4723E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9D2ED7">
      <w:rPr>
        <w:noProof/>
      </w:rPr>
      <w:t>6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A7738DC"/>
    <w:multiLevelType w:val="multilevel"/>
    <w:tmpl w:val="3E0A8F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0DE56A8"/>
    <w:multiLevelType w:val="multilevel"/>
    <w:tmpl w:val="63E82D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F5979"/>
    <w:multiLevelType w:val="multilevel"/>
    <w:tmpl w:val="721E5204"/>
    <w:lvl w:ilvl="0">
      <w:start w:val="1"/>
      <w:numFmt w:val="decimal"/>
      <w:lvlText w:val="(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049507E"/>
    <w:multiLevelType w:val="multilevel"/>
    <w:tmpl w:val="683EA78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762791D"/>
    <w:multiLevelType w:val="multilevel"/>
    <w:tmpl w:val="365A7CD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A252C6E"/>
    <w:multiLevelType w:val="multilevel"/>
    <w:tmpl w:val="51B868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2031613"/>
    <w:multiLevelType w:val="multilevel"/>
    <w:tmpl w:val="3BE407C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31505AE"/>
    <w:multiLevelType w:val="hybridMultilevel"/>
    <w:tmpl w:val="A9EE8612"/>
    <w:lvl w:ilvl="0" w:tplc="C6F8C97E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A2CA9"/>
    <w:multiLevelType w:val="multilevel"/>
    <w:tmpl w:val="0136B8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7DB29C2"/>
    <w:multiLevelType w:val="multilevel"/>
    <w:tmpl w:val="417ECD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0971CC"/>
    <w:multiLevelType w:val="multilevel"/>
    <w:tmpl w:val="CACEEC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51136"/>
    <w:multiLevelType w:val="multilevel"/>
    <w:tmpl w:val="EBE8DA8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69747F8"/>
    <w:multiLevelType w:val="multilevel"/>
    <w:tmpl w:val="865601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9241CF1"/>
    <w:multiLevelType w:val="multilevel"/>
    <w:tmpl w:val="E2F8FBC6"/>
    <w:lvl w:ilvl="0">
      <w:start w:val="1"/>
      <w:numFmt w:val="decimal"/>
      <w:lvlText w:val="(%1)"/>
      <w:lvlJc w:val="left"/>
      <w:pPr>
        <w:ind w:left="0" w:firstLine="425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0" w:hanging="42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decimal"/>
      <w:lvlText w:val="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4"/>
  </w:num>
  <w:num w:numId="6">
    <w:abstractNumId w:val="12"/>
  </w:num>
  <w:num w:numId="7">
    <w:abstractNumId w:val="3"/>
  </w:num>
  <w:num w:numId="8">
    <w:abstractNumId w:val="15"/>
  </w:num>
  <w:num w:numId="9">
    <w:abstractNumId w:val="7"/>
  </w:num>
  <w:num w:numId="10">
    <w:abstractNumId w:val="5"/>
  </w:num>
  <w:num w:numId="11">
    <w:abstractNumId w:val="2"/>
  </w:num>
  <w:num w:numId="12">
    <w:abstractNumId w:val="14"/>
  </w:num>
  <w:num w:numId="13">
    <w:abstractNumId w:val="10"/>
  </w:num>
  <w:num w:numId="14">
    <w:abstractNumId w:val="13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23E"/>
    <w:rsid w:val="00017B12"/>
    <w:rsid w:val="00087102"/>
    <w:rsid w:val="000C6893"/>
    <w:rsid w:val="002D453D"/>
    <w:rsid w:val="00511F8C"/>
    <w:rsid w:val="006706ED"/>
    <w:rsid w:val="007C2384"/>
    <w:rsid w:val="00925918"/>
    <w:rsid w:val="009D2ED7"/>
    <w:rsid w:val="00A63076"/>
    <w:rsid w:val="00BA6651"/>
    <w:rsid w:val="00E440D1"/>
    <w:rsid w:val="00F4723E"/>
    <w:rsid w:val="00F82799"/>
    <w:rsid w:val="00FA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41511E"/>
  <w15:chartTrackingRefBased/>
  <w15:docId w15:val="{2E6A9E5E-EBCF-4C38-8139-00004141E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link w:val="ZkladntextChar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F4723E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F4723E"/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017B12"/>
    <w:rPr>
      <w:b/>
      <w:bCs/>
    </w:rPr>
  </w:style>
  <w:style w:type="character" w:customStyle="1" w:styleId="ZkladntextChar">
    <w:name w:val="Základní text Char"/>
    <w:link w:val="Zkladntext"/>
    <w:rsid w:val="00017B12"/>
    <w:rPr>
      <w:rFonts w:eastAsia="SimSu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32</TotalTime>
  <Pages>7</Pages>
  <Words>1835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4</cp:revision>
  <cp:lastPrinted>1899-12-31T23:00:00Z</cp:lastPrinted>
  <dcterms:created xsi:type="dcterms:W3CDTF">2019-09-11T16:14:00Z</dcterms:created>
  <dcterms:modified xsi:type="dcterms:W3CDTF">2019-09-12T11:41:00Z</dcterms:modified>
</cp:coreProperties>
</file>