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7.xml" ContentType="application/vnd.openxmlformats-officedocument.drawingml.chart+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charts/style8.xml" ContentType="application/vnd.ms-office.chartstyle+xml"/>
  <Override PartName="/word/charts/colors8.xml" ContentType="application/vnd.ms-office.chartcolorstyle+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2.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3.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4.xml" ContentType="application/vnd.openxmlformats-officedocument.drawingml.chart+xml"/>
  <Override PartName="/word/charts/style11.xml" ContentType="application/vnd.ms-office.chartstyle+xml"/>
  <Override PartName="/word/charts/colors11.xml" ContentType="application/vnd.ms-office.chartcolorstyle+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charts/chart15.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6.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7.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8.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9.xml" ContentType="application/vnd.openxmlformats-officedocument.drawingml.chart+xml"/>
  <Override PartName="/word/charts/style16.xml" ContentType="application/vnd.ms-office.chartstyle+xml"/>
  <Override PartName="/word/charts/colors16.xml" ContentType="application/vnd.ms-office.chartcolorstyle+xml"/>
  <Override PartName="/word/drawings/drawing1.xml" ContentType="application/vnd.openxmlformats-officedocument.drawingml.chartshapes+xml"/>
  <Override PartName="/word/charts/chart20.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21.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22.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3.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4.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5.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6.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7.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8.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9.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0.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1.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2.xml" ContentType="application/vnd.openxmlformats-officedocument.drawingml.chart+xml"/>
  <Override PartName="/word/charts/style29.xml" ContentType="application/vnd.ms-office.chartstyle+xml"/>
  <Override PartName="/word/charts/colors29.xml" ContentType="application/vnd.ms-office.chartcolorstyle+xml"/>
  <Override PartName="/word/drawings/drawing2.xml" ContentType="application/vnd.openxmlformats-officedocument.drawingml.chartshapes+xml"/>
  <Override PartName="/word/charts/chart33.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4.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5.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6.xml" ContentType="application/vnd.openxmlformats-officedocument.drawingml.chart+xml"/>
  <Override PartName="/word/charts/style33.xml" ContentType="application/vnd.ms-office.chartstyle+xml"/>
  <Override PartName="/word/charts/colors33.xml" ContentType="application/vnd.ms-office.chartcolorstyle+xml"/>
  <Override PartName="/word/charts/chart37.xml" ContentType="application/vnd.openxmlformats-officedocument.drawingml.chart+xml"/>
  <Override PartName="/word/charts/style34.xml" ContentType="application/vnd.ms-office.chartstyle+xml"/>
  <Override PartName="/word/charts/colors34.xml" ContentType="application/vnd.ms-office.chartcolorstyle+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charts/chart38.xml" ContentType="application/vnd.openxmlformats-officedocument.drawingml.chart+xml"/>
  <Override PartName="/word/charts/style35.xml" ContentType="application/vnd.ms-office.chartstyle+xml"/>
  <Override PartName="/word/charts/colors35.xml" ContentType="application/vnd.ms-office.chartcolorstyle+xml"/>
  <Override PartName="/word/charts/chart39.xml" ContentType="application/vnd.openxmlformats-officedocument.drawingml.chart+xml"/>
  <Override PartName="/word/charts/style36.xml" ContentType="application/vnd.ms-office.chartstyle+xml"/>
  <Override PartName="/word/charts/colors36.xml" ContentType="application/vnd.ms-office.chartcolorstyle+xml"/>
  <Override PartName="/word/charts/chart40.xml" ContentType="application/vnd.openxmlformats-officedocument.drawingml.chart+xml"/>
  <Override PartName="/word/charts/style37.xml" ContentType="application/vnd.ms-office.chartstyle+xml"/>
  <Override PartName="/word/charts/colors37.xml" ContentType="application/vnd.ms-office.chartcolorstyle+xml"/>
  <Override PartName="/word/charts/chart41.xml" ContentType="application/vnd.openxmlformats-officedocument.drawingml.chart+xml"/>
  <Override PartName="/word/charts/style38.xml" ContentType="application/vnd.ms-office.chartstyle+xml"/>
  <Override PartName="/word/charts/colors38.xml" ContentType="application/vnd.ms-office.chartcolorstyle+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2E7A8" w14:textId="44B6FEDA" w:rsidR="00A40247" w:rsidRPr="006D1499" w:rsidRDefault="00A40247" w:rsidP="001E4EB0">
      <w:pPr>
        <w:pStyle w:val="Tun"/>
        <w:rPr>
          <w:rStyle w:val="Zdraznnjemn"/>
        </w:rPr>
      </w:pPr>
      <w:bookmarkStart w:id="0" w:name="_GoBack"/>
      <w:bookmarkEnd w:id="0"/>
      <w:r w:rsidRPr="006D1499">
        <w:rPr>
          <w:rStyle w:val="Zdraznnjemn"/>
        </w:rPr>
        <w:t>Nejvyšší kontrolní úřad</w:t>
      </w:r>
    </w:p>
    <w:p w14:paraId="7D5DF251" w14:textId="73DA6EB4" w:rsidR="00A40247" w:rsidRPr="006B4D49" w:rsidRDefault="00A40247" w:rsidP="00A40247">
      <w:pPr>
        <w:spacing w:line="360" w:lineRule="auto"/>
        <w:rPr>
          <w:rFonts w:cs="Calibri"/>
        </w:rPr>
      </w:pPr>
      <w:r w:rsidRPr="006B4D49">
        <w:rPr>
          <w:rFonts w:cs="Calibri"/>
        </w:rPr>
        <w:t xml:space="preserve">Sp. zn.: </w:t>
      </w:r>
      <w:r w:rsidR="00222A21">
        <w:rPr>
          <w:rFonts w:cs="Calibri"/>
        </w:rPr>
        <w:t>158/19-NKU45/203/19</w:t>
      </w:r>
    </w:p>
    <w:p w14:paraId="182608E9" w14:textId="77777777" w:rsidR="00A40247" w:rsidRPr="006B4D49" w:rsidRDefault="00A40247" w:rsidP="00A40247">
      <w:pPr>
        <w:rPr>
          <w:rFonts w:cs="Calibri"/>
        </w:rPr>
      </w:pPr>
    </w:p>
    <w:p w14:paraId="06309350" w14:textId="1E0A1044" w:rsidR="00A40247" w:rsidRPr="006B4D49" w:rsidRDefault="00A40247" w:rsidP="00A40247">
      <w:pPr>
        <w:jc w:val="right"/>
        <w:rPr>
          <w:rFonts w:cs="Calibri"/>
        </w:rPr>
      </w:pPr>
      <w:r w:rsidRPr="006B4D49">
        <w:rPr>
          <w:rFonts w:cs="Calibri"/>
        </w:rPr>
        <w:t>Pra</w:t>
      </w:r>
      <w:r w:rsidR="00097169">
        <w:rPr>
          <w:rFonts w:cs="Calibri"/>
        </w:rPr>
        <w:t>ha</w:t>
      </w:r>
      <w:r w:rsidRPr="006B4D49">
        <w:rPr>
          <w:rFonts w:cs="Calibri"/>
        </w:rPr>
        <w:t xml:space="preserve"> </w:t>
      </w:r>
      <w:r w:rsidR="006A0599">
        <w:rPr>
          <w:rFonts w:cs="Calibri"/>
        </w:rPr>
        <w:t>2</w:t>
      </w:r>
      <w:r w:rsidR="005616F0">
        <w:rPr>
          <w:rFonts w:cs="Calibri"/>
        </w:rPr>
        <w:t>3</w:t>
      </w:r>
      <w:r w:rsidR="006A0599">
        <w:rPr>
          <w:rFonts w:cs="Calibri"/>
        </w:rPr>
        <w:t xml:space="preserve">. 8. </w:t>
      </w:r>
      <w:r w:rsidRPr="006B4D49">
        <w:rPr>
          <w:rFonts w:cs="Calibri"/>
        </w:rPr>
        <w:t>201</w:t>
      </w:r>
      <w:r w:rsidR="005616F0">
        <w:rPr>
          <w:rFonts w:cs="Calibri"/>
        </w:rPr>
        <w:t>9</w:t>
      </w:r>
    </w:p>
    <w:p w14:paraId="10900E2D" w14:textId="77777777" w:rsidR="00A40247" w:rsidRPr="006B4D49" w:rsidRDefault="00A40247" w:rsidP="00A40247">
      <w:pPr>
        <w:spacing w:line="360" w:lineRule="auto"/>
        <w:jc w:val="center"/>
        <w:rPr>
          <w:rFonts w:cs="Calibri"/>
        </w:rPr>
      </w:pPr>
    </w:p>
    <w:p w14:paraId="017C8AF9" w14:textId="680559D8" w:rsidR="00A40247" w:rsidRDefault="00A40247" w:rsidP="00A40247">
      <w:pPr>
        <w:spacing w:line="360" w:lineRule="auto"/>
        <w:jc w:val="center"/>
        <w:rPr>
          <w:rFonts w:cs="Calibri"/>
        </w:rPr>
      </w:pPr>
    </w:p>
    <w:p w14:paraId="1EE35DC0" w14:textId="77777777" w:rsidR="0069479A" w:rsidRDefault="0069479A" w:rsidP="00A40247">
      <w:pPr>
        <w:spacing w:line="360" w:lineRule="auto"/>
        <w:jc w:val="center"/>
        <w:rPr>
          <w:rFonts w:cs="Calibri"/>
        </w:rPr>
      </w:pPr>
    </w:p>
    <w:p w14:paraId="139052CA" w14:textId="77777777" w:rsidR="0069479A" w:rsidRPr="006B4D49" w:rsidRDefault="0069479A" w:rsidP="00A40247">
      <w:pPr>
        <w:spacing w:line="360" w:lineRule="auto"/>
        <w:jc w:val="center"/>
        <w:rPr>
          <w:rFonts w:cs="Calibri"/>
        </w:rPr>
      </w:pPr>
    </w:p>
    <w:p w14:paraId="21EC35E5" w14:textId="3BDEF3E8" w:rsidR="00A40247" w:rsidRPr="00F41F2B" w:rsidRDefault="00A40247" w:rsidP="00A40247">
      <w:pPr>
        <w:pStyle w:val="Nzevstan"/>
      </w:pPr>
      <w:r w:rsidRPr="00F41F2B">
        <w:t>Stanovisko</w:t>
      </w:r>
    </w:p>
    <w:p w14:paraId="7DDC57F3" w14:textId="77777777" w:rsidR="00A40247" w:rsidRPr="00F41F2B" w:rsidRDefault="00A40247" w:rsidP="00A40247">
      <w:pPr>
        <w:pStyle w:val="Nzevstan"/>
      </w:pPr>
      <w:r w:rsidRPr="00F41F2B">
        <w:t>k návrhu státního závěrečného účtu České republiky</w:t>
      </w:r>
    </w:p>
    <w:p w14:paraId="0926EEBE" w14:textId="0918E5E5" w:rsidR="00A40247" w:rsidRPr="00F41F2B" w:rsidRDefault="00A40247" w:rsidP="00A40247">
      <w:pPr>
        <w:pStyle w:val="Nzevstan"/>
      </w:pPr>
      <w:r w:rsidRPr="00F41F2B">
        <w:t xml:space="preserve">za rok </w:t>
      </w:r>
      <w:r>
        <w:t>201</w:t>
      </w:r>
      <w:r w:rsidR="005616F0">
        <w:t>8</w:t>
      </w:r>
    </w:p>
    <w:p w14:paraId="35A1A8A5" w14:textId="34B46DF1" w:rsidR="00A40247" w:rsidRPr="006B4D49" w:rsidRDefault="00A40247" w:rsidP="00A40247">
      <w:pPr>
        <w:spacing w:line="360" w:lineRule="auto"/>
        <w:jc w:val="center"/>
        <w:rPr>
          <w:rFonts w:cs="Calibri"/>
        </w:rPr>
      </w:pPr>
    </w:p>
    <w:p w14:paraId="15CF8F92" w14:textId="0BC11EBA" w:rsidR="00A40247" w:rsidRPr="006B4D49" w:rsidRDefault="00A40247" w:rsidP="00A40247">
      <w:pPr>
        <w:spacing w:line="360" w:lineRule="auto"/>
        <w:jc w:val="center"/>
        <w:rPr>
          <w:rFonts w:cs="Calibri"/>
        </w:rPr>
      </w:pPr>
      <w:r w:rsidRPr="006B4D49">
        <w:rPr>
          <w:rFonts w:cs="Calibri"/>
        </w:rPr>
        <w:t>(k sněmovnímu tisku č.</w:t>
      </w:r>
      <w:r w:rsidR="002C0F71">
        <w:rPr>
          <w:rFonts w:cs="Calibri"/>
        </w:rPr>
        <w:t xml:space="preserve"> </w:t>
      </w:r>
      <w:r w:rsidR="00974BE7">
        <w:rPr>
          <w:rFonts w:cs="Calibri"/>
        </w:rPr>
        <w:t>472</w:t>
      </w:r>
      <w:r w:rsidR="002C0F71">
        <w:rPr>
          <w:rFonts w:cs="Calibri"/>
        </w:rPr>
        <w:t>/</w:t>
      </w:r>
      <w:r w:rsidR="00974BE7">
        <w:rPr>
          <w:rFonts w:cs="Calibri"/>
        </w:rPr>
        <w:t>0</w:t>
      </w:r>
      <w:r w:rsidRPr="006B4D49">
        <w:rPr>
          <w:rFonts w:cs="Calibri"/>
        </w:rPr>
        <w:t>)</w:t>
      </w:r>
    </w:p>
    <w:p w14:paraId="56C38E68" w14:textId="77777777" w:rsidR="00A40247" w:rsidRPr="006B4D49" w:rsidRDefault="00A40247" w:rsidP="00A40247">
      <w:pPr>
        <w:spacing w:line="360" w:lineRule="auto"/>
        <w:jc w:val="center"/>
        <w:rPr>
          <w:rFonts w:cs="Calibri"/>
        </w:rPr>
      </w:pPr>
    </w:p>
    <w:p w14:paraId="273B18BB" w14:textId="30E5376B" w:rsidR="00A40247" w:rsidRPr="006B4D49" w:rsidRDefault="00A40247" w:rsidP="00A40247">
      <w:pPr>
        <w:spacing w:line="360" w:lineRule="auto"/>
        <w:jc w:val="center"/>
        <w:rPr>
          <w:rFonts w:cs="Calibri"/>
        </w:rPr>
      </w:pPr>
      <w:r w:rsidRPr="006B4D49">
        <w:rPr>
          <w:rFonts w:cs="Calibri"/>
        </w:rPr>
        <w:t>(předkládané v souladu s § 5 zákona č. 166/1993 Sb., o Nejvyšším kontrolním úřadu)</w:t>
      </w:r>
    </w:p>
    <w:p w14:paraId="21307575" w14:textId="1BE8AF95" w:rsidR="00A40247" w:rsidRPr="006B4D49" w:rsidRDefault="00A40247" w:rsidP="00A40247">
      <w:pPr>
        <w:spacing w:line="360" w:lineRule="auto"/>
        <w:jc w:val="center"/>
        <w:rPr>
          <w:rFonts w:cs="Calibri"/>
        </w:rPr>
      </w:pPr>
    </w:p>
    <w:p w14:paraId="5B16D3D5" w14:textId="48A49DAD" w:rsidR="00A40247" w:rsidRDefault="00222A21" w:rsidP="00A40247">
      <w:pPr>
        <w:spacing w:line="360" w:lineRule="auto"/>
        <w:jc w:val="center"/>
        <w:rPr>
          <w:rFonts w:cs="Calibri"/>
        </w:rPr>
      </w:pPr>
      <w:r w:rsidRPr="00222A21">
        <w:rPr>
          <w:rStyle w:val="Zdraznnjemn"/>
        </w:rPr>
        <w:drawing>
          <wp:anchor distT="0" distB="0" distL="114300" distR="114300" simplePos="0" relativeHeight="251692544" behindDoc="0" locked="0" layoutInCell="1" allowOverlap="1" wp14:anchorId="31C557DB" wp14:editId="5544DB1E">
            <wp:simplePos x="0" y="0"/>
            <wp:positionH relativeFrom="column">
              <wp:posOffset>1944149</wp:posOffset>
            </wp:positionH>
            <wp:positionV relativeFrom="paragraph">
              <wp:posOffset>149418</wp:posOffset>
            </wp:positionV>
            <wp:extent cx="1008000" cy="1008000"/>
            <wp:effectExtent l="0" t="0" r="0" b="1905"/>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azítk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08000" cy="1008000"/>
                    </a:xfrm>
                    <a:prstGeom prst="rect">
                      <a:avLst/>
                    </a:prstGeom>
                  </pic:spPr>
                </pic:pic>
              </a:graphicData>
            </a:graphic>
            <wp14:sizeRelH relativeFrom="page">
              <wp14:pctWidth>0</wp14:pctWidth>
            </wp14:sizeRelH>
            <wp14:sizeRelV relativeFrom="page">
              <wp14:pctHeight>0</wp14:pctHeight>
            </wp14:sizeRelV>
          </wp:anchor>
        </w:drawing>
      </w:r>
    </w:p>
    <w:p w14:paraId="4B4872B7" w14:textId="211431B8" w:rsidR="00BA1917" w:rsidRPr="006B4D49" w:rsidRDefault="00BA1917" w:rsidP="00A40247">
      <w:pPr>
        <w:spacing w:line="360" w:lineRule="auto"/>
        <w:jc w:val="center"/>
        <w:rPr>
          <w:rFonts w:cs="Calibri"/>
        </w:rPr>
      </w:pPr>
    </w:p>
    <w:p w14:paraId="15C9736A" w14:textId="4770397D" w:rsidR="00A40247" w:rsidRDefault="00A40247" w:rsidP="00A40247">
      <w:pPr>
        <w:spacing w:line="360" w:lineRule="auto"/>
        <w:jc w:val="center"/>
        <w:rPr>
          <w:rFonts w:cs="Calibri"/>
        </w:rPr>
      </w:pPr>
    </w:p>
    <w:p w14:paraId="0B9282A3" w14:textId="6E34C157" w:rsidR="00990BBB" w:rsidRPr="006B4D49" w:rsidRDefault="00990BBB" w:rsidP="00A40247">
      <w:pPr>
        <w:spacing w:line="360" w:lineRule="auto"/>
        <w:jc w:val="center"/>
        <w:rPr>
          <w:rFonts w:cs="Calibri"/>
        </w:rPr>
      </w:pPr>
    </w:p>
    <w:p w14:paraId="560F9258" w14:textId="78EA1BCA" w:rsidR="00A40247" w:rsidRPr="006B4D49" w:rsidRDefault="00222A21" w:rsidP="00A40247">
      <w:pPr>
        <w:spacing w:line="360" w:lineRule="auto"/>
        <w:jc w:val="center"/>
        <w:rPr>
          <w:rFonts w:cs="Calibri"/>
        </w:rPr>
      </w:pPr>
      <w:r w:rsidRPr="00222A21">
        <w:rPr>
          <w:rStyle w:val="Zdraznnjemn"/>
        </w:rPr>
        <w:drawing>
          <wp:anchor distT="0" distB="0" distL="114300" distR="114300" simplePos="0" relativeHeight="251693568" behindDoc="0" locked="0" layoutInCell="1" allowOverlap="1" wp14:anchorId="701C2A68" wp14:editId="1EEA634E">
            <wp:simplePos x="0" y="0"/>
            <wp:positionH relativeFrom="column">
              <wp:posOffset>-92765</wp:posOffset>
            </wp:positionH>
            <wp:positionV relativeFrom="paragraph">
              <wp:posOffset>144448</wp:posOffset>
            </wp:positionV>
            <wp:extent cx="3744000" cy="1588063"/>
            <wp:effectExtent l="0" t="0" r="0" b="0"/>
            <wp:wrapNone/>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odpis_Kal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44000" cy="1588063"/>
                    </a:xfrm>
                    <a:prstGeom prst="rect">
                      <a:avLst/>
                    </a:prstGeom>
                  </pic:spPr>
                </pic:pic>
              </a:graphicData>
            </a:graphic>
            <wp14:sizeRelH relativeFrom="page">
              <wp14:pctWidth>0</wp14:pctWidth>
            </wp14:sizeRelH>
            <wp14:sizeRelV relativeFrom="page">
              <wp14:pctHeight>0</wp14:pctHeight>
            </wp14:sizeRelV>
          </wp:anchor>
        </w:drawing>
      </w:r>
    </w:p>
    <w:p w14:paraId="2E6E2C3C" w14:textId="417ADDBD" w:rsidR="00A40247" w:rsidRPr="006B4D49" w:rsidRDefault="00A40247" w:rsidP="00A40247">
      <w:pPr>
        <w:spacing w:line="360" w:lineRule="auto"/>
        <w:jc w:val="center"/>
        <w:rPr>
          <w:rFonts w:cs="Calibri"/>
        </w:rPr>
      </w:pPr>
    </w:p>
    <w:p w14:paraId="53A3D3B6" w14:textId="07B32200" w:rsidR="00A40247" w:rsidRPr="006B4D49" w:rsidRDefault="00A40247" w:rsidP="00A40247">
      <w:pPr>
        <w:spacing w:line="360" w:lineRule="auto"/>
        <w:jc w:val="center"/>
        <w:rPr>
          <w:rFonts w:cs="Calibri"/>
        </w:rPr>
      </w:pPr>
    </w:p>
    <w:p w14:paraId="4EFDC5C2" w14:textId="77777777" w:rsidR="00A40247" w:rsidRPr="006B4D49" w:rsidRDefault="00A40247" w:rsidP="00A40247">
      <w:pPr>
        <w:pStyle w:val="Nadpis5"/>
        <w:tabs>
          <w:tab w:val="left" w:pos="1440"/>
        </w:tabs>
        <w:spacing w:before="0"/>
        <w:rPr>
          <w:rFonts w:ascii="Calibri" w:hAnsi="Calibri" w:cs="Calibri"/>
          <w:b/>
          <w:color w:val="auto"/>
          <w:spacing w:val="30"/>
        </w:rPr>
      </w:pPr>
      <w:r w:rsidRPr="006B4D49">
        <w:rPr>
          <w:rFonts w:ascii="Calibri" w:hAnsi="Calibri" w:cs="Calibri"/>
          <w:b/>
          <w:color w:val="auto"/>
        </w:rPr>
        <w:t>Předkládá:</w:t>
      </w:r>
      <w:r w:rsidRPr="006B4D49">
        <w:rPr>
          <w:rFonts w:ascii="Calibri" w:hAnsi="Calibri" w:cs="Calibri"/>
          <w:b/>
          <w:color w:val="auto"/>
        </w:rPr>
        <w:tab/>
      </w:r>
      <w:r w:rsidRPr="006B4D49">
        <w:rPr>
          <w:rFonts w:ascii="Calibri" w:hAnsi="Calibri" w:cs="Calibri"/>
          <w:b/>
          <w:color w:val="auto"/>
          <w:spacing w:val="30"/>
        </w:rPr>
        <w:t>Miloslav Kala,</w:t>
      </w:r>
    </w:p>
    <w:p w14:paraId="0C5D05FD" w14:textId="5E0BF3BD" w:rsidR="00A40247" w:rsidRPr="00A275A8" w:rsidRDefault="00A40247" w:rsidP="00A40247">
      <w:pPr>
        <w:tabs>
          <w:tab w:val="left" w:pos="1440"/>
        </w:tabs>
        <w:spacing w:before="0" w:after="0"/>
        <w:rPr>
          <w:b/>
          <w:bCs/>
        </w:rPr>
      </w:pPr>
      <w:r w:rsidRPr="006B4D49">
        <w:rPr>
          <w:rFonts w:cs="Calibri"/>
          <w:b/>
          <w:bCs/>
        </w:rPr>
        <w:tab/>
        <w:t>prezident Nejvyššího kontrolního úřadu</w:t>
      </w:r>
      <w:r w:rsidRPr="00A275A8">
        <w:br w:type="page"/>
      </w:r>
    </w:p>
    <w:p w14:paraId="67BB8337" w14:textId="5E3046EF" w:rsidR="00A40247" w:rsidRDefault="00A40247" w:rsidP="00A40247">
      <w:r w:rsidRPr="00B422E0">
        <w:lastRenderedPageBreak/>
        <w:t>Nejvyšší kontrolní úřad (dále také „NKÚ“) předkládá Poslanecké sněmovně Parlamentu České republiky (dále také „PS PČR“) stanovisko k vládnímu návrhu státního závěrečného účtu (dále také „SZÚ“) České republiky (dále také „ČR“) za rok 201</w:t>
      </w:r>
      <w:r w:rsidR="005616F0">
        <w:t>8</w:t>
      </w:r>
      <w:r>
        <w:t xml:space="preserve"> na základě ustanovení § </w:t>
      </w:r>
      <w:r w:rsidRPr="00B422E0">
        <w:t>5 zákona č. 166/1993 Sb., o Nejvyšším kontrolním úřadu. NKÚ při vypracování stanoviska vycházel z</w:t>
      </w:r>
      <w:r w:rsidR="00B80A50">
        <w:t>e</w:t>
      </w:r>
      <w:r w:rsidR="00B1385A">
        <w:t xml:space="preserve"> </w:t>
      </w:r>
      <w:r>
        <w:t xml:space="preserve">sněmovního </w:t>
      </w:r>
      <w:r w:rsidRPr="00B422E0">
        <w:t>tisku PS PČR č.</w:t>
      </w:r>
      <w:r w:rsidR="00977E61">
        <w:t xml:space="preserve"> </w:t>
      </w:r>
      <w:r w:rsidR="003741AD">
        <w:t>472</w:t>
      </w:r>
      <w:r w:rsidR="00977E61">
        <w:t>/</w:t>
      </w:r>
      <w:r w:rsidR="003741AD">
        <w:t>0</w:t>
      </w:r>
      <w:r w:rsidRPr="00B422E0">
        <w:t xml:space="preserve">, </w:t>
      </w:r>
      <w:r>
        <w:t xml:space="preserve">ze </w:t>
      </w:r>
      <w:r w:rsidRPr="00B422E0">
        <w:t xml:space="preserve">závěrečných účtů </w:t>
      </w:r>
      <w:r>
        <w:t xml:space="preserve">(dále také „ZÚ“) </w:t>
      </w:r>
      <w:r w:rsidRPr="00B422E0">
        <w:t>jednotlivých kapitol státního rozpočtu</w:t>
      </w:r>
      <w:r w:rsidR="00ED3150" w:rsidRPr="00ED3150">
        <w:t xml:space="preserve"> </w:t>
      </w:r>
      <w:r w:rsidR="00ED3150">
        <w:t>(dále také „SR“)</w:t>
      </w:r>
      <w:r w:rsidRPr="00B422E0">
        <w:t xml:space="preserve">, ze schválených kontrolních závěrů </w:t>
      </w:r>
      <w:r w:rsidR="00392C40">
        <w:t>kontrolní</w:t>
      </w:r>
      <w:r w:rsidR="00097169">
        <w:t>ch</w:t>
      </w:r>
      <w:r w:rsidR="00392C40">
        <w:t xml:space="preserve"> akcí (dále také</w:t>
      </w:r>
      <w:r w:rsidR="00EC324C">
        <w:t xml:space="preserve"> „KA“) </w:t>
      </w:r>
      <w:r w:rsidRPr="00B422E0">
        <w:t>a z dalších poznatků z kontrolní a</w:t>
      </w:r>
      <w:r w:rsidR="00097169">
        <w:t xml:space="preserve"> </w:t>
      </w:r>
      <w:r w:rsidRPr="00B422E0">
        <w:t>analytické činnosti NKÚ.</w:t>
      </w:r>
    </w:p>
    <w:p w14:paraId="1FA5B9B0" w14:textId="77777777" w:rsidR="00A40247" w:rsidRDefault="00A40247" w:rsidP="00A40247"/>
    <w:p w14:paraId="33D14D36" w14:textId="77777777" w:rsidR="00A40247" w:rsidRDefault="00A40247" w:rsidP="00A40247">
      <w:r w:rsidRPr="00B422E0">
        <w:t>Stanovisko NKÚ je rozvrženo do následujících částí:</w:t>
      </w:r>
    </w:p>
    <w:p w14:paraId="0C07E02B" w14:textId="1BFC6AF8" w:rsidR="003E7FCF" w:rsidRDefault="00A40247" w:rsidP="003E7FCF">
      <w:pPr>
        <w:pStyle w:val="Obsah1"/>
        <w:rPr>
          <w:rFonts w:eastAsiaTheme="minorEastAsia" w:cstheme="minorBidi"/>
          <w:noProof/>
          <w:sz w:val="22"/>
          <w:szCs w:val="22"/>
          <w:lang w:eastAsia="cs-CZ"/>
        </w:rPr>
      </w:pPr>
      <w:r>
        <w:fldChar w:fldCharType="begin"/>
      </w:r>
      <w:r>
        <w:instrText xml:space="preserve"> TOC \o "1-3" \h \z \u </w:instrText>
      </w:r>
      <w:r>
        <w:fldChar w:fldCharType="separate"/>
      </w:r>
      <w:hyperlink w:anchor="_Toc17208261" w:history="1">
        <w:r w:rsidR="003E7FCF" w:rsidRPr="005A52E2">
          <w:rPr>
            <w:rStyle w:val="Hypertextovodkaz"/>
            <w:noProof/>
          </w:rPr>
          <w:t>I.</w:t>
        </w:r>
        <w:r w:rsidR="003E7FCF">
          <w:rPr>
            <w:rFonts w:eastAsiaTheme="minorEastAsia" w:cstheme="minorBidi"/>
            <w:noProof/>
            <w:sz w:val="22"/>
            <w:szCs w:val="22"/>
            <w:lang w:eastAsia="cs-CZ"/>
          </w:rPr>
          <w:tab/>
        </w:r>
        <w:r w:rsidR="003E7FCF" w:rsidRPr="005A52E2">
          <w:rPr>
            <w:rStyle w:val="Hypertextovodkaz"/>
            <w:noProof/>
          </w:rPr>
          <w:t>Úvodní slovo prezidenta</w:t>
        </w:r>
        <w:r w:rsidR="003E7FCF">
          <w:rPr>
            <w:noProof/>
            <w:webHidden/>
          </w:rPr>
          <w:tab/>
        </w:r>
        <w:r w:rsidR="003E7FCF">
          <w:rPr>
            <w:noProof/>
            <w:webHidden/>
          </w:rPr>
          <w:fldChar w:fldCharType="begin"/>
        </w:r>
        <w:r w:rsidR="003E7FCF">
          <w:rPr>
            <w:noProof/>
            <w:webHidden/>
          </w:rPr>
          <w:instrText xml:space="preserve"> PAGEREF _Toc17208261 \h </w:instrText>
        </w:r>
        <w:r w:rsidR="003E7FCF">
          <w:rPr>
            <w:noProof/>
            <w:webHidden/>
          </w:rPr>
        </w:r>
        <w:r w:rsidR="003E7FCF">
          <w:rPr>
            <w:noProof/>
            <w:webHidden/>
          </w:rPr>
          <w:fldChar w:fldCharType="separate"/>
        </w:r>
        <w:r w:rsidR="009849B2">
          <w:rPr>
            <w:noProof/>
            <w:webHidden/>
          </w:rPr>
          <w:t>4</w:t>
        </w:r>
        <w:r w:rsidR="003E7FCF">
          <w:rPr>
            <w:noProof/>
            <w:webHidden/>
          </w:rPr>
          <w:fldChar w:fldCharType="end"/>
        </w:r>
      </w:hyperlink>
    </w:p>
    <w:p w14:paraId="252F8001" w14:textId="1BDAC733" w:rsidR="003E7FCF" w:rsidRDefault="009849B2" w:rsidP="003E7FCF">
      <w:pPr>
        <w:pStyle w:val="Obsah1"/>
        <w:rPr>
          <w:rFonts w:eastAsiaTheme="minorEastAsia" w:cstheme="minorBidi"/>
          <w:noProof/>
          <w:sz w:val="22"/>
          <w:szCs w:val="22"/>
          <w:lang w:eastAsia="cs-CZ"/>
        </w:rPr>
      </w:pPr>
      <w:hyperlink w:anchor="_Toc17208262" w:history="1">
        <w:r w:rsidR="003E7FCF" w:rsidRPr="005A52E2">
          <w:rPr>
            <w:rStyle w:val="Hypertextovodkaz"/>
            <w:noProof/>
          </w:rPr>
          <w:t>II.</w:t>
        </w:r>
        <w:r w:rsidR="003E7FCF">
          <w:rPr>
            <w:rFonts w:eastAsiaTheme="minorEastAsia" w:cstheme="minorBidi"/>
            <w:noProof/>
            <w:sz w:val="22"/>
            <w:szCs w:val="22"/>
            <w:lang w:eastAsia="cs-CZ"/>
          </w:rPr>
          <w:tab/>
        </w:r>
        <w:r w:rsidR="003E7FCF" w:rsidRPr="005A52E2">
          <w:rPr>
            <w:rStyle w:val="Hypertextovodkaz"/>
            <w:noProof/>
          </w:rPr>
          <w:t>Shrnutí</w:t>
        </w:r>
        <w:r w:rsidR="003E7FCF">
          <w:rPr>
            <w:noProof/>
            <w:webHidden/>
          </w:rPr>
          <w:tab/>
        </w:r>
        <w:r w:rsidR="003E7FCF">
          <w:rPr>
            <w:noProof/>
            <w:webHidden/>
          </w:rPr>
          <w:fldChar w:fldCharType="begin"/>
        </w:r>
        <w:r w:rsidR="003E7FCF">
          <w:rPr>
            <w:noProof/>
            <w:webHidden/>
          </w:rPr>
          <w:instrText xml:space="preserve"> PAGEREF _Toc17208262 \h </w:instrText>
        </w:r>
        <w:r w:rsidR="003E7FCF">
          <w:rPr>
            <w:noProof/>
            <w:webHidden/>
          </w:rPr>
        </w:r>
        <w:r w:rsidR="003E7FCF">
          <w:rPr>
            <w:noProof/>
            <w:webHidden/>
          </w:rPr>
          <w:fldChar w:fldCharType="separate"/>
        </w:r>
        <w:r>
          <w:rPr>
            <w:noProof/>
            <w:webHidden/>
          </w:rPr>
          <w:t>5</w:t>
        </w:r>
        <w:r w:rsidR="003E7FCF">
          <w:rPr>
            <w:noProof/>
            <w:webHidden/>
          </w:rPr>
          <w:fldChar w:fldCharType="end"/>
        </w:r>
      </w:hyperlink>
    </w:p>
    <w:p w14:paraId="2A4E6A8D" w14:textId="56E9A43A" w:rsidR="003E7FCF" w:rsidRDefault="009849B2" w:rsidP="003E7FCF">
      <w:pPr>
        <w:pStyle w:val="Obsah1"/>
        <w:rPr>
          <w:rFonts w:eastAsiaTheme="minorEastAsia" w:cstheme="minorBidi"/>
          <w:noProof/>
          <w:sz w:val="22"/>
          <w:szCs w:val="22"/>
          <w:lang w:eastAsia="cs-CZ"/>
        </w:rPr>
      </w:pPr>
      <w:hyperlink w:anchor="_Toc17208263" w:history="1">
        <w:r w:rsidR="003E7FCF" w:rsidRPr="005A52E2">
          <w:rPr>
            <w:rStyle w:val="Hypertextovodkaz"/>
            <w:noProof/>
          </w:rPr>
          <w:t>III.</w:t>
        </w:r>
        <w:r w:rsidR="003E7FCF">
          <w:rPr>
            <w:rFonts w:eastAsiaTheme="minorEastAsia" w:cstheme="minorBidi"/>
            <w:noProof/>
            <w:sz w:val="22"/>
            <w:szCs w:val="22"/>
            <w:lang w:eastAsia="cs-CZ"/>
          </w:rPr>
          <w:tab/>
        </w:r>
        <w:r w:rsidR="003E7FCF" w:rsidRPr="005A52E2">
          <w:rPr>
            <w:rStyle w:val="Hypertextovodkaz"/>
            <w:noProof/>
          </w:rPr>
          <w:t>Ekonomický vývoj</w:t>
        </w:r>
        <w:r w:rsidR="003E7FCF">
          <w:rPr>
            <w:noProof/>
            <w:webHidden/>
          </w:rPr>
          <w:tab/>
        </w:r>
        <w:r w:rsidR="003E7FCF">
          <w:rPr>
            <w:noProof/>
            <w:webHidden/>
          </w:rPr>
          <w:fldChar w:fldCharType="begin"/>
        </w:r>
        <w:r w:rsidR="003E7FCF">
          <w:rPr>
            <w:noProof/>
            <w:webHidden/>
          </w:rPr>
          <w:instrText xml:space="preserve"> PAGEREF _Toc17208263 \h </w:instrText>
        </w:r>
        <w:r w:rsidR="003E7FCF">
          <w:rPr>
            <w:noProof/>
            <w:webHidden/>
          </w:rPr>
        </w:r>
        <w:r w:rsidR="003E7FCF">
          <w:rPr>
            <w:noProof/>
            <w:webHidden/>
          </w:rPr>
          <w:fldChar w:fldCharType="separate"/>
        </w:r>
        <w:r>
          <w:rPr>
            <w:noProof/>
            <w:webHidden/>
          </w:rPr>
          <w:t>6</w:t>
        </w:r>
        <w:r w:rsidR="003E7FCF">
          <w:rPr>
            <w:noProof/>
            <w:webHidden/>
          </w:rPr>
          <w:fldChar w:fldCharType="end"/>
        </w:r>
      </w:hyperlink>
    </w:p>
    <w:p w14:paraId="1D5A61F1" w14:textId="3E7FE5BC" w:rsidR="003E7FCF" w:rsidRDefault="009849B2" w:rsidP="003E7FCF">
      <w:pPr>
        <w:pStyle w:val="Obsah1"/>
        <w:rPr>
          <w:rFonts w:eastAsiaTheme="minorEastAsia" w:cstheme="minorBidi"/>
          <w:noProof/>
          <w:sz w:val="22"/>
          <w:szCs w:val="22"/>
          <w:lang w:eastAsia="cs-CZ"/>
        </w:rPr>
      </w:pPr>
      <w:hyperlink w:anchor="_Toc17208264" w:history="1">
        <w:r w:rsidR="003E7FCF" w:rsidRPr="005A52E2">
          <w:rPr>
            <w:rStyle w:val="Hypertextovodkaz"/>
            <w:noProof/>
          </w:rPr>
          <w:t>IV.</w:t>
        </w:r>
        <w:r w:rsidR="003E7FCF">
          <w:rPr>
            <w:rFonts w:eastAsiaTheme="minorEastAsia" w:cstheme="minorBidi"/>
            <w:noProof/>
            <w:sz w:val="22"/>
            <w:szCs w:val="22"/>
            <w:lang w:eastAsia="cs-CZ"/>
          </w:rPr>
          <w:tab/>
        </w:r>
        <w:r w:rsidR="003E7FCF" w:rsidRPr="005A52E2">
          <w:rPr>
            <w:rStyle w:val="Hypertextovodkaz"/>
            <w:noProof/>
          </w:rPr>
          <w:t>Státní rozpočet</w:t>
        </w:r>
        <w:r w:rsidR="003E7FCF">
          <w:rPr>
            <w:noProof/>
            <w:webHidden/>
          </w:rPr>
          <w:tab/>
        </w:r>
        <w:r w:rsidR="003E7FCF">
          <w:rPr>
            <w:noProof/>
            <w:webHidden/>
          </w:rPr>
          <w:fldChar w:fldCharType="begin"/>
        </w:r>
        <w:r w:rsidR="003E7FCF">
          <w:rPr>
            <w:noProof/>
            <w:webHidden/>
          </w:rPr>
          <w:instrText xml:space="preserve"> PAGEREF _Toc17208264 \h </w:instrText>
        </w:r>
        <w:r w:rsidR="003E7FCF">
          <w:rPr>
            <w:noProof/>
            <w:webHidden/>
          </w:rPr>
        </w:r>
        <w:r w:rsidR="003E7FCF">
          <w:rPr>
            <w:noProof/>
            <w:webHidden/>
          </w:rPr>
          <w:fldChar w:fldCharType="separate"/>
        </w:r>
        <w:r>
          <w:rPr>
            <w:noProof/>
            <w:webHidden/>
          </w:rPr>
          <w:t>9</w:t>
        </w:r>
        <w:r w:rsidR="003E7FCF">
          <w:rPr>
            <w:noProof/>
            <w:webHidden/>
          </w:rPr>
          <w:fldChar w:fldCharType="end"/>
        </w:r>
      </w:hyperlink>
    </w:p>
    <w:p w14:paraId="2F6C0F4D" w14:textId="6AC61AF6" w:rsidR="003E7FCF" w:rsidRDefault="009849B2">
      <w:pPr>
        <w:pStyle w:val="Obsah3"/>
        <w:rPr>
          <w:rFonts w:eastAsiaTheme="minorEastAsia" w:cstheme="minorBidi"/>
          <w:noProof/>
          <w:sz w:val="22"/>
          <w:szCs w:val="22"/>
          <w:lang w:eastAsia="cs-CZ"/>
        </w:rPr>
      </w:pPr>
      <w:hyperlink w:anchor="_Toc17208265" w:history="1">
        <w:r w:rsidR="003E7FCF" w:rsidRPr="005A52E2">
          <w:rPr>
            <w:rStyle w:val="Hypertextovodkaz"/>
            <w:noProof/>
          </w:rPr>
          <w:t>1.</w:t>
        </w:r>
        <w:r w:rsidR="003E7FCF">
          <w:rPr>
            <w:rFonts w:eastAsiaTheme="minorEastAsia" w:cstheme="minorBidi"/>
            <w:noProof/>
            <w:sz w:val="22"/>
            <w:szCs w:val="22"/>
            <w:lang w:eastAsia="cs-CZ"/>
          </w:rPr>
          <w:tab/>
        </w:r>
        <w:r w:rsidR="003E7FCF" w:rsidRPr="005A52E2">
          <w:rPr>
            <w:rStyle w:val="Hypertextovodkaz"/>
            <w:noProof/>
          </w:rPr>
          <w:t>Hospodaření státního rozpočtu</w:t>
        </w:r>
        <w:r w:rsidR="003E7FCF">
          <w:rPr>
            <w:noProof/>
            <w:webHidden/>
          </w:rPr>
          <w:tab/>
        </w:r>
        <w:r w:rsidR="003E7FCF">
          <w:rPr>
            <w:noProof/>
            <w:webHidden/>
          </w:rPr>
          <w:fldChar w:fldCharType="begin"/>
        </w:r>
        <w:r w:rsidR="003E7FCF">
          <w:rPr>
            <w:noProof/>
            <w:webHidden/>
          </w:rPr>
          <w:instrText xml:space="preserve"> PAGEREF _Toc17208265 \h </w:instrText>
        </w:r>
        <w:r w:rsidR="003E7FCF">
          <w:rPr>
            <w:noProof/>
            <w:webHidden/>
          </w:rPr>
        </w:r>
        <w:r w:rsidR="003E7FCF">
          <w:rPr>
            <w:noProof/>
            <w:webHidden/>
          </w:rPr>
          <w:fldChar w:fldCharType="separate"/>
        </w:r>
        <w:r>
          <w:rPr>
            <w:noProof/>
            <w:webHidden/>
          </w:rPr>
          <w:t>9</w:t>
        </w:r>
        <w:r w:rsidR="003E7FCF">
          <w:rPr>
            <w:noProof/>
            <w:webHidden/>
          </w:rPr>
          <w:fldChar w:fldCharType="end"/>
        </w:r>
      </w:hyperlink>
    </w:p>
    <w:p w14:paraId="5F93D204" w14:textId="5C077109" w:rsidR="003E7FCF" w:rsidRDefault="009849B2">
      <w:pPr>
        <w:pStyle w:val="Obsah3"/>
        <w:rPr>
          <w:rFonts w:eastAsiaTheme="minorEastAsia" w:cstheme="minorBidi"/>
          <w:noProof/>
          <w:sz w:val="22"/>
          <w:szCs w:val="22"/>
          <w:lang w:eastAsia="cs-CZ"/>
        </w:rPr>
      </w:pPr>
      <w:hyperlink w:anchor="_Toc17208266" w:history="1">
        <w:r w:rsidR="003E7FCF" w:rsidRPr="005A52E2">
          <w:rPr>
            <w:rStyle w:val="Hypertextovodkaz"/>
            <w:noProof/>
          </w:rPr>
          <w:t>2.</w:t>
        </w:r>
        <w:r w:rsidR="003E7FCF">
          <w:rPr>
            <w:rFonts w:eastAsiaTheme="minorEastAsia" w:cstheme="minorBidi"/>
            <w:noProof/>
            <w:sz w:val="22"/>
            <w:szCs w:val="22"/>
            <w:lang w:eastAsia="cs-CZ"/>
          </w:rPr>
          <w:tab/>
        </w:r>
        <w:r w:rsidR="003E7FCF" w:rsidRPr="005A52E2">
          <w:rPr>
            <w:rStyle w:val="Hypertextovodkaz"/>
            <w:noProof/>
          </w:rPr>
          <w:t>Rozpočtování a výdajový rámec</w:t>
        </w:r>
        <w:r w:rsidR="003E7FCF">
          <w:rPr>
            <w:noProof/>
            <w:webHidden/>
          </w:rPr>
          <w:tab/>
        </w:r>
        <w:r w:rsidR="003E7FCF">
          <w:rPr>
            <w:noProof/>
            <w:webHidden/>
          </w:rPr>
          <w:fldChar w:fldCharType="begin"/>
        </w:r>
        <w:r w:rsidR="003E7FCF">
          <w:rPr>
            <w:noProof/>
            <w:webHidden/>
          </w:rPr>
          <w:instrText xml:space="preserve"> PAGEREF _Toc17208266 \h </w:instrText>
        </w:r>
        <w:r w:rsidR="003E7FCF">
          <w:rPr>
            <w:noProof/>
            <w:webHidden/>
          </w:rPr>
        </w:r>
        <w:r w:rsidR="003E7FCF">
          <w:rPr>
            <w:noProof/>
            <w:webHidden/>
          </w:rPr>
          <w:fldChar w:fldCharType="separate"/>
        </w:r>
        <w:r>
          <w:rPr>
            <w:noProof/>
            <w:webHidden/>
          </w:rPr>
          <w:t>13</w:t>
        </w:r>
        <w:r w:rsidR="003E7FCF">
          <w:rPr>
            <w:noProof/>
            <w:webHidden/>
          </w:rPr>
          <w:fldChar w:fldCharType="end"/>
        </w:r>
      </w:hyperlink>
    </w:p>
    <w:p w14:paraId="44ECC383" w14:textId="19EAE587" w:rsidR="003E7FCF" w:rsidRDefault="009849B2">
      <w:pPr>
        <w:pStyle w:val="Obsah3"/>
        <w:rPr>
          <w:rFonts w:eastAsiaTheme="minorEastAsia" w:cstheme="minorBidi"/>
          <w:noProof/>
          <w:sz w:val="22"/>
          <w:szCs w:val="22"/>
          <w:lang w:eastAsia="cs-CZ"/>
        </w:rPr>
      </w:pPr>
      <w:hyperlink w:anchor="_Toc17208267" w:history="1">
        <w:r w:rsidR="003E7FCF" w:rsidRPr="005A52E2">
          <w:rPr>
            <w:rStyle w:val="Hypertextovodkaz"/>
            <w:noProof/>
          </w:rPr>
          <w:t>3.</w:t>
        </w:r>
        <w:r w:rsidR="003E7FCF">
          <w:rPr>
            <w:rFonts w:eastAsiaTheme="minorEastAsia" w:cstheme="minorBidi"/>
            <w:noProof/>
            <w:sz w:val="22"/>
            <w:szCs w:val="22"/>
            <w:lang w:eastAsia="cs-CZ"/>
          </w:rPr>
          <w:tab/>
        </w:r>
        <w:r w:rsidR="003E7FCF" w:rsidRPr="005A52E2">
          <w:rPr>
            <w:rStyle w:val="Hypertextovodkaz"/>
            <w:noProof/>
          </w:rPr>
          <w:t>Příjmy státního rozpočtu</w:t>
        </w:r>
        <w:r w:rsidR="003E7FCF">
          <w:rPr>
            <w:noProof/>
            <w:webHidden/>
          </w:rPr>
          <w:tab/>
        </w:r>
        <w:r w:rsidR="003E7FCF">
          <w:rPr>
            <w:noProof/>
            <w:webHidden/>
          </w:rPr>
          <w:fldChar w:fldCharType="begin"/>
        </w:r>
        <w:r w:rsidR="003E7FCF">
          <w:rPr>
            <w:noProof/>
            <w:webHidden/>
          </w:rPr>
          <w:instrText xml:space="preserve"> PAGEREF _Toc17208267 \h </w:instrText>
        </w:r>
        <w:r w:rsidR="003E7FCF">
          <w:rPr>
            <w:noProof/>
            <w:webHidden/>
          </w:rPr>
        </w:r>
        <w:r w:rsidR="003E7FCF">
          <w:rPr>
            <w:noProof/>
            <w:webHidden/>
          </w:rPr>
          <w:fldChar w:fldCharType="separate"/>
        </w:r>
        <w:r>
          <w:rPr>
            <w:noProof/>
            <w:webHidden/>
          </w:rPr>
          <w:t>16</w:t>
        </w:r>
        <w:r w:rsidR="003E7FCF">
          <w:rPr>
            <w:noProof/>
            <w:webHidden/>
          </w:rPr>
          <w:fldChar w:fldCharType="end"/>
        </w:r>
      </w:hyperlink>
    </w:p>
    <w:p w14:paraId="4A154D2F" w14:textId="7B204982" w:rsidR="003E7FCF" w:rsidRDefault="009849B2">
      <w:pPr>
        <w:pStyle w:val="Obsah3"/>
        <w:rPr>
          <w:rFonts w:eastAsiaTheme="minorEastAsia" w:cstheme="minorBidi"/>
          <w:noProof/>
          <w:sz w:val="22"/>
          <w:szCs w:val="22"/>
          <w:lang w:eastAsia="cs-CZ"/>
        </w:rPr>
      </w:pPr>
      <w:hyperlink w:anchor="_Toc17208268" w:history="1">
        <w:r w:rsidR="003E7FCF" w:rsidRPr="005A52E2">
          <w:rPr>
            <w:rStyle w:val="Hypertextovodkaz"/>
            <w:noProof/>
          </w:rPr>
          <w:t>4.</w:t>
        </w:r>
        <w:r w:rsidR="003E7FCF">
          <w:rPr>
            <w:rFonts w:eastAsiaTheme="minorEastAsia" w:cstheme="minorBidi"/>
            <w:noProof/>
            <w:sz w:val="22"/>
            <w:szCs w:val="22"/>
            <w:lang w:eastAsia="cs-CZ"/>
          </w:rPr>
          <w:tab/>
        </w:r>
        <w:r w:rsidR="003E7FCF" w:rsidRPr="005A52E2">
          <w:rPr>
            <w:rStyle w:val="Hypertextovodkaz"/>
            <w:noProof/>
          </w:rPr>
          <w:t>Výdaje státního rozpočtu</w:t>
        </w:r>
        <w:r w:rsidR="003E7FCF">
          <w:rPr>
            <w:noProof/>
            <w:webHidden/>
          </w:rPr>
          <w:tab/>
        </w:r>
        <w:r w:rsidR="003E7FCF">
          <w:rPr>
            <w:noProof/>
            <w:webHidden/>
          </w:rPr>
          <w:fldChar w:fldCharType="begin"/>
        </w:r>
        <w:r w:rsidR="003E7FCF">
          <w:rPr>
            <w:noProof/>
            <w:webHidden/>
          </w:rPr>
          <w:instrText xml:space="preserve"> PAGEREF _Toc17208268 \h </w:instrText>
        </w:r>
        <w:r w:rsidR="003E7FCF">
          <w:rPr>
            <w:noProof/>
            <w:webHidden/>
          </w:rPr>
        </w:r>
        <w:r w:rsidR="003E7FCF">
          <w:rPr>
            <w:noProof/>
            <w:webHidden/>
          </w:rPr>
          <w:fldChar w:fldCharType="separate"/>
        </w:r>
        <w:r>
          <w:rPr>
            <w:noProof/>
            <w:webHidden/>
          </w:rPr>
          <w:t>21</w:t>
        </w:r>
        <w:r w:rsidR="003E7FCF">
          <w:rPr>
            <w:noProof/>
            <w:webHidden/>
          </w:rPr>
          <w:fldChar w:fldCharType="end"/>
        </w:r>
      </w:hyperlink>
    </w:p>
    <w:p w14:paraId="2E3EE0B0" w14:textId="406A794B" w:rsidR="003E7FCF" w:rsidRDefault="009849B2">
      <w:pPr>
        <w:pStyle w:val="Obsah3"/>
        <w:rPr>
          <w:rFonts w:eastAsiaTheme="minorEastAsia" w:cstheme="minorBidi"/>
          <w:noProof/>
          <w:sz w:val="22"/>
          <w:szCs w:val="22"/>
          <w:lang w:eastAsia="cs-CZ"/>
        </w:rPr>
      </w:pPr>
      <w:hyperlink w:anchor="_Toc17208269" w:history="1">
        <w:r w:rsidR="003E7FCF" w:rsidRPr="005A52E2">
          <w:rPr>
            <w:rStyle w:val="Hypertextovodkaz"/>
            <w:noProof/>
          </w:rPr>
          <w:t>5.</w:t>
        </w:r>
        <w:r w:rsidR="003E7FCF">
          <w:rPr>
            <w:rFonts w:eastAsiaTheme="minorEastAsia" w:cstheme="minorBidi"/>
            <w:noProof/>
            <w:sz w:val="22"/>
            <w:szCs w:val="22"/>
            <w:lang w:eastAsia="cs-CZ"/>
          </w:rPr>
          <w:tab/>
        </w:r>
        <w:r w:rsidR="003E7FCF" w:rsidRPr="005A52E2">
          <w:rPr>
            <w:rStyle w:val="Hypertextovodkaz"/>
            <w:noProof/>
          </w:rPr>
          <w:t>Prostředky z EU/FM</w:t>
        </w:r>
        <w:r w:rsidR="003E7FCF">
          <w:rPr>
            <w:noProof/>
            <w:webHidden/>
          </w:rPr>
          <w:tab/>
        </w:r>
        <w:r w:rsidR="003E7FCF">
          <w:rPr>
            <w:noProof/>
            <w:webHidden/>
          </w:rPr>
          <w:fldChar w:fldCharType="begin"/>
        </w:r>
        <w:r w:rsidR="003E7FCF">
          <w:rPr>
            <w:noProof/>
            <w:webHidden/>
          </w:rPr>
          <w:instrText xml:space="preserve"> PAGEREF _Toc17208269 \h </w:instrText>
        </w:r>
        <w:r w:rsidR="003E7FCF">
          <w:rPr>
            <w:noProof/>
            <w:webHidden/>
          </w:rPr>
        </w:r>
        <w:r w:rsidR="003E7FCF">
          <w:rPr>
            <w:noProof/>
            <w:webHidden/>
          </w:rPr>
          <w:fldChar w:fldCharType="separate"/>
        </w:r>
        <w:r>
          <w:rPr>
            <w:noProof/>
            <w:webHidden/>
          </w:rPr>
          <w:t>24</w:t>
        </w:r>
        <w:r w:rsidR="003E7FCF">
          <w:rPr>
            <w:noProof/>
            <w:webHidden/>
          </w:rPr>
          <w:fldChar w:fldCharType="end"/>
        </w:r>
      </w:hyperlink>
    </w:p>
    <w:p w14:paraId="3D3E86E5" w14:textId="7BA71F7B" w:rsidR="003E7FCF" w:rsidRDefault="009849B2" w:rsidP="003E7FCF">
      <w:pPr>
        <w:pStyle w:val="Obsah1"/>
        <w:rPr>
          <w:rFonts w:eastAsiaTheme="minorEastAsia" w:cstheme="minorBidi"/>
          <w:noProof/>
          <w:sz w:val="22"/>
          <w:szCs w:val="22"/>
          <w:lang w:eastAsia="cs-CZ"/>
        </w:rPr>
      </w:pPr>
      <w:hyperlink w:anchor="_Toc17208270" w:history="1">
        <w:r w:rsidR="003E7FCF" w:rsidRPr="005A52E2">
          <w:rPr>
            <w:rStyle w:val="Hypertextovodkaz"/>
            <w:noProof/>
          </w:rPr>
          <w:t>V.</w:t>
        </w:r>
        <w:r w:rsidR="003E7FCF">
          <w:rPr>
            <w:rFonts w:eastAsiaTheme="minorEastAsia" w:cstheme="minorBidi"/>
            <w:noProof/>
            <w:sz w:val="22"/>
            <w:szCs w:val="22"/>
            <w:lang w:eastAsia="cs-CZ"/>
          </w:rPr>
          <w:tab/>
        </w:r>
        <w:r w:rsidR="003E7FCF" w:rsidRPr="005A52E2">
          <w:rPr>
            <w:rStyle w:val="Hypertextovodkaz"/>
            <w:noProof/>
          </w:rPr>
          <w:t>Hodnocení rizik vybraných odvětví s možným dopadem na veřejný sektor</w:t>
        </w:r>
        <w:r w:rsidR="003E7FCF">
          <w:rPr>
            <w:noProof/>
            <w:webHidden/>
          </w:rPr>
          <w:tab/>
        </w:r>
        <w:r w:rsidR="003E7FCF">
          <w:rPr>
            <w:noProof/>
            <w:webHidden/>
          </w:rPr>
          <w:fldChar w:fldCharType="begin"/>
        </w:r>
        <w:r w:rsidR="003E7FCF">
          <w:rPr>
            <w:noProof/>
            <w:webHidden/>
          </w:rPr>
          <w:instrText xml:space="preserve"> PAGEREF _Toc17208270 \h </w:instrText>
        </w:r>
        <w:r w:rsidR="003E7FCF">
          <w:rPr>
            <w:noProof/>
            <w:webHidden/>
          </w:rPr>
        </w:r>
        <w:r w:rsidR="003E7FCF">
          <w:rPr>
            <w:noProof/>
            <w:webHidden/>
          </w:rPr>
          <w:fldChar w:fldCharType="separate"/>
        </w:r>
        <w:r>
          <w:rPr>
            <w:noProof/>
            <w:webHidden/>
          </w:rPr>
          <w:t>28</w:t>
        </w:r>
        <w:r w:rsidR="003E7FCF">
          <w:rPr>
            <w:noProof/>
            <w:webHidden/>
          </w:rPr>
          <w:fldChar w:fldCharType="end"/>
        </w:r>
      </w:hyperlink>
    </w:p>
    <w:p w14:paraId="22C9D98F" w14:textId="38028EE8" w:rsidR="003E7FCF" w:rsidRDefault="009849B2">
      <w:pPr>
        <w:pStyle w:val="Obsah3"/>
        <w:rPr>
          <w:rFonts w:eastAsiaTheme="minorEastAsia" w:cstheme="minorBidi"/>
          <w:noProof/>
          <w:sz w:val="22"/>
          <w:szCs w:val="22"/>
          <w:lang w:eastAsia="cs-CZ"/>
        </w:rPr>
      </w:pPr>
      <w:hyperlink w:anchor="_Toc17208271" w:history="1">
        <w:r w:rsidR="003E7FCF" w:rsidRPr="005A52E2">
          <w:rPr>
            <w:rStyle w:val="Hypertextovodkaz"/>
            <w:noProof/>
          </w:rPr>
          <w:t>1.</w:t>
        </w:r>
        <w:r w:rsidR="003E7FCF">
          <w:rPr>
            <w:rFonts w:eastAsiaTheme="minorEastAsia" w:cstheme="minorBidi"/>
            <w:noProof/>
            <w:sz w:val="22"/>
            <w:szCs w:val="22"/>
            <w:lang w:eastAsia="cs-CZ"/>
          </w:rPr>
          <w:tab/>
        </w:r>
        <w:r w:rsidR="003E7FCF" w:rsidRPr="005A52E2">
          <w:rPr>
            <w:rStyle w:val="Hypertextovodkaz"/>
            <w:noProof/>
          </w:rPr>
          <w:t>Kvalita dopravní infrastruktury</w:t>
        </w:r>
        <w:r w:rsidR="003E7FCF">
          <w:rPr>
            <w:noProof/>
            <w:webHidden/>
          </w:rPr>
          <w:tab/>
        </w:r>
        <w:r w:rsidR="003E7FCF">
          <w:rPr>
            <w:noProof/>
            <w:webHidden/>
          </w:rPr>
          <w:fldChar w:fldCharType="begin"/>
        </w:r>
        <w:r w:rsidR="003E7FCF">
          <w:rPr>
            <w:noProof/>
            <w:webHidden/>
          </w:rPr>
          <w:instrText xml:space="preserve"> PAGEREF _Toc17208271 \h </w:instrText>
        </w:r>
        <w:r w:rsidR="003E7FCF">
          <w:rPr>
            <w:noProof/>
            <w:webHidden/>
          </w:rPr>
        </w:r>
        <w:r w:rsidR="003E7FCF">
          <w:rPr>
            <w:noProof/>
            <w:webHidden/>
          </w:rPr>
          <w:fldChar w:fldCharType="separate"/>
        </w:r>
        <w:r>
          <w:rPr>
            <w:noProof/>
            <w:webHidden/>
          </w:rPr>
          <w:t>28</w:t>
        </w:r>
        <w:r w:rsidR="003E7FCF">
          <w:rPr>
            <w:noProof/>
            <w:webHidden/>
          </w:rPr>
          <w:fldChar w:fldCharType="end"/>
        </w:r>
      </w:hyperlink>
    </w:p>
    <w:p w14:paraId="34ABF8AC" w14:textId="5A4D8A95" w:rsidR="003E7FCF" w:rsidRDefault="009849B2">
      <w:pPr>
        <w:pStyle w:val="Obsah3"/>
        <w:rPr>
          <w:rFonts w:eastAsiaTheme="minorEastAsia" w:cstheme="minorBidi"/>
          <w:noProof/>
          <w:sz w:val="22"/>
          <w:szCs w:val="22"/>
          <w:lang w:eastAsia="cs-CZ"/>
        </w:rPr>
      </w:pPr>
      <w:hyperlink w:anchor="_Toc17208272" w:history="1">
        <w:r w:rsidR="003E7FCF" w:rsidRPr="005A52E2">
          <w:rPr>
            <w:rStyle w:val="Hypertextovodkaz"/>
            <w:noProof/>
          </w:rPr>
          <w:t>2.</w:t>
        </w:r>
        <w:r w:rsidR="003E7FCF">
          <w:rPr>
            <w:rFonts w:eastAsiaTheme="minorEastAsia" w:cstheme="minorBidi"/>
            <w:noProof/>
            <w:sz w:val="22"/>
            <w:szCs w:val="22"/>
            <w:lang w:eastAsia="cs-CZ"/>
          </w:rPr>
          <w:tab/>
        </w:r>
        <w:r w:rsidR="003E7FCF" w:rsidRPr="005A52E2">
          <w:rPr>
            <w:rStyle w:val="Hypertextovodkaz"/>
            <w:noProof/>
          </w:rPr>
          <w:t>Energetika</w:t>
        </w:r>
        <w:r w:rsidR="003E7FCF">
          <w:rPr>
            <w:noProof/>
            <w:webHidden/>
          </w:rPr>
          <w:tab/>
        </w:r>
        <w:r w:rsidR="003E7FCF">
          <w:rPr>
            <w:noProof/>
            <w:webHidden/>
          </w:rPr>
          <w:fldChar w:fldCharType="begin"/>
        </w:r>
        <w:r w:rsidR="003E7FCF">
          <w:rPr>
            <w:noProof/>
            <w:webHidden/>
          </w:rPr>
          <w:instrText xml:space="preserve"> PAGEREF _Toc17208272 \h </w:instrText>
        </w:r>
        <w:r w:rsidR="003E7FCF">
          <w:rPr>
            <w:noProof/>
            <w:webHidden/>
          </w:rPr>
        </w:r>
        <w:r w:rsidR="003E7FCF">
          <w:rPr>
            <w:noProof/>
            <w:webHidden/>
          </w:rPr>
          <w:fldChar w:fldCharType="separate"/>
        </w:r>
        <w:r>
          <w:rPr>
            <w:noProof/>
            <w:webHidden/>
          </w:rPr>
          <w:t>31</w:t>
        </w:r>
        <w:r w:rsidR="003E7FCF">
          <w:rPr>
            <w:noProof/>
            <w:webHidden/>
          </w:rPr>
          <w:fldChar w:fldCharType="end"/>
        </w:r>
      </w:hyperlink>
    </w:p>
    <w:p w14:paraId="446FC164" w14:textId="4B568FAC" w:rsidR="003E7FCF" w:rsidRDefault="009849B2">
      <w:pPr>
        <w:pStyle w:val="Obsah3"/>
        <w:rPr>
          <w:rFonts w:eastAsiaTheme="minorEastAsia" w:cstheme="minorBidi"/>
          <w:noProof/>
          <w:sz w:val="22"/>
          <w:szCs w:val="22"/>
          <w:lang w:eastAsia="cs-CZ"/>
        </w:rPr>
      </w:pPr>
      <w:hyperlink w:anchor="_Toc17208273" w:history="1">
        <w:r w:rsidR="003E7FCF" w:rsidRPr="005A52E2">
          <w:rPr>
            <w:rStyle w:val="Hypertextovodkaz"/>
            <w:noProof/>
          </w:rPr>
          <w:t>3.</w:t>
        </w:r>
        <w:r w:rsidR="003E7FCF">
          <w:rPr>
            <w:rFonts w:eastAsiaTheme="minorEastAsia" w:cstheme="minorBidi"/>
            <w:noProof/>
            <w:sz w:val="22"/>
            <w:szCs w:val="22"/>
            <w:lang w:eastAsia="cs-CZ"/>
          </w:rPr>
          <w:tab/>
        </w:r>
        <w:r w:rsidR="003E7FCF" w:rsidRPr="005A52E2">
          <w:rPr>
            <w:rStyle w:val="Hypertextovodkaz"/>
            <w:noProof/>
          </w:rPr>
          <w:t>Délka soudního řízení</w:t>
        </w:r>
        <w:r w:rsidR="003E7FCF">
          <w:rPr>
            <w:noProof/>
            <w:webHidden/>
          </w:rPr>
          <w:tab/>
        </w:r>
        <w:r w:rsidR="003E7FCF">
          <w:rPr>
            <w:noProof/>
            <w:webHidden/>
          </w:rPr>
          <w:fldChar w:fldCharType="begin"/>
        </w:r>
        <w:r w:rsidR="003E7FCF">
          <w:rPr>
            <w:noProof/>
            <w:webHidden/>
          </w:rPr>
          <w:instrText xml:space="preserve"> PAGEREF _Toc17208273 \h </w:instrText>
        </w:r>
        <w:r w:rsidR="003E7FCF">
          <w:rPr>
            <w:noProof/>
            <w:webHidden/>
          </w:rPr>
        </w:r>
        <w:r w:rsidR="003E7FCF">
          <w:rPr>
            <w:noProof/>
            <w:webHidden/>
          </w:rPr>
          <w:fldChar w:fldCharType="separate"/>
        </w:r>
        <w:r>
          <w:rPr>
            <w:noProof/>
            <w:webHidden/>
          </w:rPr>
          <w:t>34</w:t>
        </w:r>
        <w:r w:rsidR="003E7FCF">
          <w:rPr>
            <w:noProof/>
            <w:webHidden/>
          </w:rPr>
          <w:fldChar w:fldCharType="end"/>
        </w:r>
      </w:hyperlink>
    </w:p>
    <w:p w14:paraId="0E5AEA2E" w14:textId="71EF39E4" w:rsidR="003E7FCF" w:rsidRDefault="009849B2">
      <w:pPr>
        <w:pStyle w:val="Obsah3"/>
        <w:rPr>
          <w:rFonts w:eastAsiaTheme="minorEastAsia" w:cstheme="minorBidi"/>
          <w:noProof/>
          <w:sz w:val="22"/>
          <w:szCs w:val="22"/>
          <w:lang w:eastAsia="cs-CZ"/>
        </w:rPr>
      </w:pPr>
      <w:hyperlink w:anchor="_Toc17208274" w:history="1">
        <w:r w:rsidR="003E7FCF" w:rsidRPr="005A52E2">
          <w:rPr>
            <w:rStyle w:val="Hypertextovodkaz"/>
            <w:noProof/>
          </w:rPr>
          <w:t>4.</w:t>
        </w:r>
        <w:r w:rsidR="003E7FCF">
          <w:rPr>
            <w:rFonts w:eastAsiaTheme="minorEastAsia" w:cstheme="minorBidi"/>
            <w:noProof/>
            <w:sz w:val="22"/>
            <w:szCs w:val="22"/>
            <w:lang w:eastAsia="cs-CZ"/>
          </w:rPr>
          <w:tab/>
        </w:r>
        <w:r w:rsidR="003E7FCF" w:rsidRPr="005A52E2">
          <w:rPr>
            <w:rStyle w:val="Hypertextovodkaz"/>
            <w:noProof/>
          </w:rPr>
          <w:t>Výzkum, vývoj a inovace</w:t>
        </w:r>
        <w:r w:rsidR="003E7FCF">
          <w:rPr>
            <w:noProof/>
            <w:webHidden/>
          </w:rPr>
          <w:tab/>
        </w:r>
        <w:r w:rsidR="003E7FCF">
          <w:rPr>
            <w:noProof/>
            <w:webHidden/>
          </w:rPr>
          <w:fldChar w:fldCharType="begin"/>
        </w:r>
        <w:r w:rsidR="003E7FCF">
          <w:rPr>
            <w:noProof/>
            <w:webHidden/>
          </w:rPr>
          <w:instrText xml:space="preserve"> PAGEREF _Toc17208274 \h </w:instrText>
        </w:r>
        <w:r w:rsidR="003E7FCF">
          <w:rPr>
            <w:noProof/>
            <w:webHidden/>
          </w:rPr>
        </w:r>
        <w:r w:rsidR="003E7FCF">
          <w:rPr>
            <w:noProof/>
            <w:webHidden/>
          </w:rPr>
          <w:fldChar w:fldCharType="separate"/>
        </w:r>
        <w:r>
          <w:rPr>
            <w:noProof/>
            <w:webHidden/>
          </w:rPr>
          <w:t>37</w:t>
        </w:r>
        <w:r w:rsidR="003E7FCF">
          <w:rPr>
            <w:noProof/>
            <w:webHidden/>
          </w:rPr>
          <w:fldChar w:fldCharType="end"/>
        </w:r>
      </w:hyperlink>
    </w:p>
    <w:p w14:paraId="50D699D0" w14:textId="15729989" w:rsidR="003E7FCF" w:rsidRDefault="009849B2">
      <w:pPr>
        <w:pStyle w:val="Obsah3"/>
        <w:rPr>
          <w:rFonts w:eastAsiaTheme="minorEastAsia" w:cstheme="minorBidi"/>
          <w:noProof/>
          <w:sz w:val="22"/>
          <w:szCs w:val="22"/>
          <w:lang w:eastAsia="cs-CZ"/>
        </w:rPr>
      </w:pPr>
      <w:hyperlink w:anchor="_Toc17208275" w:history="1">
        <w:r w:rsidR="003E7FCF" w:rsidRPr="005A52E2">
          <w:rPr>
            <w:rStyle w:val="Hypertextovodkaz"/>
            <w:noProof/>
          </w:rPr>
          <w:t>5.</w:t>
        </w:r>
        <w:r w:rsidR="003E7FCF">
          <w:rPr>
            <w:rFonts w:eastAsiaTheme="minorEastAsia" w:cstheme="minorBidi"/>
            <w:noProof/>
            <w:sz w:val="22"/>
            <w:szCs w:val="22"/>
            <w:lang w:eastAsia="cs-CZ"/>
          </w:rPr>
          <w:tab/>
        </w:r>
        <w:r w:rsidR="003E7FCF" w:rsidRPr="005A52E2">
          <w:rPr>
            <w:rStyle w:val="Hypertextovodkaz"/>
            <w:noProof/>
          </w:rPr>
          <w:t>Výdaje na léky</w:t>
        </w:r>
        <w:r w:rsidR="003E7FCF">
          <w:rPr>
            <w:noProof/>
            <w:webHidden/>
          </w:rPr>
          <w:tab/>
        </w:r>
        <w:r w:rsidR="003E7FCF">
          <w:rPr>
            <w:noProof/>
            <w:webHidden/>
          </w:rPr>
          <w:fldChar w:fldCharType="begin"/>
        </w:r>
        <w:r w:rsidR="003E7FCF">
          <w:rPr>
            <w:noProof/>
            <w:webHidden/>
          </w:rPr>
          <w:instrText xml:space="preserve"> PAGEREF _Toc17208275 \h </w:instrText>
        </w:r>
        <w:r w:rsidR="003E7FCF">
          <w:rPr>
            <w:noProof/>
            <w:webHidden/>
          </w:rPr>
        </w:r>
        <w:r w:rsidR="003E7FCF">
          <w:rPr>
            <w:noProof/>
            <w:webHidden/>
          </w:rPr>
          <w:fldChar w:fldCharType="separate"/>
        </w:r>
        <w:r>
          <w:rPr>
            <w:noProof/>
            <w:webHidden/>
          </w:rPr>
          <w:t>39</w:t>
        </w:r>
        <w:r w:rsidR="003E7FCF">
          <w:rPr>
            <w:noProof/>
            <w:webHidden/>
          </w:rPr>
          <w:fldChar w:fldCharType="end"/>
        </w:r>
      </w:hyperlink>
    </w:p>
    <w:p w14:paraId="53D795C1" w14:textId="7D754295" w:rsidR="003E7FCF" w:rsidRDefault="009849B2">
      <w:pPr>
        <w:pStyle w:val="Obsah3"/>
        <w:rPr>
          <w:rFonts w:eastAsiaTheme="minorEastAsia" w:cstheme="minorBidi"/>
          <w:noProof/>
          <w:sz w:val="22"/>
          <w:szCs w:val="22"/>
          <w:lang w:eastAsia="cs-CZ"/>
        </w:rPr>
      </w:pPr>
      <w:hyperlink w:anchor="_Toc17208276" w:history="1">
        <w:r w:rsidR="003E7FCF" w:rsidRPr="005A52E2">
          <w:rPr>
            <w:rStyle w:val="Hypertextovodkaz"/>
            <w:noProof/>
          </w:rPr>
          <w:t>6.</w:t>
        </w:r>
        <w:r w:rsidR="003E7FCF">
          <w:rPr>
            <w:rFonts w:eastAsiaTheme="minorEastAsia" w:cstheme="minorBidi"/>
            <w:noProof/>
            <w:sz w:val="22"/>
            <w:szCs w:val="22"/>
            <w:lang w:eastAsia="cs-CZ"/>
          </w:rPr>
          <w:tab/>
        </w:r>
        <w:r w:rsidR="003E7FCF" w:rsidRPr="005A52E2">
          <w:rPr>
            <w:rStyle w:val="Hypertextovodkaz"/>
            <w:noProof/>
          </w:rPr>
          <w:t>Ochrana zemědělské půdy</w:t>
        </w:r>
        <w:r w:rsidR="003E7FCF">
          <w:rPr>
            <w:noProof/>
            <w:webHidden/>
          </w:rPr>
          <w:tab/>
        </w:r>
        <w:r w:rsidR="003E7FCF">
          <w:rPr>
            <w:noProof/>
            <w:webHidden/>
          </w:rPr>
          <w:fldChar w:fldCharType="begin"/>
        </w:r>
        <w:r w:rsidR="003E7FCF">
          <w:rPr>
            <w:noProof/>
            <w:webHidden/>
          </w:rPr>
          <w:instrText xml:space="preserve"> PAGEREF _Toc17208276 \h </w:instrText>
        </w:r>
        <w:r w:rsidR="003E7FCF">
          <w:rPr>
            <w:noProof/>
            <w:webHidden/>
          </w:rPr>
        </w:r>
        <w:r w:rsidR="003E7FCF">
          <w:rPr>
            <w:noProof/>
            <w:webHidden/>
          </w:rPr>
          <w:fldChar w:fldCharType="separate"/>
        </w:r>
        <w:r>
          <w:rPr>
            <w:noProof/>
            <w:webHidden/>
          </w:rPr>
          <w:t>41</w:t>
        </w:r>
        <w:r w:rsidR="003E7FCF">
          <w:rPr>
            <w:noProof/>
            <w:webHidden/>
          </w:rPr>
          <w:fldChar w:fldCharType="end"/>
        </w:r>
      </w:hyperlink>
    </w:p>
    <w:p w14:paraId="1098FB1C" w14:textId="06F27C0A" w:rsidR="003E7FCF" w:rsidRDefault="009849B2">
      <w:pPr>
        <w:pStyle w:val="Obsah3"/>
        <w:rPr>
          <w:rFonts w:eastAsiaTheme="minorEastAsia" w:cstheme="minorBidi"/>
          <w:noProof/>
          <w:sz w:val="22"/>
          <w:szCs w:val="22"/>
          <w:lang w:eastAsia="cs-CZ"/>
        </w:rPr>
      </w:pPr>
      <w:hyperlink w:anchor="_Toc17208277" w:history="1">
        <w:r w:rsidR="003E7FCF" w:rsidRPr="005A52E2">
          <w:rPr>
            <w:rStyle w:val="Hypertextovodkaz"/>
            <w:noProof/>
          </w:rPr>
          <w:t>7.</w:t>
        </w:r>
        <w:r w:rsidR="003E7FCF">
          <w:rPr>
            <w:rFonts w:eastAsiaTheme="minorEastAsia" w:cstheme="minorBidi"/>
            <w:noProof/>
            <w:sz w:val="22"/>
            <w:szCs w:val="22"/>
            <w:lang w:eastAsia="cs-CZ"/>
          </w:rPr>
          <w:tab/>
        </w:r>
        <w:r w:rsidR="003E7FCF" w:rsidRPr="005A52E2">
          <w:rPr>
            <w:rStyle w:val="Hypertextovodkaz"/>
            <w:noProof/>
          </w:rPr>
          <w:t>Kvalita ovzduší</w:t>
        </w:r>
        <w:r w:rsidR="003E7FCF">
          <w:rPr>
            <w:noProof/>
            <w:webHidden/>
          </w:rPr>
          <w:tab/>
        </w:r>
        <w:r w:rsidR="003E7FCF">
          <w:rPr>
            <w:noProof/>
            <w:webHidden/>
          </w:rPr>
          <w:fldChar w:fldCharType="begin"/>
        </w:r>
        <w:r w:rsidR="003E7FCF">
          <w:rPr>
            <w:noProof/>
            <w:webHidden/>
          </w:rPr>
          <w:instrText xml:space="preserve"> PAGEREF _Toc17208277 \h </w:instrText>
        </w:r>
        <w:r w:rsidR="003E7FCF">
          <w:rPr>
            <w:noProof/>
            <w:webHidden/>
          </w:rPr>
        </w:r>
        <w:r w:rsidR="003E7FCF">
          <w:rPr>
            <w:noProof/>
            <w:webHidden/>
          </w:rPr>
          <w:fldChar w:fldCharType="separate"/>
        </w:r>
        <w:r>
          <w:rPr>
            <w:noProof/>
            <w:webHidden/>
          </w:rPr>
          <w:t>44</w:t>
        </w:r>
        <w:r w:rsidR="003E7FCF">
          <w:rPr>
            <w:noProof/>
            <w:webHidden/>
          </w:rPr>
          <w:fldChar w:fldCharType="end"/>
        </w:r>
      </w:hyperlink>
    </w:p>
    <w:p w14:paraId="57E62D86" w14:textId="099DFCA1" w:rsidR="003E7FCF" w:rsidRDefault="009849B2" w:rsidP="003E7FCF">
      <w:pPr>
        <w:pStyle w:val="Obsah1"/>
        <w:rPr>
          <w:rFonts w:eastAsiaTheme="minorEastAsia" w:cstheme="minorBidi"/>
          <w:noProof/>
          <w:sz w:val="22"/>
          <w:szCs w:val="22"/>
          <w:lang w:eastAsia="cs-CZ"/>
        </w:rPr>
      </w:pPr>
      <w:hyperlink w:anchor="_Toc17208278" w:history="1">
        <w:r w:rsidR="003E7FCF" w:rsidRPr="005A52E2">
          <w:rPr>
            <w:rStyle w:val="Hypertextovodkaz"/>
            <w:noProof/>
          </w:rPr>
          <w:t>VI.</w:t>
        </w:r>
        <w:r w:rsidR="003E7FCF">
          <w:rPr>
            <w:rFonts w:eastAsiaTheme="minorEastAsia" w:cstheme="minorBidi"/>
            <w:noProof/>
            <w:sz w:val="22"/>
            <w:szCs w:val="22"/>
            <w:lang w:eastAsia="cs-CZ"/>
          </w:rPr>
          <w:tab/>
        </w:r>
        <w:r w:rsidR="003E7FCF" w:rsidRPr="005A52E2">
          <w:rPr>
            <w:rStyle w:val="Hypertextovodkaz"/>
            <w:noProof/>
          </w:rPr>
          <w:t>Hospodaření dalších složek veřejných rozpočtů</w:t>
        </w:r>
        <w:r w:rsidR="003E7FCF">
          <w:rPr>
            <w:noProof/>
            <w:webHidden/>
          </w:rPr>
          <w:tab/>
        </w:r>
        <w:r w:rsidR="003E7FCF">
          <w:rPr>
            <w:noProof/>
            <w:webHidden/>
          </w:rPr>
          <w:fldChar w:fldCharType="begin"/>
        </w:r>
        <w:r w:rsidR="003E7FCF">
          <w:rPr>
            <w:noProof/>
            <w:webHidden/>
          </w:rPr>
          <w:instrText xml:space="preserve"> PAGEREF _Toc17208278 \h </w:instrText>
        </w:r>
        <w:r w:rsidR="003E7FCF">
          <w:rPr>
            <w:noProof/>
            <w:webHidden/>
          </w:rPr>
        </w:r>
        <w:r w:rsidR="003E7FCF">
          <w:rPr>
            <w:noProof/>
            <w:webHidden/>
          </w:rPr>
          <w:fldChar w:fldCharType="separate"/>
        </w:r>
        <w:r>
          <w:rPr>
            <w:noProof/>
            <w:webHidden/>
          </w:rPr>
          <w:t>46</w:t>
        </w:r>
        <w:r w:rsidR="003E7FCF">
          <w:rPr>
            <w:noProof/>
            <w:webHidden/>
          </w:rPr>
          <w:fldChar w:fldCharType="end"/>
        </w:r>
      </w:hyperlink>
    </w:p>
    <w:p w14:paraId="346D4B0B" w14:textId="25DE172B" w:rsidR="003E7FCF" w:rsidRDefault="009849B2">
      <w:pPr>
        <w:pStyle w:val="Obsah3"/>
        <w:rPr>
          <w:rFonts w:eastAsiaTheme="minorEastAsia" w:cstheme="minorBidi"/>
          <w:noProof/>
          <w:sz w:val="22"/>
          <w:szCs w:val="22"/>
          <w:lang w:eastAsia="cs-CZ"/>
        </w:rPr>
      </w:pPr>
      <w:hyperlink w:anchor="_Toc17208279" w:history="1">
        <w:r w:rsidR="003E7FCF" w:rsidRPr="005A52E2">
          <w:rPr>
            <w:rStyle w:val="Hypertextovodkaz"/>
            <w:noProof/>
          </w:rPr>
          <w:t>1.</w:t>
        </w:r>
        <w:r w:rsidR="003E7FCF">
          <w:rPr>
            <w:rFonts w:eastAsiaTheme="minorEastAsia" w:cstheme="minorBidi"/>
            <w:noProof/>
            <w:sz w:val="22"/>
            <w:szCs w:val="22"/>
            <w:lang w:eastAsia="cs-CZ"/>
          </w:rPr>
          <w:tab/>
        </w:r>
        <w:r w:rsidR="003E7FCF" w:rsidRPr="005A52E2">
          <w:rPr>
            <w:rStyle w:val="Hypertextovodkaz"/>
            <w:noProof/>
          </w:rPr>
          <w:t>Hospodaření územních rozpočtů</w:t>
        </w:r>
        <w:r w:rsidR="003E7FCF">
          <w:rPr>
            <w:noProof/>
            <w:webHidden/>
          </w:rPr>
          <w:tab/>
        </w:r>
        <w:r w:rsidR="003E7FCF">
          <w:rPr>
            <w:noProof/>
            <w:webHidden/>
          </w:rPr>
          <w:fldChar w:fldCharType="begin"/>
        </w:r>
        <w:r w:rsidR="003E7FCF">
          <w:rPr>
            <w:noProof/>
            <w:webHidden/>
          </w:rPr>
          <w:instrText xml:space="preserve"> PAGEREF _Toc17208279 \h </w:instrText>
        </w:r>
        <w:r w:rsidR="003E7FCF">
          <w:rPr>
            <w:noProof/>
            <w:webHidden/>
          </w:rPr>
        </w:r>
        <w:r w:rsidR="003E7FCF">
          <w:rPr>
            <w:noProof/>
            <w:webHidden/>
          </w:rPr>
          <w:fldChar w:fldCharType="separate"/>
        </w:r>
        <w:r>
          <w:rPr>
            <w:noProof/>
            <w:webHidden/>
          </w:rPr>
          <w:t>46</w:t>
        </w:r>
        <w:r w:rsidR="003E7FCF">
          <w:rPr>
            <w:noProof/>
            <w:webHidden/>
          </w:rPr>
          <w:fldChar w:fldCharType="end"/>
        </w:r>
      </w:hyperlink>
    </w:p>
    <w:p w14:paraId="5FE4A4E9" w14:textId="260E978A" w:rsidR="003E7FCF" w:rsidRDefault="009849B2">
      <w:pPr>
        <w:pStyle w:val="Obsah3"/>
        <w:rPr>
          <w:rFonts w:eastAsiaTheme="minorEastAsia" w:cstheme="minorBidi"/>
          <w:noProof/>
          <w:sz w:val="22"/>
          <w:szCs w:val="22"/>
          <w:lang w:eastAsia="cs-CZ"/>
        </w:rPr>
      </w:pPr>
      <w:hyperlink w:anchor="_Toc17208280" w:history="1">
        <w:r w:rsidR="003E7FCF" w:rsidRPr="005A52E2">
          <w:rPr>
            <w:rStyle w:val="Hypertextovodkaz"/>
            <w:noProof/>
          </w:rPr>
          <w:t>2.</w:t>
        </w:r>
        <w:r w:rsidR="003E7FCF">
          <w:rPr>
            <w:rFonts w:eastAsiaTheme="minorEastAsia" w:cstheme="minorBidi"/>
            <w:noProof/>
            <w:sz w:val="22"/>
            <w:szCs w:val="22"/>
            <w:lang w:eastAsia="cs-CZ"/>
          </w:rPr>
          <w:tab/>
        </w:r>
        <w:r w:rsidR="003E7FCF" w:rsidRPr="005A52E2">
          <w:rPr>
            <w:rStyle w:val="Hypertextovodkaz"/>
            <w:noProof/>
          </w:rPr>
          <w:t>Hospodaření státních fondů</w:t>
        </w:r>
        <w:r w:rsidR="003E7FCF">
          <w:rPr>
            <w:noProof/>
            <w:webHidden/>
          </w:rPr>
          <w:tab/>
        </w:r>
        <w:r w:rsidR="003E7FCF">
          <w:rPr>
            <w:noProof/>
            <w:webHidden/>
          </w:rPr>
          <w:fldChar w:fldCharType="begin"/>
        </w:r>
        <w:r w:rsidR="003E7FCF">
          <w:rPr>
            <w:noProof/>
            <w:webHidden/>
          </w:rPr>
          <w:instrText xml:space="preserve"> PAGEREF _Toc17208280 \h </w:instrText>
        </w:r>
        <w:r w:rsidR="003E7FCF">
          <w:rPr>
            <w:noProof/>
            <w:webHidden/>
          </w:rPr>
        </w:r>
        <w:r w:rsidR="003E7FCF">
          <w:rPr>
            <w:noProof/>
            <w:webHidden/>
          </w:rPr>
          <w:fldChar w:fldCharType="separate"/>
        </w:r>
        <w:r>
          <w:rPr>
            <w:noProof/>
            <w:webHidden/>
          </w:rPr>
          <w:t>49</w:t>
        </w:r>
        <w:r w:rsidR="003E7FCF">
          <w:rPr>
            <w:noProof/>
            <w:webHidden/>
          </w:rPr>
          <w:fldChar w:fldCharType="end"/>
        </w:r>
      </w:hyperlink>
    </w:p>
    <w:p w14:paraId="61975629" w14:textId="3AD65BA1" w:rsidR="003E7FCF" w:rsidRDefault="009849B2">
      <w:pPr>
        <w:pStyle w:val="Obsah3"/>
        <w:rPr>
          <w:rFonts w:eastAsiaTheme="minorEastAsia" w:cstheme="minorBidi"/>
          <w:noProof/>
          <w:sz w:val="22"/>
          <w:szCs w:val="22"/>
          <w:lang w:eastAsia="cs-CZ"/>
        </w:rPr>
      </w:pPr>
      <w:hyperlink w:anchor="_Toc17208281" w:history="1">
        <w:r w:rsidR="003E7FCF" w:rsidRPr="005A52E2">
          <w:rPr>
            <w:rStyle w:val="Hypertextovodkaz"/>
            <w:noProof/>
          </w:rPr>
          <w:t>3.</w:t>
        </w:r>
        <w:r w:rsidR="003E7FCF">
          <w:rPr>
            <w:rFonts w:eastAsiaTheme="minorEastAsia" w:cstheme="minorBidi"/>
            <w:noProof/>
            <w:sz w:val="22"/>
            <w:szCs w:val="22"/>
            <w:lang w:eastAsia="cs-CZ"/>
          </w:rPr>
          <w:tab/>
        </w:r>
        <w:r w:rsidR="003E7FCF" w:rsidRPr="005A52E2">
          <w:rPr>
            <w:rStyle w:val="Hypertextovodkaz"/>
            <w:noProof/>
          </w:rPr>
          <w:t>Hospodaření zdravotních pojišťoven</w:t>
        </w:r>
        <w:r w:rsidR="003E7FCF">
          <w:rPr>
            <w:noProof/>
            <w:webHidden/>
          </w:rPr>
          <w:tab/>
        </w:r>
        <w:r w:rsidR="003E7FCF">
          <w:rPr>
            <w:noProof/>
            <w:webHidden/>
          </w:rPr>
          <w:fldChar w:fldCharType="begin"/>
        </w:r>
        <w:r w:rsidR="003E7FCF">
          <w:rPr>
            <w:noProof/>
            <w:webHidden/>
          </w:rPr>
          <w:instrText xml:space="preserve"> PAGEREF _Toc17208281 \h </w:instrText>
        </w:r>
        <w:r w:rsidR="003E7FCF">
          <w:rPr>
            <w:noProof/>
            <w:webHidden/>
          </w:rPr>
        </w:r>
        <w:r w:rsidR="003E7FCF">
          <w:rPr>
            <w:noProof/>
            <w:webHidden/>
          </w:rPr>
          <w:fldChar w:fldCharType="separate"/>
        </w:r>
        <w:r>
          <w:rPr>
            <w:noProof/>
            <w:webHidden/>
          </w:rPr>
          <w:t>51</w:t>
        </w:r>
        <w:r w:rsidR="003E7FCF">
          <w:rPr>
            <w:noProof/>
            <w:webHidden/>
          </w:rPr>
          <w:fldChar w:fldCharType="end"/>
        </w:r>
      </w:hyperlink>
    </w:p>
    <w:p w14:paraId="05D142BB" w14:textId="4B96DEE8" w:rsidR="003E7FCF" w:rsidRDefault="009849B2" w:rsidP="003E7FCF">
      <w:pPr>
        <w:pStyle w:val="Obsah1"/>
        <w:rPr>
          <w:rFonts w:eastAsiaTheme="minorEastAsia" w:cstheme="minorBidi"/>
          <w:noProof/>
          <w:sz w:val="22"/>
          <w:szCs w:val="22"/>
          <w:lang w:eastAsia="cs-CZ"/>
        </w:rPr>
      </w:pPr>
      <w:hyperlink w:anchor="_Toc17208282" w:history="1">
        <w:r w:rsidR="003E7FCF" w:rsidRPr="005A52E2">
          <w:rPr>
            <w:rStyle w:val="Hypertextovodkaz"/>
            <w:noProof/>
          </w:rPr>
          <w:t>VII.</w:t>
        </w:r>
        <w:r w:rsidR="003E7FCF">
          <w:rPr>
            <w:rFonts w:eastAsiaTheme="minorEastAsia" w:cstheme="minorBidi"/>
            <w:noProof/>
            <w:sz w:val="22"/>
            <w:szCs w:val="22"/>
            <w:lang w:eastAsia="cs-CZ"/>
          </w:rPr>
          <w:tab/>
        </w:r>
        <w:r w:rsidR="003E7FCF" w:rsidRPr="005A52E2">
          <w:rPr>
            <w:rStyle w:val="Hypertextovodkaz"/>
            <w:noProof/>
          </w:rPr>
          <w:t>Vyhodnocení správnosti vykázaných údajů</w:t>
        </w:r>
        <w:r w:rsidR="003E7FCF">
          <w:rPr>
            <w:noProof/>
            <w:webHidden/>
          </w:rPr>
          <w:tab/>
        </w:r>
        <w:r w:rsidR="003E7FCF">
          <w:rPr>
            <w:noProof/>
            <w:webHidden/>
          </w:rPr>
          <w:fldChar w:fldCharType="begin"/>
        </w:r>
        <w:r w:rsidR="003E7FCF">
          <w:rPr>
            <w:noProof/>
            <w:webHidden/>
          </w:rPr>
          <w:instrText xml:space="preserve"> PAGEREF _Toc17208282 \h </w:instrText>
        </w:r>
        <w:r w:rsidR="003E7FCF">
          <w:rPr>
            <w:noProof/>
            <w:webHidden/>
          </w:rPr>
        </w:r>
        <w:r w:rsidR="003E7FCF">
          <w:rPr>
            <w:noProof/>
            <w:webHidden/>
          </w:rPr>
          <w:fldChar w:fldCharType="separate"/>
        </w:r>
        <w:r>
          <w:rPr>
            <w:noProof/>
            <w:webHidden/>
          </w:rPr>
          <w:t>53</w:t>
        </w:r>
        <w:r w:rsidR="003E7FCF">
          <w:rPr>
            <w:noProof/>
            <w:webHidden/>
          </w:rPr>
          <w:fldChar w:fldCharType="end"/>
        </w:r>
      </w:hyperlink>
    </w:p>
    <w:p w14:paraId="47F9BF9F" w14:textId="687A1E76" w:rsidR="003E7FCF" w:rsidRDefault="009849B2" w:rsidP="003E7FCF">
      <w:pPr>
        <w:pStyle w:val="Obsah1"/>
        <w:rPr>
          <w:rFonts w:eastAsiaTheme="minorEastAsia" w:cstheme="minorBidi"/>
          <w:noProof/>
          <w:sz w:val="22"/>
          <w:szCs w:val="22"/>
          <w:lang w:eastAsia="cs-CZ"/>
        </w:rPr>
      </w:pPr>
      <w:hyperlink w:anchor="_Toc17208283" w:history="1">
        <w:r w:rsidR="003E7FCF" w:rsidRPr="005A52E2">
          <w:rPr>
            <w:rStyle w:val="Hypertextovodkaz"/>
            <w:noProof/>
          </w:rPr>
          <w:t>Seznam použitých zkratek</w:t>
        </w:r>
        <w:r w:rsidR="003E7FCF">
          <w:rPr>
            <w:noProof/>
            <w:webHidden/>
          </w:rPr>
          <w:tab/>
        </w:r>
        <w:r w:rsidR="003E7FCF">
          <w:rPr>
            <w:noProof/>
            <w:webHidden/>
          </w:rPr>
          <w:fldChar w:fldCharType="begin"/>
        </w:r>
        <w:r w:rsidR="003E7FCF">
          <w:rPr>
            <w:noProof/>
            <w:webHidden/>
          </w:rPr>
          <w:instrText xml:space="preserve"> PAGEREF _Toc17208283 \h </w:instrText>
        </w:r>
        <w:r w:rsidR="003E7FCF">
          <w:rPr>
            <w:noProof/>
            <w:webHidden/>
          </w:rPr>
        </w:r>
        <w:r w:rsidR="003E7FCF">
          <w:rPr>
            <w:noProof/>
            <w:webHidden/>
          </w:rPr>
          <w:fldChar w:fldCharType="separate"/>
        </w:r>
        <w:r>
          <w:rPr>
            <w:noProof/>
            <w:webHidden/>
          </w:rPr>
          <w:t>56</w:t>
        </w:r>
        <w:r w:rsidR="003E7FCF">
          <w:rPr>
            <w:noProof/>
            <w:webHidden/>
          </w:rPr>
          <w:fldChar w:fldCharType="end"/>
        </w:r>
      </w:hyperlink>
    </w:p>
    <w:p w14:paraId="53391FBC" w14:textId="10AD5976" w:rsidR="003E7FCF" w:rsidRDefault="009849B2" w:rsidP="003E7FCF">
      <w:pPr>
        <w:pStyle w:val="Obsah1"/>
        <w:rPr>
          <w:rFonts w:eastAsiaTheme="minorEastAsia" w:cstheme="minorBidi"/>
          <w:noProof/>
          <w:sz w:val="22"/>
          <w:szCs w:val="22"/>
          <w:lang w:eastAsia="cs-CZ"/>
        </w:rPr>
      </w:pPr>
      <w:hyperlink w:anchor="_Toc17208284" w:history="1">
        <w:r w:rsidR="003E7FCF" w:rsidRPr="005A52E2">
          <w:rPr>
            <w:rStyle w:val="Hypertextovodkaz"/>
            <w:noProof/>
          </w:rPr>
          <w:t>Příloha č. 1 – Použité online zdroje pro stanovisko NKÚ</w:t>
        </w:r>
        <w:r w:rsidR="003E7FCF">
          <w:rPr>
            <w:noProof/>
            <w:webHidden/>
          </w:rPr>
          <w:tab/>
        </w:r>
        <w:r w:rsidR="003E7FCF">
          <w:rPr>
            <w:noProof/>
            <w:webHidden/>
          </w:rPr>
          <w:fldChar w:fldCharType="begin"/>
        </w:r>
        <w:r w:rsidR="003E7FCF">
          <w:rPr>
            <w:noProof/>
            <w:webHidden/>
          </w:rPr>
          <w:instrText xml:space="preserve"> PAGEREF _Toc17208284 \h </w:instrText>
        </w:r>
        <w:r w:rsidR="003E7FCF">
          <w:rPr>
            <w:noProof/>
            <w:webHidden/>
          </w:rPr>
        </w:r>
        <w:r w:rsidR="003E7FCF">
          <w:rPr>
            <w:noProof/>
            <w:webHidden/>
          </w:rPr>
          <w:fldChar w:fldCharType="separate"/>
        </w:r>
        <w:r>
          <w:rPr>
            <w:noProof/>
            <w:webHidden/>
          </w:rPr>
          <w:t>58</w:t>
        </w:r>
        <w:r w:rsidR="003E7FCF">
          <w:rPr>
            <w:noProof/>
            <w:webHidden/>
          </w:rPr>
          <w:fldChar w:fldCharType="end"/>
        </w:r>
      </w:hyperlink>
    </w:p>
    <w:p w14:paraId="51835B7E" w14:textId="73B8A308" w:rsidR="003E7FCF" w:rsidRDefault="009849B2" w:rsidP="005D7588">
      <w:pPr>
        <w:pStyle w:val="Obsah1"/>
        <w:tabs>
          <w:tab w:val="clear" w:pos="851"/>
        </w:tabs>
        <w:ind w:left="1361" w:hanging="1361"/>
        <w:jc w:val="both"/>
        <w:rPr>
          <w:rFonts w:eastAsiaTheme="minorEastAsia" w:cstheme="minorBidi"/>
          <w:noProof/>
          <w:sz w:val="22"/>
          <w:szCs w:val="22"/>
          <w:lang w:eastAsia="cs-CZ"/>
        </w:rPr>
      </w:pPr>
      <w:hyperlink w:anchor="_Toc17208285" w:history="1">
        <w:r w:rsidR="003E7FCF" w:rsidRPr="005A52E2">
          <w:rPr>
            <w:rStyle w:val="Hypertextovodkaz"/>
            <w:noProof/>
          </w:rPr>
          <w:t>Příloha č. 2 – Kontrolní akce, jejichž schválené kontrolní závěry byly použity pro stanovisko NKÚ</w:t>
        </w:r>
        <w:r w:rsidR="003E7FCF">
          <w:rPr>
            <w:noProof/>
            <w:webHidden/>
          </w:rPr>
          <w:tab/>
        </w:r>
        <w:r w:rsidR="003E7FCF">
          <w:rPr>
            <w:noProof/>
            <w:webHidden/>
          </w:rPr>
          <w:fldChar w:fldCharType="begin"/>
        </w:r>
        <w:r w:rsidR="003E7FCF">
          <w:rPr>
            <w:noProof/>
            <w:webHidden/>
          </w:rPr>
          <w:instrText xml:space="preserve"> PAGEREF _Toc17208285 \h </w:instrText>
        </w:r>
        <w:r w:rsidR="003E7FCF">
          <w:rPr>
            <w:noProof/>
            <w:webHidden/>
          </w:rPr>
        </w:r>
        <w:r w:rsidR="003E7FCF">
          <w:rPr>
            <w:noProof/>
            <w:webHidden/>
          </w:rPr>
          <w:fldChar w:fldCharType="separate"/>
        </w:r>
        <w:r>
          <w:rPr>
            <w:noProof/>
            <w:webHidden/>
          </w:rPr>
          <w:t>59</w:t>
        </w:r>
        <w:r w:rsidR="003E7FCF">
          <w:rPr>
            <w:noProof/>
            <w:webHidden/>
          </w:rPr>
          <w:fldChar w:fldCharType="end"/>
        </w:r>
      </w:hyperlink>
    </w:p>
    <w:p w14:paraId="3CBAA9B0" w14:textId="6E5D4AB4" w:rsidR="00785A39" w:rsidRDefault="00A40247" w:rsidP="000F21C9">
      <w:pPr>
        <w:rPr>
          <w:b/>
          <w:bCs/>
          <w:i/>
          <w:iCs/>
        </w:rPr>
      </w:pPr>
      <w:r>
        <w:fldChar w:fldCharType="end"/>
      </w:r>
      <w:r w:rsidR="00785A39">
        <w:br w:type="page"/>
      </w:r>
    </w:p>
    <w:p w14:paraId="0CD25E3A" w14:textId="468D7B29" w:rsidR="00A40247" w:rsidRPr="004F20AD" w:rsidRDefault="00A40247" w:rsidP="003E7FCF">
      <w:pPr>
        <w:pStyle w:val="Obsah1"/>
      </w:pPr>
      <w:r w:rsidRPr="004F20AD">
        <w:lastRenderedPageBreak/>
        <w:t>Redakční poznámka:</w:t>
      </w:r>
    </w:p>
    <w:p w14:paraId="570DBBB5" w14:textId="2351BD60" w:rsidR="00F279CA" w:rsidRDefault="00A40247" w:rsidP="00A40247">
      <w:r>
        <w:t>Redakční uzávěrka stanoviska NKÚ k návrhu SZÚ za rok 201</w:t>
      </w:r>
      <w:r w:rsidR="005616F0">
        <w:t>8</w:t>
      </w:r>
      <w:r w:rsidR="004903EA">
        <w:t xml:space="preserve"> byla stanovena </w:t>
      </w:r>
      <w:r w:rsidR="007F320C">
        <w:t xml:space="preserve">na </w:t>
      </w:r>
      <w:r w:rsidR="003741AD">
        <w:t>1</w:t>
      </w:r>
      <w:r w:rsidR="003B0B5D">
        <w:t>2</w:t>
      </w:r>
      <w:r w:rsidR="003741AD">
        <w:t>. 7.</w:t>
      </w:r>
      <w:r w:rsidR="004903EA">
        <w:t xml:space="preserve"> 201</w:t>
      </w:r>
      <w:r w:rsidR="005616F0">
        <w:t>9</w:t>
      </w:r>
      <w:r w:rsidR="004903EA">
        <w:t>.</w:t>
      </w:r>
    </w:p>
    <w:p w14:paraId="5D920493" w14:textId="41709ABD" w:rsidR="00D95616" w:rsidRDefault="00F279CA" w:rsidP="00A40247">
      <w:r>
        <w:rPr>
          <w:rFonts w:cs="Calibri"/>
        </w:rPr>
        <w:t>Materiál je prioritně zaměřen na skutečnosti roku 201</w:t>
      </w:r>
      <w:r w:rsidR="005616F0">
        <w:rPr>
          <w:rFonts w:cs="Calibri"/>
        </w:rPr>
        <w:t>8</w:t>
      </w:r>
      <w:r>
        <w:rPr>
          <w:rFonts w:cs="Calibri"/>
        </w:rPr>
        <w:t xml:space="preserve"> a</w:t>
      </w:r>
      <w:r w:rsidR="00401CB5">
        <w:rPr>
          <w:rFonts w:cs="Calibri"/>
        </w:rPr>
        <w:t xml:space="preserve"> </w:t>
      </w:r>
      <w:r w:rsidR="00401CB5" w:rsidRPr="00AC0DF2">
        <w:t>ho</w:t>
      </w:r>
      <w:r w:rsidR="00D95616" w:rsidRPr="00AC0DF2">
        <w:t xml:space="preserve">dnocení je provedeno </w:t>
      </w:r>
      <w:r w:rsidR="00401CB5" w:rsidRPr="00AC0DF2">
        <w:t xml:space="preserve">na základě </w:t>
      </w:r>
      <w:r w:rsidR="00D95616" w:rsidRPr="00AC0DF2">
        <w:t>nejaktuálnějších dostupných dat. V</w:t>
      </w:r>
      <w:r w:rsidR="00401CB5" w:rsidRPr="00AC0DF2">
        <w:t xml:space="preserve"> případě obecné platnosti </w:t>
      </w:r>
      <w:r w:rsidR="00D95616" w:rsidRPr="00AC0DF2">
        <w:t>m</w:t>
      </w:r>
      <w:r w:rsidR="00900452">
        <w:t>ohou</w:t>
      </w:r>
      <w:r w:rsidR="00D95616" w:rsidRPr="00AC0DF2">
        <w:t xml:space="preserve"> být vzhledem k nedostupnosti dat za rok 201</w:t>
      </w:r>
      <w:r w:rsidR="005616F0">
        <w:t>8</w:t>
      </w:r>
      <w:r w:rsidR="00D95616" w:rsidRPr="00AC0DF2">
        <w:t xml:space="preserve"> použit</w:t>
      </w:r>
      <w:r w:rsidR="00900452">
        <w:t>a</w:t>
      </w:r>
      <w:r w:rsidR="00D95616" w:rsidRPr="00AC0DF2">
        <w:t xml:space="preserve"> </w:t>
      </w:r>
      <w:r w:rsidR="00900452">
        <w:t>data ze starších</w:t>
      </w:r>
      <w:r w:rsidR="00D95616" w:rsidRPr="00AC0DF2">
        <w:t xml:space="preserve"> období.</w:t>
      </w:r>
      <w:r w:rsidR="00401CB5" w:rsidRPr="00AC0DF2">
        <w:t xml:space="preserve"> </w:t>
      </w:r>
    </w:p>
    <w:p w14:paraId="7D757FD4" w14:textId="548FE3A2" w:rsidR="00A40247" w:rsidRDefault="00A40247" w:rsidP="00A40247">
      <w:r>
        <w:t>V materiálu není sjednocen počet desetinných míst</w:t>
      </w:r>
      <w:r w:rsidR="00900452">
        <w:t>, a to</w:t>
      </w:r>
      <w:r>
        <w:t xml:space="preserve"> z důvodu </w:t>
      </w:r>
      <w:r w:rsidR="00900452">
        <w:t xml:space="preserve">používání </w:t>
      </w:r>
      <w:r>
        <w:t xml:space="preserve">různých zdrojů (některé zdroje uvádějí pouze zaokrouhlená čísla nebo čísla zaokrouhlená </w:t>
      </w:r>
      <w:r w:rsidRPr="006303D9">
        <w:t xml:space="preserve">na </w:t>
      </w:r>
      <w:r>
        <w:t>odlišný</w:t>
      </w:r>
      <w:r w:rsidRPr="006303D9">
        <w:t xml:space="preserve"> počet desetinných míst</w:t>
      </w:r>
      <w:r>
        <w:t xml:space="preserve">). Dále může v materiálu dojít k drobným odchylkám hodnot </w:t>
      </w:r>
      <w:r w:rsidR="006D31AB">
        <w:t>z důvodu zaokrouhlování nebo použití různých zdrojů.</w:t>
      </w:r>
    </w:p>
    <w:p w14:paraId="1FB5E107" w14:textId="77777777" w:rsidR="00A40247" w:rsidRDefault="00A40247" w:rsidP="00EE2BB9">
      <w:pPr>
        <w:pStyle w:val="Nadpis1"/>
        <w:ind w:left="426" w:hanging="426"/>
      </w:pPr>
      <w:bookmarkStart w:id="1" w:name="_Toc454964059"/>
      <w:bookmarkStart w:id="2" w:name="_Toc454964154"/>
      <w:bookmarkStart w:id="3" w:name="_Toc459787562"/>
      <w:bookmarkStart w:id="4" w:name="_Toc482272300"/>
      <w:r>
        <w:br w:type="page"/>
      </w:r>
      <w:bookmarkStart w:id="5" w:name="_Toc17208261"/>
      <w:r>
        <w:lastRenderedPageBreak/>
        <w:t>Úvodní slovo prezidenta</w:t>
      </w:r>
      <w:bookmarkEnd w:id="1"/>
      <w:bookmarkEnd w:id="2"/>
      <w:bookmarkEnd w:id="3"/>
      <w:bookmarkEnd w:id="4"/>
      <w:bookmarkEnd w:id="5"/>
    </w:p>
    <w:p w14:paraId="7AB15830" w14:textId="77777777" w:rsidR="005F0C0F" w:rsidRPr="00E0270A" w:rsidRDefault="005F0C0F" w:rsidP="005F0C0F">
      <w:pPr>
        <w:rPr>
          <w:szCs w:val="24"/>
        </w:rPr>
      </w:pPr>
      <w:r w:rsidRPr="00E0270A">
        <w:rPr>
          <w:szCs w:val="24"/>
        </w:rPr>
        <w:t xml:space="preserve">Vážené čtenářky, vážení čtenáři, </w:t>
      </w:r>
    </w:p>
    <w:p w14:paraId="00911723" w14:textId="77777777" w:rsidR="005F0C0F" w:rsidRPr="00E0270A" w:rsidRDefault="005F0C0F" w:rsidP="005F0C0F">
      <w:pPr>
        <w:rPr>
          <w:szCs w:val="24"/>
        </w:rPr>
      </w:pPr>
      <w:r w:rsidRPr="00E0270A">
        <w:rPr>
          <w:szCs w:val="24"/>
        </w:rPr>
        <w:t xml:space="preserve">držíte v rukou stanovisko Nejvyššího kontrolního úřadu k návrhu státního závěrečného účtu za rok 2018. NKÚ v něm hodnotí, jak se vyvíjelo hospodaření státu v předchozím roce. </w:t>
      </w:r>
    </w:p>
    <w:p w14:paraId="59314A31" w14:textId="77777777" w:rsidR="005F0C0F" w:rsidRPr="00E0270A" w:rsidRDefault="005F0C0F" w:rsidP="005F0C0F">
      <w:pPr>
        <w:rPr>
          <w:szCs w:val="24"/>
        </w:rPr>
      </w:pPr>
      <w:r w:rsidRPr="00E0270A">
        <w:rPr>
          <w:szCs w:val="24"/>
        </w:rPr>
        <w:t>Pokud se na hospodaření České republiky podíváme podrobněji, zjistíme, že si naše republika dokázala udržet slušný ekonomický růst ve výši 3 %, státní rozpočet skončil v přebytku 2,94</w:t>
      </w:r>
      <w:r>
        <w:rPr>
          <w:szCs w:val="24"/>
        </w:rPr>
        <w:t> </w:t>
      </w:r>
      <w:r w:rsidRPr="00E0270A">
        <w:rPr>
          <w:szCs w:val="24"/>
        </w:rPr>
        <w:t xml:space="preserve">miliardy korun, celkově příjmy státu meziročně rostly. </w:t>
      </w:r>
    </w:p>
    <w:p w14:paraId="52F827A5" w14:textId="77777777" w:rsidR="005F0C0F" w:rsidRPr="00E0270A" w:rsidRDefault="005F0C0F" w:rsidP="005F0C0F">
      <w:pPr>
        <w:rPr>
          <w:szCs w:val="24"/>
        </w:rPr>
      </w:pPr>
      <w:r w:rsidRPr="00E0270A">
        <w:rPr>
          <w:szCs w:val="24"/>
        </w:rPr>
        <w:t>Za nárůstem příjmů stojí především rekordně nízká nezaměstnanost, zvyšování platů a tím i</w:t>
      </w:r>
      <w:r>
        <w:rPr>
          <w:szCs w:val="24"/>
        </w:rPr>
        <w:t> </w:t>
      </w:r>
      <w:r w:rsidRPr="00E0270A">
        <w:rPr>
          <w:szCs w:val="24"/>
        </w:rPr>
        <w:t>větší spotřeba domácností. Příjmy státu jsou stále velmi silně závislé na přímých daních, a to včetně pojistného na sociální zabezpečení. Taková závislost může být do budoucna riziková, zejména pokud přijde ekonomické ochlazení. Byť jen mírné snížení ekonomického tempa pak může mít nepříjemné důsledky pro státní rozpočet i z toho důvodu, že rychleji než příjmy a</w:t>
      </w:r>
      <w:r>
        <w:rPr>
          <w:szCs w:val="24"/>
        </w:rPr>
        <w:t> </w:t>
      </w:r>
      <w:r w:rsidRPr="00E0270A">
        <w:rPr>
          <w:szCs w:val="24"/>
        </w:rPr>
        <w:t>celkové výdaje státního rozpočtu rostou výdaje mandatorní.</w:t>
      </w:r>
    </w:p>
    <w:p w14:paraId="1515D530" w14:textId="77777777" w:rsidR="005F0C0F" w:rsidRPr="00E0270A" w:rsidRDefault="005F0C0F" w:rsidP="005F0C0F">
      <w:pPr>
        <w:rPr>
          <w:szCs w:val="24"/>
        </w:rPr>
      </w:pPr>
      <w:r w:rsidRPr="00E0270A">
        <w:rPr>
          <w:szCs w:val="24"/>
        </w:rPr>
        <w:t>V roce 2018 byla Česká republika také poprvé hodnocena za to, zda plní při čerpání prostředků z EU pravidlo n+3</w:t>
      </w:r>
      <w:r>
        <w:rPr>
          <w:szCs w:val="24"/>
        </w:rPr>
        <w:t>,</w:t>
      </w:r>
      <w:r w:rsidRPr="00E0270A">
        <w:rPr>
          <w:szCs w:val="24"/>
        </w:rPr>
        <w:t xml:space="preserve"> a toto pravidlo se jí splnit podařilo. Přesto má při čerpání stále značné rezervy. To s sebou nese řadu rizik, ať už ve vyšší chybovosti v žádostech o platby</w:t>
      </w:r>
      <w:r>
        <w:rPr>
          <w:szCs w:val="24"/>
        </w:rPr>
        <w:t>,</w:t>
      </w:r>
      <w:r w:rsidRPr="00E0270A">
        <w:rPr>
          <w:szCs w:val="24"/>
        </w:rPr>
        <w:t xml:space="preserve"> nebo ve zvýšené snaze dočerpat prostředky před koncem programového období. </w:t>
      </w:r>
    </w:p>
    <w:p w14:paraId="01A049AA" w14:textId="77777777" w:rsidR="005F0C0F" w:rsidRPr="00E0270A" w:rsidRDefault="005F0C0F" w:rsidP="005F0C0F">
      <w:pPr>
        <w:rPr>
          <w:szCs w:val="24"/>
        </w:rPr>
      </w:pPr>
      <w:r w:rsidRPr="00E0270A">
        <w:rPr>
          <w:szCs w:val="24"/>
        </w:rPr>
        <w:t xml:space="preserve">NKÚ se ve svém stanovisku zabývá také oblastmi, </w:t>
      </w:r>
      <w:r>
        <w:rPr>
          <w:szCs w:val="24"/>
        </w:rPr>
        <w:t>do nichž</w:t>
      </w:r>
      <w:r w:rsidRPr="00E0270A">
        <w:rPr>
          <w:szCs w:val="24"/>
        </w:rPr>
        <w:t xml:space="preserve"> směřovaly v uplynulém roce významné prostředky, ale přesto se v nich nedaří odstranit některé dlouhodobé problémy. Ať už jde o mírnou inovační výkonnost v porovnání se zbytkem Evropy, nedostatečnou ochranu zemědělské půdy před vlivy eroze, zhoršování kvality dopravní infrastruktury nebo neplnění některých opatření, která by měla zlepšit kvalitu ovzduší.</w:t>
      </w:r>
    </w:p>
    <w:p w14:paraId="7D36AD36" w14:textId="77777777" w:rsidR="005F0C0F" w:rsidRPr="00E0270A" w:rsidRDefault="005F0C0F" w:rsidP="005F0C0F">
      <w:pPr>
        <w:rPr>
          <w:szCs w:val="24"/>
        </w:rPr>
      </w:pPr>
      <w:r w:rsidRPr="00E0270A">
        <w:rPr>
          <w:szCs w:val="24"/>
        </w:rPr>
        <w:t>Věřím, že zpětná vazba z pohledu nezávislého auditora státu má svou váhu a může být pro tvůrce politik vodítkem v jejich dalším rozhodování o tom, kam smě</w:t>
      </w:r>
      <w:r>
        <w:rPr>
          <w:szCs w:val="24"/>
        </w:rPr>
        <w:t>r</w:t>
      </w:r>
      <w:r w:rsidRPr="00E0270A">
        <w:rPr>
          <w:szCs w:val="24"/>
        </w:rPr>
        <w:t>ovat prostředky státu v dalším období a jakým oblastem věnovat zvýšenou pozornost.</w:t>
      </w:r>
    </w:p>
    <w:p w14:paraId="359FE223" w14:textId="77777777" w:rsidR="005F0C0F" w:rsidRDefault="005F0C0F" w:rsidP="005F0C0F">
      <w:pPr>
        <w:rPr>
          <w:szCs w:val="24"/>
        </w:rPr>
      </w:pPr>
    </w:p>
    <w:p w14:paraId="51B31EEC" w14:textId="77777777" w:rsidR="005F0C0F" w:rsidRPr="00E0270A" w:rsidRDefault="005F0C0F" w:rsidP="005F0C0F">
      <w:pPr>
        <w:rPr>
          <w:szCs w:val="24"/>
        </w:rPr>
      </w:pPr>
    </w:p>
    <w:p w14:paraId="5FB62524" w14:textId="77777777" w:rsidR="005F0C0F" w:rsidRPr="00E0270A" w:rsidRDefault="005F0C0F" w:rsidP="005F0C0F">
      <w:pPr>
        <w:rPr>
          <w:szCs w:val="24"/>
        </w:rPr>
      </w:pPr>
      <w:r w:rsidRPr="00E0270A">
        <w:rPr>
          <w:szCs w:val="24"/>
        </w:rPr>
        <w:t>Miloslav Kala,</w:t>
      </w:r>
    </w:p>
    <w:p w14:paraId="69BBB503" w14:textId="77777777" w:rsidR="005F0C0F" w:rsidRPr="00E0270A" w:rsidRDefault="005F0C0F" w:rsidP="005F0C0F">
      <w:pPr>
        <w:rPr>
          <w:szCs w:val="24"/>
        </w:rPr>
      </w:pPr>
      <w:r w:rsidRPr="00E0270A">
        <w:rPr>
          <w:szCs w:val="24"/>
        </w:rPr>
        <w:t>prezident Nejvyššího kontrolního úřadu</w:t>
      </w:r>
    </w:p>
    <w:p w14:paraId="611C133F" w14:textId="77777777" w:rsidR="005F0C0F" w:rsidRDefault="005F0C0F" w:rsidP="005F0C0F"/>
    <w:p w14:paraId="209EAF9A" w14:textId="0EACF012" w:rsidR="005F0C0F" w:rsidRDefault="005F0C0F" w:rsidP="00226CA5">
      <w:pPr>
        <w:rPr>
          <w:bCs/>
          <w:szCs w:val="24"/>
        </w:rPr>
      </w:pPr>
    </w:p>
    <w:p w14:paraId="1B828CBA" w14:textId="77777777" w:rsidR="005F0C0F" w:rsidRPr="0021606E" w:rsidRDefault="005F0C0F" w:rsidP="00226CA5">
      <w:pPr>
        <w:rPr>
          <w:rFonts w:asciiTheme="minorHAnsi" w:hAnsiTheme="minorHAnsi"/>
          <w:bCs/>
          <w:szCs w:val="24"/>
        </w:rPr>
      </w:pPr>
    </w:p>
    <w:p w14:paraId="520CFE03" w14:textId="391143EA" w:rsidR="000B229C" w:rsidRDefault="000B229C">
      <w:pPr>
        <w:spacing w:before="0" w:after="0" w:line="240" w:lineRule="auto"/>
        <w:jc w:val="left"/>
        <w:rPr>
          <w:rFonts w:asciiTheme="minorHAnsi" w:hAnsiTheme="minorHAnsi" w:cstheme="minorHAnsi"/>
          <w:b/>
          <w:sz w:val="28"/>
          <w:szCs w:val="28"/>
        </w:rPr>
      </w:pPr>
      <w:r>
        <w:br w:type="page"/>
      </w:r>
    </w:p>
    <w:p w14:paraId="7564C06E" w14:textId="10095BA2" w:rsidR="00FC02B2" w:rsidRDefault="00FC02B2" w:rsidP="00FC02B2">
      <w:pPr>
        <w:pStyle w:val="Nadpis1"/>
        <w:ind w:left="426" w:hanging="426"/>
      </w:pPr>
      <w:bookmarkStart w:id="6" w:name="_Toc17208262"/>
      <w:r>
        <w:lastRenderedPageBreak/>
        <w:t>Shrnutí</w:t>
      </w:r>
      <w:bookmarkEnd w:id="6"/>
      <w:r>
        <w:t xml:space="preserve"> </w:t>
      </w:r>
    </w:p>
    <w:p w14:paraId="5EBB0AB9" w14:textId="2F2DDF9C" w:rsidR="00821336" w:rsidRDefault="00821336" w:rsidP="00472645">
      <w:pPr>
        <w:pStyle w:val="odrazky2"/>
        <w:rPr>
          <w:rFonts w:eastAsia="Times New Roman" w:cs="Times New Roman"/>
          <w:szCs w:val="24"/>
        </w:rPr>
      </w:pPr>
      <w:r w:rsidRPr="00CC05C1">
        <w:rPr>
          <w:rFonts w:eastAsia="Times New Roman" w:cs="Times New Roman"/>
          <w:szCs w:val="24"/>
        </w:rPr>
        <w:t xml:space="preserve">Česká republika </w:t>
      </w:r>
      <w:r>
        <w:rPr>
          <w:rFonts w:eastAsia="Times New Roman" w:cs="Times New Roman"/>
          <w:szCs w:val="24"/>
        </w:rPr>
        <w:t xml:space="preserve">si </w:t>
      </w:r>
      <w:r w:rsidRPr="00CC05C1">
        <w:rPr>
          <w:rFonts w:eastAsia="Times New Roman" w:cs="Times New Roman"/>
          <w:szCs w:val="24"/>
        </w:rPr>
        <w:t>v roce 2018 udržela solidní ekonomický růst</w:t>
      </w:r>
      <w:r>
        <w:rPr>
          <w:rFonts w:eastAsia="Times New Roman" w:cs="Times New Roman"/>
          <w:szCs w:val="24"/>
        </w:rPr>
        <w:t xml:space="preserve"> ve výši 3 </w:t>
      </w:r>
      <w:r>
        <w:rPr>
          <w:rFonts w:eastAsia="Times New Roman" w:cs="Calibri"/>
          <w:szCs w:val="24"/>
        </w:rPr>
        <w:t>%.</w:t>
      </w:r>
    </w:p>
    <w:p w14:paraId="255C51FB" w14:textId="339419CA" w:rsidR="00472645" w:rsidRDefault="00472645" w:rsidP="00472645">
      <w:pPr>
        <w:pStyle w:val="odrazky2"/>
        <w:rPr>
          <w:rFonts w:eastAsia="Times New Roman" w:cs="Times New Roman"/>
          <w:szCs w:val="24"/>
        </w:rPr>
      </w:pPr>
      <w:r>
        <w:rPr>
          <w:rFonts w:eastAsia="Times New Roman" w:cs="Times New Roman"/>
          <w:szCs w:val="24"/>
        </w:rPr>
        <w:t>H</w:t>
      </w:r>
      <w:r w:rsidRPr="000B7EC0">
        <w:rPr>
          <w:rFonts w:eastAsia="Times New Roman" w:cs="Times New Roman"/>
          <w:szCs w:val="24"/>
        </w:rPr>
        <w:t xml:space="preserve">ospodaření státního rozpočtu skončilo místo plánovaného schodku </w:t>
      </w:r>
      <w:r w:rsidR="00461724">
        <w:rPr>
          <w:rFonts w:eastAsia="Times New Roman" w:cs="Times New Roman"/>
          <w:szCs w:val="24"/>
        </w:rPr>
        <w:t xml:space="preserve">ve výši 50 mld. Kč </w:t>
      </w:r>
      <w:r w:rsidRPr="000B7EC0">
        <w:rPr>
          <w:rFonts w:eastAsia="Times New Roman" w:cs="Times New Roman"/>
          <w:szCs w:val="24"/>
        </w:rPr>
        <w:t>přebytkem</w:t>
      </w:r>
      <w:r>
        <w:rPr>
          <w:rFonts w:eastAsia="Times New Roman" w:cs="Times New Roman"/>
          <w:szCs w:val="24"/>
        </w:rPr>
        <w:t xml:space="preserve"> 2,94 mld. Kč.</w:t>
      </w:r>
    </w:p>
    <w:p w14:paraId="61C1CFCA" w14:textId="77777777" w:rsidR="00472645" w:rsidRPr="000B7EC0" w:rsidRDefault="00472645" w:rsidP="00472645">
      <w:pPr>
        <w:pStyle w:val="odrazky2"/>
        <w:rPr>
          <w:rFonts w:eastAsia="Times New Roman" w:cs="Times New Roman"/>
          <w:szCs w:val="24"/>
        </w:rPr>
      </w:pPr>
      <w:r>
        <w:rPr>
          <w:rFonts w:eastAsia="Times New Roman" w:cs="Times New Roman"/>
          <w:szCs w:val="24"/>
        </w:rPr>
        <w:t>Celkové příjmy státního rozpočtu vzrostly</w:t>
      </w:r>
      <w:r w:rsidRPr="00320701">
        <w:rPr>
          <w:rFonts w:eastAsia="Times New Roman" w:cs="Times New Roman"/>
          <w:szCs w:val="24"/>
        </w:rPr>
        <w:t xml:space="preserve"> </w:t>
      </w:r>
      <w:r>
        <w:rPr>
          <w:rFonts w:eastAsia="Times New Roman" w:cs="Times New Roman"/>
          <w:szCs w:val="24"/>
        </w:rPr>
        <w:t xml:space="preserve">meziročně </w:t>
      </w:r>
      <w:r w:rsidRPr="00320701">
        <w:rPr>
          <w:rFonts w:eastAsia="Times New Roman" w:cs="Times New Roman"/>
          <w:szCs w:val="24"/>
        </w:rPr>
        <w:t>o 130,3 mld. Kč</w:t>
      </w:r>
      <w:r>
        <w:rPr>
          <w:rFonts w:eastAsia="Times New Roman" w:cs="Times New Roman"/>
          <w:szCs w:val="24"/>
        </w:rPr>
        <w:t>, k čemuž přispěla zejména vysoká zaměstnanost spojená se zvyšováním mezd a platů.</w:t>
      </w:r>
    </w:p>
    <w:p w14:paraId="634D6EC5" w14:textId="0A6085FA" w:rsidR="00472645" w:rsidRDefault="00472645" w:rsidP="00472645">
      <w:pPr>
        <w:pStyle w:val="odrazky2"/>
        <w:rPr>
          <w:rFonts w:eastAsia="Times New Roman" w:cs="Times New Roman"/>
          <w:szCs w:val="24"/>
        </w:rPr>
      </w:pPr>
      <w:r w:rsidRPr="00CC05C1">
        <w:rPr>
          <w:rFonts w:eastAsia="Times New Roman" w:cs="Times New Roman"/>
          <w:szCs w:val="24"/>
        </w:rPr>
        <w:t>Č</w:t>
      </w:r>
      <w:r>
        <w:rPr>
          <w:rFonts w:eastAsia="Times New Roman" w:cs="Times New Roman"/>
          <w:szCs w:val="24"/>
        </w:rPr>
        <w:t xml:space="preserve">eské republice </w:t>
      </w:r>
      <w:r w:rsidRPr="00CC05C1">
        <w:rPr>
          <w:rFonts w:eastAsia="Times New Roman" w:cs="Times New Roman"/>
          <w:szCs w:val="24"/>
        </w:rPr>
        <w:t xml:space="preserve">se </w:t>
      </w:r>
      <w:r>
        <w:rPr>
          <w:rFonts w:eastAsia="Times New Roman" w:cs="Times New Roman"/>
          <w:szCs w:val="24"/>
        </w:rPr>
        <w:t xml:space="preserve">do konce roku </w:t>
      </w:r>
      <w:r w:rsidRPr="00CC05C1">
        <w:rPr>
          <w:rFonts w:eastAsia="Times New Roman" w:cs="Times New Roman"/>
          <w:szCs w:val="24"/>
        </w:rPr>
        <w:t xml:space="preserve">2018 podařilo splnit pravidlo n+3 pro všechny </w:t>
      </w:r>
      <w:r>
        <w:rPr>
          <w:rFonts w:eastAsia="Times New Roman" w:cs="Times New Roman"/>
          <w:szCs w:val="24"/>
        </w:rPr>
        <w:t xml:space="preserve">operační </w:t>
      </w:r>
      <w:r w:rsidRPr="00CC05C1">
        <w:rPr>
          <w:rFonts w:eastAsia="Times New Roman" w:cs="Times New Roman"/>
          <w:szCs w:val="24"/>
        </w:rPr>
        <w:t xml:space="preserve">programy v rámci </w:t>
      </w:r>
      <w:r w:rsidRPr="00422CFA">
        <w:rPr>
          <w:rFonts w:eastAsia="Times New Roman" w:cs="Times New Roman"/>
          <w:i/>
          <w:szCs w:val="24"/>
        </w:rPr>
        <w:t>Dohody o partnerství</w:t>
      </w:r>
      <w:r w:rsidR="00097169">
        <w:rPr>
          <w:rFonts w:eastAsia="Times New Roman" w:cs="Times New Roman"/>
          <w:i/>
          <w:szCs w:val="24"/>
        </w:rPr>
        <w:t xml:space="preserve"> pro programové období 2014–2020</w:t>
      </w:r>
      <w:r w:rsidR="000E72C0">
        <w:rPr>
          <w:rFonts w:eastAsia="Times New Roman" w:cs="Times New Roman"/>
          <w:szCs w:val="24"/>
        </w:rPr>
        <w:t>.</w:t>
      </w:r>
    </w:p>
    <w:p w14:paraId="2C9F551B" w14:textId="2C21BA6A" w:rsidR="00472645" w:rsidRDefault="00472645" w:rsidP="00472645">
      <w:pPr>
        <w:pStyle w:val="odrazky2"/>
        <w:rPr>
          <w:rFonts w:eastAsia="Times New Roman" w:cs="Times New Roman"/>
          <w:szCs w:val="24"/>
        </w:rPr>
      </w:pPr>
      <w:r>
        <w:rPr>
          <w:rFonts w:eastAsia="Times New Roman" w:cs="Times New Roman"/>
          <w:szCs w:val="24"/>
        </w:rPr>
        <w:t>Obecná m</w:t>
      </w:r>
      <w:r w:rsidRPr="00CC05C1">
        <w:rPr>
          <w:rFonts w:eastAsia="Times New Roman" w:cs="Times New Roman"/>
          <w:szCs w:val="24"/>
        </w:rPr>
        <w:t>íra nezaměstnanosti ve výši 2,</w:t>
      </w:r>
      <w:r w:rsidR="006F568D">
        <w:rPr>
          <w:rFonts w:eastAsia="Times New Roman" w:cs="Times New Roman"/>
          <w:szCs w:val="24"/>
        </w:rPr>
        <w:t>2</w:t>
      </w:r>
      <w:r w:rsidRPr="00CC05C1">
        <w:rPr>
          <w:rFonts w:eastAsia="Times New Roman" w:cs="Times New Roman"/>
          <w:szCs w:val="24"/>
        </w:rPr>
        <w:t xml:space="preserve"> % dosáhla své nejnižší úrovně v historii České republiky a byla nejnižší v rámci celé Evropské unie</w:t>
      </w:r>
      <w:r>
        <w:rPr>
          <w:rFonts w:eastAsia="Times New Roman" w:cs="Times New Roman"/>
          <w:szCs w:val="24"/>
        </w:rPr>
        <w:t>.</w:t>
      </w:r>
    </w:p>
    <w:p w14:paraId="7790C8F8" w14:textId="12264449" w:rsidR="00472645" w:rsidRDefault="00472645" w:rsidP="00472645">
      <w:pPr>
        <w:pStyle w:val="odrazky2"/>
        <w:rPr>
          <w:rFonts w:eastAsia="Times New Roman" w:cs="Times New Roman"/>
          <w:szCs w:val="24"/>
        </w:rPr>
      </w:pPr>
      <w:r w:rsidRPr="0055218E">
        <w:rPr>
          <w:rFonts w:eastAsia="Times New Roman" w:cs="Times New Roman"/>
          <w:szCs w:val="24"/>
        </w:rPr>
        <w:t xml:space="preserve">Státní dluh meziročně </w:t>
      </w:r>
      <w:r w:rsidR="00821336">
        <w:rPr>
          <w:rFonts w:eastAsia="Times New Roman" w:cs="Times New Roman"/>
          <w:szCs w:val="24"/>
        </w:rPr>
        <w:t xml:space="preserve">absolutně </w:t>
      </w:r>
      <w:r w:rsidRPr="0055218E">
        <w:rPr>
          <w:rFonts w:eastAsia="Times New Roman" w:cs="Times New Roman"/>
          <w:szCs w:val="24"/>
        </w:rPr>
        <w:t>mírně klesl</w:t>
      </w:r>
      <w:r w:rsidR="00821336">
        <w:rPr>
          <w:rFonts w:eastAsia="Times New Roman" w:cs="Times New Roman"/>
          <w:szCs w:val="24"/>
        </w:rPr>
        <w:t xml:space="preserve"> a snížil se i jeho podíl na HDP.</w:t>
      </w:r>
    </w:p>
    <w:p w14:paraId="61165632" w14:textId="0F83FEE9" w:rsidR="00187BF7" w:rsidRDefault="00187BF7" w:rsidP="00472645">
      <w:pPr>
        <w:pStyle w:val="odrazky2"/>
        <w:rPr>
          <w:rFonts w:eastAsia="Times New Roman" w:cs="Times New Roman"/>
          <w:szCs w:val="24"/>
        </w:rPr>
      </w:pPr>
      <w:r>
        <w:rPr>
          <w:rFonts w:eastAsia="Times New Roman" w:cs="Times New Roman"/>
          <w:szCs w:val="24"/>
        </w:rPr>
        <w:t>V roce 2018 byl vykázán významný přebytek hospodaření zdravotních pojišťoven.</w:t>
      </w:r>
    </w:p>
    <w:p w14:paraId="087ABBF9" w14:textId="0987E831" w:rsidR="00472645" w:rsidRDefault="00472645" w:rsidP="00472645">
      <w:pPr>
        <w:pStyle w:val="odrazky2"/>
        <w:numPr>
          <w:ilvl w:val="0"/>
          <w:numId w:val="0"/>
        </w:numPr>
        <w:rPr>
          <w:rFonts w:eastAsia="Times New Roman" w:cs="Times New Roman"/>
          <w:szCs w:val="24"/>
        </w:rPr>
      </w:pPr>
    </w:p>
    <w:p w14:paraId="3DE35C6B" w14:textId="77777777" w:rsidR="004F086F" w:rsidRDefault="004F086F" w:rsidP="00472645">
      <w:pPr>
        <w:pStyle w:val="odrazky2"/>
        <w:numPr>
          <w:ilvl w:val="0"/>
          <w:numId w:val="0"/>
        </w:numPr>
        <w:rPr>
          <w:rFonts w:eastAsia="Times New Roman" w:cs="Times New Roman"/>
          <w:szCs w:val="24"/>
        </w:rPr>
      </w:pPr>
    </w:p>
    <w:p w14:paraId="30456300" w14:textId="77777777" w:rsidR="00472645" w:rsidRDefault="00472645" w:rsidP="00472645">
      <w:pPr>
        <w:pStyle w:val="odrazkyveshrnuti"/>
      </w:pPr>
      <w:r>
        <w:t>M</w:t>
      </w:r>
      <w:r w:rsidRPr="00DC6428">
        <w:t>ezi rozpočtovaným a skutečným saldem státního rozpočtu</w:t>
      </w:r>
      <w:r>
        <w:t xml:space="preserve"> byl vykázán v</w:t>
      </w:r>
      <w:r w:rsidRPr="00DC6428">
        <w:t>ysoký rozdíl</w:t>
      </w:r>
      <w:r>
        <w:t>.</w:t>
      </w:r>
    </w:p>
    <w:p w14:paraId="70F3C48C" w14:textId="77777777" w:rsidR="00472645" w:rsidRDefault="00472645" w:rsidP="00472645">
      <w:pPr>
        <w:pStyle w:val="odrazkyveshrnuti"/>
      </w:pPr>
      <w:r>
        <w:t>P</w:t>
      </w:r>
      <w:r w:rsidRPr="00677A6F">
        <w:t xml:space="preserve">lnění příjmů je </w:t>
      </w:r>
      <w:r>
        <w:t xml:space="preserve">stále více </w:t>
      </w:r>
      <w:r w:rsidRPr="00677A6F">
        <w:t>závislé na přímých daních včetně pojistného na sociální zabezpečení, které silně reagují na případné ochlazení ekonomiky</w:t>
      </w:r>
      <w:r>
        <w:t>.</w:t>
      </w:r>
    </w:p>
    <w:p w14:paraId="52C82EFC" w14:textId="49E14802" w:rsidR="00472645" w:rsidRDefault="00472645" w:rsidP="00472645">
      <w:pPr>
        <w:pStyle w:val="odrazkyveshrnuti"/>
      </w:pPr>
      <w:r>
        <w:t>M</w:t>
      </w:r>
      <w:r w:rsidRPr="009E5C03">
        <w:t>andatorní a kvazimandatorní výdaje rostou rychleji než celkové příjmy a výdaje, což do budoucna představuje riziko pro fiskální udržitelnost státního rozpočtu</w:t>
      </w:r>
      <w:r>
        <w:t>.</w:t>
      </w:r>
    </w:p>
    <w:p w14:paraId="64BF6AC3" w14:textId="33DCDFDD" w:rsidR="00472645" w:rsidRDefault="00472645" w:rsidP="00472645">
      <w:pPr>
        <w:pStyle w:val="odrazkyveshrnuti"/>
      </w:pPr>
      <w:r>
        <w:t xml:space="preserve">V programovém období 2014–2020 stihla Česká republika </w:t>
      </w:r>
      <w:r w:rsidRPr="00075CF3">
        <w:t>z celkové alokace z</w:t>
      </w:r>
      <w:r w:rsidR="00097169">
        <w:t> </w:t>
      </w:r>
      <w:r w:rsidRPr="00075CF3">
        <w:t>evropských strukturálních a investičních fondů</w:t>
      </w:r>
      <w:r>
        <w:t xml:space="preserve"> smluvně zajistit </w:t>
      </w:r>
      <w:r w:rsidR="00621079">
        <w:t xml:space="preserve">do konce roku 2018 </w:t>
      </w:r>
      <w:r>
        <w:t xml:space="preserve">pouze 63 </w:t>
      </w:r>
      <w:r>
        <w:rPr>
          <w:rFonts w:cs="Calibri"/>
        </w:rPr>
        <w:t>%</w:t>
      </w:r>
      <w:r>
        <w:t xml:space="preserve"> </w:t>
      </w:r>
      <w:r w:rsidRPr="00075CF3">
        <w:t>prostředků</w:t>
      </w:r>
      <w:r>
        <w:t>, což ji řadí na předposlední místo v rámci EU.</w:t>
      </w:r>
    </w:p>
    <w:p w14:paraId="3C4B2A7E" w14:textId="7D693D0A" w:rsidR="00472645" w:rsidRDefault="00472645" w:rsidP="00472645">
      <w:pPr>
        <w:pStyle w:val="odrazkyveshrnuti"/>
      </w:pPr>
      <w:r>
        <w:t>Zvyšující se p</w:t>
      </w:r>
      <w:r w:rsidRPr="008F39A5">
        <w:t xml:space="preserve">odíl silniční nákladní </w:t>
      </w:r>
      <w:r w:rsidR="00EE05A2">
        <w:t>dopravy</w:t>
      </w:r>
      <w:r w:rsidRPr="008F39A5">
        <w:t xml:space="preserve"> na celkové nákladní </w:t>
      </w:r>
      <w:r w:rsidR="00EE05A2">
        <w:t>dopravě</w:t>
      </w:r>
      <w:r w:rsidRPr="008F39A5">
        <w:t xml:space="preserve"> </w:t>
      </w:r>
      <w:r>
        <w:t>přispívá ke</w:t>
      </w:r>
      <w:r w:rsidR="00821336">
        <w:t xml:space="preserve"> </w:t>
      </w:r>
      <w:r>
        <w:t>zhoršování kvality dopravní infrastruktury.</w:t>
      </w:r>
    </w:p>
    <w:p w14:paraId="2AA9F3CC" w14:textId="37543AEC" w:rsidR="00472645" w:rsidRDefault="000D7973" w:rsidP="00472645">
      <w:pPr>
        <w:pStyle w:val="odrazkyveshrnuti"/>
      </w:pPr>
      <w:r>
        <w:t>Blíží se</w:t>
      </w:r>
      <w:r w:rsidR="00472645">
        <w:t xml:space="preserve"> kon</w:t>
      </w:r>
      <w:r>
        <w:t>e</w:t>
      </w:r>
      <w:r w:rsidR="00472645">
        <w:t>c životnosti některých tepelných elektráren a do konce roku 2018 nepadlo rozhodnutí, jak tyto zdroje nahradit.</w:t>
      </w:r>
    </w:p>
    <w:p w14:paraId="54FAB2A6" w14:textId="39DE1FF1" w:rsidR="00472645" w:rsidRDefault="00444465" w:rsidP="00472645">
      <w:pPr>
        <w:pStyle w:val="odrazkyveshrnuti"/>
      </w:pPr>
      <w:r>
        <w:t>V</w:t>
      </w:r>
      <w:r w:rsidR="00472645" w:rsidRPr="00D46171">
        <w:t>íce než polov</w:t>
      </w:r>
      <w:r w:rsidR="00472645">
        <w:t>in</w:t>
      </w:r>
      <w:r>
        <w:t>a</w:t>
      </w:r>
      <w:r w:rsidR="00472645">
        <w:t xml:space="preserve"> </w:t>
      </w:r>
      <w:r w:rsidR="00472645" w:rsidRPr="00D46171">
        <w:t xml:space="preserve">výměry zemědělské půdy </w:t>
      </w:r>
      <w:r>
        <w:t xml:space="preserve">je ohrožena </w:t>
      </w:r>
      <w:r w:rsidRPr="00D46171">
        <w:t xml:space="preserve">vodní erozí </w:t>
      </w:r>
      <w:r w:rsidR="00472645" w:rsidRPr="00D46171">
        <w:t>a současně se zv</w:t>
      </w:r>
      <w:r w:rsidR="00472645">
        <w:t>y</w:t>
      </w:r>
      <w:r w:rsidR="00472645" w:rsidRPr="00D46171">
        <w:t xml:space="preserve">šuje </w:t>
      </w:r>
      <w:r w:rsidR="00472645">
        <w:t xml:space="preserve">i </w:t>
      </w:r>
      <w:r w:rsidR="00472645" w:rsidRPr="00D46171">
        <w:t>rozloha ploch ohrožených větrnou erozí</w:t>
      </w:r>
      <w:r w:rsidR="00472645">
        <w:t>.</w:t>
      </w:r>
    </w:p>
    <w:p w14:paraId="30A46678" w14:textId="77777777" w:rsidR="00472645" w:rsidRDefault="00472645" w:rsidP="00472645">
      <w:pPr>
        <w:pStyle w:val="odrazkyveshrnuti"/>
      </w:pPr>
      <w:r>
        <w:t>Dochází ke zvyšování míry závislosti hospodaření krajů a obcí na transferech ze státního rozpočtu.</w:t>
      </w:r>
    </w:p>
    <w:p w14:paraId="43BE1960" w14:textId="77777777" w:rsidR="00226CA5" w:rsidRDefault="00226CA5">
      <w:pPr>
        <w:spacing w:before="0" w:after="0" w:line="240" w:lineRule="auto"/>
        <w:jc w:val="left"/>
      </w:pPr>
      <w:r>
        <w:br w:type="page"/>
      </w:r>
    </w:p>
    <w:p w14:paraId="6F369736" w14:textId="3AC54387" w:rsidR="00C1759D" w:rsidRDefault="00FC02B2" w:rsidP="00EE2BB9">
      <w:pPr>
        <w:pStyle w:val="Nadpis1"/>
        <w:ind w:left="426" w:hanging="426"/>
      </w:pPr>
      <w:bookmarkStart w:id="7" w:name="_Toc17208263"/>
      <w:bookmarkStart w:id="8" w:name="_Toc454964062"/>
      <w:r>
        <w:lastRenderedPageBreak/>
        <w:t>Ekonomický vývoj</w:t>
      </w:r>
      <w:bookmarkEnd w:id="7"/>
    </w:p>
    <w:p w14:paraId="097F4D13" w14:textId="669F3341" w:rsidR="00795555" w:rsidRDefault="001915EC" w:rsidP="00795555">
      <w:pPr>
        <w:rPr>
          <w:szCs w:val="24"/>
        </w:rPr>
      </w:pPr>
      <w:r>
        <w:rPr>
          <w:noProof/>
          <w:lang w:eastAsia="cs-CZ"/>
        </w:rPr>
        <w:drawing>
          <wp:anchor distT="0" distB="0" distL="114300" distR="114300" simplePos="0" relativeHeight="251648512" behindDoc="1" locked="0" layoutInCell="1" allowOverlap="1" wp14:anchorId="78D6536F" wp14:editId="0C0A3818">
            <wp:simplePos x="0" y="0"/>
            <wp:positionH relativeFrom="column">
              <wp:posOffset>2805430</wp:posOffset>
            </wp:positionH>
            <wp:positionV relativeFrom="paragraph">
              <wp:posOffset>631825</wp:posOffset>
            </wp:positionV>
            <wp:extent cx="2953385" cy="1476375"/>
            <wp:effectExtent l="0" t="0" r="0" b="0"/>
            <wp:wrapTight wrapText="bothSides">
              <wp:wrapPolygon edited="0">
                <wp:start x="0" y="0"/>
                <wp:lineTo x="0" y="21182"/>
                <wp:lineTo x="21456" y="21182"/>
                <wp:lineTo x="21456" y="0"/>
                <wp:lineTo x="0" y="0"/>
              </wp:wrapPolygon>
            </wp:wrapTight>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47488" behindDoc="1" locked="0" layoutInCell="1" allowOverlap="1" wp14:anchorId="5D7AF66C" wp14:editId="6B7BF91F">
            <wp:simplePos x="0" y="0"/>
            <wp:positionH relativeFrom="column">
              <wp:posOffset>-13970</wp:posOffset>
            </wp:positionH>
            <wp:positionV relativeFrom="paragraph">
              <wp:posOffset>2851150</wp:posOffset>
            </wp:positionV>
            <wp:extent cx="3152775" cy="1638300"/>
            <wp:effectExtent l="0" t="0" r="0" b="0"/>
            <wp:wrapTight wrapText="bothSides">
              <wp:wrapPolygon edited="0">
                <wp:start x="0" y="0"/>
                <wp:lineTo x="0" y="21349"/>
                <wp:lineTo x="21404" y="21349"/>
                <wp:lineTo x="21404" y="0"/>
                <wp:lineTo x="0" y="0"/>
              </wp:wrapPolygon>
            </wp:wrapTight>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V relativeFrom="margin">
              <wp14:pctHeight>0</wp14:pctHeight>
            </wp14:sizeRelV>
          </wp:anchor>
        </w:drawing>
      </w:r>
      <w:r>
        <w:rPr>
          <w:noProof/>
          <w:lang w:eastAsia="cs-CZ"/>
        </w:rPr>
        <mc:AlternateContent>
          <mc:Choice Requires="wps">
            <w:drawing>
              <wp:anchor distT="0" distB="0" distL="114300" distR="114300" simplePos="0" relativeHeight="251641344" behindDoc="0" locked="0" layoutInCell="1" allowOverlap="1" wp14:anchorId="7EABA5E1" wp14:editId="208F3BE5">
                <wp:simplePos x="0" y="0"/>
                <wp:positionH relativeFrom="column">
                  <wp:posOffset>62230</wp:posOffset>
                </wp:positionH>
                <wp:positionV relativeFrom="paragraph">
                  <wp:posOffset>2807970</wp:posOffset>
                </wp:positionV>
                <wp:extent cx="3086100" cy="231775"/>
                <wp:effectExtent l="0" t="0" r="0" b="0"/>
                <wp:wrapTight wrapText="bothSides">
                  <wp:wrapPolygon edited="0">
                    <wp:start x="0" y="0"/>
                    <wp:lineTo x="0" y="19529"/>
                    <wp:lineTo x="21467" y="19529"/>
                    <wp:lineTo x="21467" y="0"/>
                    <wp:lineTo x="0" y="0"/>
                  </wp:wrapPolygon>
                </wp:wrapTight>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31775"/>
                        </a:xfrm>
                        <a:prstGeom prst="rect">
                          <a:avLst/>
                        </a:prstGeom>
                        <a:solidFill>
                          <a:srgbClr val="FFFFFF"/>
                        </a:solidFill>
                        <a:ln w="9525">
                          <a:noFill/>
                          <a:miter lim="800000"/>
                          <a:headEnd/>
                          <a:tailEnd/>
                        </a:ln>
                      </wps:spPr>
                      <wps:txbx>
                        <w:txbxContent>
                          <w:p w14:paraId="12083330" w14:textId="77777777" w:rsidR="009E69AD" w:rsidRPr="001D68EF" w:rsidRDefault="009E69AD" w:rsidP="001915EC">
                            <w:pPr>
                              <w:spacing w:before="0" w:after="0" w:line="240" w:lineRule="auto"/>
                              <w:jc w:val="center"/>
                              <w:rPr>
                                <w:b/>
                                <w:sz w:val="20"/>
                              </w:rPr>
                            </w:pPr>
                            <w:r w:rsidRPr="001D68EF">
                              <w:rPr>
                                <w:b/>
                                <w:sz w:val="20"/>
                              </w:rPr>
                              <w:t xml:space="preserve">Vývoj růstu HDP </w:t>
                            </w:r>
                            <w:r>
                              <w:rPr>
                                <w:b/>
                                <w:sz w:val="20"/>
                              </w:rPr>
                              <w:t xml:space="preserve">v </w:t>
                            </w:r>
                            <w:r w:rsidRPr="001D68EF">
                              <w:rPr>
                                <w:b/>
                                <w:sz w:val="20"/>
                              </w:rPr>
                              <w:t>zemí</w:t>
                            </w:r>
                            <w:r>
                              <w:rPr>
                                <w:b/>
                                <w:sz w:val="20"/>
                              </w:rPr>
                              <w:t>ch</w:t>
                            </w:r>
                            <w:r w:rsidRPr="001D68EF">
                              <w:rPr>
                                <w:b/>
                                <w:sz w:val="20"/>
                              </w:rPr>
                              <w:t xml:space="preserve"> V4 (v %)</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ABA5E1" id="_x0000_t202" coordsize="21600,21600" o:spt="202" path="m,l,21600r21600,l21600,xe">
                <v:stroke joinstyle="miter"/>
                <v:path gradientshapeok="t" o:connecttype="rect"/>
              </v:shapetype>
              <v:shape id="Textové pole 2" o:spid="_x0000_s1026" type="#_x0000_t202" style="position:absolute;left:0;text-align:left;margin-left:4.9pt;margin-top:221.1pt;width:243pt;height:18.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xNJgIAABkEAAAOAAAAZHJzL2Uyb0RvYy54bWysU11u2zAMfh+wOwh6X+y4TZsacYouXYYB&#10;3Q/Q7gCyLMfCJFGTlNjZjXqOXWyUnKTZ9jZMDwIlkZ8+fiQXt4NWZCecl2AqOp3klAjDoZFmU9Gv&#10;T+s3c0p8YKZhCoyo6F54ert8/WrR21IU0IFqhCMIYnzZ24p2IdgyyzzvhGZ+AlYYfGzBaRbw6DZZ&#10;41iP6FplRZ5fZT24xjrgwnu8vR8f6TLht63g4XPbehGIqihyC2l3aa/jni0XrNw4ZjvJDzTYP7DQ&#10;TBr89AR1zwIjWyf/gtKSO/DQhgkHnUHbSi5SDpjNNP8jm8eOWZFyQXG8Pcnk/x8s/7T74ohsKloU&#10;lBimsUZPYgiw+/lMLChBiqhRb32Jro8WncPwFgasdcrX2wfg3zwxsOqY2Yg756DvBGuQ4zRGZmeh&#10;I46PIHX/ERr8i20DJKChdToKiJIQRMda7U/1QT6E4+VFPr+a5vjE8a24mF5fz9IXrDxGW+fDewGa&#10;RKOiDuuf0NnuwYfIhpVHl/iZByWbtVQqHdymXilHdgx7ZZ3WAf03N2VIX9GbWTFLyAZifGojLQP2&#10;spK6ovM8rhjOyqjGO9MkOzCpRhuZKHOQJyoyahOGekDHqFkNzR6FcjD2LM4YGh24H5T02K8V9d+3&#10;zAlK1AeDYt9MLy9jg6cDGu78tj7eMsMRoqKBktFchTQMkaeBOyxGK5NOLwwOHLH/knyHWYkNfn5O&#10;Xi8TvfwFAAD//wMAUEsDBBQABgAIAAAAIQDosEQt3wAAAAkBAAAPAAAAZHJzL2Rvd25yZXYueG1s&#10;TI8xb8IwEIX3SvwH65C6FadRWiCNgxCiQ6eq0IXNia9JSnyObAMpv77XiW737p3e+65YjbYXZ/Sh&#10;c6TgcZaAQKqd6ahR8Ll/fViACFGT0b0jVPCDAVbl5K7QuXEX+sDzLjaCQyjkWkEb45BLGeoWrQ4z&#10;NyCx9+W81ZGlb6Tx+sLhtpdpkjxLqzvihlYPuGmxPu5OVsHbwb9vDyG5urSKm+/66PZXmSl1Px3X&#10;LyAijvF2DH/4jA4lM1XuRCaIXsGSwaOCLEtTEOxnyyfeVDzMF3OQZSH/f1D+AgAA//8DAFBLAQIt&#10;ABQABgAIAAAAIQC2gziS/gAAAOEBAAATAAAAAAAAAAAAAAAAAAAAAABbQ29udGVudF9UeXBlc10u&#10;eG1sUEsBAi0AFAAGAAgAAAAhADj9If/WAAAAlAEAAAsAAAAAAAAAAAAAAAAALwEAAF9yZWxzLy5y&#10;ZWxzUEsBAi0AFAAGAAgAAAAhAPvsXE0mAgAAGQQAAA4AAAAAAAAAAAAAAAAALgIAAGRycy9lMm9E&#10;b2MueG1sUEsBAi0AFAAGAAgAAAAhAOiwRC3fAAAACQEAAA8AAAAAAAAAAAAAAAAAgAQAAGRycy9k&#10;b3ducmV2LnhtbFBLBQYAAAAABAAEAPMAAACMBQAAAAA=&#10;" stroked="f">
                <v:textbox inset=",0,,0">
                  <w:txbxContent>
                    <w:p w14:paraId="12083330" w14:textId="77777777" w:rsidR="009E69AD" w:rsidRPr="001D68EF" w:rsidRDefault="009E69AD" w:rsidP="001915EC">
                      <w:pPr>
                        <w:spacing w:before="0" w:after="0" w:line="240" w:lineRule="auto"/>
                        <w:jc w:val="center"/>
                        <w:rPr>
                          <w:b/>
                          <w:sz w:val="20"/>
                        </w:rPr>
                      </w:pPr>
                      <w:r w:rsidRPr="001D68EF">
                        <w:rPr>
                          <w:b/>
                          <w:sz w:val="20"/>
                        </w:rPr>
                        <w:t xml:space="preserve">Vývoj růstu HDP </w:t>
                      </w:r>
                      <w:r>
                        <w:rPr>
                          <w:b/>
                          <w:sz w:val="20"/>
                        </w:rPr>
                        <w:t xml:space="preserve">v </w:t>
                      </w:r>
                      <w:r w:rsidRPr="001D68EF">
                        <w:rPr>
                          <w:b/>
                          <w:sz w:val="20"/>
                        </w:rPr>
                        <w:t>zemí</w:t>
                      </w:r>
                      <w:r>
                        <w:rPr>
                          <w:b/>
                          <w:sz w:val="20"/>
                        </w:rPr>
                        <w:t>ch</w:t>
                      </w:r>
                      <w:r w:rsidRPr="001D68EF">
                        <w:rPr>
                          <w:b/>
                          <w:sz w:val="20"/>
                        </w:rPr>
                        <w:t xml:space="preserve"> V4 (v %)</w:t>
                      </w:r>
                    </w:p>
                  </w:txbxContent>
                </v:textbox>
                <w10:wrap type="tight"/>
              </v:shape>
            </w:pict>
          </mc:Fallback>
        </mc:AlternateContent>
      </w:r>
      <w:r w:rsidR="00795555">
        <w:rPr>
          <w:noProof/>
          <w:lang w:eastAsia="cs-CZ"/>
        </w:rPr>
        <mc:AlternateContent>
          <mc:Choice Requires="wps">
            <w:drawing>
              <wp:anchor distT="45720" distB="45720" distL="114300" distR="114300" simplePos="0" relativeHeight="251624960" behindDoc="1" locked="0" layoutInCell="1" allowOverlap="1" wp14:anchorId="047F1D14" wp14:editId="31F97278">
                <wp:simplePos x="0" y="0"/>
                <wp:positionH relativeFrom="column">
                  <wp:posOffset>2900680</wp:posOffset>
                </wp:positionH>
                <wp:positionV relativeFrom="paragraph">
                  <wp:posOffset>484505</wp:posOffset>
                </wp:positionV>
                <wp:extent cx="2827655" cy="219075"/>
                <wp:effectExtent l="0" t="0" r="0" b="952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655" cy="219075"/>
                        </a:xfrm>
                        <a:prstGeom prst="rect">
                          <a:avLst/>
                        </a:prstGeom>
                        <a:solidFill>
                          <a:srgbClr val="FFFFFF"/>
                        </a:solidFill>
                        <a:ln w="9525">
                          <a:noFill/>
                          <a:miter lim="800000"/>
                          <a:headEnd/>
                          <a:tailEnd/>
                        </a:ln>
                      </wps:spPr>
                      <wps:txbx>
                        <w:txbxContent>
                          <w:p w14:paraId="5FA071C2" w14:textId="77777777" w:rsidR="009E69AD" w:rsidRPr="00C756A1" w:rsidRDefault="009E69AD" w:rsidP="00795555">
                            <w:pPr>
                              <w:spacing w:before="0" w:after="0"/>
                              <w:jc w:val="center"/>
                              <w:rPr>
                                <w:b/>
                                <w:sz w:val="20"/>
                              </w:rPr>
                            </w:pPr>
                            <w:r w:rsidRPr="00C756A1">
                              <w:rPr>
                                <w:b/>
                                <w:sz w:val="20"/>
                              </w:rPr>
                              <w:t>Vývoj růstu HDP v jednotlivých čtvrtletích (v %)</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7F1D14" id="_x0000_s1027" type="#_x0000_t202" style="position:absolute;left:0;text-align:left;margin-left:228.4pt;margin-top:38.15pt;width:222.65pt;height:17.25pt;z-index:-251691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QfKgIAACEEAAAOAAAAZHJzL2Uyb0RvYy54bWysU12O2yAQfq/UOyDeG8fWZrOx4qy22aaq&#10;tP2RdnsAjHGMCgwFEju9Uc+xF+uAk2zavlXlAQ0w8/HNNzPL20ErshfOSzAVzSdTSoTh0EizrejX&#10;p82bG0p8YKZhCoyo6EF4ert6/WrZ21IU0IFqhCMIYnzZ24p2IdgyyzzvhGZ+AlYYfGzBaRbw6LZZ&#10;41iP6FplxXR6nfXgGuuAC+/x9n58pKuE37aCh89t60UgqqLILaTdpb2Oe7ZasnLrmO0kP9Jg/8BC&#10;M2nw0zPUPQuM7Jz8C0pL7sBDGyYcdAZtK7lIOWA2+fSPbB47ZkXKBcXx9iyT/3+w/NP+iyOyqWiR&#10;zykxTGORnsQQYP/8k1hQghRRpN76En0fLXqH4S0MWOyUsLcPwL95YmDdMbMVd85B3wnWIMk8RmYX&#10;oSOOjyB1/xEa/IvtAiSgoXU6KoiaEETHYh3OBUI+hONlcVPMr2czSji+FfliOp+lL1h5irbOh/cC&#10;NIlGRR02QEJn+wcfIhtWnlziZx6UbDZSqXRw23qtHNkzbJZNWkf039yUIX1FF7NilpANxPjUR1oG&#10;bGYldUVvpnHFcFZGNd6ZJtmBSTXayESZozxRkVGbMNRDKkfSLkpXQ3NAvRyMvYuzhkYH7gclPfZt&#10;Rf33HXOCEvXBoOaL/OoqNno6oOEub+vTLTMcISoaKBnNdUhDEekauMOatDLJ9cLgSBX7MKl4nJnY&#10;6Jfn5PUy2atfAAAA//8DAFBLAwQUAAYACAAAACEAey+wouAAAAAKAQAADwAAAGRycy9kb3ducmV2&#10;LnhtbEyPMU/DMBCFdyT+g3VIbNROKKENcSpUwcCEaFm6OfE1CY3PUey2ob+eY4Lx9D69912xmlwv&#10;TjiGzpOGZKZAINXedtRo+Ny+3i1AhGjImt4TavjGAKvy+qowufVn+sDTJjaCSyjkRkMb45BLGeoW&#10;nQkzPyBxtvejM5HPsZF2NGcud71MlcqkMx3xQmsGXLdYHzZHp+FtN76/7IK6+LSK66/64LcXOdf6&#10;9mZ6fgIRcYp/MPzqszqU7FT5I9kgeg3zh4zVo4bH7B4EA0uVJiAqJhO1AFkW8v8L5Q8AAAD//wMA&#10;UEsBAi0AFAAGAAgAAAAhALaDOJL+AAAA4QEAABMAAAAAAAAAAAAAAAAAAAAAAFtDb250ZW50X1R5&#10;cGVzXS54bWxQSwECLQAUAAYACAAAACEAOP0h/9YAAACUAQAACwAAAAAAAAAAAAAAAAAvAQAAX3Jl&#10;bHMvLnJlbHNQSwECLQAUAAYACAAAACEADHzkHyoCAAAhBAAADgAAAAAAAAAAAAAAAAAuAgAAZHJz&#10;L2Uyb0RvYy54bWxQSwECLQAUAAYACAAAACEAey+wouAAAAAKAQAADwAAAAAAAAAAAAAAAACEBAAA&#10;ZHJzL2Rvd25yZXYueG1sUEsFBgAAAAAEAAQA8wAAAJEFAAAAAA==&#10;" stroked="f">
                <v:textbox inset=",0,,0">
                  <w:txbxContent>
                    <w:p w14:paraId="5FA071C2" w14:textId="77777777" w:rsidR="009E69AD" w:rsidRPr="00C756A1" w:rsidRDefault="009E69AD" w:rsidP="00795555">
                      <w:pPr>
                        <w:spacing w:before="0" w:after="0"/>
                        <w:jc w:val="center"/>
                        <w:rPr>
                          <w:b/>
                          <w:sz w:val="20"/>
                        </w:rPr>
                      </w:pPr>
                      <w:r w:rsidRPr="00C756A1">
                        <w:rPr>
                          <w:b/>
                          <w:sz w:val="20"/>
                        </w:rPr>
                        <w:t>Vývoj růstu HDP v jednotlivých čtvrtletích (v %)</w:t>
                      </w:r>
                    </w:p>
                  </w:txbxContent>
                </v:textbox>
                <w10:wrap type="square"/>
              </v:shape>
            </w:pict>
          </mc:Fallback>
        </mc:AlternateContent>
      </w:r>
      <w:r w:rsidR="00795555" w:rsidRPr="0005657B">
        <w:rPr>
          <w:szCs w:val="24"/>
        </w:rPr>
        <w:t xml:space="preserve">Hospodářský růst </w:t>
      </w:r>
      <w:r w:rsidR="00795555">
        <w:rPr>
          <w:szCs w:val="24"/>
        </w:rPr>
        <w:t xml:space="preserve">české ekonomiky </w:t>
      </w:r>
      <w:r w:rsidR="00795555" w:rsidRPr="0005657B">
        <w:rPr>
          <w:szCs w:val="24"/>
        </w:rPr>
        <w:t xml:space="preserve">ve </w:t>
      </w:r>
      <w:r w:rsidR="00795555" w:rsidRPr="00E64A6A">
        <w:rPr>
          <w:szCs w:val="24"/>
        </w:rPr>
        <w:t xml:space="preserve">výši </w:t>
      </w:r>
      <w:r>
        <w:rPr>
          <w:szCs w:val="24"/>
        </w:rPr>
        <w:t>3,0</w:t>
      </w:r>
      <w:r w:rsidR="00795555" w:rsidRPr="00E64A6A">
        <w:rPr>
          <w:szCs w:val="24"/>
        </w:rPr>
        <w:t xml:space="preserve"> %</w:t>
      </w:r>
      <w:r w:rsidR="00795555">
        <w:rPr>
          <w:rStyle w:val="Znakapoznpodarou"/>
          <w:szCs w:val="24"/>
        </w:rPr>
        <w:footnoteReference w:id="2"/>
      </w:r>
      <w:r w:rsidR="00795555" w:rsidRPr="00E64A6A">
        <w:rPr>
          <w:szCs w:val="24"/>
        </w:rPr>
        <w:t xml:space="preserve"> </w:t>
      </w:r>
      <w:r w:rsidR="00AA58D9">
        <w:rPr>
          <w:szCs w:val="24"/>
        </w:rPr>
        <w:t>hrubého domácího produktu (dále také „</w:t>
      </w:r>
      <w:r w:rsidR="00795555" w:rsidRPr="00E64A6A">
        <w:rPr>
          <w:szCs w:val="24"/>
        </w:rPr>
        <w:t>H</w:t>
      </w:r>
      <w:r w:rsidR="00795555" w:rsidRPr="0005657B">
        <w:rPr>
          <w:szCs w:val="24"/>
        </w:rPr>
        <w:t>DP</w:t>
      </w:r>
      <w:r w:rsidR="00AA58D9">
        <w:rPr>
          <w:szCs w:val="24"/>
        </w:rPr>
        <w:t>“)</w:t>
      </w:r>
      <w:r w:rsidR="00795555" w:rsidRPr="0005657B">
        <w:rPr>
          <w:szCs w:val="24"/>
        </w:rPr>
        <w:t xml:space="preserve"> naplnil</w:t>
      </w:r>
      <w:r w:rsidR="00795555">
        <w:rPr>
          <w:szCs w:val="24"/>
        </w:rPr>
        <w:t xml:space="preserve"> svou </w:t>
      </w:r>
      <w:r w:rsidR="00795555" w:rsidRPr="0005657B">
        <w:rPr>
          <w:szCs w:val="24"/>
        </w:rPr>
        <w:t xml:space="preserve">očekávanou hodnotu, ale průběh v jednotlivých čtvrtletích ukázal, že </w:t>
      </w:r>
      <w:r w:rsidR="00795555">
        <w:rPr>
          <w:szCs w:val="24"/>
        </w:rPr>
        <w:t>od konce</w:t>
      </w:r>
      <w:r w:rsidR="00795555" w:rsidRPr="0005657B">
        <w:rPr>
          <w:szCs w:val="24"/>
        </w:rPr>
        <w:t xml:space="preserve"> roku 2017 do</w:t>
      </w:r>
      <w:r w:rsidR="00795555">
        <w:rPr>
          <w:szCs w:val="24"/>
        </w:rPr>
        <w:t>šlo</w:t>
      </w:r>
      <w:r w:rsidR="00795555" w:rsidRPr="0005657B">
        <w:rPr>
          <w:szCs w:val="24"/>
        </w:rPr>
        <w:t xml:space="preserve"> k celkovému zpomalení výkonnosti ekonomiky. Dominantní postavení</w:t>
      </w:r>
      <w:r w:rsidR="00795555">
        <w:rPr>
          <w:szCs w:val="24"/>
        </w:rPr>
        <w:t xml:space="preserve"> při tvorbě HDP</w:t>
      </w:r>
      <w:r w:rsidR="00795555" w:rsidRPr="0005657B">
        <w:rPr>
          <w:szCs w:val="24"/>
        </w:rPr>
        <w:t xml:space="preserve"> si zachovala vysoká úroveň spotřeby domácnost</w:t>
      </w:r>
      <w:r w:rsidR="00795555">
        <w:rPr>
          <w:szCs w:val="24"/>
        </w:rPr>
        <w:t xml:space="preserve">í (podpořená zaměstnaností </w:t>
      </w:r>
      <w:r w:rsidR="002C4F38">
        <w:rPr>
          <w:szCs w:val="24"/>
        </w:rPr>
        <w:br/>
      </w:r>
      <w:r w:rsidR="00795555">
        <w:rPr>
          <w:szCs w:val="24"/>
        </w:rPr>
        <w:t>a zvyšováním disponibilních příjmů)</w:t>
      </w:r>
      <w:r w:rsidR="00795555" w:rsidRPr="0005657B">
        <w:rPr>
          <w:szCs w:val="24"/>
        </w:rPr>
        <w:t>, ke které</w:t>
      </w:r>
      <w:r w:rsidR="00795555">
        <w:rPr>
          <w:szCs w:val="24"/>
        </w:rPr>
        <w:t xml:space="preserve"> </w:t>
      </w:r>
      <w:r w:rsidR="00795555" w:rsidRPr="0005657B">
        <w:rPr>
          <w:szCs w:val="24"/>
        </w:rPr>
        <w:t>se přidala silná spotřeba vládních institucí vyvolaná především zvýšením mandatorních výdajů a „povinnost</w:t>
      </w:r>
      <w:r w:rsidR="00795555">
        <w:rPr>
          <w:szCs w:val="24"/>
        </w:rPr>
        <w:t>í</w:t>
      </w:r>
      <w:r w:rsidR="00795555" w:rsidRPr="0005657B">
        <w:rPr>
          <w:szCs w:val="24"/>
        </w:rPr>
        <w:t>“ vyčerpat</w:t>
      </w:r>
      <w:r w:rsidR="00795555">
        <w:rPr>
          <w:szCs w:val="24"/>
        </w:rPr>
        <w:t xml:space="preserve"> v roce 2018</w:t>
      </w:r>
      <w:r w:rsidR="00795555" w:rsidRPr="0005657B">
        <w:rPr>
          <w:szCs w:val="24"/>
        </w:rPr>
        <w:t xml:space="preserve"> alikvotní část </w:t>
      </w:r>
      <w:r w:rsidR="00795555">
        <w:rPr>
          <w:szCs w:val="24"/>
        </w:rPr>
        <w:t xml:space="preserve">prostředků na projekty </w:t>
      </w:r>
      <w:r w:rsidR="00795555" w:rsidRPr="0005657B">
        <w:rPr>
          <w:szCs w:val="24"/>
        </w:rPr>
        <w:t>spolufinancovan</w:t>
      </w:r>
      <w:r w:rsidR="00795555">
        <w:rPr>
          <w:szCs w:val="24"/>
        </w:rPr>
        <w:t>é</w:t>
      </w:r>
      <w:r w:rsidR="00795555" w:rsidRPr="0005657B">
        <w:rPr>
          <w:szCs w:val="24"/>
        </w:rPr>
        <w:t xml:space="preserve"> z rozpočtu </w:t>
      </w:r>
      <w:r w:rsidR="00AA58D9">
        <w:rPr>
          <w:szCs w:val="24"/>
        </w:rPr>
        <w:t>Evropské unie (dále také „</w:t>
      </w:r>
      <w:r w:rsidR="00795555" w:rsidRPr="0005657B">
        <w:rPr>
          <w:szCs w:val="24"/>
        </w:rPr>
        <w:t>EU</w:t>
      </w:r>
      <w:r w:rsidR="00AA58D9">
        <w:rPr>
          <w:szCs w:val="24"/>
        </w:rPr>
        <w:t>“)</w:t>
      </w:r>
      <w:r w:rsidR="00795555">
        <w:rPr>
          <w:szCs w:val="24"/>
        </w:rPr>
        <w:t xml:space="preserve">. </w:t>
      </w:r>
      <w:r w:rsidR="00795555" w:rsidRPr="0005657B">
        <w:rPr>
          <w:szCs w:val="24"/>
        </w:rPr>
        <w:t xml:space="preserve">Investiční aktivita vládních institucí </w:t>
      </w:r>
      <w:r w:rsidR="00795555">
        <w:rPr>
          <w:szCs w:val="24"/>
        </w:rPr>
        <w:t xml:space="preserve">tak </w:t>
      </w:r>
      <w:r w:rsidR="00795555" w:rsidRPr="0005657B">
        <w:rPr>
          <w:szCs w:val="24"/>
        </w:rPr>
        <w:t>přispěla k tvorbě hrubého kapitálu</w:t>
      </w:r>
      <w:r w:rsidR="00795555">
        <w:rPr>
          <w:szCs w:val="24"/>
        </w:rPr>
        <w:t xml:space="preserve"> a ke zvyšování stavební produkce</w:t>
      </w:r>
      <w:r w:rsidR="00795555" w:rsidRPr="0005657B">
        <w:rPr>
          <w:szCs w:val="24"/>
        </w:rPr>
        <w:t xml:space="preserve">. </w:t>
      </w:r>
      <w:r w:rsidR="00795555">
        <w:rPr>
          <w:szCs w:val="24"/>
        </w:rPr>
        <w:t xml:space="preserve">Naopak do zpomalení růstu HDP se promítl slábnoucí růst globální ekonomiky, nevyřešené mezinárodní obchodní vztahy a nejistá situace kolem připravovaného odchodu Spojeného království z EU. Pokles německé ekonomiky jako hlavního obchodního partnera </w:t>
      </w:r>
      <w:r w:rsidR="00E84F8D">
        <w:rPr>
          <w:szCs w:val="24"/>
        </w:rPr>
        <w:t xml:space="preserve">ČR </w:t>
      </w:r>
      <w:r w:rsidR="00795555">
        <w:rPr>
          <w:szCs w:val="24"/>
        </w:rPr>
        <w:t xml:space="preserve">během roku 2018 předznamenal výsledek celkového salda zahraničního obchodu (přebytek 122,3 mld. Kč), které bylo meziročně nižší o 41,2 mld. Kč. Zřetelným signálem celkového snížení výkonnosti ekonomiky je samotný pokles hodnoty vývozu motorových vozidel poprvé od roku 2009. </w:t>
      </w:r>
      <w:r w:rsidR="00795555" w:rsidRPr="00915024">
        <w:rPr>
          <w:b/>
          <w:szCs w:val="24"/>
        </w:rPr>
        <w:t>Ve srovnání s</w:t>
      </w:r>
      <w:r w:rsidR="00D13641">
        <w:rPr>
          <w:b/>
          <w:szCs w:val="24"/>
        </w:rPr>
        <w:t xml:space="preserve"> ostatními evropskými </w:t>
      </w:r>
      <w:r w:rsidR="000E0C37">
        <w:rPr>
          <w:b/>
          <w:szCs w:val="24"/>
        </w:rPr>
        <w:t xml:space="preserve">státy </w:t>
      </w:r>
      <w:r w:rsidR="00795555" w:rsidRPr="00915024">
        <w:rPr>
          <w:b/>
          <w:szCs w:val="24"/>
        </w:rPr>
        <w:t xml:space="preserve">dosáhla Česká republika </w:t>
      </w:r>
      <w:r w:rsidR="00795555">
        <w:rPr>
          <w:b/>
          <w:szCs w:val="24"/>
        </w:rPr>
        <w:t>druhého nejvyššího</w:t>
      </w:r>
      <w:r w:rsidR="00795555" w:rsidRPr="00915024">
        <w:rPr>
          <w:b/>
          <w:szCs w:val="24"/>
        </w:rPr>
        <w:t xml:space="preserve"> </w:t>
      </w:r>
      <w:r w:rsidR="000E0C37">
        <w:rPr>
          <w:b/>
          <w:szCs w:val="24"/>
        </w:rPr>
        <w:t xml:space="preserve">absolutního </w:t>
      </w:r>
      <w:r w:rsidR="00795555" w:rsidRPr="00915024">
        <w:rPr>
          <w:b/>
          <w:szCs w:val="24"/>
        </w:rPr>
        <w:t>propadu</w:t>
      </w:r>
      <w:r w:rsidR="00795555">
        <w:rPr>
          <w:b/>
          <w:szCs w:val="24"/>
        </w:rPr>
        <w:t xml:space="preserve"> růstu HDP</w:t>
      </w:r>
      <w:r w:rsidR="00795555">
        <w:rPr>
          <w:rStyle w:val="Znakapoznpodarou"/>
          <w:szCs w:val="24"/>
        </w:rPr>
        <w:footnoteReference w:id="3"/>
      </w:r>
      <w:r w:rsidR="00795555" w:rsidRPr="00915024">
        <w:rPr>
          <w:b/>
          <w:szCs w:val="24"/>
        </w:rPr>
        <w:t>.</w:t>
      </w:r>
      <w:r w:rsidR="00795555">
        <w:rPr>
          <w:szCs w:val="24"/>
        </w:rPr>
        <w:t xml:space="preserve"> Především s ohledem na situaci vnějšího prostředí a</w:t>
      </w:r>
      <w:r w:rsidR="000D7973">
        <w:rPr>
          <w:szCs w:val="24"/>
        </w:rPr>
        <w:t> </w:t>
      </w:r>
      <w:r w:rsidR="00795555">
        <w:rPr>
          <w:szCs w:val="24"/>
        </w:rPr>
        <w:t xml:space="preserve">očekávaný pokles ekonomické výkonnosti v rámci EU může docházet k dalšímu mírnému zpomalování národního hospodářství. </w:t>
      </w:r>
    </w:p>
    <w:p w14:paraId="73BC96FC" w14:textId="7C684B7B" w:rsidR="00795555" w:rsidRDefault="00795555" w:rsidP="00795555">
      <w:pPr>
        <w:rPr>
          <w:szCs w:val="24"/>
        </w:rPr>
      </w:pPr>
      <w:r w:rsidRPr="00FC7BCF">
        <w:rPr>
          <w:b/>
          <w:szCs w:val="24"/>
        </w:rPr>
        <w:t>V oblasti cenového vývoje se průměrná inflace</w:t>
      </w:r>
      <w:r>
        <w:rPr>
          <w:b/>
          <w:szCs w:val="24"/>
        </w:rPr>
        <w:t xml:space="preserve"> </w:t>
      </w:r>
      <w:r w:rsidRPr="009B377C">
        <w:rPr>
          <w:b/>
          <w:szCs w:val="24"/>
        </w:rPr>
        <w:t>ve výši 2,1 %</w:t>
      </w:r>
      <w:r w:rsidR="00EE05A2" w:rsidRPr="00EE05A2">
        <w:rPr>
          <w:b/>
          <w:szCs w:val="24"/>
          <w:vertAlign w:val="superscript"/>
        </w:rPr>
        <w:t>1</w:t>
      </w:r>
      <w:r w:rsidRPr="00FC7BCF">
        <w:rPr>
          <w:b/>
          <w:szCs w:val="24"/>
        </w:rPr>
        <w:t xml:space="preserve"> dokázala udržet okolo</w:t>
      </w:r>
      <w:r w:rsidR="000D7973">
        <w:rPr>
          <w:b/>
          <w:szCs w:val="24"/>
        </w:rPr>
        <w:t xml:space="preserve"> </w:t>
      </w:r>
      <w:r w:rsidRPr="00FC7BCF">
        <w:rPr>
          <w:b/>
          <w:szCs w:val="24"/>
        </w:rPr>
        <w:t xml:space="preserve">2% </w:t>
      </w:r>
      <w:r>
        <w:rPr>
          <w:b/>
          <w:szCs w:val="24"/>
        </w:rPr>
        <w:t xml:space="preserve">inflačního </w:t>
      </w:r>
      <w:r w:rsidRPr="00FC7BCF">
        <w:rPr>
          <w:b/>
          <w:szCs w:val="24"/>
        </w:rPr>
        <w:t>cíle Č</w:t>
      </w:r>
      <w:r>
        <w:rPr>
          <w:b/>
          <w:szCs w:val="24"/>
        </w:rPr>
        <w:t xml:space="preserve">eské národní </w:t>
      </w:r>
      <w:r w:rsidRPr="006E1682">
        <w:rPr>
          <w:b/>
          <w:szCs w:val="24"/>
        </w:rPr>
        <w:t>banky.</w:t>
      </w:r>
      <w:r>
        <w:rPr>
          <w:szCs w:val="24"/>
        </w:rPr>
        <w:t xml:space="preserve"> V porovnání s rokem 2017 rostly spotřebitelské ceny pomaleji, ale zároveň během roku 2018 vznikly předpoklady pro jejich výraznější růst v následujícím období. Do zvyšování cenové hladiny se promítá dynamický růst jednotkových nákladů na práci. Zvýšení cen ropy na mezinárodních trzích mělo v roce 2018 prozatím mírnější dopad </w:t>
      </w:r>
      <w:r w:rsidRPr="002A54DC">
        <w:rPr>
          <w:szCs w:val="24"/>
        </w:rPr>
        <w:t>na zvyšování tuzemských cen pohonných</w:t>
      </w:r>
      <w:r>
        <w:rPr>
          <w:szCs w:val="24"/>
        </w:rPr>
        <w:t xml:space="preserve"> hmot (ve větší míře se projevilo až v</w:t>
      </w:r>
      <w:r w:rsidR="002D6F59">
        <w:rPr>
          <w:szCs w:val="24"/>
        </w:rPr>
        <w:t xml:space="preserve"> 1. polovině </w:t>
      </w:r>
      <w:r>
        <w:rPr>
          <w:szCs w:val="24"/>
        </w:rPr>
        <w:t>ro</w:t>
      </w:r>
      <w:r w:rsidR="002D6F59">
        <w:rPr>
          <w:szCs w:val="24"/>
        </w:rPr>
        <w:t>ku 2019).</w:t>
      </w:r>
    </w:p>
    <w:p w14:paraId="0654176B" w14:textId="0641278E" w:rsidR="00795555" w:rsidRPr="0059561D" w:rsidRDefault="00E877E5" w:rsidP="00D3507E">
      <w:pPr>
        <w:pStyle w:val="Tituleknadgrafy1-9"/>
      </w:pPr>
      <w:r w:rsidRPr="0059561D">
        <w:lastRenderedPageBreak/>
        <w:t>Graf č. </w:t>
      </w:r>
      <w:r w:rsidRPr="0059561D">
        <w:fldChar w:fldCharType="begin"/>
      </w:r>
      <w:r w:rsidRPr="0059561D">
        <w:instrText xml:space="preserve"> SEQ Graf_č. \* ARABIC </w:instrText>
      </w:r>
      <w:r w:rsidRPr="0059561D">
        <w:fldChar w:fldCharType="separate"/>
      </w:r>
      <w:r w:rsidR="009849B2">
        <w:t>1</w:t>
      </w:r>
      <w:r w:rsidRPr="0059561D">
        <w:fldChar w:fldCharType="end"/>
      </w:r>
      <w:r w:rsidR="00001875">
        <w:t xml:space="preserve"> </w:t>
      </w:r>
      <w:r w:rsidR="00795555" w:rsidRPr="0059561D">
        <w:t>–</w:t>
      </w:r>
      <w:r w:rsidR="00001875">
        <w:tab/>
      </w:r>
      <w:r w:rsidR="00795555" w:rsidRPr="0059561D">
        <w:t xml:space="preserve">Zvyšování výdajů na bydlení a cen energetických komodit a jejich dopad na </w:t>
      </w:r>
      <w:r w:rsidR="00795555" w:rsidRPr="00173C6E">
        <w:t>prosincovou</w:t>
      </w:r>
      <w:r w:rsidR="00795555" w:rsidRPr="0059561D">
        <w:t xml:space="preserve"> inflaci (v %)</w:t>
      </w:r>
    </w:p>
    <w:p w14:paraId="63131E03" w14:textId="77777777" w:rsidR="00795555" w:rsidRDefault="00795555" w:rsidP="00F42A56">
      <w:pPr>
        <w:spacing w:before="0" w:after="0"/>
        <w:rPr>
          <w:b/>
          <w:szCs w:val="24"/>
        </w:rPr>
      </w:pPr>
      <w:r>
        <w:rPr>
          <w:noProof/>
          <w:lang w:eastAsia="cs-CZ"/>
        </w:rPr>
        <w:drawing>
          <wp:inline distT="0" distB="0" distL="0" distR="0" wp14:anchorId="46A82365" wp14:editId="49A93ADD">
            <wp:extent cx="5760000" cy="2014538"/>
            <wp:effectExtent l="0" t="0" r="0" b="508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F73577E" w14:textId="14D18937" w:rsidR="00795555" w:rsidRPr="00EA0EE4" w:rsidRDefault="00795555" w:rsidP="002C4F38">
      <w:pPr>
        <w:pStyle w:val="Poznazdroj"/>
      </w:pPr>
      <w:r w:rsidRPr="004D4873">
        <w:rPr>
          <w:b/>
        </w:rPr>
        <w:t>Zdroj:</w:t>
      </w:r>
      <w:r w:rsidRPr="008752A9">
        <w:t xml:space="preserve"> </w:t>
      </w:r>
      <w:r w:rsidR="001915EC" w:rsidRPr="00EA0EE4">
        <w:t>SZÚ za rok 2017</w:t>
      </w:r>
      <w:r w:rsidRPr="00EA0EE4">
        <w:t>, návrh SZÚ za rok 2018.</w:t>
      </w:r>
    </w:p>
    <w:p w14:paraId="3FAD1A89" w14:textId="5D420E40" w:rsidR="00795555" w:rsidRDefault="00795555" w:rsidP="00795555">
      <w:pPr>
        <w:rPr>
          <w:szCs w:val="24"/>
        </w:rPr>
      </w:pPr>
      <w:r w:rsidRPr="00BF4F11">
        <w:rPr>
          <w:b/>
          <w:szCs w:val="24"/>
        </w:rPr>
        <w:t>Klíčový podíl na průměrné inflac</w:t>
      </w:r>
      <w:r>
        <w:rPr>
          <w:b/>
          <w:szCs w:val="24"/>
        </w:rPr>
        <w:t>i</w:t>
      </w:r>
      <w:r w:rsidRPr="00BF4F11">
        <w:rPr>
          <w:b/>
          <w:szCs w:val="24"/>
        </w:rPr>
        <w:t xml:space="preserve"> </w:t>
      </w:r>
      <w:r>
        <w:rPr>
          <w:b/>
          <w:szCs w:val="24"/>
        </w:rPr>
        <w:t>v roce 2018 převzal</w:t>
      </w:r>
      <w:r w:rsidRPr="00BF4F11">
        <w:rPr>
          <w:b/>
          <w:szCs w:val="24"/>
        </w:rPr>
        <w:t xml:space="preserve"> </w:t>
      </w:r>
      <w:r>
        <w:rPr>
          <w:b/>
          <w:szCs w:val="24"/>
        </w:rPr>
        <w:t xml:space="preserve">dynamický </w:t>
      </w:r>
      <w:r w:rsidRPr="00BF4F11">
        <w:rPr>
          <w:b/>
          <w:szCs w:val="24"/>
        </w:rPr>
        <w:t xml:space="preserve">růst </w:t>
      </w:r>
      <w:r>
        <w:rPr>
          <w:b/>
          <w:szCs w:val="24"/>
        </w:rPr>
        <w:t xml:space="preserve">cen </w:t>
      </w:r>
      <w:r w:rsidRPr="00BF4F11">
        <w:rPr>
          <w:b/>
          <w:szCs w:val="24"/>
        </w:rPr>
        <w:t>výdajů spojen</w:t>
      </w:r>
      <w:r>
        <w:rPr>
          <w:b/>
          <w:szCs w:val="24"/>
        </w:rPr>
        <w:t>ých</w:t>
      </w:r>
      <w:r w:rsidRPr="00BF4F11">
        <w:rPr>
          <w:b/>
          <w:szCs w:val="24"/>
        </w:rPr>
        <w:t xml:space="preserve"> s</w:t>
      </w:r>
      <w:r>
        <w:rPr>
          <w:b/>
          <w:szCs w:val="24"/>
        </w:rPr>
        <w:t> </w:t>
      </w:r>
      <w:r w:rsidRPr="00BF4F11">
        <w:rPr>
          <w:b/>
          <w:szCs w:val="24"/>
        </w:rPr>
        <w:t>bydlením</w:t>
      </w:r>
      <w:r>
        <w:rPr>
          <w:b/>
          <w:szCs w:val="24"/>
        </w:rPr>
        <w:t xml:space="preserve"> a </w:t>
      </w:r>
      <w:r w:rsidR="004C2312">
        <w:rPr>
          <w:b/>
          <w:szCs w:val="24"/>
        </w:rPr>
        <w:t xml:space="preserve">cen </w:t>
      </w:r>
      <w:r>
        <w:rPr>
          <w:b/>
          <w:szCs w:val="24"/>
        </w:rPr>
        <w:t>energetických komodit (voda, elektřina, plyn),</w:t>
      </w:r>
      <w:r w:rsidR="00FA7FA7">
        <w:rPr>
          <w:b/>
          <w:szCs w:val="24"/>
        </w:rPr>
        <w:t xml:space="preserve"> který se podílel na celkové inflaci téměř z 50 </w:t>
      </w:r>
      <w:r w:rsidR="00FA7FA7">
        <w:rPr>
          <w:rFonts w:cs="Calibri"/>
          <w:b/>
          <w:szCs w:val="24"/>
        </w:rPr>
        <w:t>%</w:t>
      </w:r>
      <w:r w:rsidR="00FA7FA7">
        <w:rPr>
          <w:b/>
          <w:szCs w:val="24"/>
        </w:rPr>
        <w:t>,</w:t>
      </w:r>
      <w:r>
        <w:rPr>
          <w:b/>
          <w:szCs w:val="24"/>
        </w:rPr>
        <w:t xml:space="preserve"> </w:t>
      </w:r>
      <w:r w:rsidRPr="009B377C">
        <w:rPr>
          <w:szCs w:val="24"/>
        </w:rPr>
        <w:t>jak znázorňuje předcházející graf.</w:t>
      </w:r>
      <w:r>
        <w:rPr>
          <w:szCs w:val="24"/>
        </w:rPr>
        <w:t xml:space="preserve"> Právě tyto výdaje, jež tvoří významnou část spotřebního koše domácností, zásadním způsobem ovlivní v roce 2019 růst průměrné míry inflace, která bude silně atakovat horní hranici tolerančního pásma inflačního cíle </w:t>
      </w:r>
      <w:r w:rsidRPr="001915EC">
        <w:rPr>
          <w:szCs w:val="24"/>
        </w:rPr>
        <w:t>nastavené</w:t>
      </w:r>
      <w:r w:rsidR="001915EC">
        <w:rPr>
          <w:szCs w:val="24"/>
        </w:rPr>
        <w:t>ho</w:t>
      </w:r>
      <w:r>
        <w:rPr>
          <w:szCs w:val="24"/>
        </w:rPr>
        <w:t xml:space="preserve"> </w:t>
      </w:r>
      <w:r w:rsidR="00C00EED">
        <w:rPr>
          <w:szCs w:val="24"/>
        </w:rPr>
        <w:t>Českou národní bankou</w:t>
      </w:r>
      <w:r>
        <w:rPr>
          <w:rStyle w:val="Znakapoznpodarou"/>
          <w:szCs w:val="24"/>
        </w:rPr>
        <w:footnoteReference w:id="4"/>
      </w:r>
      <w:r>
        <w:rPr>
          <w:szCs w:val="24"/>
        </w:rPr>
        <w:t>.</w:t>
      </w:r>
    </w:p>
    <w:p w14:paraId="6EDFCCF0" w14:textId="2FB44BE8" w:rsidR="00795555" w:rsidRDefault="00795555" w:rsidP="00795555">
      <w:pPr>
        <w:rPr>
          <w:szCs w:val="24"/>
        </w:rPr>
      </w:pPr>
      <w:r>
        <w:rPr>
          <w:szCs w:val="24"/>
        </w:rPr>
        <w:t>Trh práce se i přes zpomalení výkonnosti ekonomiky přiblížil k novým maximálním hodnotám celkové zaměstnanosti. Sledovaná míra ekonomické aktivity obyvatelstva ve věku 15–64 let se během jednotlivých čtvrtletí roku 2018 zvyšovala a celkově dosáhla na úroveň 76,6 % (meziroční zvýšení o 0,7 procentního bodu). Obecná míra nezaměstnanosti ve výši 2,</w:t>
      </w:r>
      <w:r w:rsidR="006F568D">
        <w:rPr>
          <w:szCs w:val="24"/>
        </w:rPr>
        <w:t>2</w:t>
      </w:r>
      <w:r>
        <w:rPr>
          <w:szCs w:val="24"/>
        </w:rPr>
        <w:t xml:space="preserve"> %</w:t>
      </w:r>
      <w:r w:rsidR="00EE05A2" w:rsidRPr="00EE05A2">
        <w:rPr>
          <w:szCs w:val="24"/>
          <w:vertAlign w:val="superscript"/>
        </w:rPr>
        <w:t>1</w:t>
      </w:r>
      <w:r w:rsidRPr="0013564C">
        <w:rPr>
          <w:szCs w:val="24"/>
        </w:rPr>
        <w:t xml:space="preserve"> </w:t>
      </w:r>
      <w:r>
        <w:rPr>
          <w:szCs w:val="24"/>
        </w:rPr>
        <w:t>dosáhla své nejnižší úrovně v historii České republiky. ČR t</w:t>
      </w:r>
      <w:r w:rsidR="000D7973">
        <w:rPr>
          <w:szCs w:val="24"/>
        </w:rPr>
        <w:t>ím zároveň</w:t>
      </w:r>
      <w:r>
        <w:rPr>
          <w:szCs w:val="24"/>
        </w:rPr>
        <w:t xml:space="preserve"> </w:t>
      </w:r>
      <w:r w:rsidR="00E24524">
        <w:rPr>
          <w:szCs w:val="24"/>
        </w:rPr>
        <w:t>dosáhla nejnižší nezaměstnanosti ze všech zemí EU.</w:t>
      </w:r>
    </w:p>
    <w:p w14:paraId="1AC604DB" w14:textId="507AE1A7" w:rsidR="00795555" w:rsidRPr="00ED4BDE" w:rsidRDefault="00E877E5" w:rsidP="00D3507E">
      <w:pPr>
        <w:pStyle w:val="Tituleknadgrafy1-9"/>
      </w:pPr>
      <w:r w:rsidRPr="00E877E5">
        <w:t>Graf č. </w:t>
      </w:r>
      <w:r w:rsidRPr="00E877E5">
        <w:fldChar w:fldCharType="begin"/>
      </w:r>
      <w:r w:rsidRPr="00E877E5">
        <w:instrText xml:space="preserve"> SEQ Graf_č. \* ARABIC </w:instrText>
      </w:r>
      <w:r w:rsidRPr="00E877E5">
        <w:fldChar w:fldCharType="separate"/>
      </w:r>
      <w:r w:rsidR="009849B2">
        <w:t>2</w:t>
      </w:r>
      <w:r w:rsidRPr="00E877E5">
        <w:fldChar w:fldCharType="end"/>
      </w:r>
      <w:r w:rsidR="00001875">
        <w:t xml:space="preserve"> </w:t>
      </w:r>
      <w:r w:rsidR="00795555" w:rsidRPr="00ED4BDE">
        <w:t>–</w:t>
      </w:r>
      <w:r w:rsidR="00001875">
        <w:tab/>
      </w:r>
      <w:r w:rsidR="00795555" w:rsidRPr="00ED4BDE">
        <w:t>Tendence vybraných ukazatelů trhu práce (v tis</w:t>
      </w:r>
      <w:r w:rsidR="000D7973">
        <w:t>ících</w:t>
      </w:r>
      <w:r w:rsidR="00795555" w:rsidRPr="00ED4BDE">
        <w:t>, v %)</w:t>
      </w:r>
    </w:p>
    <w:p w14:paraId="39B50E2A" w14:textId="7956C719" w:rsidR="00795555" w:rsidRDefault="006F568D" w:rsidP="00C95133">
      <w:pPr>
        <w:spacing w:before="0" w:after="0"/>
        <w:rPr>
          <w:szCs w:val="24"/>
        </w:rPr>
      </w:pPr>
      <w:r>
        <w:rPr>
          <w:noProof/>
          <w:lang w:eastAsia="cs-CZ"/>
        </w:rPr>
        <w:drawing>
          <wp:inline distT="0" distB="0" distL="0" distR="0" wp14:anchorId="1120FC81" wp14:editId="7C43FEE2">
            <wp:extent cx="5760000" cy="1904999"/>
            <wp:effectExtent l="0" t="0" r="0" b="63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ED3B78" w14:textId="3BA356C4" w:rsidR="00795555" w:rsidRPr="00EA0EE4" w:rsidRDefault="00795555" w:rsidP="002C4F38">
      <w:pPr>
        <w:pStyle w:val="Poznazdroj"/>
      </w:pPr>
      <w:r w:rsidRPr="004D4873">
        <w:rPr>
          <w:b/>
        </w:rPr>
        <w:t>Zdroj:</w:t>
      </w:r>
      <w:r w:rsidRPr="00710B95">
        <w:t xml:space="preserve"> </w:t>
      </w:r>
      <w:r w:rsidR="00C00EED" w:rsidRPr="00EA0EE4">
        <w:t>Ministerstvo práce a sociálních věcí</w:t>
      </w:r>
      <w:r w:rsidRPr="00EA0EE4">
        <w:t>, Úřad práce ČR</w:t>
      </w:r>
      <w:r w:rsidR="006F568D" w:rsidRPr="00EA0EE4">
        <w:t>, Český statistický úřad</w:t>
      </w:r>
      <w:r w:rsidRPr="00EA0EE4">
        <w:t>.</w:t>
      </w:r>
    </w:p>
    <w:p w14:paraId="350F5F1C" w14:textId="55F862EF" w:rsidR="00795555" w:rsidRDefault="00795555" w:rsidP="00795555">
      <w:pPr>
        <w:rPr>
          <w:szCs w:val="24"/>
        </w:rPr>
      </w:pPr>
      <w:r>
        <w:rPr>
          <w:szCs w:val="24"/>
        </w:rPr>
        <w:t>Negativním</w:t>
      </w:r>
      <w:r w:rsidR="00C95133">
        <w:rPr>
          <w:szCs w:val="24"/>
        </w:rPr>
        <w:t xml:space="preserve"> </w:t>
      </w:r>
      <w:r>
        <w:rPr>
          <w:szCs w:val="24"/>
        </w:rPr>
        <w:t xml:space="preserve">dopadem rekordně nízké nezaměstnanosti je stav, kdy se na trhu práce prohloubil nesoulad mezi nabídkou a poptávkou po vhodné kvalifikované pracovní síle, který </w:t>
      </w:r>
      <w:r>
        <w:rPr>
          <w:szCs w:val="24"/>
        </w:rPr>
        <w:lastRenderedPageBreak/>
        <w:t>se stal jednou z hlavních překážek pro další růst produkce firem především ve zpracovatelském průmyslu. Počet volných pracovních míst evidovaných Úřadem práce ČR se meziroč</w:t>
      </w:r>
      <w:r w:rsidR="00E84F8D">
        <w:rPr>
          <w:szCs w:val="24"/>
        </w:rPr>
        <w:t>ně zvýšil o 107,8 tis</w:t>
      </w:r>
      <w:r w:rsidR="00D13641">
        <w:rPr>
          <w:szCs w:val="24"/>
        </w:rPr>
        <w:t>.</w:t>
      </w:r>
      <w:r w:rsidR="00E84F8D">
        <w:rPr>
          <w:szCs w:val="24"/>
        </w:rPr>
        <w:t xml:space="preserve"> na celkových</w:t>
      </w:r>
      <w:r>
        <w:rPr>
          <w:szCs w:val="24"/>
        </w:rPr>
        <w:t xml:space="preserve"> 324,4 tis. neobsazených pracovních míst. Naopak počet evidovaných uchazečů o zaměstnání se na konci roku meziročně snížil o 49 tis. a dosáhl úrovně 231,5 tis. osob. Částečné řešení strukturálních problémů trhu práce představuje postupné zvyšování počtu zaměstnaných cizinců, kter</w:t>
      </w:r>
      <w:r w:rsidR="00E24524">
        <w:rPr>
          <w:szCs w:val="24"/>
        </w:rPr>
        <w:t>ý</w:t>
      </w:r>
      <w:r>
        <w:rPr>
          <w:szCs w:val="24"/>
        </w:rPr>
        <w:t xml:space="preserve"> mezi roky 2015 až 2017 dosáhl nárůstu o téměř 150 tis. osob.</w:t>
      </w:r>
    </w:p>
    <w:p w14:paraId="29C07A08" w14:textId="77777777" w:rsidR="00795555" w:rsidRPr="00547236" w:rsidRDefault="00795555" w:rsidP="00096B18">
      <w:pPr>
        <w:pStyle w:val="ramecek"/>
      </w:pPr>
      <w:r>
        <w:t xml:space="preserve">Exportně orientovanou českou ekonomiku postupně ovlivňuje </w:t>
      </w:r>
      <w:r w:rsidRPr="00547236">
        <w:t>zpo</w:t>
      </w:r>
      <w:r>
        <w:t>malení růstu vyspělých ekonomik</w:t>
      </w:r>
      <w:r w:rsidRPr="00547236">
        <w:t xml:space="preserve"> zemí eurozóny</w:t>
      </w:r>
      <w:r>
        <w:t>, které patří k významným obchodním partnerům.</w:t>
      </w:r>
      <w:r w:rsidRPr="00547236">
        <w:t xml:space="preserve"> Možnosti zvyšování výkonnosti v některých segmentech národního hospodářství j</w:t>
      </w:r>
      <w:r>
        <w:t>sou</w:t>
      </w:r>
      <w:r w:rsidRPr="00547236">
        <w:t xml:space="preserve"> omezen</w:t>
      </w:r>
      <w:r>
        <w:t>y</w:t>
      </w:r>
      <w:r w:rsidRPr="00547236">
        <w:t xml:space="preserve"> především nedostatkem požadované kvalifikované pracovní síly. Zvyšování mezd a platů společně se zvyšováním </w:t>
      </w:r>
      <w:r>
        <w:t xml:space="preserve">cen </w:t>
      </w:r>
      <w:r w:rsidRPr="00547236">
        <w:t xml:space="preserve">hlavních energetických komodit vytváří silný inflační tlak, na který Česká národní banka postupně reagovala zvýšením základní </w:t>
      </w:r>
      <w:r w:rsidRPr="00710B95">
        <w:t>dvoutýdenní repo sazby</w:t>
      </w:r>
      <w:r w:rsidRPr="00547236">
        <w:t>.</w:t>
      </w:r>
      <w:r>
        <w:t xml:space="preserve"> </w:t>
      </w:r>
    </w:p>
    <w:p w14:paraId="6BBFEEDC" w14:textId="77777777" w:rsidR="00795555" w:rsidRPr="00795555" w:rsidRDefault="00795555" w:rsidP="00795555"/>
    <w:p w14:paraId="5AD20837" w14:textId="4F9916CB" w:rsidR="00085B30" w:rsidRDefault="00085B30">
      <w:pPr>
        <w:spacing w:before="0" w:after="0" w:line="240" w:lineRule="auto"/>
        <w:jc w:val="left"/>
      </w:pPr>
      <w:r>
        <w:br w:type="page"/>
      </w:r>
    </w:p>
    <w:p w14:paraId="3E4A52E6" w14:textId="4644FD8C" w:rsidR="006B2B8A" w:rsidRDefault="00FC02B2" w:rsidP="00FC02B2">
      <w:pPr>
        <w:pStyle w:val="Nadpis1"/>
        <w:ind w:left="426" w:hanging="426"/>
      </w:pPr>
      <w:bookmarkStart w:id="9" w:name="_Toc17208264"/>
      <w:r>
        <w:lastRenderedPageBreak/>
        <w:t>Státní rozpočet</w:t>
      </w:r>
      <w:bookmarkEnd w:id="9"/>
    </w:p>
    <w:p w14:paraId="0F6F4437" w14:textId="5B96F829" w:rsidR="00085B30" w:rsidRDefault="00FC02B2" w:rsidP="008971F5">
      <w:pPr>
        <w:pStyle w:val="Nadpis3"/>
        <w:numPr>
          <w:ilvl w:val="0"/>
          <w:numId w:val="5"/>
        </w:numPr>
      </w:pPr>
      <w:bookmarkStart w:id="10" w:name="_Toc17208265"/>
      <w:r>
        <w:t>Hospodaření státního rozpočtu</w:t>
      </w:r>
      <w:bookmarkEnd w:id="10"/>
    </w:p>
    <w:p w14:paraId="55DC4D54" w14:textId="6317928C" w:rsidR="00795555" w:rsidRPr="00171C81" w:rsidRDefault="00795555" w:rsidP="00795555">
      <w:pPr>
        <w:rPr>
          <w:b/>
          <w:bCs/>
          <w:szCs w:val="24"/>
        </w:rPr>
      </w:pPr>
      <w:r w:rsidRPr="00171C81">
        <w:rPr>
          <w:szCs w:val="24"/>
        </w:rPr>
        <w:t>V roce 2018 dosáhly celkové příjmy státního rozpočtu 1 403,92 mld. Kč a celkové výdaje byly čerpány ve výši 1 400,97 mld. Kč. Přestože celkové výdaje překročily schválený rozpočet o</w:t>
      </w:r>
      <w:r w:rsidR="000D7973">
        <w:rPr>
          <w:szCs w:val="24"/>
        </w:rPr>
        <w:t> </w:t>
      </w:r>
      <w:r w:rsidRPr="00171C81">
        <w:rPr>
          <w:szCs w:val="24"/>
        </w:rPr>
        <w:t xml:space="preserve">36,5 mld. Kč, příjmy byly oproti schválenému rozpočtu vyšší o 89,4 mld. Kč a hospodaření státního rozpočtu tak skončilo místo plánovaného padesátimiliardového schodku přebytkem ve výši 2,94 mld. Kč. </w:t>
      </w:r>
      <w:r w:rsidRPr="00171C81">
        <w:rPr>
          <w:b/>
          <w:szCs w:val="24"/>
        </w:rPr>
        <w:t>Opět se tak opakoval vysoký rozdíl (téměř 53 mld. Kč) mezi rozpočtovaným a skutečným saldem státního rozpočtu.</w:t>
      </w:r>
      <w:r w:rsidRPr="00171C81">
        <w:rPr>
          <w:szCs w:val="24"/>
        </w:rPr>
        <w:t xml:space="preserve"> Po očištění o pros</w:t>
      </w:r>
      <w:r>
        <w:rPr>
          <w:szCs w:val="24"/>
        </w:rPr>
        <w:t xml:space="preserve">tředky </w:t>
      </w:r>
      <w:r w:rsidR="00500444" w:rsidRPr="007E0457">
        <w:rPr>
          <w:rFonts w:cs="Calibri"/>
          <w:szCs w:val="24"/>
        </w:rPr>
        <w:t>z</w:t>
      </w:r>
      <w:r w:rsidR="00500444">
        <w:rPr>
          <w:rFonts w:cs="Calibri"/>
          <w:szCs w:val="24"/>
        </w:rPr>
        <w:t xml:space="preserve"> rozpočtu </w:t>
      </w:r>
      <w:r w:rsidR="00500444" w:rsidRPr="007E0457">
        <w:rPr>
          <w:rFonts w:cs="Calibri"/>
          <w:szCs w:val="24"/>
        </w:rPr>
        <w:t xml:space="preserve">Evropské unie a finančních mechanismů </w:t>
      </w:r>
      <w:r w:rsidR="00500444">
        <w:rPr>
          <w:rFonts w:cs="Calibri"/>
          <w:szCs w:val="24"/>
        </w:rPr>
        <w:t>(dále také „</w:t>
      </w:r>
      <w:r>
        <w:rPr>
          <w:szCs w:val="24"/>
        </w:rPr>
        <w:t>EU/</w:t>
      </w:r>
      <w:r w:rsidRPr="00171C81">
        <w:rPr>
          <w:szCs w:val="24"/>
        </w:rPr>
        <w:t>FM</w:t>
      </w:r>
      <w:r w:rsidR="00500444">
        <w:rPr>
          <w:szCs w:val="24"/>
        </w:rPr>
        <w:t>“)</w:t>
      </w:r>
      <w:r w:rsidRPr="00171C81">
        <w:rPr>
          <w:szCs w:val="24"/>
        </w:rPr>
        <w:t>, na jejichž příjmové straně sehrálo významnou roli inkaso části závěrečných plateb vztahujících se k uzavřenému programovému období 2007</w:t>
      </w:r>
      <w:r w:rsidR="008A1638">
        <w:rPr>
          <w:szCs w:val="24"/>
        </w:rPr>
        <w:t>–</w:t>
      </w:r>
      <w:r w:rsidRPr="00171C81">
        <w:rPr>
          <w:szCs w:val="24"/>
        </w:rPr>
        <w:t>2013</w:t>
      </w:r>
      <w:r w:rsidR="001915EC">
        <w:rPr>
          <w:szCs w:val="24"/>
        </w:rPr>
        <w:t xml:space="preserve"> (dále také „PO7+“)</w:t>
      </w:r>
      <w:r w:rsidR="001915EC" w:rsidRPr="00171C81">
        <w:rPr>
          <w:szCs w:val="24"/>
        </w:rPr>
        <w:t xml:space="preserve"> </w:t>
      </w:r>
      <w:r w:rsidRPr="00171C81">
        <w:rPr>
          <w:szCs w:val="24"/>
        </w:rPr>
        <w:t xml:space="preserve">ve výši </w:t>
      </w:r>
      <w:r w:rsidR="00A71378">
        <w:rPr>
          <w:szCs w:val="24"/>
        </w:rPr>
        <w:t xml:space="preserve">téměř </w:t>
      </w:r>
      <w:r w:rsidRPr="00171C81">
        <w:rPr>
          <w:szCs w:val="24"/>
        </w:rPr>
        <w:t>24 mld. Kč, by navíc státní rozpočet skončil v mírném deficitu. Státní dluh meziročně mírně klesl o 2,7 mld. Kč na 1 622 mld. Kč a ve výdajích na jeho obsluhu došlo oproti schválenému rozpočtu k úspoře ve výši 4,5 mld. Kč. K</w:t>
      </w:r>
      <w:r w:rsidR="00187BF7">
        <w:rPr>
          <w:szCs w:val="24"/>
        </w:rPr>
        <w:t>e</w:t>
      </w:r>
      <w:r w:rsidR="000D7973">
        <w:rPr>
          <w:szCs w:val="24"/>
        </w:rPr>
        <w:t xml:space="preserve"> </w:t>
      </w:r>
      <w:r w:rsidRPr="00171C81">
        <w:rPr>
          <w:szCs w:val="24"/>
        </w:rPr>
        <w:t>zvýšení došlo v oblasti čerpání kapitálových (investičních) výdajů. Tyto výdaje dosáhly 116,46 mld. Kč a oproti roku 2017 se zvýšily</w:t>
      </w:r>
      <w:r>
        <w:rPr>
          <w:szCs w:val="24"/>
        </w:rPr>
        <w:t xml:space="preserve"> </w:t>
      </w:r>
      <w:r w:rsidRPr="00171C81">
        <w:rPr>
          <w:szCs w:val="24"/>
        </w:rPr>
        <w:t xml:space="preserve">o 34,71 mld. Kč. </w:t>
      </w:r>
      <w:r w:rsidRPr="00171C81">
        <w:rPr>
          <w:b/>
          <w:bCs/>
          <w:szCs w:val="24"/>
        </w:rPr>
        <w:t>Podíl kapitálových výdajů na výdajích celkových se meziročně zvýšil a dosáhl 8,3 %. Ani v loňském roce se však nepodařilo dosáhnout alespoň 10% podílu</w:t>
      </w:r>
      <w:r w:rsidR="008A1638">
        <w:rPr>
          <w:b/>
          <w:bCs/>
          <w:szCs w:val="24"/>
        </w:rPr>
        <w:t xml:space="preserve"> jako v době ekonomické recese.</w:t>
      </w:r>
    </w:p>
    <w:p w14:paraId="7F8F6515" w14:textId="1715A1A6" w:rsidR="00795555" w:rsidRPr="00453220" w:rsidRDefault="00EB0332" w:rsidP="004D4873">
      <w:pPr>
        <w:pStyle w:val="Tituleknadtabulkou"/>
      </w:pPr>
      <w:r>
        <w:t xml:space="preserve">Tabulka č. </w:t>
      </w:r>
      <w:r>
        <w:fldChar w:fldCharType="begin"/>
      </w:r>
      <w:r>
        <w:instrText xml:space="preserve"> SEQ Tabulka_č._ \* ARABIC </w:instrText>
      </w:r>
      <w:r>
        <w:fldChar w:fldCharType="separate"/>
      </w:r>
      <w:r w:rsidR="009849B2">
        <w:t>1</w:t>
      </w:r>
      <w:r>
        <w:fldChar w:fldCharType="end"/>
      </w:r>
      <w:r>
        <w:t xml:space="preserve"> </w:t>
      </w:r>
      <w:r w:rsidR="00795555">
        <w:t>–</w:t>
      </w:r>
      <w:r>
        <w:tab/>
      </w:r>
      <w:r w:rsidR="00795555">
        <w:t>Hospodaření státníh</w:t>
      </w:r>
      <w:r w:rsidR="0096701B">
        <w:t>o rozpočtu v letech 2017 a 2018</w:t>
      </w:r>
      <w:r w:rsidR="008A54A8">
        <w:t xml:space="preserve"> </w:t>
      </w:r>
      <w:r w:rsidR="00795555">
        <w:t>(v mld. Kč)</w:t>
      </w:r>
    </w:p>
    <w:tbl>
      <w:tblPr>
        <w:tblStyle w:val="Mkatabulky8"/>
        <w:tblW w:w="9098" w:type="dxa"/>
        <w:tblInd w:w="108" w:type="dxa"/>
        <w:tblLook w:val="04A0" w:firstRow="1" w:lastRow="0" w:firstColumn="1" w:lastColumn="0" w:noHBand="0" w:noVBand="1"/>
      </w:tblPr>
      <w:tblGrid>
        <w:gridCol w:w="541"/>
        <w:gridCol w:w="1644"/>
        <w:gridCol w:w="780"/>
        <w:gridCol w:w="957"/>
        <w:gridCol w:w="1015"/>
        <w:gridCol w:w="806"/>
        <w:gridCol w:w="818"/>
        <w:gridCol w:w="926"/>
        <w:gridCol w:w="903"/>
        <w:gridCol w:w="708"/>
      </w:tblGrid>
      <w:tr w:rsidR="00A71378" w:rsidRPr="00AA3487" w14:paraId="5DAD3744" w14:textId="77777777" w:rsidTr="004B0E8B">
        <w:trPr>
          <w:trHeight w:val="545"/>
        </w:trPr>
        <w:tc>
          <w:tcPr>
            <w:tcW w:w="2183" w:type="dxa"/>
            <w:gridSpan w:val="2"/>
            <w:tcBorders>
              <w:bottom w:val="single" w:sz="4" w:space="0" w:color="auto"/>
            </w:tcBorders>
            <w:shd w:val="clear" w:color="auto" w:fill="E5F1FF"/>
            <w:vAlign w:val="center"/>
          </w:tcPr>
          <w:p w14:paraId="2DF7DC91" w14:textId="77777777" w:rsidR="00A71378" w:rsidRPr="00AA3487" w:rsidRDefault="00A71378" w:rsidP="00C26812">
            <w:pPr>
              <w:spacing w:before="0" w:after="0" w:line="240" w:lineRule="auto"/>
              <w:jc w:val="center"/>
              <w:rPr>
                <w:b/>
                <w:sz w:val="16"/>
                <w:szCs w:val="16"/>
              </w:rPr>
            </w:pPr>
            <w:r w:rsidRPr="00AA3487">
              <w:rPr>
                <w:b/>
                <w:sz w:val="16"/>
                <w:szCs w:val="16"/>
              </w:rPr>
              <w:t>Státní rozpočet</w:t>
            </w:r>
          </w:p>
        </w:tc>
        <w:tc>
          <w:tcPr>
            <w:tcW w:w="780" w:type="dxa"/>
            <w:tcBorders>
              <w:bottom w:val="single" w:sz="4" w:space="0" w:color="auto"/>
            </w:tcBorders>
            <w:shd w:val="clear" w:color="auto" w:fill="E5F1FF"/>
            <w:vAlign w:val="center"/>
          </w:tcPr>
          <w:p w14:paraId="18D573EE" w14:textId="77777777" w:rsidR="00A71378" w:rsidRPr="00AA3487" w:rsidRDefault="00A71378" w:rsidP="00C26812">
            <w:pPr>
              <w:spacing w:before="0" w:after="0" w:line="240" w:lineRule="auto"/>
              <w:jc w:val="center"/>
              <w:rPr>
                <w:b/>
                <w:sz w:val="16"/>
                <w:szCs w:val="16"/>
              </w:rPr>
            </w:pPr>
            <w:r w:rsidRPr="00AA3487">
              <w:rPr>
                <w:b/>
                <w:sz w:val="16"/>
                <w:szCs w:val="16"/>
              </w:rPr>
              <w:t>Celkové příjmy</w:t>
            </w:r>
          </w:p>
        </w:tc>
        <w:tc>
          <w:tcPr>
            <w:tcW w:w="957" w:type="dxa"/>
            <w:tcBorders>
              <w:bottom w:val="single" w:sz="4" w:space="0" w:color="auto"/>
            </w:tcBorders>
            <w:shd w:val="clear" w:color="auto" w:fill="E5F1FF"/>
            <w:vAlign w:val="center"/>
          </w:tcPr>
          <w:p w14:paraId="4FCD2F5A" w14:textId="77777777" w:rsidR="00A71378" w:rsidRPr="00AA3487" w:rsidRDefault="00A71378" w:rsidP="00C26812">
            <w:pPr>
              <w:spacing w:before="0" w:after="0" w:line="240" w:lineRule="auto"/>
              <w:jc w:val="center"/>
              <w:rPr>
                <w:i/>
                <w:sz w:val="16"/>
                <w:szCs w:val="16"/>
              </w:rPr>
            </w:pPr>
            <w:r w:rsidRPr="00AA3487">
              <w:rPr>
                <w:i/>
                <w:sz w:val="16"/>
                <w:szCs w:val="16"/>
              </w:rPr>
              <w:t>Daňové příjmy</w:t>
            </w:r>
          </w:p>
        </w:tc>
        <w:tc>
          <w:tcPr>
            <w:tcW w:w="1015" w:type="dxa"/>
            <w:tcBorders>
              <w:bottom w:val="single" w:sz="4" w:space="0" w:color="auto"/>
            </w:tcBorders>
            <w:shd w:val="clear" w:color="auto" w:fill="E5F1FF"/>
            <w:vAlign w:val="center"/>
          </w:tcPr>
          <w:p w14:paraId="0D9E6AE3" w14:textId="77777777" w:rsidR="00A71378" w:rsidRPr="00AA3487" w:rsidRDefault="00A71378" w:rsidP="00C26812">
            <w:pPr>
              <w:spacing w:before="0" w:after="0" w:line="240" w:lineRule="auto"/>
              <w:jc w:val="center"/>
              <w:rPr>
                <w:i/>
                <w:sz w:val="16"/>
                <w:szCs w:val="16"/>
              </w:rPr>
            </w:pPr>
            <w:r w:rsidRPr="00AA3487">
              <w:rPr>
                <w:i/>
                <w:sz w:val="16"/>
                <w:szCs w:val="16"/>
              </w:rPr>
              <w:t>Nedaňové a kapitálové příjmy</w:t>
            </w:r>
          </w:p>
        </w:tc>
        <w:tc>
          <w:tcPr>
            <w:tcW w:w="806" w:type="dxa"/>
            <w:tcBorders>
              <w:bottom w:val="single" w:sz="4" w:space="0" w:color="auto"/>
            </w:tcBorders>
            <w:shd w:val="clear" w:color="auto" w:fill="E5F1FF"/>
            <w:vAlign w:val="center"/>
          </w:tcPr>
          <w:p w14:paraId="11773C1E" w14:textId="77777777" w:rsidR="00A71378" w:rsidRPr="00AA3487" w:rsidRDefault="00A71378" w:rsidP="00C26812">
            <w:pPr>
              <w:spacing w:before="0" w:after="0" w:line="240" w:lineRule="auto"/>
              <w:jc w:val="center"/>
              <w:rPr>
                <w:i/>
                <w:sz w:val="16"/>
                <w:szCs w:val="16"/>
              </w:rPr>
            </w:pPr>
            <w:r w:rsidRPr="00AA3487">
              <w:rPr>
                <w:i/>
                <w:sz w:val="16"/>
                <w:szCs w:val="16"/>
              </w:rPr>
              <w:t>Přijaté transfery</w:t>
            </w:r>
          </w:p>
        </w:tc>
        <w:tc>
          <w:tcPr>
            <w:tcW w:w="818" w:type="dxa"/>
            <w:tcBorders>
              <w:bottom w:val="single" w:sz="4" w:space="0" w:color="auto"/>
            </w:tcBorders>
            <w:shd w:val="clear" w:color="auto" w:fill="E5F1FF"/>
            <w:vAlign w:val="center"/>
          </w:tcPr>
          <w:p w14:paraId="264A0079" w14:textId="77777777" w:rsidR="00A71378" w:rsidRPr="00AA3487" w:rsidRDefault="00A71378" w:rsidP="00C26812">
            <w:pPr>
              <w:spacing w:before="0" w:after="0" w:line="240" w:lineRule="auto"/>
              <w:jc w:val="center"/>
              <w:rPr>
                <w:b/>
                <w:sz w:val="16"/>
                <w:szCs w:val="16"/>
              </w:rPr>
            </w:pPr>
            <w:r w:rsidRPr="00AA3487">
              <w:rPr>
                <w:b/>
                <w:sz w:val="16"/>
                <w:szCs w:val="16"/>
              </w:rPr>
              <w:t>Celkové výdaje</w:t>
            </w:r>
          </w:p>
        </w:tc>
        <w:tc>
          <w:tcPr>
            <w:tcW w:w="926" w:type="dxa"/>
            <w:tcBorders>
              <w:bottom w:val="single" w:sz="4" w:space="0" w:color="auto"/>
            </w:tcBorders>
            <w:shd w:val="clear" w:color="auto" w:fill="E5F1FF"/>
            <w:vAlign w:val="center"/>
          </w:tcPr>
          <w:p w14:paraId="0000F6EE" w14:textId="77777777" w:rsidR="00A71378" w:rsidRPr="00AA3487" w:rsidRDefault="00A71378" w:rsidP="00C26812">
            <w:pPr>
              <w:spacing w:before="0" w:after="0" w:line="240" w:lineRule="auto"/>
              <w:jc w:val="center"/>
              <w:rPr>
                <w:i/>
                <w:sz w:val="16"/>
                <w:szCs w:val="16"/>
              </w:rPr>
            </w:pPr>
            <w:r w:rsidRPr="00AA3487">
              <w:rPr>
                <w:i/>
                <w:sz w:val="16"/>
                <w:szCs w:val="16"/>
              </w:rPr>
              <w:t>Běžné výdaje</w:t>
            </w:r>
          </w:p>
        </w:tc>
        <w:tc>
          <w:tcPr>
            <w:tcW w:w="903" w:type="dxa"/>
            <w:tcBorders>
              <w:bottom w:val="single" w:sz="4" w:space="0" w:color="auto"/>
            </w:tcBorders>
            <w:shd w:val="clear" w:color="auto" w:fill="E5F1FF"/>
            <w:vAlign w:val="center"/>
          </w:tcPr>
          <w:p w14:paraId="400DBB30" w14:textId="77777777" w:rsidR="00A71378" w:rsidRPr="00AA3487" w:rsidRDefault="00A71378" w:rsidP="00C26812">
            <w:pPr>
              <w:spacing w:before="0" w:after="0" w:line="240" w:lineRule="auto"/>
              <w:jc w:val="center"/>
              <w:rPr>
                <w:i/>
                <w:sz w:val="16"/>
                <w:szCs w:val="16"/>
              </w:rPr>
            </w:pPr>
            <w:r w:rsidRPr="00AA3487">
              <w:rPr>
                <w:i/>
                <w:sz w:val="16"/>
                <w:szCs w:val="16"/>
              </w:rPr>
              <w:t>Kapitálové výdaje</w:t>
            </w:r>
          </w:p>
        </w:tc>
        <w:tc>
          <w:tcPr>
            <w:tcW w:w="708" w:type="dxa"/>
            <w:tcBorders>
              <w:bottom w:val="single" w:sz="4" w:space="0" w:color="auto"/>
            </w:tcBorders>
            <w:shd w:val="clear" w:color="auto" w:fill="E5F1FF"/>
            <w:vAlign w:val="center"/>
          </w:tcPr>
          <w:p w14:paraId="69D2F927" w14:textId="77777777" w:rsidR="00A71378" w:rsidRPr="00AA3487" w:rsidRDefault="00A71378" w:rsidP="00C26812">
            <w:pPr>
              <w:spacing w:before="0" w:after="0" w:line="240" w:lineRule="auto"/>
              <w:jc w:val="center"/>
              <w:rPr>
                <w:b/>
                <w:sz w:val="16"/>
                <w:szCs w:val="16"/>
              </w:rPr>
            </w:pPr>
            <w:r w:rsidRPr="00AA3487">
              <w:rPr>
                <w:b/>
                <w:sz w:val="16"/>
                <w:szCs w:val="16"/>
              </w:rPr>
              <w:t>Saldo</w:t>
            </w:r>
          </w:p>
        </w:tc>
      </w:tr>
      <w:tr w:rsidR="00A71378" w:rsidRPr="00AA3487" w14:paraId="6AD75748" w14:textId="77777777" w:rsidTr="004D4873">
        <w:trPr>
          <w:trHeight w:val="288"/>
        </w:trPr>
        <w:tc>
          <w:tcPr>
            <w:tcW w:w="541" w:type="dxa"/>
            <w:vMerge w:val="restart"/>
            <w:tcBorders>
              <w:top w:val="single" w:sz="4" w:space="0" w:color="auto"/>
            </w:tcBorders>
            <w:shd w:val="clear" w:color="auto" w:fill="auto"/>
            <w:vAlign w:val="center"/>
          </w:tcPr>
          <w:p w14:paraId="592E0D55" w14:textId="77777777" w:rsidR="00A71378" w:rsidRPr="00AA3487" w:rsidRDefault="00A71378" w:rsidP="00A71378">
            <w:pPr>
              <w:spacing w:before="0" w:after="0" w:line="240" w:lineRule="auto"/>
              <w:jc w:val="center"/>
              <w:rPr>
                <w:b/>
                <w:sz w:val="16"/>
                <w:szCs w:val="16"/>
              </w:rPr>
            </w:pPr>
            <w:r w:rsidRPr="00AA3487">
              <w:rPr>
                <w:b/>
                <w:sz w:val="16"/>
                <w:szCs w:val="16"/>
              </w:rPr>
              <w:t>2017</w:t>
            </w:r>
          </w:p>
        </w:tc>
        <w:tc>
          <w:tcPr>
            <w:tcW w:w="1644" w:type="dxa"/>
            <w:tcBorders>
              <w:top w:val="single" w:sz="4" w:space="0" w:color="auto"/>
            </w:tcBorders>
            <w:shd w:val="clear" w:color="auto" w:fill="auto"/>
            <w:vAlign w:val="center"/>
          </w:tcPr>
          <w:p w14:paraId="56C269B8" w14:textId="77777777" w:rsidR="00A71378" w:rsidRPr="00AA3487" w:rsidRDefault="00A71378" w:rsidP="00C26812">
            <w:pPr>
              <w:spacing w:before="0" w:after="0" w:line="240" w:lineRule="auto"/>
              <w:jc w:val="left"/>
              <w:rPr>
                <w:sz w:val="16"/>
                <w:szCs w:val="16"/>
              </w:rPr>
            </w:pPr>
            <w:r w:rsidRPr="00AA3487">
              <w:rPr>
                <w:sz w:val="16"/>
                <w:szCs w:val="16"/>
              </w:rPr>
              <w:t>Schválený rozpočet</w:t>
            </w:r>
          </w:p>
        </w:tc>
        <w:tc>
          <w:tcPr>
            <w:tcW w:w="780" w:type="dxa"/>
            <w:tcBorders>
              <w:top w:val="single" w:sz="4" w:space="0" w:color="auto"/>
            </w:tcBorders>
            <w:shd w:val="clear" w:color="auto" w:fill="F2C6C9"/>
            <w:vAlign w:val="center"/>
          </w:tcPr>
          <w:p w14:paraId="7B5E8AA3" w14:textId="77777777" w:rsidR="00A71378" w:rsidRPr="00AA3487" w:rsidRDefault="00A71378" w:rsidP="00C26812">
            <w:pPr>
              <w:spacing w:before="0" w:after="0" w:line="240" w:lineRule="auto"/>
              <w:jc w:val="center"/>
              <w:rPr>
                <w:sz w:val="16"/>
                <w:szCs w:val="16"/>
              </w:rPr>
            </w:pPr>
            <w:r w:rsidRPr="00AA3487">
              <w:rPr>
                <w:sz w:val="16"/>
                <w:szCs w:val="16"/>
              </w:rPr>
              <w:t>1 249,27</w:t>
            </w:r>
          </w:p>
        </w:tc>
        <w:tc>
          <w:tcPr>
            <w:tcW w:w="957" w:type="dxa"/>
            <w:tcBorders>
              <w:top w:val="single" w:sz="4" w:space="0" w:color="auto"/>
            </w:tcBorders>
            <w:vAlign w:val="center"/>
          </w:tcPr>
          <w:p w14:paraId="74F98466" w14:textId="77777777" w:rsidR="00A71378" w:rsidRPr="00AA3487" w:rsidRDefault="00A71378" w:rsidP="00C26812">
            <w:pPr>
              <w:spacing w:before="0" w:after="0" w:line="240" w:lineRule="auto"/>
              <w:jc w:val="center"/>
              <w:rPr>
                <w:sz w:val="16"/>
                <w:szCs w:val="16"/>
              </w:rPr>
            </w:pPr>
            <w:r w:rsidRPr="00AA3487">
              <w:rPr>
                <w:sz w:val="16"/>
                <w:szCs w:val="16"/>
              </w:rPr>
              <w:t>1 112,79</w:t>
            </w:r>
          </w:p>
        </w:tc>
        <w:tc>
          <w:tcPr>
            <w:tcW w:w="1015" w:type="dxa"/>
            <w:tcBorders>
              <w:top w:val="single" w:sz="4" w:space="0" w:color="auto"/>
            </w:tcBorders>
            <w:vAlign w:val="center"/>
          </w:tcPr>
          <w:p w14:paraId="2359408E" w14:textId="77777777" w:rsidR="00A71378" w:rsidRPr="00AA3487" w:rsidRDefault="00A71378" w:rsidP="00C26812">
            <w:pPr>
              <w:spacing w:before="0" w:after="0" w:line="240" w:lineRule="auto"/>
              <w:jc w:val="center"/>
              <w:rPr>
                <w:sz w:val="16"/>
                <w:szCs w:val="16"/>
              </w:rPr>
            </w:pPr>
            <w:r w:rsidRPr="00AA3487">
              <w:rPr>
                <w:sz w:val="16"/>
                <w:szCs w:val="16"/>
              </w:rPr>
              <w:t>23,86</w:t>
            </w:r>
          </w:p>
        </w:tc>
        <w:tc>
          <w:tcPr>
            <w:tcW w:w="806" w:type="dxa"/>
            <w:tcBorders>
              <w:top w:val="single" w:sz="4" w:space="0" w:color="auto"/>
            </w:tcBorders>
            <w:vAlign w:val="center"/>
          </w:tcPr>
          <w:p w14:paraId="320E5909" w14:textId="77777777" w:rsidR="00A71378" w:rsidRPr="00AA3487" w:rsidRDefault="00A71378" w:rsidP="008C2C42">
            <w:pPr>
              <w:spacing w:before="0" w:after="0" w:line="240" w:lineRule="auto"/>
              <w:ind w:left="-79" w:right="57"/>
              <w:jc w:val="right"/>
              <w:rPr>
                <w:sz w:val="16"/>
                <w:szCs w:val="16"/>
              </w:rPr>
            </w:pPr>
            <w:r w:rsidRPr="00AA3487">
              <w:rPr>
                <w:sz w:val="16"/>
                <w:szCs w:val="16"/>
              </w:rPr>
              <w:t>112,62</w:t>
            </w:r>
          </w:p>
        </w:tc>
        <w:tc>
          <w:tcPr>
            <w:tcW w:w="818" w:type="dxa"/>
            <w:tcBorders>
              <w:top w:val="single" w:sz="4" w:space="0" w:color="auto"/>
            </w:tcBorders>
            <w:shd w:val="clear" w:color="auto" w:fill="F2C6C9"/>
            <w:vAlign w:val="center"/>
          </w:tcPr>
          <w:p w14:paraId="6B7A72C0" w14:textId="77777777" w:rsidR="00A71378" w:rsidRPr="00AA3487" w:rsidRDefault="00A71378" w:rsidP="00C26812">
            <w:pPr>
              <w:spacing w:before="0" w:after="0" w:line="240" w:lineRule="auto"/>
              <w:jc w:val="center"/>
              <w:rPr>
                <w:sz w:val="16"/>
                <w:szCs w:val="16"/>
              </w:rPr>
            </w:pPr>
            <w:r w:rsidRPr="00AA3487">
              <w:rPr>
                <w:sz w:val="16"/>
                <w:szCs w:val="16"/>
              </w:rPr>
              <w:t>1 309,27</w:t>
            </w:r>
          </w:p>
        </w:tc>
        <w:tc>
          <w:tcPr>
            <w:tcW w:w="926" w:type="dxa"/>
            <w:tcBorders>
              <w:top w:val="single" w:sz="4" w:space="0" w:color="auto"/>
            </w:tcBorders>
            <w:vAlign w:val="center"/>
          </w:tcPr>
          <w:p w14:paraId="539130B3" w14:textId="77777777" w:rsidR="00A71378" w:rsidRPr="00AA3487" w:rsidRDefault="00A71378" w:rsidP="00C26812">
            <w:pPr>
              <w:spacing w:before="0" w:after="0" w:line="240" w:lineRule="auto"/>
              <w:jc w:val="center"/>
              <w:rPr>
                <w:sz w:val="16"/>
                <w:szCs w:val="16"/>
              </w:rPr>
            </w:pPr>
            <w:r w:rsidRPr="00AA3487">
              <w:rPr>
                <w:sz w:val="16"/>
                <w:szCs w:val="16"/>
              </w:rPr>
              <w:t>1 205,40</w:t>
            </w:r>
          </w:p>
        </w:tc>
        <w:tc>
          <w:tcPr>
            <w:tcW w:w="903" w:type="dxa"/>
            <w:tcBorders>
              <w:top w:val="single" w:sz="4" w:space="0" w:color="auto"/>
            </w:tcBorders>
            <w:vAlign w:val="center"/>
          </w:tcPr>
          <w:p w14:paraId="04063419" w14:textId="77777777" w:rsidR="00A71378" w:rsidRPr="00AA3487" w:rsidRDefault="00A71378" w:rsidP="004D4873">
            <w:pPr>
              <w:spacing w:before="0" w:after="0" w:line="240" w:lineRule="auto"/>
              <w:ind w:left="-215" w:right="57"/>
              <w:jc w:val="right"/>
              <w:rPr>
                <w:sz w:val="16"/>
                <w:szCs w:val="16"/>
              </w:rPr>
            </w:pPr>
            <w:r w:rsidRPr="00AA3487">
              <w:rPr>
                <w:sz w:val="16"/>
                <w:szCs w:val="16"/>
              </w:rPr>
              <w:t>103,87</w:t>
            </w:r>
          </w:p>
        </w:tc>
        <w:tc>
          <w:tcPr>
            <w:tcW w:w="708" w:type="dxa"/>
            <w:tcBorders>
              <w:top w:val="single" w:sz="4" w:space="0" w:color="auto"/>
            </w:tcBorders>
            <w:shd w:val="clear" w:color="auto" w:fill="F2C6C9"/>
            <w:vAlign w:val="center"/>
          </w:tcPr>
          <w:p w14:paraId="7D095A3A" w14:textId="00364E11" w:rsidR="00A71378" w:rsidRPr="00AA3487" w:rsidRDefault="006D05A0" w:rsidP="00FD7DA0">
            <w:pPr>
              <w:spacing w:before="0" w:after="0" w:line="240" w:lineRule="auto"/>
              <w:ind w:left="-57" w:right="57"/>
              <w:jc w:val="right"/>
              <w:rPr>
                <w:color w:val="FF0000"/>
                <w:sz w:val="16"/>
                <w:szCs w:val="16"/>
              </w:rPr>
            </w:pPr>
            <w:r w:rsidRPr="006D05A0">
              <w:rPr>
                <w:color w:val="FF0000"/>
                <w:sz w:val="16"/>
                <w:szCs w:val="16"/>
              </w:rPr>
              <w:t>–</w:t>
            </w:r>
            <w:r w:rsidR="00A71378" w:rsidRPr="00AA3487">
              <w:rPr>
                <w:color w:val="FF0000"/>
                <w:sz w:val="16"/>
                <w:szCs w:val="16"/>
              </w:rPr>
              <w:t>60,00</w:t>
            </w:r>
          </w:p>
        </w:tc>
      </w:tr>
      <w:tr w:rsidR="00A71378" w:rsidRPr="00AA3487" w14:paraId="28A7288F" w14:textId="77777777" w:rsidTr="004D4873">
        <w:trPr>
          <w:trHeight w:val="278"/>
        </w:trPr>
        <w:tc>
          <w:tcPr>
            <w:tcW w:w="541" w:type="dxa"/>
            <w:vMerge/>
            <w:shd w:val="clear" w:color="auto" w:fill="auto"/>
          </w:tcPr>
          <w:p w14:paraId="623C5ADE" w14:textId="77777777" w:rsidR="00A71378" w:rsidRPr="00AA3487" w:rsidRDefault="00A71378" w:rsidP="00C26812">
            <w:pPr>
              <w:spacing w:before="0" w:after="0" w:line="240" w:lineRule="auto"/>
              <w:jc w:val="left"/>
              <w:rPr>
                <w:sz w:val="16"/>
                <w:szCs w:val="16"/>
              </w:rPr>
            </w:pPr>
          </w:p>
        </w:tc>
        <w:tc>
          <w:tcPr>
            <w:tcW w:w="1644" w:type="dxa"/>
            <w:shd w:val="clear" w:color="auto" w:fill="auto"/>
            <w:vAlign w:val="center"/>
          </w:tcPr>
          <w:p w14:paraId="4076DE46" w14:textId="77777777" w:rsidR="00A71378" w:rsidRPr="00AA3487" w:rsidRDefault="00A71378" w:rsidP="00C26812">
            <w:pPr>
              <w:spacing w:before="0" w:after="0" w:line="240" w:lineRule="auto"/>
              <w:jc w:val="left"/>
              <w:rPr>
                <w:sz w:val="16"/>
                <w:szCs w:val="16"/>
              </w:rPr>
            </w:pPr>
            <w:r w:rsidRPr="00AA3487">
              <w:rPr>
                <w:sz w:val="16"/>
                <w:szCs w:val="16"/>
              </w:rPr>
              <w:t>Rozpočet po změnách</w:t>
            </w:r>
          </w:p>
        </w:tc>
        <w:tc>
          <w:tcPr>
            <w:tcW w:w="780" w:type="dxa"/>
            <w:shd w:val="clear" w:color="auto" w:fill="F2C6C9"/>
            <w:vAlign w:val="center"/>
          </w:tcPr>
          <w:p w14:paraId="2B3A054A" w14:textId="77777777" w:rsidR="00A71378" w:rsidRPr="00AA3487" w:rsidRDefault="00A71378" w:rsidP="00C26812">
            <w:pPr>
              <w:spacing w:before="0" w:after="0" w:line="240" w:lineRule="auto"/>
              <w:jc w:val="center"/>
              <w:rPr>
                <w:sz w:val="16"/>
                <w:szCs w:val="16"/>
              </w:rPr>
            </w:pPr>
            <w:r w:rsidRPr="00AA3487">
              <w:rPr>
                <w:sz w:val="16"/>
                <w:szCs w:val="16"/>
              </w:rPr>
              <w:t>1 250,21</w:t>
            </w:r>
          </w:p>
        </w:tc>
        <w:tc>
          <w:tcPr>
            <w:tcW w:w="957" w:type="dxa"/>
            <w:vAlign w:val="center"/>
          </w:tcPr>
          <w:p w14:paraId="6BE9A3E6" w14:textId="77777777" w:rsidR="00A71378" w:rsidRPr="00AA3487" w:rsidRDefault="00A71378" w:rsidP="00C26812">
            <w:pPr>
              <w:spacing w:before="0" w:after="0" w:line="240" w:lineRule="auto"/>
              <w:jc w:val="center"/>
              <w:rPr>
                <w:sz w:val="16"/>
                <w:szCs w:val="16"/>
              </w:rPr>
            </w:pPr>
            <w:r w:rsidRPr="00AA3487">
              <w:rPr>
                <w:sz w:val="16"/>
                <w:szCs w:val="16"/>
              </w:rPr>
              <w:t>1 112,79</w:t>
            </w:r>
          </w:p>
        </w:tc>
        <w:tc>
          <w:tcPr>
            <w:tcW w:w="1015" w:type="dxa"/>
            <w:vAlign w:val="center"/>
          </w:tcPr>
          <w:p w14:paraId="7D419B59" w14:textId="77777777" w:rsidR="00A71378" w:rsidRPr="00AA3487" w:rsidRDefault="00A71378" w:rsidP="00C26812">
            <w:pPr>
              <w:spacing w:before="0" w:after="0" w:line="240" w:lineRule="auto"/>
              <w:jc w:val="center"/>
              <w:rPr>
                <w:sz w:val="16"/>
                <w:szCs w:val="16"/>
              </w:rPr>
            </w:pPr>
            <w:r w:rsidRPr="00AA3487">
              <w:rPr>
                <w:sz w:val="16"/>
                <w:szCs w:val="16"/>
              </w:rPr>
              <w:t>23,86</w:t>
            </w:r>
          </w:p>
        </w:tc>
        <w:tc>
          <w:tcPr>
            <w:tcW w:w="806" w:type="dxa"/>
            <w:vAlign w:val="center"/>
          </w:tcPr>
          <w:p w14:paraId="58F19BA5" w14:textId="77777777" w:rsidR="00A71378" w:rsidRPr="00AA3487" w:rsidRDefault="00A71378" w:rsidP="008C2C42">
            <w:pPr>
              <w:spacing w:before="0" w:after="0" w:line="240" w:lineRule="auto"/>
              <w:ind w:left="-79" w:right="57"/>
              <w:jc w:val="right"/>
              <w:rPr>
                <w:sz w:val="16"/>
                <w:szCs w:val="16"/>
              </w:rPr>
            </w:pPr>
            <w:r w:rsidRPr="00AA3487">
              <w:rPr>
                <w:sz w:val="16"/>
                <w:szCs w:val="16"/>
              </w:rPr>
              <w:t>113,56</w:t>
            </w:r>
          </w:p>
        </w:tc>
        <w:tc>
          <w:tcPr>
            <w:tcW w:w="818" w:type="dxa"/>
            <w:shd w:val="clear" w:color="auto" w:fill="F2C6C9"/>
            <w:vAlign w:val="center"/>
          </w:tcPr>
          <w:p w14:paraId="47ECDB96" w14:textId="77777777" w:rsidR="00A71378" w:rsidRPr="00AA3487" w:rsidRDefault="00A71378" w:rsidP="00C26812">
            <w:pPr>
              <w:spacing w:before="0" w:after="0" w:line="240" w:lineRule="auto"/>
              <w:jc w:val="center"/>
              <w:rPr>
                <w:sz w:val="16"/>
                <w:szCs w:val="16"/>
              </w:rPr>
            </w:pPr>
            <w:r w:rsidRPr="00AA3487">
              <w:rPr>
                <w:sz w:val="16"/>
                <w:szCs w:val="16"/>
              </w:rPr>
              <w:t>1 310,26</w:t>
            </w:r>
          </w:p>
        </w:tc>
        <w:tc>
          <w:tcPr>
            <w:tcW w:w="926" w:type="dxa"/>
            <w:vAlign w:val="center"/>
          </w:tcPr>
          <w:p w14:paraId="64B0F0BE" w14:textId="77777777" w:rsidR="00A71378" w:rsidRPr="00AA3487" w:rsidRDefault="00A71378" w:rsidP="00C26812">
            <w:pPr>
              <w:spacing w:before="0" w:after="0" w:line="240" w:lineRule="auto"/>
              <w:jc w:val="center"/>
              <w:rPr>
                <w:sz w:val="16"/>
                <w:szCs w:val="16"/>
              </w:rPr>
            </w:pPr>
            <w:r w:rsidRPr="00AA3487">
              <w:rPr>
                <w:sz w:val="16"/>
                <w:szCs w:val="16"/>
              </w:rPr>
              <w:t>1 202,81</w:t>
            </w:r>
          </w:p>
        </w:tc>
        <w:tc>
          <w:tcPr>
            <w:tcW w:w="903" w:type="dxa"/>
            <w:vAlign w:val="center"/>
          </w:tcPr>
          <w:p w14:paraId="73108E66" w14:textId="77777777" w:rsidR="00A71378" w:rsidRPr="00AA3487" w:rsidRDefault="00A71378" w:rsidP="004D4873">
            <w:pPr>
              <w:spacing w:before="0" w:after="0" w:line="240" w:lineRule="auto"/>
              <w:ind w:left="-215" w:right="57"/>
              <w:jc w:val="right"/>
              <w:rPr>
                <w:sz w:val="16"/>
                <w:szCs w:val="16"/>
              </w:rPr>
            </w:pPr>
            <w:r w:rsidRPr="00AA3487">
              <w:rPr>
                <w:sz w:val="16"/>
                <w:szCs w:val="16"/>
              </w:rPr>
              <w:t>107,45</w:t>
            </w:r>
          </w:p>
        </w:tc>
        <w:tc>
          <w:tcPr>
            <w:tcW w:w="708" w:type="dxa"/>
            <w:shd w:val="clear" w:color="auto" w:fill="F2C6C9"/>
            <w:vAlign w:val="center"/>
          </w:tcPr>
          <w:p w14:paraId="5D33D60A" w14:textId="3465950C" w:rsidR="00A71378" w:rsidRPr="00AA3487" w:rsidRDefault="006D05A0" w:rsidP="00FD7DA0">
            <w:pPr>
              <w:spacing w:before="0" w:after="0" w:line="240" w:lineRule="auto"/>
              <w:ind w:left="-57" w:right="57"/>
              <w:jc w:val="right"/>
              <w:rPr>
                <w:color w:val="FF0000"/>
                <w:sz w:val="16"/>
                <w:szCs w:val="16"/>
              </w:rPr>
            </w:pPr>
            <w:r w:rsidRPr="006D05A0">
              <w:rPr>
                <w:color w:val="FF0000"/>
                <w:sz w:val="16"/>
                <w:szCs w:val="16"/>
              </w:rPr>
              <w:t>–</w:t>
            </w:r>
            <w:r w:rsidR="00A71378" w:rsidRPr="00AA3487">
              <w:rPr>
                <w:color w:val="FF0000"/>
                <w:sz w:val="16"/>
                <w:szCs w:val="16"/>
              </w:rPr>
              <w:t>60,05</w:t>
            </w:r>
          </w:p>
        </w:tc>
      </w:tr>
      <w:tr w:rsidR="00A71378" w:rsidRPr="00AA3487" w14:paraId="232B94FE" w14:textId="77777777" w:rsidTr="004D4873">
        <w:trPr>
          <w:trHeight w:val="268"/>
        </w:trPr>
        <w:tc>
          <w:tcPr>
            <w:tcW w:w="541" w:type="dxa"/>
            <w:vMerge/>
            <w:shd w:val="clear" w:color="auto" w:fill="auto"/>
          </w:tcPr>
          <w:p w14:paraId="2FCBB125" w14:textId="77777777" w:rsidR="00A71378" w:rsidRPr="00AA3487" w:rsidRDefault="00A71378" w:rsidP="00C26812">
            <w:pPr>
              <w:spacing w:before="0" w:after="0" w:line="240" w:lineRule="auto"/>
              <w:jc w:val="left"/>
              <w:rPr>
                <w:sz w:val="16"/>
                <w:szCs w:val="16"/>
              </w:rPr>
            </w:pPr>
          </w:p>
        </w:tc>
        <w:tc>
          <w:tcPr>
            <w:tcW w:w="1644" w:type="dxa"/>
            <w:shd w:val="clear" w:color="auto" w:fill="auto"/>
            <w:vAlign w:val="center"/>
          </w:tcPr>
          <w:p w14:paraId="34579EF3" w14:textId="77777777" w:rsidR="00A71378" w:rsidRPr="00AA3487" w:rsidRDefault="00A71378" w:rsidP="00C26812">
            <w:pPr>
              <w:spacing w:before="0" w:after="0" w:line="240" w:lineRule="auto"/>
              <w:jc w:val="left"/>
              <w:rPr>
                <w:sz w:val="16"/>
                <w:szCs w:val="16"/>
              </w:rPr>
            </w:pPr>
            <w:r w:rsidRPr="00AA3487">
              <w:rPr>
                <w:sz w:val="16"/>
                <w:szCs w:val="16"/>
              </w:rPr>
              <w:t>Konečný rozpočet</w:t>
            </w:r>
          </w:p>
        </w:tc>
        <w:tc>
          <w:tcPr>
            <w:tcW w:w="780" w:type="dxa"/>
            <w:shd w:val="clear" w:color="auto" w:fill="F2C6C9"/>
            <w:vAlign w:val="center"/>
          </w:tcPr>
          <w:p w14:paraId="2079A732" w14:textId="31E882B1" w:rsidR="00A71378" w:rsidRPr="00AA3487" w:rsidRDefault="00B159A7" w:rsidP="004D4873">
            <w:pPr>
              <w:spacing w:before="0" w:after="0" w:line="240" w:lineRule="auto"/>
              <w:jc w:val="center"/>
              <w:rPr>
                <w:sz w:val="16"/>
                <w:szCs w:val="16"/>
              </w:rPr>
            </w:pPr>
            <w:r>
              <w:rPr>
                <w:sz w:val="16"/>
                <w:szCs w:val="16"/>
              </w:rPr>
              <w:t>–</w:t>
            </w:r>
          </w:p>
        </w:tc>
        <w:tc>
          <w:tcPr>
            <w:tcW w:w="957" w:type="dxa"/>
            <w:vAlign w:val="center"/>
          </w:tcPr>
          <w:p w14:paraId="760FF79C" w14:textId="33DD0F85" w:rsidR="00A71378" w:rsidRPr="00AA3487" w:rsidRDefault="00B159A7" w:rsidP="004D4873">
            <w:pPr>
              <w:spacing w:before="0" w:after="0" w:line="240" w:lineRule="auto"/>
              <w:jc w:val="center"/>
              <w:rPr>
                <w:sz w:val="16"/>
                <w:szCs w:val="16"/>
              </w:rPr>
            </w:pPr>
            <w:r>
              <w:rPr>
                <w:sz w:val="16"/>
                <w:szCs w:val="16"/>
              </w:rPr>
              <w:t>–</w:t>
            </w:r>
          </w:p>
        </w:tc>
        <w:tc>
          <w:tcPr>
            <w:tcW w:w="1015" w:type="dxa"/>
            <w:vAlign w:val="center"/>
          </w:tcPr>
          <w:p w14:paraId="5D9B22B1" w14:textId="7E6AF198" w:rsidR="00A71378" w:rsidRPr="00AA3487" w:rsidRDefault="00B159A7" w:rsidP="004D4873">
            <w:pPr>
              <w:spacing w:before="0" w:after="0" w:line="240" w:lineRule="auto"/>
              <w:jc w:val="center"/>
              <w:rPr>
                <w:sz w:val="16"/>
                <w:szCs w:val="16"/>
              </w:rPr>
            </w:pPr>
            <w:r>
              <w:rPr>
                <w:sz w:val="16"/>
                <w:szCs w:val="16"/>
              </w:rPr>
              <w:t>–</w:t>
            </w:r>
          </w:p>
        </w:tc>
        <w:tc>
          <w:tcPr>
            <w:tcW w:w="806" w:type="dxa"/>
            <w:vAlign w:val="center"/>
          </w:tcPr>
          <w:p w14:paraId="238EC66E" w14:textId="41256A8C" w:rsidR="00A71378" w:rsidRPr="00AA3487" w:rsidRDefault="00B159A7" w:rsidP="0096701B">
            <w:pPr>
              <w:spacing w:before="0" w:after="0" w:line="240" w:lineRule="auto"/>
              <w:jc w:val="center"/>
              <w:rPr>
                <w:sz w:val="16"/>
                <w:szCs w:val="16"/>
              </w:rPr>
            </w:pPr>
            <w:r>
              <w:rPr>
                <w:sz w:val="16"/>
                <w:szCs w:val="16"/>
              </w:rPr>
              <w:t>–</w:t>
            </w:r>
          </w:p>
        </w:tc>
        <w:tc>
          <w:tcPr>
            <w:tcW w:w="818" w:type="dxa"/>
            <w:shd w:val="clear" w:color="auto" w:fill="F2C6C9"/>
            <w:vAlign w:val="center"/>
          </w:tcPr>
          <w:p w14:paraId="375F338B" w14:textId="77777777" w:rsidR="00A71378" w:rsidRPr="00AA3487" w:rsidRDefault="00A71378" w:rsidP="00C26812">
            <w:pPr>
              <w:spacing w:before="0" w:after="0" w:line="240" w:lineRule="auto"/>
              <w:jc w:val="center"/>
              <w:rPr>
                <w:sz w:val="16"/>
                <w:szCs w:val="16"/>
              </w:rPr>
            </w:pPr>
            <w:r w:rsidRPr="00AA3487">
              <w:rPr>
                <w:sz w:val="16"/>
                <w:szCs w:val="16"/>
              </w:rPr>
              <w:t>1 428,56</w:t>
            </w:r>
          </w:p>
        </w:tc>
        <w:tc>
          <w:tcPr>
            <w:tcW w:w="926" w:type="dxa"/>
            <w:vAlign w:val="center"/>
          </w:tcPr>
          <w:p w14:paraId="5A491D35" w14:textId="77777777" w:rsidR="00A71378" w:rsidRPr="00AA3487" w:rsidRDefault="00A71378" w:rsidP="00C26812">
            <w:pPr>
              <w:spacing w:before="0" w:after="0" w:line="240" w:lineRule="auto"/>
              <w:jc w:val="center"/>
              <w:rPr>
                <w:sz w:val="16"/>
                <w:szCs w:val="16"/>
              </w:rPr>
            </w:pPr>
            <w:r w:rsidRPr="00AA3487">
              <w:rPr>
                <w:sz w:val="16"/>
                <w:szCs w:val="16"/>
              </w:rPr>
              <w:t>1 256,53</w:t>
            </w:r>
          </w:p>
        </w:tc>
        <w:tc>
          <w:tcPr>
            <w:tcW w:w="903" w:type="dxa"/>
            <w:vAlign w:val="center"/>
          </w:tcPr>
          <w:p w14:paraId="41F25F8F" w14:textId="77777777" w:rsidR="00A71378" w:rsidRPr="00AA3487" w:rsidRDefault="00A71378" w:rsidP="004D4873">
            <w:pPr>
              <w:spacing w:before="0" w:after="0" w:line="240" w:lineRule="auto"/>
              <w:ind w:left="-215" w:right="57"/>
              <w:jc w:val="right"/>
              <w:rPr>
                <w:sz w:val="16"/>
                <w:szCs w:val="16"/>
              </w:rPr>
            </w:pPr>
            <w:r w:rsidRPr="00AA3487">
              <w:rPr>
                <w:sz w:val="16"/>
                <w:szCs w:val="16"/>
              </w:rPr>
              <w:t>172,03</w:t>
            </w:r>
          </w:p>
        </w:tc>
        <w:tc>
          <w:tcPr>
            <w:tcW w:w="708" w:type="dxa"/>
            <w:shd w:val="clear" w:color="auto" w:fill="F2C6C9"/>
            <w:vAlign w:val="center"/>
          </w:tcPr>
          <w:p w14:paraId="0A48BA9B" w14:textId="7C88688D" w:rsidR="00A71378" w:rsidRPr="00AA3487" w:rsidRDefault="00B159A7" w:rsidP="0096701B">
            <w:pPr>
              <w:spacing w:before="0" w:after="0" w:line="240" w:lineRule="auto"/>
              <w:jc w:val="center"/>
              <w:rPr>
                <w:sz w:val="16"/>
                <w:szCs w:val="16"/>
              </w:rPr>
            </w:pPr>
            <w:r>
              <w:rPr>
                <w:sz w:val="16"/>
                <w:szCs w:val="16"/>
              </w:rPr>
              <w:t>–</w:t>
            </w:r>
          </w:p>
        </w:tc>
      </w:tr>
      <w:tr w:rsidR="00A71378" w:rsidRPr="00AA3487" w14:paraId="2FF82B0F" w14:textId="77777777" w:rsidTr="004D4873">
        <w:trPr>
          <w:trHeight w:val="272"/>
        </w:trPr>
        <w:tc>
          <w:tcPr>
            <w:tcW w:w="541" w:type="dxa"/>
            <w:vMerge/>
            <w:shd w:val="clear" w:color="auto" w:fill="auto"/>
          </w:tcPr>
          <w:p w14:paraId="59FF8F17" w14:textId="77777777" w:rsidR="00A71378" w:rsidRPr="00AA3487" w:rsidRDefault="00A71378" w:rsidP="00C26812">
            <w:pPr>
              <w:spacing w:before="0" w:after="0" w:line="240" w:lineRule="auto"/>
              <w:jc w:val="left"/>
              <w:rPr>
                <w:sz w:val="16"/>
                <w:szCs w:val="16"/>
              </w:rPr>
            </w:pPr>
          </w:p>
        </w:tc>
        <w:tc>
          <w:tcPr>
            <w:tcW w:w="1644" w:type="dxa"/>
            <w:shd w:val="clear" w:color="auto" w:fill="auto"/>
            <w:vAlign w:val="center"/>
          </w:tcPr>
          <w:p w14:paraId="3C2155C0" w14:textId="77777777" w:rsidR="00A71378" w:rsidRPr="00AA3487" w:rsidRDefault="00A71378" w:rsidP="00C26812">
            <w:pPr>
              <w:spacing w:before="0" w:after="0" w:line="240" w:lineRule="auto"/>
              <w:jc w:val="left"/>
              <w:rPr>
                <w:b/>
                <w:sz w:val="16"/>
                <w:szCs w:val="16"/>
              </w:rPr>
            </w:pPr>
            <w:r w:rsidRPr="00AA3487">
              <w:rPr>
                <w:b/>
                <w:sz w:val="16"/>
                <w:szCs w:val="16"/>
              </w:rPr>
              <w:t>Skutečnost</w:t>
            </w:r>
          </w:p>
        </w:tc>
        <w:tc>
          <w:tcPr>
            <w:tcW w:w="780" w:type="dxa"/>
            <w:shd w:val="clear" w:color="auto" w:fill="F2C6C9"/>
            <w:vAlign w:val="center"/>
          </w:tcPr>
          <w:p w14:paraId="65E36BE8" w14:textId="77777777" w:rsidR="00A71378" w:rsidRPr="00AA3487" w:rsidRDefault="00A71378" w:rsidP="00C26812">
            <w:pPr>
              <w:spacing w:before="0" w:after="0" w:line="240" w:lineRule="auto"/>
              <w:jc w:val="center"/>
              <w:rPr>
                <w:b/>
                <w:sz w:val="16"/>
                <w:szCs w:val="16"/>
              </w:rPr>
            </w:pPr>
            <w:r w:rsidRPr="00AA3487">
              <w:rPr>
                <w:b/>
                <w:sz w:val="16"/>
                <w:szCs w:val="16"/>
              </w:rPr>
              <w:t>1 273,64</w:t>
            </w:r>
          </w:p>
        </w:tc>
        <w:tc>
          <w:tcPr>
            <w:tcW w:w="957" w:type="dxa"/>
            <w:vAlign w:val="center"/>
          </w:tcPr>
          <w:p w14:paraId="60AF9638" w14:textId="77777777" w:rsidR="00A71378" w:rsidRPr="00AA3487" w:rsidRDefault="00A71378" w:rsidP="00C26812">
            <w:pPr>
              <w:spacing w:before="0" w:after="0" w:line="240" w:lineRule="auto"/>
              <w:jc w:val="center"/>
              <w:rPr>
                <w:b/>
                <w:sz w:val="16"/>
                <w:szCs w:val="16"/>
              </w:rPr>
            </w:pPr>
            <w:r w:rsidRPr="00AA3487">
              <w:rPr>
                <w:b/>
                <w:sz w:val="16"/>
                <w:szCs w:val="16"/>
              </w:rPr>
              <w:t>1 155,61</w:t>
            </w:r>
          </w:p>
        </w:tc>
        <w:tc>
          <w:tcPr>
            <w:tcW w:w="1015" w:type="dxa"/>
            <w:vAlign w:val="center"/>
          </w:tcPr>
          <w:p w14:paraId="4B22D49C" w14:textId="77777777" w:rsidR="00A71378" w:rsidRPr="00AA3487" w:rsidRDefault="00A71378" w:rsidP="00C26812">
            <w:pPr>
              <w:spacing w:before="0" w:after="0" w:line="240" w:lineRule="auto"/>
              <w:jc w:val="center"/>
              <w:rPr>
                <w:b/>
                <w:sz w:val="16"/>
                <w:szCs w:val="16"/>
              </w:rPr>
            </w:pPr>
            <w:r w:rsidRPr="00AA3487">
              <w:rPr>
                <w:b/>
                <w:sz w:val="16"/>
                <w:szCs w:val="16"/>
              </w:rPr>
              <w:t>32,79</w:t>
            </w:r>
          </w:p>
        </w:tc>
        <w:tc>
          <w:tcPr>
            <w:tcW w:w="806" w:type="dxa"/>
            <w:vAlign w:val="center"/>
          </w:tcPr>
          <w:p w14:paraId="12433E97" w14:textId="77777777" w:rsidR="00A71378" w:rsidRPr="00AA3487" w:rsidRDefault="00A71378" w:rsidP="008C2C42">
            <w:pPr>
              <w:spacing w:before="0" w:after="0" w:line="240" w:lineRule="auto"/>
              <w:ind w:left="-79" w:right="57"/>
              <w:jc w:val="right"/>
              <w:rPr>
                <w:b/>
                <w:sz w:val="16"/>
                <w:szCs w:val="16"/>
              </w:rPr>
            </w:pPr>
            <w:r w:rsidRPr="00AA3487">
              <w:rPr>
                <w:b/>
                <w:sz w:val="16"/>
                <w:szCs w:val="16"/>
              </w:rPr>
              <w:t>85,24</w:t>
            </w:r>
          </w:p>
        </w:tc>
        <w:tc>
          <w:tcPr>
            <w:tcW w:w="818" w:type="dxa"/>
            <w:shd w:val="clear" w:color="auto" w:fill="F2C6C9"/>
            <w:vAlign w:val="center"/>
          </w:tcPr>
          <w:p w14:paraId="38C4D922" w14:textId="77777777" w:rsidR="00A71378" w:rsidRPr="00AA3487" w:rsidRDefault="00A71378" w:rsidP="00C26812">
            <w:pPr>
              <w:spacing w:before="0" w:after="0" w:line="240" w:lineRule="auto"/>
              <w:jc w:val="center"/>
              <w:rPr>
                <w:b/>
                <w:sz w:val="16"/>
                <w:szCs w:val="16"/>
              </w:rPr>
            </w:pPr>
            <w:r w:rsidRPr="00AA3487">
              <w:rPr>
                <w:b/>
                <w:sz w:val="16"/>
                <w:szCs w:val="16"/>
              </w:rPr>
              <w:t>1 279,80</w:t>
            </w:r>
          </w:p>
        </w:tc>
        <w:tc>
          <w:tcPr>
            <w:tcW w:w="926" w:type="dxa"/>
            <w:vAlign w:val="center"/>
          </w:tcPr>
          <w:p w14:paraId="72CAC29E" w14:textId="77777777" w:rsidR="00A71378" w:rsidRPr="00AA3487" w:rsidRDefault="00A71378" w:rsidP="00C26812">
            <w:pPr>
              <w:spacing w:before="0" w:after="0" w:line="240" w:lineRule="auto"/>
              <w:jc w:val="center"/>
              <w:rPr>
                <w:b/>
                <w:sz w:val="16"/>
                <w:szCs w:val="16"/>
              </w:rPr>
            </w:pPr>
            <w:r w:rsidRPr="00AA3487">
              <w:rPr>
                <w:b/>
                <w:sz w:val="16"/>
                <w:szCs w:val="16"/>
              </w:rPr>
              <w:t>1 198,05</w:t>
            </w:r>
          </w:p>
        </w:tc>
        <w:tc>
          <w:tcPr>
            <w:tcW w:w="903" w:type="dxa"/>
            <w:vAlign w:val="center"/>
          </w:tcPr>
          <w:p w14:paraId="67991C5C" w14:textId="77777777" w:rsidR="00A71378" w:rsidRPr="00AA3487" w:rsidRDefault="00A71378" w:rsidP="004D4873">
            <w:pPr>
              <w:spacing w:before="0" w:after="0" w:line="240" w:lineRule="auto"/>
              <w:ind w:left="-215" w:right="57"/>
              <w:jc w:val="right"/>
              <w:rPr>
                <w:b/>
                <w:sz w:val="16"/>
                <w:szCs w:val="16"/>
              </w:rPr>
            </w:pPr>
            <w:r w:rsidRPr="00AA3487">
              <w:rPr>
                <w:b/>
                <w:sz w:val="16"/>
                <w:szCs w:val="16"/>
              </w:rPr>
              <w:t>81,75</w:t>
            </w:r>
          </w:p>
        </w:tc>
        <w:tc>
          <w:tcPr>
            <w:tcW w:w="708" w:type="dxa"/>
            <w:shd w:val="clear" w:color="auto" w:fill="F2C6C9"/>
            <w:vAlign w:val="center"/>
          </w:tcPr>
          <w:p w14:paraId="77E1E416" w14:textId="5224839D" w:rsidR="00A71378" w:rsidRPr="00E84F8D" w:rsidRDefault="006D05A0" w:rsidP="00FD7DA0">
            <w:pPr>
              <w:spacing w:before="0" w:after="0" w:line="240" w:lineRule="auto"/>
              <w:ind w:left="-57" w:right="57"/>
              <w:jc w:val="right"/>
              <w:rPr>
                <w:b/>
                <w:color w:val="FF0000"/>
                <w:sz w:val="16"/>
                <w:szCs w:val="16"/>
              </w:rPr>
            </w:pPr>
            <w:r w:rsidRPr="00E84F8D">
              <w:rPr>
                <w:b/>
                <w:color w:val="FF0000"/>
                <w:sz w:val="16"/>
                <w:szCs w:val="16"/>
              </w:rPr>
              <w:t>–</w:t>
            </w:r>
            <w:r w:rsidR="00A71378" w:rsidRPr="00E84F8D">
              <w:rPr>
                <w:b/>
                <w:color w:val="FF0000"/>
                <w:sz w:val="16"/>
                <w:szCs w:val="16"/>
              </w:rPr>
              <w:t>6,15</w:t>
            </w:r>
          </w:p>
        </w:tc>
      </w:tr>
      <w:tr w:rsidR="00A71378" w:rsidRPr="00AA3487" w14:paraId="3EFB6DF8" w14:textId="77777777" w:rsidTr="004D4873">
        <w:trPr>
          <w:trHeight w:val="276"/>
        </w:trPr>
        <w:tc>
          <w:tcPr>
            <w:tcW w:w="541" w:type="dxa"/>
            <w:vMerge w:val="restart"/>
            <w:shd w:val="clear" w:color="auto" w:fill="auto"/>
            <w:vAlign w:val="center"/>
          </w:tcPr>
          <w:p w14:paraId="5E98BD15" w14:textId="77777777" w:rsidR="00A71378" w:rsidRPr="00AA3487" w:rsidRDefault="00A71378" w:rsidP="00A71378">
            <w:pPr>
              <w:spacing w:before="0" w:after="0" w:line="240" w:lineRule="auto"/>
              <w:jc w:val="center"/>
              <w:rPr>
                <w:b/>
                <w:sz w:val="16"/>
                <w:szCs w:val="16"/>
              </w:rPr>
            </w:pPr>
            <w:r w:rsidRPr="00AA3487">
              <w:rPr>
                <w:b/>
                <w:sz w:val="16"/>
                <w:szCs w:val="16"/>
              </w:rPr>
              <w:t>2018</w:t>
            </w:r>
          </w:p>
        </w:tc>
        <w:tc>
          <w:tcPr>
            <w:tcW w:w="1644" w:type="dxa"/>
            <w:shd w:val="clear" w:color="auto" w:fill="auto"/>
            <w:vAlign w:val="center"/>
          </w:tcPr>
          <w:p w14:paraId="249AB848" w14:textId="77777777" w:rsidR="00A71378" w:rsidRPr="00AA3487" w:rsidRDefault="00A71378" w:rsidP="00C26812">
            <w:pPr>
              <w:spacing w:before="0" w:after="0" w:line="240" w:lineRule="auto"/>
              <w:jc w:val="left"/>
              <w:rPr>
                <w:sz w:val="16"/>
                <w:szCs w:val="16"/>
              </w:rPr>
            </w:pPr>
            <w:r w:rsidRPr="00AA3487">
              <w:rPr>
                <w:sz w:val="16"/>
                <w:szCs w:val="16"/>
              </w:rPr>
              <w:t>Schválený rozpočet</w:t>
            </w:r>
          </w:p>
        </w:tc>
        <w:tc>
          <w:tcPr>
            <w:tcW w:w="780" w:type="dxa"/>
            <w:shd w:val="clear" w:color="auto" w:fill="F2C6C9"/>
            <w:vAlign w:val="center"/>
          </w:tcPr>
          <w:p w14:paraId="5E9C59FA" w14:textId="77777777" w:rsidR="00A71378" w:rsidRPr="00AA3487" w:rsidRDefault="00A71378" w:rsidP="00C26812">
            <w:pPr>
              <w:spacing w:before="0" w:after="0" w:line="240" w:lineRule="auto"/>
              <w:jc w:val="center"/>
              <w:rPr>
                <w:sz w:val="16"/>
                <w:szCs w:val="16"/>
              </w:rPr>
            </w:pPr>
            <w:r w:rsidRPr="00AA3487">
              <w:rPr>
                <w:sz w:val="16"/>
                <w:szCs w:val="16"/>
              </w:rPr>
              <w:t>1 314,50</w:t>
            </w:r>
          </w:p>
        </w:tc>
        <w:tc>
          <w:tcPr>
            <w:tcW w:w="957" w:type="dxa"/>
            <w:vAlign w:val="center"/>
          </w:tcPr>
          <w:p w14:paraId="2F34B206" w14:textId="77777777" w:rsidR="00A71378" w:rsidRPr="00AA3487" w:rsidRDefault="00A71378" w:rsidP="00C26812">
            <w:pPr>
              <w:spacing w:before="0" w:after="0" w:line="240" w:lineRule="auto"/>
              <w:jc w:val="center"/>
              <w:rPr>
                <w:sz w:val="16"/>
                <w:szCs w:val="16"/>
              </w:rPr>
            </w:pPr>
            <w:r w:rsidRPr="00AA3487">
              <w:rPr>
                <w:sz w:val="16"/>
                <w:szCs w:val="16"/>
              </w:rPr>
              <w:t>1 219,23</w:t>
            </w:r>
          </w:p>
        </w:tc>
        <w:tc>
          <w:tcPr>
            <w:tcW w:w="1015" w:type="dxa"/>
            <w:vAlign w:val="center"/>
          </w:tcPr>
          <w:p w14:paraId="139E60BB" w14:textId="77777777" w:rsidR="00A71378" w:rsidRPr="00AA3487" w:rsidRDefault="00A71378" w:rsidP="00C26812">
            <w:pPr>
              <w:spacing w:before="0" w:after="0" w:line="240" w:lineRule="auto"/>
              <w:jc w:val="center"/>
              <w:rPr>
                <w:sz w:val="16"/>
                <w:szCs w:val="16"/>
              </w:rPr>
            </w:pPr>
            <w:r w:rsidRPr="00AA3487">
              <w:rPr>
                <w:sz w:val="16"/>
                <w:szCs w:val="16"/>
              </w:rPr>
              <w:t>24,03</w:t>
            </w:r>
          </w:p>
        </w:tc>
        <w:tc>
          <w:tcPr>
            <w:tcW w:w="806" w:type="dxa"/>
            <w:vAlign w:val="center"/>
          </w:tcPr>
          <w:p w14:paraId="3DF1A386" w14:textId="77777777" w:rsidR="00A71378" w:rsidRPr="00AA3487" w:rsidRDefault="00A71378" w:rsidP="008C2C42">
            <w:pPr>
              <w:spacing w:before="0" w:after="0" w:line="240" w:lineRule="auto"/>
              <w:ind w:left="-79" w:right="57"/>
              <w:jc w:val="right"/>
              <w:rPr>
                <w:sz w:val="16"/>
                <w:szCs w:val="16"/>
              </w:rPr>
            </w:pPr>
            <w:r w:rsidRPr="00AA3487">
              <w:rPr>
                <w:sz w:val="16"/>
                <w:szCs w:val="16"/>
              </w:rPr>
              <w:t>71,23</w:t>
            </w:r>
          </w:p>
        </w:tc>
        <w:tc>
          <w:tcPr>
            <w:tcW w:w="818" w:type="dxa"/>
            <w:shd w:val="clear" w:color="auto" w:fill="F2C6C9"/>
            <w:vAlign w:val="center"/>
          </w:tcPr>
          <w:p w14:paraId="7A1B315B" w14:textId="77777777" w:rsidR="00A71378" w:rsidRPr="00AA3487" w:rsidRDefault="00A71378" w:rsidP="00C26812">
            <w:pPr>
              <w:spacing w:before="0" w:after="0" w:line="240" w:lineRule="auto"/>
              <w:jc w:val="center"/>
              <w:rPr>
                <w:sz w:val="16"/>
                <w:szCs w:val="16"/>
              </w:rPr>
            </w:pPr>
            <w:r w:rsidRPr="00AA3487">
              <w:rPr>
                <w:sz w:val="16"/>
                <w:szCs w:val="16"/>
              </w:rPr>
              <w:t>1 364,50</w:t>
            </w:r>
          </w:p>
        </w:tc>
        <w:tc>
          <w:tcPr>
            <w:tcW w:w="926" w:type="dxa"/>
            <w:vAlign w:val="center"/>
          </w:tcPr>
          <w:p w14:paraId="00415C8F" w14:textId="77777777" w:rsidR="00A71378" w:rsidRPr="00AA3487" w:rsidRDefault="00A71378" w:rsidP="00C26812">
            <w:pPr>
              <w:spacing w:before="0" w:after="0" w:line="240" w:lineRule="auto"/>
              <w:jc w:val="center"/>
              <w:rPr>
                <w:sz w:val="16"/>
                <w:szCs w:val="16"/>
              </w:rPr>
            </w:pPr>
            <w:r w:rsidRPr="00AA3487">
              <w:rPr>
                <w:sz w:val="16"/>
                <w:szCs w:val="16"/>
              </w:rPr>
              <w:t>1 274,37</w:t>
            </w:r>
          </w:p>
        </w:tc>
        <w:tc>
          <w:tcPr>
            <w:tcW w:w="903" w:type="dxa"/>
            <w:vAlign w:val="center"/>
          </w:tcPr>
          <w:p w14:paraId="66888E06" w14:textId="77777777" w:rsidR="00A71378" w:rsidRPr="00AA3487" w:rsidRDefault="00A71378" w:rsidP="004D4873">
            <w:pPr>
              <w:spacing w:before="0" w:after="0" w:line="240" w:lineRule="auto"/>
              <w:ind w:left="-215" w:right="57"/>
              <w:jc w:val="right"/>
              <w:rPr>
                <w:sz w:val="16"/>
                <w:szCs w:val="16"/>
              </w:rPr>
            </w:pPr>
            <w:r w:rsidRPr="00AA3487">
              <w:rPr>
                <w:sz w:val="16"/>
                <w:szCs w:val="16"/>
              </w:rPr>
              <w:t>90,12</w:t>
            </w:r>
          </w:p>
        </w:tc>
        <w:tc>
          <w:tcPr>
            <w:tcW w:w="708" w:type="dxa"/>
            <w:shd w:val="clear" w:color="auto" w:fill="F2C6C9"/>
            <w:vAlign w:val="center"/>
          </w:tcPr>
          <w:p w14:paraId="1FBD5F3D" w14:textId="3900817E" w:rsidR="00A71378" w:rsidRPr="00E84F8D" w:rsidRDefault="006D05A0" w:rsidP="00FD7DA0">
            <w:pPr>
              <w:spacing w:before="0" w:after="0" w:line="240" w:lineRule="auto"/>
              <w:ind w:left="-57" w:right="57"/>
              <w:jc w:val="right"/>
              <w:rPr>
                <w:color w:val="FF0000"/>
                <w:sz w:val="16"/>
                <w:szCs w:val="16"/>
              </w:rPr>
            </w:pPr>
            <w:r w:rsidRPr="00E84F8D">
              <w:rPr>
                <w:color w:val="FF0000"/>
                <w:sz w:val="16"/>
                <w:szCs w:val="16"/>
              </w:rPr>
              <w:t>–</w:t>
            </w:r>
            <w:r w:rsidR="00A71378" w:rsidRPr="00E84F8D">
              <w:rPr>
                <w:color w:val="FF0000"/>
                <w:sz w:val="16"/>
                <w:szCs w:val="16"/>
              </w:rPr>
              <w:t>50,00</w:t>
            </w:r>
          </w:p>
        </w:tc>
      </w:tr>
      <w:tr w:rsidR="00A71378" w:rsidRPr="00AA3487" w14:paraId="1A8149D8" w14:textId="77777777" w:rsidTr="004D4873">
        <w:trPr>
          <w:trHeight w:val="266"/>
        </w:trPr>
        <w:tc>
          <w:tcPr>
            <w:tcW w:w="541" w:type="dxa"/>
            <w:vMerge/>
            <w:shd w:val="clear" w:color="auto" w:fill="auto"/>
          </w:tcPr>
          <w:p w14:paraId="4EB68F85" w14:textId="77777777" w:rsidR="00A71378" w:rsidRPr="00AA3487" w:rsidRDefault="00A71378" w:rsidP="00C26812">
            <w:pPr>
              <w:spacing w:before="0" w:after="0" w:line="240" w:lineRule="auto"/>
              <w:jc w:val="left"/>
              <w:rPr>
                <w:sz w:val="16"/>
                <w:szCs w:val="16"/>
              </w:rPr>
            </w:pPr>
          </w:p>
        </w:tc>
        <w:tc>
          <w:tcPr>
            <w:tcW w:w="1644" w:type="dxa"/>
            <w:shd w:val="clear" w:color="auto" w:fill="auto"/>
            <w:vAlign w:val="center"/>
          </w:tcPr>
          <w:p w14:paraId="4CACC5A5" w14:textId="77777777" w:rsidR="00A71378" w:rsidRPr="00AA3487" w:rsidRDefault="00A71378" w:rsidP="00C26812">
            <w:pPr>
              <w:spacing w:before="0" w:after="0" w:line="240" w:lineRule="auto"/>
              <w:jc w:val="left"/>
              <w:rPr>
                <w:sz w:val="16"/>
                <w:szCs w:val="16"/>
              </w:rPr>
            </w:pPr>
            <w:r w:rsidRPr="00AA3487">
              <w:rPr>
                <w:sz w:val="16"/>
                <w:szCs w:val="16"/>
              </w:rPr>
              <w:t>Rozpočet po změnách</w:t>
            </w:r>
          </w:p>
        </w:tc>
        <w:tc>
          <w:tcPr>
            <w:tcW w:w="780" w:type="dxa"/>
            <w:shd w:val="clear" w:color="auto" w:fill="F2C6C9"/>
            <w:vAlign w:val="center"/>
          </w:tcPr>
          <w:p w14:paraId="1B272D1A" w14:textId="77777777" w:rsidR="00A71378" w:rsidRPr="00AA3487" w:rsidRDefault="00A71378" w:rsidP="00C26812">
            <w:pPr>
              <w:spacing w:before="0" w:after="0" w:line="240" w:lineRule="auto"/>
              <w:jc w:val="center"/>
              <w:rPr>
                <w:sz w:val="16"/>
                <w:szCs w:val="16"/>
              </w:rPr>
            </w:pPr>
            <w:r w:rsidRPr="00AA3487">
              <w:rPr>
                <w:sz w:val="16"/>
                <w:szCs w:val="16"/>
              </w:rPr>
              <w:t>1 326,74</w:t>
            </w:r>
          </w:p>
        </w:tc>
        <w:tc>
          <w:tcPr>
            <w:tcW w:w="957" w:type="dxa"/>
            <w:vAlign w:val="center"/>
          </w:tcPr>
          <w:p w14:paraId="48F9EFF9" w14:textId="77777777" w:rsidR="00A71378" w:rsidRPr="00AA3487" w:rsidRDefault="00A71378" w:rsidP="00C26812">
            <w:pPr>
              <w:spacing w:before="0" w:after="0" w:line="240" w:lineRule="auto"/>
              <w:jc w:val="center"/>
              <w:rPr>
                <w:sz w:val="16"/>
                <w:szCs w:val="16"/>
              </w:rPr>
            </w:pPr>
            <w:r w:rsidRPr="00AA3487">
              <w:rPr>
                <w:sz w:val="16"/>
                <w:szCs w:val="16"/>
              </w:rPr>
              <w:t>1 219,23</w:t>
            </w:r>
          </w:p>
        </w:tc>
        <w:tc>
          <w:tcPr>
            <w:tcW w:w="1015" w:type="dxa"/>
            <w:vAlign w:val="center"/>
          </w:tcPr>
          <w:p w14:paraId="3777FFC5" w14:textId="77777777" w:rsidR="00A71378" w:rsidRPr="00AA3487" w:rsidRDefault="00A71378" w:rsidP="00C26812">
            <w:pPr>
              <w:spacing w:before="0" w:after="0" w:line="240" w:lineRule="auto"/>
              <w:jc w:val="center"/>
              <w:rPr>
                <w:sz w:val="16"/>
                <w:szCs w:val="16"/>
              </w:rPr>
            </w:pPr>
            <w:r w:rsidRPr="00AA3487">
              <w:rPr>
                <w:sz w:val="16"/>
                <w:szCs w:val="16"/>
              </w:rPr>
              <w:t>24,03</w:t>
            </w:r>
          </w:p>
        </w:tc>
        <w:tc>
          <w:tcPr>
            <w:tcW w:w="806" w:type="dxa"/>
            <w:vAlign w:val="center"/>
          </w:tcPr>
          <w:p w14:paraId="119BFA04" w14:textId="77777777" w:rsidR="00A71378" w:rsidRPr="00AA3487" w:rsidRDefault="00A71378" w:rsidP="008C2C42">
            <w:pPr>
              <w:spacing w:before="0" w:after="0" w:line="240" w:lineRule="auto"/>
              <w:ind w:left="-79" w:right="57"/>
              <w:jc w:val="right"/>
              <w:rPr>
                <w:sz w:val="16"/>
                <w:szCs w:val="16"/>
              </w:rPr>
            </w:pPr>
            <w:r w:rsidRPr="00AA3487">
              <w:rPr>
                <w:sz w:val="16"/>
                <w:szCs w:val="16"/>
              </w:rPr>
              <w:t>83,47</w:t>
            </w:r>
          </w:p>
        </w:tc>
        <w:tc>
          <w:tcPr>
            <w:tcW w:w="818" w:type="dxa"/>
            <w:shd w:val="clear" w:color="auto" w:fill="F2C6C9"/>
            <w:vAlign w:val="center"/>
          </w:tcPr>
          <w:p w14:paraId="27D32FF0" w14:textId="77777777" w:rsidR="00A71378" w:rsidRPr="00AA3487" w:rsidRDefault="00A71378" w:rsidP="00C26812">
            <w:pPr>
              <w:spacing w:before="0" w:after="0" w:line="240" w:lineRule="auto"/>
              <w:jc w:val="center"/>
              <w:rPr>
                <w:sz w:val="16"/>
                <w:szCs w:val="16"/>
              </w:rPr>
            </w:pPr>
            <w:r w:rsidRPr="00AA3487">
              <w:rPr>
                <w:sz w:val="16"/>
                <w:szCs w:val="16"/>
              </w:rPr>
              <w:t>1 376,74</w:t>
            </w:r>
          </w:p>
        </w:tc>
        <w:tc>
          <w:tcPr>
            <w:tcW w:w="926" w:type="dxa"/>
            <w:vAlign w:val="center"/>
          </w:tcPr>
          <w:p w14:paraId="6BE2E4C6" w14:textId="77777777" w:rsidR="00A71378" w:rsidRPr="00AA3487" w:rsidRDefault="00A71378" w:rsidP="00C26812">
            <w:pPr>
              <w:spacing w:before="0" w:after="0" w:line="240" w:lineRule="auto"/>
              <w:jc w:val="center"/>
              <w:rPr>
                <w:sz w:val="16"/>
                <w:szCs w:val="16"/>
              </w:rPr>
            </w:pPr>
            <w:r w:rsidRPr="00AA3487">
              <w:rPr>
                <w:sz w:val="16"/>
                <w:szCs w:val="16"/>
              </w:rPr>
              <w:t>1 283,32</w:t>
            </w:r>
          </w:p>
        </w:tc>
        <w:tc>
          <w:tcPr>
            <w:tcW w:w="903" w:type="dxa"/>
            <w:vAlign w:val="center"/>
          </w:tcPr>
          <w:p w14:paraId="7A6F70EB" w14:textId="77777777" w:rsidR="00A71378" w:rsidRPr="00AA3487" w:rsidRDefault="00A71378" w:rsidP="004D4873">
            <w:pPr>
              <w:spacing w:before="0" w:after="0" w:line="240" w:lineRule="auto"/>
              <w:ind w:left="-215" w:right="57"/>
              <w:jc w:val="right"/>
              <w:rPr>
                <w:sz w:val="16"/>
                <w:szCs w:val="16"/>
              </w:rPr>
            </w:pPr>
            <w:r w:rsidRPr="00AA3487">
              <w:rPr>
                <w:sz w:val="16"/>
                <w:szCs w:val="16"/>
              </w:rPr>
              <w:t>93,41</w:t>
            </w:r>
          </w:p>
        </w:tc>
        <w:tc>
          <w:tcPr>
            <w:tcW w:w="708" w:type="dxa"/>
            <w:shd w:val="clear" w:color="auto" w:fill="F2C6C9"/>
            <w:vAlign w:val="center"/>
          </w:tcPr>
          <w:p w14:paraId="204BE447" w14:textId="4406D1A0" w:rsidR="00A71378" w:rsidRPr="00AA3487" w:rsidRDefault="006D05A0" w:rsidP="00FD7DA0">
            <w:pPr>
              <w:spacing w:before="0" w:after="0" w:line="240" w:lineRule="auto"/>
              <w:ind w:left="-57" w:right="57"/>
              <w:jc w:val="right"/>
              <w:rPr>
                <w:color w:val="FF0000"/>
                <w:sz w:val="16"/>
                <w:szCs w:val="16"/>
              </w:rPr>
            </w:pPr>
            <w:r w:rsidRPr="006D05A0">
              <w:rPr>
                <w:color w:val="FF0000"/>
                <w:sz w:val="16"/>
                <w:szCs w:val="16"/>
              </w:rPr>
              <w:t>–</w:t>
            </w:r>
            <w:r w:rsidR="00A71378" w:rsidRPr="00AA3487">
              <w:rPr>
                <w:color w:val="FF0000"/>
                <w:sz w:val="16"/>
                <w:szCs w:val="16"/>
              </w:rPr>
              <w:t>50,00</w:t>
            </w:r>
          </w:p>
        </w:tc>
      </w:tr>
      <w:tr w:rsidR="00A71378" w:rsidRPr="00AA3487" w14:paraId="79A290D0" w14:textId="77777777" w:rsidTr="004D4873">
        <w:trPr>
          <w:trHeight w:val="284"/>
        </w:trPr>
        <w:tc>
          <w:tcPr>
            <w:tcW w:w="541" w:type="dxa"/>
            <w:vMerge/>
            <w:shd w:val="clear" w:color="auto" w:fill="auto"/>
          </w:tcPr>
          <w:p w14:paraId="6CFA92F9" w14:textId="77777777" w:rsidR="00A71378" w:rsidRPr="00AA3487" w:rsidRDefault="00A71378" w:rsidP="00C26812">
            <w:pPr>
              <w:spacing w:before="0" w:after="0" w:line="240" w:lineRule="auto"/>
              <w:jc w:val="left"/>
              <w:rPr>
                <w:sz w:val="16"/>
                <w:szCs w:val="16"/>
              </w:rPr>
            </w:pPr>
          </w:p>
        </w:tc>
        <w:tc>
          <w:tcPr>
            <w:tcW w:w="1644" w:type="dxa"/>
            <w:shd w:val="clear" w:color="auto" w:fill="auto"/>
            <w:vAlign w:val="center"/>
          </w:tcPr>
          <w:p w14:paraId="63E53A70" w14:textId="77777777" w:rsidR="00A71378" w:rsidRPr="00AA3487" w:rsidRDefault="00A71378" w:rsidP="00C26812">
            <w:pPr>
              <w:spacing w:before="0" w:after="0" w:line="240" w:lineRule="auto"/>
              <w:jc w:val="left"/>
              <w:rPr>
                <w:sz w:val="16"/>
                <w:szCs w:val="16"/>
              </w:rPr>
            </w:pPr>
            <w:r w:rsidRPr="00AA3487">
              <w:rPr>
                <w:sz w:val="16"/>
                <w:szCs w:val="16"/>
              </w:rPr>
              <w:t>Konečný rozpočet</w:t>
            </w:r>
          </w:p>
        </w:tc>
        <w:tc>
          <w:tcPr>
            <w:tcW w:w="780" w:type="dxa"/>
            <w:shd w:val="clear" w:color="auto" w:fill="F2C6C9"/>
            <w:vAlign w:val="center"/>
          </w:tcPr>
          <w:p w14:paraId="6BFFCEC0" w14:textId="085B3319" w:rsidR="00A71378" w:rsidRPr="00AA3487" w:rsidRDefault="00B159A7" w:rsidP="004D4873">
            <w:pPr>
              <w:spacing w:before="0" w:after="0" w:line="240" w:lineRule="auto"/>
              <w:jc w:val="center"/>
              <w:rPr>
                <w:sz w:val="16"/>
                <w:szCs w:val="16"/>
              </w:rPr>
            </w:pPr>
            <w:r>
              <w:rPr>
                <w:sz w:val="16"/>
                <w:szCs w:val="16"/>
              </w:rPr>
              <w:t>–</w:t>
            </w:r>
          </w:p>
        </w:tc>
        <w:tc>
          <w:tcPr>
            <w:tcW w:w="957" w:type="dxa"/>
            <w:vAlign w:val="center"/>
          </w:tcPr>
          <w:p w14:paraId="4FAB8373" w14:textId="13DFB826" w:rsidR="00A71378" w:rsidRPr="00AA3487" w:rsidRDefault="00B159A7" w:rsidP="004D4873">
            <w:pPr>
              <w:spacing w:before="0" w:after="0" w:line="240" w:lineRule="auto"/>
              <w:jc w:val="center"/>
              <w:rPr>
                <w:sz w:val="16"/>
                <w:szCs w:val="16"/>
              </w:rPr>
            </w:pPr>
            <w:r>
              <w:rPr>
                <w:sz w:val="16"/>
                <w:szCs w:val="16"/>
              </w:rPr>
              <w:t>–</w:t>
            </w:r>
          </w:p>
        </w:tc>
        <w:tc>
          <w:tcPr>
            <w:tcW w:w="1015" w:type="dxa"/>
            <w:vAlign w:val="center"/>
          </w:tcPr>
          <w:p w14:paraId="01DEBB9B" w14:textId="32DDFE1B" w:rsidR="00A71378" w:rsidRPr="00AA3487" w:rsidRDefault="00B159A7" w:rsidP="004D4873">
            <w:pPr>
              <w:spacing w:before="0" w:after="0" w:line="240" w:lineRule="auto"/>
              <w:jc w:val="center"/>
              <w:rPr>
                <w:sz w:val="16"/>
                <w:szCs w:val="16"/>
              </w:rPr>
            </w:pPr>
            <w:r>
              <w:rPr>
                <w:sz w:val="16"/>
                <w:szCs w:val="16"/>
              </w:rPr>
              <w:t>–</w:t>
            </w:r>
          </w:p>
        </w:tc>
        <w:tc>
          <w:tcPr>
            <w:tcW w:w="806" w:type="dxa"/>
            <w:vAlign w:val="center"/>
          </w:tcPr>
          <w:p w14:paraId="58CFE134" w14:textId="639B7483" w:rsidR="00A71378" w:rsidRPr="00AA3487" w:rsidRDefault="00B159A7" w:rsidP="0096701B">
            <w:pPr>
              <w:spacing w:before="0" w:after="0" w:line="240" w:lineRule="auto"/>
              <w:jc w:val="center"/>
              <w:rPr>
                <w:sz w:val="16"/>
                <w:szCs w:val="16"/>
              </w:rPr>
            </w:pPr>
            <w:r>
              <w:rPr>
                <w:sz w:val="16"/>
                <w:szCs w:val="16"/>
              </w:rPr>
              <w:t>–</w:t>
            </w:r>
          </w:p>
        </w:tc>
        <w:tc>
          <w:tcPr>
            <w:tcW w:w="818" w:type="dxa"/>
            <w:shd w:val="clear" w:color="auto" w:fill="F2C6C9"/>
            <w:vAlign w:val="center"/>
          </w:tcPr>
          <w:p w14:paraId="39FF7510" w14:textId="77777777" w:rsidR="00A71378" w:rsidRPr="00AA3487" w:rsidRDefault="00A71378" w:rsidP="00C26812">
            <w:pPr>
              <w:spacing w:before="0" w:after="0" w:line="240" w:lineRule="auto"/>
              <w:jc w:val="center"/>
              <w:rPr>
                <w:sz w:val="16"/>
                <w:szCs w:val="16"/>
              </w:rPr>
            </w:pPr>
            <w:r w:rsidRPr="00AA3487">
              <w:rPr>
                <w:sz w:val="16"/>
                <w:szCs w:val="16"/>
              </w:rPr>
              <w:t>1 518,35</w:t>
            </w:r>
          </w:p>
        </w:tc>
        <w:tc>
          <w:tcPr>
            <w:tcW w:w="926" w:type="dxa"/>
            <w:vAlign w:val="center"/>
          </w:tcPr>
          <w:p w14:paraId="183ACA3F" w14:textId="77777777" w:rsidR="00A71378" w:rsidRPr="00AA3487" w:rsidRDefault="00A71378" w:rsidP="00C26812">
            <w:pPr>
              <w:spacing w:before="0" w:after="0" w:line="240" w:lineRule="auto"/>
              <w:jc w:val="center"/>
              <w:rPr>
                <w:sz w:val="16"/>
                <w:szCs w:val="16"/>
              </w:rPr>
            </w:pPr>
            <w:r w:rsidRPr="00AA3487">
              <w:rPr>
                <w:sz w:val="16"/>
                <w:szCs w:val="16"/>
              </w:rPr>
              <w:t>1 343,30</w:t>
            </w:r>
          </w:p>
        </w:tc>
        <w:tc>
          <w:tcPr>
            <w:tcW w:w="903" w:type="dxa"/>
            <w:vAlign w:val="center"/>
          </w:tcPr>
          <w:p w14:paraId="226D87CA" w14:textId="77777777" w:rsidR="00A71378" w:rsidRPr="00AA3487" w:rsidRDefault="00A71378" w:rsidP="004D4873">
            <w:pPr>
              <w:spacing w:before="0" w:after="0" w:line="240" w:lineRule="auto"/>
              <w:ind w:left="-215" w:right="57"/>
              <w:jc w:val="right"/>
              <w:rPr>
                <w:sz w:val="16"/>
                <w:szCs w:val="16"/>
              </w:rPr>
            </w:pPr>
            <w:r w:rsidRPr="00AA3487">
              <w:rPr>
                <w:sz w:val="16"/>
                <w:szCs w:val="16"/>
              </w:rPr>
              <w:t>175,05</w:t>
            </w:r>
          </w:p>
        </w:tc>
        <w:tc>
          <w:tcPr>
            <w:tcW w:w="708" w:type="dxa"/>
            <w:shd w:val="clear" w:color="auto" w:fill="F2C6C9"/>
            <w:vAlign w:val="center"/>
          </w:tcPr>
          <w:p w14:paraId="5EFF0D00" w14:textId="751CC7A7" w:rsidR="00A71378" w:rsidRPr="00AA3487" w:rsidRDefault="00B159A7" w:rsidP="0096701B">
            <w:pPr>
              <w:spacing w:before="0" w:after="0" w:line="240" w:lineRule="auto"/>
              <w:jc w:val="center"/>
              <w:rPr>
                <w:sz w:val="16"/>
                <w:szCs w:val="16"/>
              </w:rPr>
            </w:pPr>
            <w:r>
              <w:rPr>
                <w:sz w:val="16"/>
                <w:szCs w:val="16"/>
              </w:rPr>
              <w:t>–</w:t>
            </w:r>
          </w:p>
        </w:tc>
      </w:tr>
      <w:tr w:rsidR="00A71378" w:rsidRPr="00AA3487" w14:paraId="31498853" w14:textId="77777777" w:rsidTr="004D4873">
        <w:trPr>
          <w:trHeight w:val="260"/>
        </w:trPr>
        <w:tc>
          <w:tcPr>
            <w:tcW w:w="541" w:type="dxa"/>
            <w:vMerge/>
            <w:shd w:val="clear" w:color="auto" w:fill="auto"/>
          </w:tcPr>
          <w:p w14:paraId="6C9A7744" w14:textId="77777777" w:rsidR="00A71378" w:rsidRPr="00AA3487" w:rsidRDefault="00A71378" w:rsidP="00C26812">
            <w:pPr>
              <w:spacing w:before="0" w:after="0" w:line="240" w:lineRule="auto"/>
              <w:jc w:val="left"/>
              <w:rPr>
                <w:sz w:val="16"/>
                <w:szCs w:val="16"/>
              </w:rPr>
            </w:pPr>
          </w:p>
        </w:tc>
        <w:tc>
          <w:tcPr>
            <w:tcW w:w="1644" w:type="dxa"/>
            <w:shd w:val="clear" w:color="auto" w:fill="auto"/>
            <w:vAlign w:val="center"/>
          </w:tcPr>
          <w:p w14:paraId="7CDE67B5" w14:textId="77777777" w:rsidR="00A71378" w:rsidRPr="00AA3487" w:rsidRDefault="00A71378" w:rsidP="00C26812">
            <w:pPr>
              <w:spacing w:before="0" w:after="0" w:line="240" w:lineRule="auto"/>
              <w:jc w:val="left"/>
              <w:rPr>
                <w:b/>
                <w:sz w:val="16"/>
                <w:szCs w:val="16"/>
              </w:rPr>
            </w:pPr>
            <w:r w:rsidRPr="00AA3487">
              <w:rPr>
                <w:b/>
                <w:sz w:val="16"/>
                <w:szCs w:val="16"/>
              </w:rPr>
              <w:t>Skutečnost</w:t>
            </w:r>
          </w:p>
        </w:tc>
        <w:tc>
          <w:tcPr>
            <w:tcW w:w="780" w:type="dxa"/>
            <w:shd w:val="clear" w:color="auto" w:fill="F2C6C9"/>
            <w:vAlign w:val="center"/>
          </w:tcPr>
          <w:p w14:paraId="7B3D7C44" w14:textId="77777777" w:rsidR="00A71378" w:rsidRPr="00AA3487" w:rsidRDefault="00A71378" w:rsidP="00C26812">
            <w:pPr>
              <w:spacing w:before="0" w:after="0" w:line="240" w:lineRule="auto"/>
              <w:jc w:val="center"/>
              <w:rPr>
                <w:b/>
                <w:sz w:val="16"/>
                <w:szCs w:val="16"/>
              </w:rPr>
            </w:pPr>
            <w:r w:rsidRPr="00AA3487">
              <w:rPr>
                <w:b/>
                <w:sz w:val="16"/>
                <w:szCs w:val="16"/>
              </w:rPr>
              <w:t>1 403,92</w:t>
            </w:r>
          </w:p>
        </w:tc>
        <w:tc>
          <w:tcPr>
            <w:tcW w:w="957" w:type="dxa"/>
            <w:vAlign w:val="center"/>
          </w:tcPr>
          <w:p w14:paraId="00D5441A" w14:textId="77777777" w:rsidR="00A71378" w:rsidRPr="00AA3487" w:rsidRDefault="00A71378" w:rsidP="00C26812">
            <w:pPr>
              <w:spacing w:before="0" w:after="0" w:line="240" w:lineRule="auto"/>
              <w:jc w:val="center"/>
              <w:rPr>
                <w:b/>
                <w:sz w:val="16"/>
                <w:szCs w:val="16"/>
              </w:rPr>
            </w:pPr>
            <w:r w:rsidRPr="00AA3487">
              <w:rPr>
                <w:b/>
                <w:sz w:val="16"/>
                <w:szCs w:val="16"/>
              </w:rPr>
              <w:t>1 240,37</w:t>
            </w:r>
          </w:p>
        </w:tc>
        <w:tc>
          <w:tcPr>
            <w:tcW w:w="1015" w:type="dxa"/>
            <w:vAlign w:val="center"/>
          </w:tcPr>
          <w:p w14:paraId="10A2559E" w14:textId="77777777" w:rsidR="00A71378" w:rsidRPr="00AA3487" w:rsidRDefault="00A71378" w:rsidP="00C26812">
            <w:pPr>
              <w:spacing w:before="0" w:after="0" w:line="240" w:lineRule="auto"/>
              <w:jc w:val="center"/>
              <w:rPr>
                <w:b/>
                <w:sz w:val="16"/>
                <w:szCs w:val="16"/>
              </w:rPr>
            </w:pPr>
            <w:r w:rsidRPr="00AA3487">
              <w:rPr>
                <w:b/>
                <w:sz w:val="16"/>
                <w:szCs w:val="16"/>
              </w:rPr>
              <w:t>41,15</w:t>
            </w:r>
          </w:p>
        </w:tc>
        <w:tc>
          <w:tcPr>
            <w:tcW w:w="806" w:type="dxa"/>
            <w:vAlign w:val="center"/>
          </w:tcPr>
          <w:p w14:paraId="3EBB3C68" w14:textId="77777777" w:rsidR="00A71378" w:rsidRPr="00AA3487" w:rsidRDefault="00A71378" w:rsidP="008C2C42">
            <w:pPr>
              <w:spacing w:before="0" w:after="0" w:line="240" w:lineRule="auto"/>
              <w:ind w:left="-79" w:right="57"/>
              <w:jc w:val="right"/>
              <w:rPr>
                <w:b/>
                <w:sz w:val="16"/>
                <w:szCs w:val="16"/>
              </w:rPr>
            </w:pPr>
            <w:r w:rsidRPr="00AA3487">
              <w:rPr>
                <w:b/>
                <w:sz w:val="16"/>
                <w:szCs w:val="16"/>
              </w:rPr>
              <w:t>122,40</w:t>
            </w:r>
          </w:p>
        </w:tc>
        <w:tc>
          <w:tcPr>
            <w:tcW w:w="818" w:type="dxa"/>
            <w:shd w:val="clear" w:color="auto" w:fill="F2C6C9"/>
            <w:vAlign w:val="center"/>
          </w:tcPr>
          <w:p w14:paraId="300934FE" w14:textId="77777777" w:rsidR="00A71378" w:rsidRPr="00AA3487" w:rsidRDefault="00A71378" w:rsidP="00C26812">
            <w:pPr>
              <w:spacing w:before="0" w:after="0" w:line="240" w:lineRule="auto"/>
              <w:jc w:val="center"/>
              <w:rPr>
                <w:b/>
                <w:sz w:val="16"/>
                <w:szCs w:val="16"/>
              </w:rPr>
            </w:pPr>
            <w:r w:rsidRPr="00AA3487">
              <w:rPr>
                <w:b/>
                <w:sz w:val="16"/>
                <w:szCs w:val="16"/>
              </w:rPr>
              <w:t>1 400,97</w:t>
            </w:r>
          </w:p>
        </w:tc>
        <w:tc>
          <w:tcPr>
            <w:tcW w:w="926" w:type="dxa"/>
            <w:vAlign w:val="center"/>
          </w:tcPr>
          <w:p w14:paraId="6C42AFEA" w14:textId="77777777" w:rsidR="00A71378" w:rsidRPr="00AA3487" w:rsidRDefault="00A71378" w:rsidP="00C26812">
            <w:pPr>
              <w:spacing w:before="0" w:after="0" w:line="240" w:lineRule="auto"/>
              <w:jc w:val="center"/>
              <w:rPr>
                <w:b/>
                <w:sz w:val="16"/>
                <w:szCs w:val="16"/>
              </w:rPr>
            </w:pPr>
            <w:r w:rsidRPr="00AA3487">
              <w:rPr>
                <w:b/>
                <w:sz w:val="16"/>
                <w:szCs w:val="16"/>
              </w:rPr>
              <w:t>1 284,52</w:t>
            </w:r>
          </w:p>
        </w:tc>
        <w:tc>
          <w:tcPr>
            <w:tcW w:w="903" w:type="dxa"/>
            <w:vAlign w:val="center"/>
          </w:tcPr>
          <w:p w14:paraId="55639453" w14:textId="77777777" w:rsidR="00A71378" w:rsidRPr="00AA3487" w:rsidRDefault="00A71378" w:rsidP="004D4873">
            <w:pPr>
              <w:spacing w:before="0" w:after="0" w:line="240" w:lineRule="auto"/>
              <w:ind w:left="-215" w:right="57"/>
              <w:jc w:val="right"/>
              <w:rPr>
                <w:b/>
                <w:sz w:val="16"/>
                <w:szCs w:val="16"/>
              </w:rPr>
            </w:pPr>
            <w:r w:rsidRPr="00AA3487">
              <w:rPr>
                <w:b/>
                <w:sz w:val="16"/>
                <w:szCs w:val="16"/>
              </w:rPr>
              <w:t>116,46</w:t>
            </w:r>
          </w:p>
        </w:tc>
        <w:tc>
          <w:tcPr>
            <w:tcW w:w="708" w:type="dxa"/>
            <w:shd w:val="clear" w:color="auto" w:fill="F2C6C9"/>
            <w:vAlign w:val="center"/>
          </w:tcPr>
          <w:p w14:paraId="683E18C7" w14:textId="77777777" w:rsidR="00A71378" w:rsidRPr="00AA3487" w:rsidRDefault="00A71378" w:rsidP="00FD7DA0">
            <w:pPr>
              <w:spacing w:before="0" w:after="0" w:line="240" w:lineRule="auto"/>
              <w:ind w:left="-57" w:right="57"/>
              <w:jc w:val="right"/>
              <w:rPr>
                <w:b/>
                <w:sz w:val="16"/>
                <w:szCs w:val="16"/>
              </w:rPr>
            </w:pPr>
            <w:r w:rsidRPr="00AA3487">
              <w:rPr>
                <w:b/>
                <w:sz w:val="16"/>
                <w:szCs w:val="16"/>
              </w:rPr>
              <w:t>2,94</w:t>
            </w:r>
          </w:p>
        </w:tc>
      </w:tr>
    </w:tbl>
    <w:p w14:paraId="326DE0A2" w14:textId="3B1626BD" w:rsidR="00795555" w:rsidRPr="000F5C60" w:rsidRDefault="00795555" w:rsidP="00C95133">
      <w:pPr>
        <w:spacing w:before="0"/>
        <w:rPr>
          <w:sz w:val="20"/>
          <w:szCs w:val="20"/>
        </w:rPr>
      </w:pPr>
      <w:r w:rsidRPr="001571CB">
        <w:rPr>
          <w:b/>
          <w:sz w:val="20"/>
          <w:szCs w:val="20"/>
        </w:rPr>
        <w:t>Zdroj</w:t>
      </w:r>
      <w:r w:rsidRPr="004D4873">
        <w:rPr>
          <w:b/>
          <w:sz w:val="20"/>
          <w:szCs w:val="20"/>
        </w:rPr>
        <w:t>:</w:t>
      </w:r>
      <w:r>
        <w:rPr>
          <w:sz w:val="20"/>
          <w:szCs w:val="20"/>
        </w:rPr>
        <w:t xml:space="preserve"> informační portál MONITOR.</w:t>
      </w:r>
    </w:p>
    <w:p w14:paraId="3C4F66B1" w14:textId="2426DFD6" w:rsidR="00795555" w:rsidRDefault="00795555" w:rsidP="00795555">
      <w:pPr>
        <w:spacing w:after="0"/>
        <w:rPr>
          <w:szCs w:val="24"/>
        </w:rPr>
      </w:pPr>
      <w:r w:rsidRPr="00795555">
        <w:t xml:space="preserve">Při bližším pohledu na strukturu státního rozpočtu </w:t>
      </w:r>
      <w:r w:rsidR="000D7973">
        <w:t xml:space="preserve">na </w:t>
      </w:r>
      <w:r w:rsidR="00821336">
        <w:t xml:space="preserve">rok 2018 </w:t>
      </w:r>
      <w:r w:rsidRPr="00795555">
        <w:t>je patrné, že příjmová část je silně závislá</w:t>
      </w:r>
      <w:r w:rsidRPr="00644BA7">
        <w:rPr>
          <w:szCs w:val="24"/>
        </w:rPr>
        <w:t xml:space="preserve"> na plnění daňových příjmů. V roce 2019 by daňové příjmy měly </w:t>
      </w:r>
      <w:r w:rsidRPr="00A65CC8">
        <w:rPr>
          <w:szCs w:val="24"/>
        </w:rPr>
        <w:t xml:space="preserve">tvořit </w:t>
      </w:r>
      <w:r w:rsidRPr="00644BA7">
        <w:rPr>
          <w:szCs w:val="24"/>
        </w:rPr>
        <w:t>více než</w:t>
      </w:r>
      <w:r w:rsidR="00A65CC8">
        <w:rPr>
          <w:szCs w:val="24"/>
        </w:rPr>
        <w:t xml:space="preserve"> </w:t>
      </w:r>
      <w:r w:rsidRPr="00644BA7">
        <w:rPr>
          <w:szCs w:val="24"/>
        </w:rPr>
        <w:t>90</w:t>
      </w:r>
      <w:r w:rsidR="000D7973">
        <w:rPr>
          <w:szCs w:val="24"/>
        </w:rPr>
        <w:t> </w:t>
      </w:r>
      <w:r w:rsidRPr="00644BA7">
        <w:rPr>
          <w:szCs w:val="24"/>
        </w:rPr>
        <w:t>% veškerých příjmů státního rozpočtu.</w:t>
      </w:r>
      <w:r>
        <w:rPr>
          <w:szCs w:val="24"/>
        </w:rPr>
        <w:t xml:space="preserve"> Plnění těchto příjmů však citlivě reaguje na hospodářský vývoj a s nástupem ekonomické recese prudce klesá. </w:t>
      </w:r>
    </w:p>
    <w:p w14:paraId="4D2364D9" w14:textId="0D1FC569" w:rsidR="00795555" w:rsidRDefault="00795555" w:rsidP="00795555">
      <w:pPr>
        <w:spacing w:after="0"/>
        <w:rPr>
          <w:color w:val="000000"/>
          <w:szCs w:val="24"/>
          <w:lang w:eastAsia="cs-CZ"/>
        </w:rPr>
      </w:pPr>
      <w:r w:rsidRPr="00644BA7">
        <w:rPr>
          <w:szCs w:val="24"/>
        </w:rPr>
        <w:t>Výdajové straně rozpočtu čím dál více dominují výdaje mandatorní a kvazimandatorní</w:t>
      </w:r>
      <w:r w:rsidR="002D5A4A">
        <w:rPr>
          <w:rStyle w:val="Znakapoznpodarou"/>
          <w:szCs w:val="24"/>
        </w:rPr>
        <w:footnoteReference w:id="5"/>
      </w:r>
      <w:r>
        <w:rPr>
          <w:szCs w:val="24"/>
        </w:rPr>
        <w:t xml:space="preserve">. </w:t>
      </w:r>
      <w:r w:rsidRPr="00644BA7">
        <w:rPr>
          <w:szCs w:val="24"/>
        </w:rPr>
        <w:t xml:space="preserve">V roce 2018 dosáhly mandatorní </w:t>
      </w:r>
      <w:r w:rsidRPr="001E22EE">
        <w:rPr>
          <w:szCs w:val="24"/>
        </w:rPr>
        <w:t xml:space="preserve">výdaje výše </w:t>
      </w:r>
      <w:r w:rsidRPr="001E22EE">
        <w:rPr>
          <w:color w:val="000000"/>
          <w:szCs w:val="24"/>
          <w:lang w:eastAsia="cs-CZ"/>
        </w:rPr>
        <w:t>76</w:t>
      </w:r>
      <w:r w:rsidR="00E63308">
        <w:rPr>
          <w:color w:val="000000"/>
          <w:szCs w:val="24"/>
          <w:lang w:eastAsia="cs-CZ"/>
        </w:rPr>
        <w:t>9</w:t>
      </w:r>
      <w:r w:rsidRPr="001E22EE">
        <w:rPr>
          <w:color w:val="000000"/>
          <w:szCs w:val="24"/>
          <w:lang w:eastAsia="cs-CZ"/>
        </w:rPr>
        <w:t>,</w:t>
      </w:r>
      <w:r w:rsidR="00E63308">
        <w:rPr>
          <w:color w:val="000000"/>
          <w:szCs w:val="24"/>
          <w:lang w:eastAsia="cs-CZ"/>
        </w:rPr>
        <w:t>5</w:t>
      </w:r>
      <w:r w:rsidRPr="001E22EE">
        <w:rPr>
          <w:color w:val="000000"/>
          <w:szCs w:val="24"/>
          <w:lang w:eastAsia="cs-CZ"/>
        </w:rPr>
        <w:t xml:space="preserve"> mld. Kč</w:t>
      </w:r>
      <w:r w:rsidRPr="00644BA7">
        <w:rPr>
          <w:color w:val="000000"/>
          <w:szCs w:val="24"/>
          <w:lang w:eastAsia="cs-CZ"/>
        </w:rPr>
        <w:t xml:space="preserve"> (z toho </w:t>
      </w:r>
      <w:r>
        <w:rPr>
          <w:color w:val="000000"/>
          <w:szCs w:val="24"/>
          <w:lang w:eastAsia="cs-CZ"/>
        </w:rPr>
        <w:t>s</w:t>
      </w:r>
      <w:r w:rsidRPr="00644BA7">
        <w:rPr>
          <w:color w:val="000000"/>
          <w:szCs w:val="24"/>
          <w:lang w:eastAsia="cs-CZ"/>
        </w:rPr>
        <w:t xml:space="preserve">ociální transfery činily </w:t>
      </w:r>
      <w:r w:rsidRPr="001E22EE">
        <w:rPr>
          <w:color w:val="000000"/>
          <w:szCs w:val="24"/>
          <w:lang w:eastAsia="cs-CZ"/>
        </w:rPr>
        <w:lastRenderedPageBreak/>
        <w:t>565,</w:t>
      </w:r>
      <w:r w:rsidR="00E63308">
        <w:rPr>
          <w:color w:val="000000"/>
          <w:szCs w:val="24"/>
          <w:lang w:eastAsia="cs-CZ"/>
        </w:rPr>
        <w:t>4</w:t>
      </w:r>
      <w:r w:rsidRPr="001E22EE">
        <w:rPr>
          <w:color w:val="000000"/>
          <w:szCs w:val="24"/>
          <w:lang w:eastAsia="cs-CZ"/>
        </w:rPr>
        <w:t xml:space="preserve"> mld. Kč</w:t>
      </w:r>
      <w:r w:rsidRPr="00B12445">
        <w:rPr>
          <w:color w:val="000000"/>
          <w:szCs w:val="24"/>
          <w:lang w:eastAsia="cs-CZ"/>
        </w:rPr>
        <w:t>) a</w:t>
      </w:r>
      <w:r w:rsidRPr="001E22EE">
        <w:rPr>
          <w:color w:val="000000"/>
          <w:szCs w:val="24"/>
          <w:lang w:eastAsia="cs-CZ"/>
        </w:rPr>
        <w:t xml:space="preserve"> oproti roku 2017 se zvýšily o téměř 4</w:t>
      </w:r>
      <w:r w:rsidR="00E63308">
        <w:rPr>
          <w:color w:val="000000"/>
          <w:szCs w:val="24"/>
          <w:lang w:eastAsia="cs-CZ"/>
        </w:rPr>
        <w:t>0</w:t>
      </w:r>
      <w:r w:rsidRPr="001E22EE">
        <w:rPr>
          <w:color w:val="000000"/>
          <w:szCs w:val="24"/>
          <w:lang w:eastAsia="cs-CZ"/>
        </w:rPr>
        <w:t xml:space="preserve"> mld. Kč.</w:t>
      </w:r>
      <w:r w:rsidRPr="00644BA7">
        <w:rPr>
          <w:color w:val="000000"/>
          <w:szCs w:val="24"/>
          <w:lang w:eastAsia="cs-CZ"/>
        </w:rPr>
        <w:t xml:space="preserve"> Kvazimandatorní výdaje v roce 2018 činily </w:t>
      </w:r>
      <w:r w:rsidRPr="00E63308">
        <w:rPr>
          <w:color w:val="000000"/>
          <w:szCs w:val="24"/>
          <w:lang w:eastAsia="cs-CZ"/>
        </w:rPr>
        <w:t>2</w:t>
      </w:r>
      <w:r w:rsidR="00E63308" w:rsidRPr="00E63308">
        <w:rPr>
          <w:color w:val="000000"/>
          <w:szCs w:val="24"/>
          <w:lang w:eastAsia="cs-CZ"/>
        </w:rPr>
        <w:t>99</w:t>
      </w:r>
      <w:r w:rsidRPr="00E63308">
        <w:rPr>
          <w:color w:val="000000"/>
          <w:szCs w:val="24"/>
          <w:lang w:eastAsia="cs-CZ"/>
        </w:rPr>
        <w:t>,6 mld. Kč</w:t>
      </w:r>
      <w:r w:rsidR="00C00EED">
        <w:rPr>
          <w:color w:val="000000"/>
          <w:szCs w:val="24"/>
          <w:lang w:eastAsia="cs-CZ"/>
        </w:rPr>
        <w:t xml:space="preserve">, </w:t>
      </w:r>
      <w:r w:rsidRPr="00644BA7">
        <w:rPr>
          <w:color w:val="000000"/>
          <w:szCs w:val="24"/>
          <w:lang w:eastAsia="cs-CZ"/>
        </w:rPr>
        <w:t xml:space="preserve">z toho </w:t>
      </w:r>
      <w:r w:rsidR="00A62DA9">
        <w:rPr>
          <w:color w:val="000000"/>
          <w:szCs w:val="24"/>
          <w:lang w:eastAsia="cs-CZ"/>
        </w:rPr>
        <w:t>platy</w:t>
      </w:r>
      <w:r w:rsidRPr="00644BA7">
        <w:rPr>
          <w:color w:val="000000"/>
          <w:szCs w:val="24"/>
          <w:lang w:eastAsia="cs-CZ"/>
        </w:rPr>
        <w:t xml:space="preserve"> </w:t>
      </w:r>
      <w:r w:rsidR="00C00EED">
        <w:rPr>
          <w:color w:val="000000"/>
          <w:szCs w:val="24"/>
          <w:lang w:eastAsia="cs-CZ"/>
        </w:rPr>
        <w:t>organizačních složek státu (dále také „OSS“)</w:t>
      </w:r>
      <w:r w:rsidRPr="00644BA7">
        <w:rPr>
          <w:color w:val="000000"/>
          <w:szCs w:val="24"/>
          <w:lang w:eastAsia="cs-CZ"/>
        </w:rPr>
        <w:t xml:space="preserve"> a</w:t>
      </w:r>
      <w:r w:rsidR="00CB5CFE">
        <w:rPr>
          <w:color w:val="000000"/>
          <w:szCs w:val="24"/>
          <w:lang w:eastAsia="cs-CZ"/>
        </w:rPr>
        <w:t> </w:t>
      </w:r>
      <w:r w:rsidR="00C00EED">
        <w:rPr>
          <w:color w:val="000000"/>
          <w:szCs w:val="24"/>
          <w:lang w:eastAsia="cs-CZ"/>
        </w:rPr>
        <w:t xml:space="preserve">příspěvkových organizací </w:t>
      </w:r>
      <w:r w:rsidRPr="00644BA7">
        <w:rPr>
          <w:color w:val="000000"/>
          <w:szCs w:val="24"/>
          <w:lang w:eastAsia="cs-CZ"/>
        </w:rPr>
        <w:t xml:space="preserve">činily </w:t>
      </w:r>
      <w:r w:rsidR="00E63308" w:rsidRPr="00E63308">
        <w:rPr>
          <w:color w:val="000000"/>
          <w:szCs w:val="24"/>
          <w:lang w:eastAsia="cs-CZ"/>
        </w:rPr>
        <w:t>242</w:t>
      </w:r>
      <w:r w:rsidRPr="00E63308">
        <w:rPr>
          <w:color w:val="000000"/>
          <w:szCs w:val="24"/>
          <w:lang w:eastAsia="cs-CZ"/>
        </w:rPr>
        <w:t>,</w:t>
      </w:r>
      <w:r w:rsidR="00E63308" w:rsidRPr="00E63308">
        <w:rPr>
          <w:color w:val="000000"/>
          <w:szCs w:val="24"/>
          <w:lang w:eastAsia="cs-CZ"/>
        </w:rPr>
        <w:t>8</w:t>
      </w:r>
      <w:r w:rsidRPr="00E63308">
        <w:rPr>
          <w:color w:val="000000"/>
          <w:szCs w:val="24"/>
          <w:lang w:eastAsia="cs-CZ"/>
        </w:rPr>
        <w:t xml:space="preserve"> mld. Kč</w:t>
      </w:r>
      <w:r w:rsidR="00E401E3">
        <w:rPr>
          <w:color w:val="000000"/>
          <w:szCs w:val="24"/>
          <w:lang w:eastAsia="cs-CZ"/>
        </w:rPr>
        <w:t xml:space="preserve"> a </w:t>
      </w:r>
      <w:r w:rsidR="00E401E3" w:rsidRPr="00644BA7">
        <w:rPr>
          <w:color w:val="000000"/>
          <w:szCs w:val="24"/>
          <w:lang w:eastAsia="cs-CZ"/>
        </w:rPr>
        <w:t xml:space="preserve">meziročně se zvýšily o </w:t>
      </w:r>
      <w:r w:rsidR="00E401E3" w:rsidRPr="00E63308">
        <w:rPr>
          <w:color w:val="000000"/>
          <w:szCs w:val="24"/>
          <w:lang w:eastAsia="cs-CZ"/>
        </w:rPr>
        <w:t>35,2 mld. Kč</w:t>
      </w:r>
      <w:r w:rsidRPr="00E63308">
        <w:rPr>
          <w:color w:val="000000"/>
          <w:szCs w:val="24"/>
          <w:lang w:eastAsia="cs-CZ"/>
        </w:rPr>
        <w:t>.</w:t>
      </w:r>
    </w:p>
    <w:p w14:paraId="05B750B3" w14:textId="380C9971" w:rsidR="00795555" w:rsidRDefault="00795555" w:rsidP="00C95133">
      <w:r w:rsidRPr="0096701B">
        <w:rPr>
          <w:b/>
          <w:spacing w:val="-1"/>
          <w:szCs w:val="24"/>
        </w:rPr>
        <w:t xml:space="preserve">Mandatorní a kvazimandatorní výdaje tak za rok 2018 dosáhly </w:t>
      </w:r>
      <w:r w:rsidRPr="0096701B">
        <w:rPr>
          <w:b/>
          <w:color w:val="000000"/>
          <w:spacing w:val="-1"/>
          <w:szCs w:val="24"/>
          <w:lang w:eastAsia="cs-CZ"/>
        </w:rPr>
        <w:t xml:space="preserve">celkové výše </w:t>
      </w:r>
      <w:r w:rsidRPr="0096701B">
        <w:rPr>
          <w:b/>
          <w:spacing w:val="-1"/>
          <w:szCs w:val="24"/>
        </w:rPr>
        <w:t>1 06</w:t>
      </w:r>
      <w:r w:rsidR="00E63308" w:rsidRPr="0096701B">
        <w:rPr>
          <w:b/>
          <w:spacing w:val="-1"/>
          <w:szCs w:val="24"/>
        </w:rPr>
        <w:t>9</w:t>
      </w:r>
      <w:r w:rsidRPr="0096701B">
        <w:rPr>
          <w:b/>
          <w:spacing w:val="-1"/>
          <w:szCs w:val="24"/>
        </w:rPr>
        <w:t>,</w:t>
      </w:r>
      <w:r w:rsidR="00E63308" w:rsidRPr="0096701B">
        <w:rPr>
          <w:b/>
          <w:spacing w:val="-1"/>
          <w:szCs w:val="24"/>
        </w:rPr>
        <w:t>1</w:t>
      </w:r>
      <w:r w:rsidR="000D7973">
        <w:rPr>
          <w:b/>
          <w:spacing w:val="-1"/>
          <w:szCs w:val="24"/>
        </w:rPr>
        <w:t> </w:t>
      </w:r>
      <w:r w:rsidRPr="0096701B">
        <w:rPr>
          <w:b/>
          <w:spacing w:val="-1"/>
          <w:szCs w:val="24"/>
        </w:rPr>
        <w:t>mld.</w:t>
      </w:r>
      <w:r w:rsidR="00CB5CFE" w:rsidRPr="0096701B">
        <w:rPr>
          <w:b/>
          <w:spacing w:val="-1"/>
          <w:szCs w:val="24"/>
        </w:rPr>
        <w:t> </w:t>
      </w:r>
      <w:r w:rsidRPr="0096701B">
        <w:rPr>
          <w:b/>
          <w:spacing w:val="-1"/>
          <w:szCs w:val="24"/>
        </w:rPr>
        <w:t>Kč</w:t>
      </w:r>
      <w:r w:rsidRPr="00644BA7">
        <w:rPr>
          <w:b/>
          <w:szCs w:val="24"/>
        </w:rPr>
        <w:t xml:space="preserve"> a „pohltily“ více než ¾ veškerých příjmů státního rozpočtu a stejnou měrou se podílely na celkových výdajích.</w:t>
      </w:r>
      <w:r w:rsidRPr="00644BA7">
        <w:rPr>
          <w:szCs w:val="24"/>
        </w:rPr>
        <w:t xml:space="preserve"> Jak dokládá i následující tabulka, v době ekonomické recese se podíl těchto výdajů na příjmech státního rozpočtu navíc prudce zvýšil. V roce 2009 muselo být na jejich uhrazení využito více než 87 %</w:t>
      </w:r>
      <w:r w:rsidRPr="00171C81">
        <w:rPr>
          <w:szCs w:val="24"/>
        </w:rPr>
        <w:t xml:space="preserve"> příjmů</w:t>
      </w:r>
      <w:r>
        <w:rPr>
          <w:szCs w:val="24"/>
        </w:rPr>
        <w:t xml:space="preserve"> státního rozpočtu</w:t>
      </w:r>
      <w:r w:rsidRPr="00171C81">
        <w:rPr>
          <w:szCs w:val="24"/>
        </w:rPr>
        <w:t xml:space="preserve">. </w:t>
      </w:r>
      <w:r>
        <w:rPr>
          <w:szCs w:val="24"/>
        </w:rPr>
        <w:t>Je</w:t>
      </w:r>
      <w:r w:rsidRPr="00132DE3">
        <w:rPr>
          <w:szCs w:val="24"/>
        </w:rPr>
        <w:t xml:space="preserve"> tedy zřejmé,</w:t>
      </w:r>
      <w:r>
        <w:rPr>
          <w:szCs w:val="24"/>
        </w:rPr>
        <w:t xml:space="preserve"> že</w:t>
      </w:r>
      <w:r w:rsidRPr="00132DE3">
        <w:rPr>
          <w:szCs w:val="24"/>
        </w:rPr>
        <w:t xml:space="preserve"> mandatorní a kvazimandatorní výdaje</w:t>
      </w:r>
      <w:r>
        <w:rPr>
          <w:szCs w:val="24"/>
        </w:rPr>
        <w:t xml:space="preserve"> při zpomalení ekonomiky</w:t>
      </w:r>
      <w:r w:rsidRPr="00132DE3">
        <w:rPr>
          <w:szCs w:val="24"/>
        </w:rPr>
        <w:t xml:space="preserve"> vytvář</w:t>
      </w:r>
      <w:r>
        <w:rPr>
          <w:szCs w:val="24"/>
        </w:rPr>
        <w:t>ejí</w:t>
      </w:r>
      <w:r w:rsidRPr="00132DE3">
        <w:rPr>
          <w:szCs w:val="24"/>
        </w:rPr>
        <w:t xml:space="preserve"> </w:t>
      </w:r>
      <w:r>
        <w:rPr>
          <w:szCs w:val="24"/>
        </w:rPr>
        <w:t xml:space="preserve">silný </w:t>
      </w:r>
      <w:r w:rsidRPr="00132DE3">
        <w:rPr>
          <w:szCs w:val="24"/>
        </w:rPr>
        <w:t>tlak na státní rozpočet,</w:t>
      </w:r>
      <w:r>
        <w:rPr>
          <w:szCs w:val="24"/>
        </w:rPr>
        <w:t xml:space="preserve"> jelikož</w:t>
      </w:r>
      <w:r w:rsidRPr="00171C81">
        <w:rPr>
          <w:szCs w:val="24"/>
        </w:rPr>
        <w:t xml:space="preserve"> nižší příjmy musejí pokrývat </w:t>
      </w:r>
      <w:r>
        <w:rPr>
          <w:szCs w:val="24"/>
        </w:rPr>
        <w:t xml:space="preserve">vysoké </w:t>
      </w:r>
      <w:r w:rsidRPr="00171C81">
        <w:rPr>
          <w:szCs w:val="24"/>
        </w:rPr>
        <w:t xml:space="preserve">„povinné“ výdaje. </w:t>
      </w:r>
      <w:r w:rsidRPr="00171C81">
        <w:rPr>
          <w:b/>
          <w:szCs w:val="24"/>
        </w:rPr>
        <w:t>Vláda by se proto měla v době ekonomického růstu</w:t>
      </w:r>
      <w:r w:rsidRPr="00D14C95">
        <w:rPr>
          <w:b/>
        </w:rPr>
        <w:t xml:space="preserve"> </w:t>
      </w:r>
      <w:r w:rsidRPr="00171C81">
        <w:rPr>
          <w:b/>
          <w:szCs w:val="24"/>
        </w:rPr>
        <w:t>snažit o konsolidaci mandatorních a kvazimandatorních výdajů</w:t>
      </w:r>
      <w:r>
        <w:rPr>
          <w:b/>
          <w:szCs w:val="24"/>
        </w:rPr>
        <w:t xml:space="preserve">, </w:t>
      </w:r>
      <w:r w:rsidRPr="00171C81">
        <w:rPr>
          <w:b/>
          <w:szCs w:val="24"/>
        </w:rPr>
        <w:t>aby pak měla v době ekonomické recese větší možnost fiskálně reagovat.</w:t>
      </w:r>
    </w:p>
    <w:p w14:paraId="5C296455" w14:textId="0788C5DA" w:rsidR="00795555" w:rsidRDefault="00EB0332" w:rsidP="0096701B">
      <w:pPr>
        <w:pStyle w:val="Tituleknadtabulkou"/>
        <w:jc w:val="both"/>
      </w:pPr>
      <w:r>
        <w:t xml:space="preserve">Tabulka č. </w:t>
      </w:r>
      <w:r>
        <w:fldChar w:fldCharType="begin"/>
      </w:r>
      <w:r>
        <w:instrText xml:space="preserve"> SEQ Tabulka_č._ \* ARABIC </w:instrText>
      </w:r>
      <w:r>
        <w:fldChar w:fldCharType="separate"/>
      </w:r>
      <w:r w:rsidR="009849B2">
        <w:t>2</w:t>
      </w:r>
      <w:r>
        <w:fldChar w:fldCharType="end"/>
      </w:r>
      <w:r>
        <w:t xml:space="preserve"> </w:t>
      </w:r>
      <w:r w:rsidR="00795555" w:rsidRPr="001571CB">
        <w:t>–</w:t>
      </w:r>
      <w:r>
        <w:tab/>
      </w:r>
      <w:r w:rsidR="00795555">
        <w:t>Daňové příjmy, m</w:t>
      </w:r>
      <w:r w:rsidR="00795555" w:rsidRPr="001571CB">
        <w:t>andatorní a kvazimandatorní výdaje a jejich podíl na</w:t>
      </w:r>
      <w:r w:rsidR="0096701B">
        <w:t xml:space="preserve"> </w:t>
      </w:r>
      <w:r w:rsidR="00795555" w:rsidRPr="001571CB">
        <w:t>celkových příjmech a výdajích státního rozpočtu</w:t>
      </w:r>
      <w:r w:rsidR="00795555">
        <w:t xml:space="preserve"> (</w:t>
      </w:r>
      <w:r w:rsidR="00795555" w:rsidRPr="001571CB">
        <w:t>v mld. Kč, v %)</w:t>
      </w:r>
    </w:p>
    <w:tbl>
      <w:tblPr>
        <w:tblW w:w="9068" w:type="dxa"/>
        <w:tblInd w:w="70" w:type="dxa"/>
        <w:tblLayout w:type="fixed"/>
        <w:tblCellMar>
          <w:left w:w="70" w:type="dxa"/>
          <w:right w:w="70" w:type="dxa"/>
        </w:tblCellMar>
        <w:tblLook w:val="04A0" w:firstRow="1" w:lastRow="0" w:firstColumn="1" w:lastColumn="0" w:noHBand="0" w:noVBand="1"/>
      </w:tblPr>
      <w:tblGrid>
        <w:gridCol w:w="4079"/>
        <w:gridCol w:w="1247"/>
        <w:gridCol w:w="1247"/>
        <w:gridCol w:w="1247"/>
        <w:gridCol w:w="1248"/>
      </w:tblGrid>
      <w:tr w:rsidR="004B0E8B" w:rsidRPr="008E5DBA" w14:paraId="173D8FE6" w14:textId="77777777" w:rsidTr="004B0E8B">
        <w:trPr>
          <w:trHeight w:val="300"/>
        </w:trPr>
        <w:tc>
          <w:tcPr>
            <w:tcW w:w="4080" w:type="dxa"/>
            <w:vMerge w:val="restart"/>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3AFAF3EF" w14:textId="77777777" w:rsidR="00795555" w:rsidRPr="00ED0743" w:rsidRDefault="00795555" w:rsidP="00795555">
            <w:pPr>
              <w:spacing w:before="0" w:after="0" w:line="240" w:lineRule="auto"/>
              <w:jc w:val="center"/>
              <w:rPr>
                <w:rFonts w:eastAsia="Times New Roman"/>
                <w:b/>
                <w:color w:val="000000"/>
                <w:sz w:val="20"/>
                <w:szCs w:val="20"/>
                <w:lang w:eastAsia="cs-CZ"/>
              </w:rPr>
            </w:pPr>
            <w:r w:rsidRPr="00ED0743">
              <w:rPr>
                <w:rFonts w:eastAsia="Times New Roman"/>
                <w:b/>
                <w:color w:val="000000"/>
                <w:sz w:val="20"/>
                <w:szCs w:val="20"/>
                <w:lang w:eastAsia="cs-CZ"/>
              </w:rPr>
              <w:t>Ukazatel</w:t>
            </w:r>
          </w:p>
        </w:tc>
        <w:tc>
          <w:tcPr>
            <w:tcW w:w="4988" w:type="dxa"/>
            <w:gridSpan w:val="4"/>
            <w:tcBorders>
              <w:top w:val="single" w:sz="4" w:space="0" w:color="auto"/>
              <w:left w:val="nil"/>
              <w:bottom w:val="single" w:sz="4" w:space="0" w:color="auto"/>
              <w:right w:val="single" w:sz="4" w:space="0" w:color="auto"/>
            </w:tcBorders>
            <w:shd w:val="clear" w:color="auto" w:fill="E5F1FF"/>
            <w:noWrap/>
            <w:vAlign w:val="center"/>
            <w:hideMark/>
          </w:tcPr>
          <w:p w14:paraId="486CF69C"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Rok</w:t>
            </w:r>
          </w:p>
        </w:tc>
      </w:tr>
      <w:tr w:rsidR="004B0E8B" w:rsidRPr="008E5DBA" w14:paraId="527E0B47" w14:textId="77777777" w:rsidTr="004B0E8B">
        <w:trPr>
          <w:trHeight w:val="300"/>
        </w:trPr>
        <w:tc>
          <w:tcPr>
            <w:tcW w:w="4080" w:type="dxa"/>
            <w:vMerge/>
            <w:tcBorders>
              <w:top w:val="single" w:sz="4" w:space="0" w:color="auto"/>
              <w:left w:val="single" w:sz="4" w:space="0" w:color="auto"/>
              <w:bottom w:val="single" w:sz="4" w:space="0" w:color="auto"/>
              <w:right w:val="single" w:sz="4" w:space="0" w:color="auto"/>
            </w:tcBorders>
            <w:shd w:val="clear" w:color="auto" w:fill="E5F1FF"/>
            <w:vAlign w:val="center"/>
            <w:hideMark/>
          </w:tcPr>
          <w:p w14:paraId="2FC61A23" w14:textId="77777777" w:rsidR="00795555" w:rsidRPr="00ED0743" w:rsidRDefault="00795555" w:rsidP="007B7C94">
            <w:pPr>
              <w:spacing w:after="0" w:line="240" w:lineRule="auto"/>
              <w:jc w:val="center"/>
              <w:rPr>
                <w:rFonts w:eastAsia="Times New Roman"/>
                <w:color w:val="000000"/>
                <w:sz w:val="20"/>
                <w:szCs w:val="20"/>
                <w:lang w:eastAsia="cs-CZ"/>
              </w:rPr>
            </w:pPr>
          </w:p>
        </w:tc>
        <w:tc>
          <w:tcPr>
            <w:tcW w:w="1246" w:type="dxa"/>
            <w:tcBorders>
              <w:top w:val="nil"/>
              <w:left w:val="nil"/>
              <w:bottom w:val="single" w:sz="4" w:space="0" w:color="auto"/>
              <w:right w:val="single" w:sz="4" w:space="0" w:color="auto"/>
            </w:tcBorders>
            <w:shd w:val="clear" w:color="auto" w:fill="E5F1FF"/>
            <w:noWrap/>
            <w:vAlign w:val="center"/>
            <w:hideMark/>
          </w:tcPr>
          <w:p w14:paraId="5DE5714D"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2008</w:t>
            </w:r>
          </w:p>
        </w:tc>
        <w:tc>
          <w:tcPr>
            <w:tcW w:w="1247" w:type="dxa"/>
            <w:tcBorders>
              <w:top w:val="nil"/>
              <w:left w:val="nil"/>
              <w:bottom w:val="single" w:sz="4" w:space="0" w:color="auto"/>
              <w:right w:val="single" w:sz="4" w:space="0" w:color="auto"/>
            </w:tcBorders>
            <w:shd w:val="clear" w:color="auto" w:fill="E5F1FF"/>
            <w:noWrap/>
            <w:vAlign w:val="center"/>
            <w:hideMark/>
          </w:tcPr>
          <w:p w14:paraId="463886D7"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2009</w:t>
            </w:r>
          </w:p>
        </w:tc>
        <w:tc>
          <w:tcPr>
            <w:tcW w:w="1247" w:type="dxa"/>
            <w:tcBorders>
              <w:top w:val="nil"/>
              <w:left w:val="nil"/>
              <w:bottom w:val="single" w:sz="4" w:space="0" w:color="auto"/>
              <w:right w:val="single" w:sz="4" w:space="0" w:color="auto"/>
            </w:tcBorders>
            <w:shd w:val="clear" w:color="auto" w:fill="E5F1FF"/>
            <w:noWrap/>
            <w:vAlign w:val="center"/>
            <w:hideMark/>
          </w:tcPr>
          <w:p w14:paraId="0199C737"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2018</w:t>
            </w:r>
          </w:p>
        </w:tc>
        <w:tc>
          <w:tcPr>
            <w:tcW w:w="1248" w:type="dxa"/>
            <w:tcBorders>
              <w:top w:val="nil"/>
              <w:left w:val="nil"/>
              <w:bottom w:val="single" w:sz="4" w:space="0" w:color="auto"/>
              <w:right w:val="single" w:sz="4" w:space="0" w:color="auto"/>
            </w:tcBorders>
            <w:shd w:val="clear" w:color="auto" w:fill="E5F1FF"/>
            <w:noWrap/>
            <w:vAlign w:val="center"/>
            <w:hideMark/>
          </w:tcPr>
          <w:p w14:paraId="037C4C0C"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2019*</w:t>
            </w:r>
          </w:p>
        </w:tc>
      </w:tr>
      <w:tr w:rsidR="00795555" w:rsidRPr="008E5DBA" w14:paraId="63292528" w14:textId="77777777" w:rsidTr="0096701B">
        <w:trPr>
          <w:trHeight w:val="300"/>
        </w:trPr>
        <w:tc>
          <w:tcPr>
            <w:tcW w:w="4080" w:type="dxa"/>
            <w:tcBorders>
              <w:top w:val="nil"/>
              <w:left w:val="single" w:sz="4" w:space="0" w:color="auto"/>
              <w:bottom w:val="single" w:sz="4" w:space="0" w:color="auto"/>
              <w:right w:val="single" w:sz="4" w:space="0" w:color="auto"/>
            </w:tcBorders>
            <w:shd w:val="clear" w:color="000000" w:fill="FFFFFF"/>
            <w:noWrap/>
            <w:vAlign w:val="center"/>
            <w:hideMark/>
          </w:tcPr>
          <w:p w14:paraId="48837A7E"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Daňové příjmy</w:t>
            </w:r>
          </w:p>
        </w:tc>
        <w:tc>
          <w:tcPr>
            <w:tcW w:w="1246" w:type="dxa"/>
            <w:tcBorders>
              <w:top w:val="nil"/>
              <w:left w:val="nil"/>
              <w:bottom w:val="single" w:sz="4" w:space="0" w:color="auto"/>
              <w:right w:val="single" w:sz="4" w:space="0" w:color="auto"/>
            </w:tcBorders>
            <w:shd w:val="clear" w:color="auto" w:fill="auto"/>
            <w:noWrap/>
            <w:vAlign w:val="center"/>
            <w:hideMark/>
          </w:tcPr>
          <w:p w14:paraId="76FF0A3D" w14:textId="6EE89907"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929,9</w:t>
            </w:r>
          </w:p>
        </w:tc>
        <w:tc>
          <w:tcPr>
            <w:tcW w:w="1247" w:type="dxa"/>
            <w:tcBorders>
              <w:top w:val="nil"/>
              <w:left w:val="nil"/>
              <w:bottom w:val="single" w:sz="4" w:space="0" w:color="auto"/>
              <w:right w:val="single" w:sz="4" w:space="0" w:color="auto"/>
            </w:tcBorders>
            <w:shd w:val="clear" w:color="auto" w:fill="auto"/>
            <w:noWrap/>
            <w:vAlign w:val="center"/>
            <w:hideMark/>
          </w:tcPr>
          <w:p w14:paraId="3138B787" w14:textId="44EFE247"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833,2</w:t>
            </w:r>
          </w:p>
        </w:tc>
        <w:tc>
          <w:tcPr>
            <w:tcW w:w="1247" w:type="dxa"/>
            <w:tcBorders>
              <w:top w:val="nil"/>
              <w:left w:val="nil"/>
              <w:bottom w:val="single" w:sz="4" w:space="0" w:color="auto"/>
              <w:right w:val="single" w:sz="4" w:space="0" w:color="auto"/>
            </w:tcBorders>
            <w:shd w:val="clear" w:color="000000" w:fill="FFFFFF"/>
            <w:noWrap/>
            <w:vAlign w:val="center"/>
            <w:hideMark/>
          </w:tcPr>
          <w:p w14:paraId="67E58923" w14:textId="62B645C6"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1 240,4</w:t>
            </w:r>
          </w:p>
        </w:tc>
        <w:tc>
          <w:tcPr>
            <w:tcW w:w="1248" w:type="dxa"/>
            <w:tcBorders>
              <w:top w:val="nil"/>
              <w:left w:val="nil"/>
              <w:bottom w:val="single" w:sz="4" w:space="0" w:color="auto"/>
              <w:right w:val="single" w:sz="4" w:space="0" w:color="auto"/>
            </w:tcBorders>
            <w:shd w:val="clear" w:color="000000" w:fill="FFFFFF"/>
            <w:noWrap/>
            <w:vAlign w:val="center"/>
            <w:hideMark/>
          </w:tcPr>
          <w:p w14:paraId="6BCAEE69" w14:textId="67197E9E" w:rsidR="00795555" w:rsidRPr="00ED0743" w:rsidRDefault="00795555" w:rsidP="0096701B">
            <w:pPr>
              <w:spacing w:before="0" w:after="0" w:line="240" w:lineRule="auto"/>
              <w:ind w:left="-57" w:right="284"/>
              <w:jc w:val="right"/>
              <w:rPr>
                <w:rFonts w:eastAsia="Times New Roman"/>
                <w:color w:val="000000"/>
                <w:sz w:val="20"/>
                <w:szCs w:val="20"/>
                <w:lang w:eastAsia="cs-CZ"/>
              </w:rPr>
            </w:pPr>
            <w:r w:rsidRPr="00ED0743">
              <w:rPr>
                <w:rFonts w:eastAsia="Times New Roman"/>
                <w:color w:val="000000"/>
                <w:sz w:val="20"/>
                <w:szCs w:val="20"/>
                <w:lang w:eastAsia="cs-CZ"/>
              </w:rPr>
              <w:t>1</w:t>
            </w:r>
            <w:r w:rsidR="00E63308">
              <w:rPr>
                <w:rFonts w:eastAsia="Times New Roman"/>
                <w:color w:val="000000"/>
                <w:sz w:val="20"/>
                <w:szCs w:val="20"/>
                <w:lang w:eastAsia="cs-CZ"/>
              </w:rPr>
              <w:t xml:space="preserve"> 325,4</w:t>
            </w:r>
          </w:p>
        </w:tc>
      </w:tr>
      <w:tr w:rsidR="00795555" w:rsidRPr="008E5DBA" w14:paraId="12206ABD" w14:textId="77777777" w:rsidTr="0096701B">
        <w:trPr>
          <w:trHeight w:val="300"/>
        </w:trPr>
        <w:tc>
          <w:tcPr>
            <w:tcW w:w="4080" w:type="dxa"/>
            <w:tcBorders>
              <w:top w:val="nil"/>
              <w:left w:val="single" w:sz="4" w:space="0" w:color="auto"/>
              <w:bottom w:val="single" w:sz="4" w:space="0" w:color="auto"/>
              <w:right w:val="single" w:sz="4" w:space="0" w:color="auto"/>
            </w:tcBorders>
            <w:shd w:val="clear" w:color="auto" w:fill="auto"/>
            <w:noWrap/>
            <w:vAlign w:val="center"/>
            <w:hideMark/>
          </w:tcPr>
          <w:p w14:paraId="3C8368D7" w14:textId="57D80B80"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Mandatorní výdaje</w:t>
            </w:r>
            <w:r w:rsidR="00E63308">
              <w:rPr>
                <w:rFonts w:eastAsia="Times New Roman"/>
                <w:color w:val="000000"/>
                <w:sz w:val="20"/>
                <w:szCs w:val="20"/>
                <w:lang w:eastAsia="cs-CZ"/>
              </w:rPr>
              <w:t>**</w:t>
            </w:r>
          </w:p>
        </w:tc>
        <w:tc>
          <w:tcPr>
            <w:tcW w:w="1246" w:type="dxa"/>
            <w:tcBorders>
              <w:top w:val="nil"/>
              <w:left w:val="nil"/>
              <w:bottom w:val="single" w:sz="4" w:space="0" w:color="auto"/>
              <w:right w:val="single" w:sz="4" w:space="0" w:color="auto"/>
            </w:tcBorders>
            <w:shd w:val="clear" w:color="auto" w:fill="auto"/>
            <w:noWrap/>
            <w:vAlign w:val="center"/>
            <w:hideMark/>
          </w:tcPr>
          <w:p w14:paraId="1859DCDF" w14:textId="2FA28D3B"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581,8</w:t>
            </w:r>
          </w:p>
        </w:tc>
        <w:tc>
          <w:tcPr>
            <w:tcW w:w="1247" w:type="dxa"/>
            <w:tcBorders>
              <w:top w:val="nil"/>
              <w:left w:val="nil"/>
              <w:bottom w:val="single" w:sz="4" w:space="0" w:color="auto"/>
              <w:right w:val="single" w:sz="4" w:space="0" w:color="auto"/>
            </w:tcBorders>
            <w:shd w:val="clear" w:color="auto" w:fill="auto"/>
            <w:noWrap/>
            <w:vAlign w:val="center"/>
            <w:hideMark/>
          </w:tcPr>
          <w:p w14:paraId="4A7B058B" w14:textId="578228F8"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622,0</w:t>
            </w:r>
          </w:p>
        </w:tc>
        <w:tc>
          <w:tcPr>
            <w:tcW w:w="1247" w:type="dxa"/>
            <w:tcBorders>
              <w:top w:val="nil"/>
              <w:left w:val="nil"/>
              <w:bottom w:val="single" w:sz="4" w:space="0" w:color="auto"/>
              <w:right w:val="single" w:sz="4" w:space="0" w:color="auto"/>
            </w:tcBorders>
            <w:shd w:val="clear" w:color="auto" w:fill="auto"/>
            <w:noWrap/>
            <w:vAlign w:val="center"/>
            <w:hideMark/>
          </w:tcPr>
          <w:p w14:paraId="6C90779D" w14:textId="030F849A" w:rsidR="00795555" w:rsidRPr="00ED0743" w:rsidRDefault="00795555" w:rsidP="0096701B">
            <w:pPr>
              <w:spacing w:before="0" w:after="0" w:line="240" w:lineRule="auto"/>
              <w:ind w:left="-57" w:right="284"/>
              <w:jc w:val="right"/>
              <w:rPr>
                <w:rFonts w:eastAsia="Times New Roman"/>
                <w:color w:val="000000"/>
                <w:sz w:val="20"/>
                <w:szCs w:val="20"/>
                <w:lang w:eastAsia="cs-CZ"/>
              </w:rPr>
            </w:pPr>
            <w:r w:rsidRPr="00ED0743">
              <w:rPr>
                <w:rFonts w:eastAsia="Times New Roman"/>
                <w:color w:val="000000"/>
                <w:sz w:val="20"/>
                <w:szCs w:val="20"/>
                <w:lang w:eastAsia="cs-CZ"/>
              </w:rPr>
              <w:t>7</w:t>
            </w:r>
            <w:r w:rsidR="00E63308">
              <w:rPr>
                <w:rFonts w:eastAsia="Times New Roman"/>
                <w:color w:val="000000"/>
                <w:sz w:val="20"/>
                <w:szCs w:val="20"/>
                <w:lang w:eastAsia="cs-CZ"/>
              </w:rPr>
              <w:t>69,5</w:t>
            </w:r>
          </w:p>
        </w:tc>
        <w:tc>
          <w:tcPr>
            <w:tcW w:w="1248" w:type="dxa"/>
            <w:tcBorders>
              <w:top w:val="nil"/>
              <w:left w:val="nil"/>
              <w:bottom w:val="single" w:sz="4" w:space="0" w:color="auto"/>
              <w:right w:val="single" w:sz="4" w:space="0" w:color="auto"/>
            </w:tcBorders>
            <w:shd w:val="clear" w:color="auto" w:fill="auto"/>
            <w:noWrap/>
            <w:vAlign w:val="center"/>
            <w:hideMark/>
          </w:tcPr>
          <w:p w14:paraId="7D49C53B" w14:textId="6F3EDB35" w:rsidR="00795555" w:rsidRPr="00ED0743" w:rsidRDefault="00795555" w:rsidP="0096701B">
            <w:pPr>
              <w:spacing w:before="0" w:after="0" w:line="240" w:lineRule="auto"/>
              <w:ind w:left="-57" w:right="284"/>
              <w:jc w:val="right"/>
              <w:rPr>
                <w:rFonts w:eastAsia="Times New Roman"/>
                <w:color w:val="000000"/>
                <w:sz w:val="20"/>
                <w:szCs w:val="20"/>
                <w:lang w:eastAsia="cs-CZ"/>
              </w:rPr>
            </w:pPr>
            <w:r w:rsidRPr="00ED0743">
              <w:rPr>
                <w:rFonts w:eastAsia="Times New Roman"/>
                <w:color w:val="000000"/>
                <w:sz w:val="20"/>
                <w:szCs w:val="20"/>
                <w:lang w:eastAsia="cs-CZ"/>
              </w:rPr>
              <w:t>8</w:t>
            </w:r>
            <w:r w:rsidR="00E63308">
              <w:rPr>
                <w:rFonts w:eastAsia="Times New Roman"/>
                <w:color w:val="000000"/>
                <w:sz w:val="20"/>
                <w:szCs w:val="20"/>
                <w:lang w:eastAsia="cs-CZ"/>
              </w:rPr>
              <w:t>25,3</w:t>
            </w:r>
          </w:p>
        </w:tc>
      </w:tr>
      <w:tr w:rsidR="00795555" w:rsidRPr="008E5DBA" w14:paraId="2D7140AB" w14:textId="77777777" w:rsidTr="0096701B">
        <w:trPr>
          <w:trHeight w:val="300"/>
        </w:trPr>
        <w:tc>
          <w:tcPr>
            <w:tcW w:w="4080" w:type="dxa"/>
            <w:tcBorders>
              <w:top w:val="nil"/>
              <w:left w:val="single" w:sz="4" w:space="0" w:color="auto"/>
              <w:bottom w:val="single" w:sz="4" w:space="0" w:color="auto"/>
              <w:right w:val="single" w:sz="4" w:space="0" w:color="auto"/>
            </w:tcBorders>
            <w:shd w:val="clear" w:color="auto" w:fill="auto"/>
            <w:noWrap/>
            <w:vAlign w:val="center"/>
            <w:hideMark/>
          </w:tcPr>
          <w:p w14:paraId="00AB8358"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Kvazimandatorní výdaje</w:t>
            </w:r>
          </w:p>
        </w:tc>
        <w:tc>
          <w:tcPr>
            <w:tcW w:w="1246" w:type="dxa"/>
            <w:tcBorders>
              <w:top w:val="nil"/>
              <w:left w:val="nil"/>
              <w:bottom w:val="single" w:sz="4" w:space="0" w:color="auto"/>
              <w:right w:val="single" w:sz="4" w:space="0" w:color="auto"/>
            </w:tcBorders>
            <w:shd w:val="clear" w:color="auto" w:fill="auto"/>
            <w:noWrap/>
            <w:vAlign w:val="center"/>
            <w:hideMark/>
          </w:tcPr>
          <w:p w14:paraId="4EDA80AA" w14:textId="5F405CE1"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215,8</w:t>
            </w:r>
          </w:p>
        </w:tc>
        <w:tc>
          <w:tcPr>
            <w:tcW w:w="1247" w:type="dxa"/>
            <w:tcBorders>
              <w:top w:val="nil"/>
              <w:left w:val="nil"/>
              <w:bottom w:val="single" w:sz="4" w:space="0" w:color="auto"/>
              <w:right w:val="single" w:sz="4" w:space="0" w:color="auto"/>
            </w:tcBorders>
            <w:shd w:val="clear" w:color="auto" w:fill="auto"/>
            <w:noWrap/>
            <w:vAlign w:val="center"/>
            <w:hideMark/>
          </w:tcPr>
          <w:p w14:paraId="2F86CE5B" w14:textId="13B2451E"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228,9</w:t>
            </w:r>
          </w:p>
        </w:tc>
        <w:tc>
          <w:tcPr>
            <w:tcW w:w="1247" w:type="dxa"/>
            <w:tcBorders>
              <w:top w:val="nil"/>
              <w:left w:val="nil"/>
              <w:bottom w:val="single" w:sz="4" w:space="0" w:color="auto"/>
              <w:right w:val="single" w:sz="4" w:space="0" w:color="auto"/>
            </w:tcBorders>
            <w:shd w:val="clear" w:color="auto" w:fill="auto"/>
            <w:noWrap/>
            <w:vAlign w:val="center"/>
            <w:hideMark/>
          </w:tcPr>
          <w:p w14:paraId="61A73AC5" w14:textId="4C673216" w:rsidR="00795555" w:rsidRPr="00ED0743" w:rsidRDefault="00E63308" w:rsidP="0096701B">
            <w:pPr>
              <w:spacing w:before="0" w:after="0" w:line="240" w:lineRule="auto"/>
              <w:ind w:left="-57" w:right="284"/>
              <w:jc w:val="right"/>
              <w:rPr>
                <w:rFonts w:eastAsia="Times New Roman"/>
                <w:color w:val="000000"/>
                <w:sz w:val="20"/>
                <w:szCs w:val="20"/>
                <w:lang w:eastAsia="cs-CZ"/>
              </w:rPr>
            </w:pPr>
            <w:r>
              <w:rPr>
                <w:rFonts w:eastAsia="Times New Roman"/>
                <w:color w:val="000000"/>
                <w:sz w:val="20"/>
                <w:szCs w:val="20"/>
                <w:lang w:eastAsia="cs-CZ"/>
              </w:rPr>
              <w:t>299,6</w:t>
            </w:r>
          </w:p>
        </w:tc>
        <w:tc>
          <w:tcPr>
            <w:tcW w:w="1248" w:type="dxa"/>
            <w:tcBorders>
              <w:top w:val="nil"/>
              <w:left w:val="nil"/>
              <w:bottom w:val="single" w:sz="4" w:space="0" w:color="auto"/>
              <w:right w:val="single" w:sz="4" w:space="0" w:color="auto"/>
            </w:tcBorders>
            <w:shd w:val="clear" w:color="auto" w:fill="auto"/>
            <w:noWrap/>
            <w:vAlign w:val="center"/>
            <w:hideMark/>
          </w:tcPr>
          <w:p w14:paraId="67867CDE" w14:textId="47D38AFE" w:rsidR="00795555" w:rsidRPr="00ED0743" w:rsidRDefault="00795555" w:rsidP="0096701B">
            <w:pPr>
              <w:spacing w:before="0" w:after="0" w:line="240" w:lineRule="auto"/>
              <w:ind w:left="-57" w:right="284"/>
              <w:jc w:val="right"/>
              <w:rPr>
                <w:rFonts w:eastAsia="Times New Roman"/>
                <w:color w:val="000000"/>
                <w:sz w:val="20"/>
                <w:szCs w:val="20"/>
                <w:lang w:eastAsia="cs-CZ"/>
              </w:rPr>
            </w:pPr>
            <w:r w:rsidRPr="00ED0743">
              <w:rPr>
                <w:rFonts w:eastAsia="Times New Roman"/>
                <w:color w:val="000000"/>
                <w:sz w:val="20"/>
                <w:szCs w:val="20"/>
                <w:lang w:eastAsia="cs-CZ"/>
              </w:rPr>
              <w:t>3</w:t>
            </w:r>
            <w:r w:rsidR="00E63308">
              <w:rPr>
                <w:rFonts w:eastAsia="Times New Roman"/>
                <w:color w:val="000000"/>
                <w:sz w:val="20"/>
                <w:szCs w:val="20"/>
                <w:lang w:eastAsia="cs-CZ"/>
              </w:rPr>
              <w:t>23,3</w:t>
            </w:r>
          </w:p>
        </w:tc>
      </w:tr>
      <w:tr w:rsidR="004B0E8B" w:rsidRPr="008E5DBA" w14:paraId="10A13C61" w14:textId="77777777" w:rsidTr="0096701B">
        <w:trPr>
          <w:trHeight w:val="340"/>
        </w:trPr>
        <w:tc>
          <w:tcPr>
            <w:tcW w:w="4080" w:type="dxa"/>
            <w:tcBorders>
              <w:top w:val="nil"/>
              <w:left w:val="single" w:sz="4" w:space="0" w:color="auto"/>
              <w:bottom w:val="single" w:sz="4" w:space="0" w:color="auto"/>
              <w:right w:val="single" w:sz="4" w:space="0" w:color="auto"/>
            </w:tcBorders>
            <w:shd w:val="clear" w:color="auto" w:fill="F2C6C9"/>
            <w:vAlign w:val="center"/>
            <w:hideMark/>
          </w:tcPr>
          <w:p w14:paraId="6CCAA8CD" w14:textId="77777777" w:rsidR="00795555" w:rsidRPr="00ED0743" w:rsidRDefault="00795555" w:rsidP="00795555">
            <w:pPr>
              <w:spacing w:before="0" w:after="0" w:line="240" w:lineRule="auto"/>
              <w:jc w:val="left"/>
              <w:rPr>
                <w:rFonts w:eastAsia="Times New Roman"/>
                <w:b/>
                <w:bCs/>
                <w:color w:val="000000"/>
                <w:sz w:val="20"/>
                <w:szCs w:val="20"/>
                <w:lang w:eastAsia="cs-CZ"/>
              </w:rPr>
            </w:pPr>
            <w:r w:rsidRPr="00ED0743">
              <w:rPr>
                <w:rFonts w:eastAsia="Times New Roman"/>
                <w:b/>
                <w:bCs/>
                <w:color w:val="000000"/>
                <w:sz w:val="20"/>
                <w:szCs w:val="20"/>
                <w:lang w:eastAsia="cs-CZ"/>
              </w:rPr>
              <w:t>Mandatorní a kvazimandatorní výdaje celkem</w:t>
            </w:r>
          </w:p>
        </w:tc>
        <w:tc>
          <w:tcPr>
            <w:tcW w:w="1246" w:type="dxa"/>
            <w:tcBorders>
              <w:top w:val="nil"/>
              <w:left w:val="nil"/>
              <w:bottom w:val="single" w:sz="4" w:space="0" w:color="auto"/>
              <w:right w:val="single" w:sz="4" w:space="0" w:color="auto"/>
            </w:tcBorders>
            <w:shd w:val="clear" w:color="auto" w:fill="F2C6C9"/>
            <w:noWrap/>
            <w:vAlign w:val="center"/>
            <w:hideMark/>
          </w:tcPr>
          <w:p w14:paraId="35BAA1A8" w14:textId="7BB6F685" w:rsidR="00795555" w:rsidRPr="00ED0743" w:rsidRDefault="00E63308" w:rsidP="0096701B">
            <w:pPr>
              <w:spacing w:before="0" w:after="0" w:line="240" w:lineRule="auto"/>
              <w:ind w:left="-57" w:right="284"/>
              <w:jc w:val="right"/>
              <w:rPr>
                <w:rFonts w:eastAsia="Times New Roman"/>
                <w:b/>
                <w:bCs/>
                <w:color w:val="000000"/>
                <w:sz w:val="20"/>
                <w:szCs w:val="20"/>
                <w:lang w:eastAsia="cs-CZ"/>
              </w:rPr>
            </w:pPr>
            <w:r>
              <w:rPr>
                <w:rFonts w:eastAsia="Times New Roman"/>
                <w:b/>
                <w:bCs/>
                <w:color w:val="000000"/>
                <w:sz w:val="20"/>
                <w:szCs w:val="20"/>
                <w:lang w:eastAsia="cs-CZ"/>
              </w:rPr>
              <w:t>797,6</w:t>
            </w:r>
            <w:r w:rsidR="00795555" w:rsidRPr="00ED0743">
              <w:rPr>
                <w:rFonts w:eastAsia="Times New Roman"/>
                <w:b/>
                <w:bCs/>
                <w:color w:val="000000"/>
                <w:sz w:val="20"/>
                <w:szCs w:val="20"/>
                <w:lang w:eastAsia="cs-CZ"/>
              </w:rPr>
              <w:t xml:space="preserve"> </w:t>
            </w:r>
          </w:p>
        </w:tc>
        <w:tc>
          <w:tcPr>
            <w:tcW w:w="1247" w:type="dxa"/>
            <w:tcBorders>
              <w:top w:val="nil"/>
              <w:left w:val="nil"/>
              <w:bottom w:val="single" w:sz="4" w:space="0" w:color="auto"/>
              <w:right w:val="single" w:sz="4" w:space="0" w:color="auto"/>
            </w:tcBorders>
            <w:shd w:val="clear" w:color="auto" w:fill="F2C6C9"/>
            <w:noWrap/>
            <w:vAlign w:val="center"/>
            <w:hideMark/>
          </w:tcPr>
          <w:p w14:paraId="53D87422" w14:textId="22C2FD4D" w:rsidR="00795555" w:rsidRPr="00ED0743" w:rsidRDefault="00E63308" w:rsidP="0096701B">
            <w:pPr>
              <w:spacing w:before="0" w:after="0" w:line="240" w:lineRule="auto"/>
              <w:ind w:left="-57" w:right="284"/>
              <w:jc w:val="right"/>
              <w:rPr>
                <w:rFonts w:eastAsia="Times New Roman"/>
                <w:b/>
                <w:bCs/>
                <w:color w:val="000000"/>
                <w:sz w:val="20"/>
                <w:szCs w:val="20"/>
                <w:lang w:eastAsia="cs-CZ"/>
              </w:rPr>
            </w:pPr>
            <w:r>
              <w:rPr>
                <w:rFonts w:eastAsia="Times New Roman"/>
                <w:b/>
                <w:bCs/>
                <w:color w:val="000000"/>
                <w:sz w:val="20"/>
                <w:szCs w:val="20"/>
                <w:lang w:eastAsia="cs-CZ"/>
              </w:rPr>
              <w:t>850,</w:t>
            </w:r>
            <w:r w:rsidR="00795555" w:rsidRPr="00ED0743">
              <w:rPr>
                <w:rFonts w:eastAsia="Times New Roman"/>
                <w:b/>
                <w:bCs/>
                <w:color w:val="000000"/>
                <w:sz w:val="20"/>
                <w:szCs w:val="20"/>
                <w:lang w:eastAsia="cs-CZ"/>
              </w:rPr>
              <w:t xml:space="preserve">9 </w:t>
            </w:r>
          </w:p>
        </w:tc>
        <w:tc>
          <w:tcPr>
            <w:tcW w:w="1247" w:type="dxa"/>
            <w:tcBorders>
              <w:top w:val="nil"/>
              <w:left w:val="nil"/>
              <w:bottom w:val="single" w:sz="4" w:space="0" w:color="auto"/>
              <w:right w:val="single" w:sz="4" w:space="0" w:color="auto"/>
            </w:tcBorders>
            <w:shd w:val="clear" w:color="auto" w:fill="F2C6C9"/>
            <w:noWrap/>
            <w:vAlign w:val="center"/>
            <w:hideMark/>
          </w:tcPr>
          <w:p w14:paraId="31EC2ED8" w14:textId="2220769A" w:rsidR="00795555" w:rsidRPr="00ED0743" w:rsidRDefault="00E63308" w:rsidP="0096701B">
            <w:pPr>
              <w:spacing w:before="0" w:after="0" w:line="240" w:lineRule="auto"/>
              <w:ind w:left="-57" w:right="284"/>
              <w:jc w:val="right"/>
              <w:rPr>
                <w:rFonts w:eastAsia="Times New Roman"/>
                <w:b/>
                <w:bCs/>
                <w:color w:val="000000"/>
                <w:sz w:val="20"/>
                <w:szCs w:val="20"/>
                <w:lang w:eastAsia="cs-CZ"/>
              </w:rPr>
            </w:pPr>
            <w:r>
              <w:rPr>
                <w:rFonts w:eastAsia="Times New Roman"/>
                <w:b/>
                <w:bCs/>
                <w:color w:val="000000"/>
                <w:sz w:val="20"/>
                <w:szCs w:val="20"/>
                <w:lang w:eastAsia="cs-CZ"/>
              </w:rPr>
              <w:t>1 069,1</w:t>
            </w:r>
            <w:r w:rsidR="00795555" w:rsidRPr="00ED0743">
              <w:rPr>
                <w:rFonts w:eastAsia="Times New Roman"/>
                <w:b/>
                <w:bCs/>
                <w:color w:val="000000"/>
                <w:sz w:val="20"/>
                <w:szCs w:val="20"/>
                <w:lang w:eastAsia="cs-CZ"/>
              </w:rPr>
              <w:t xml:space="preserve"> </w:t>
            </w:r>
          </w:p>
        </w:tc>
        <w:tc>
          <w:tcPr>
            <w:tcW w:w="1248" w:type="dxa"/>
            <w:tcBorders>
              <w:top w:val="nil"/>
              <w:left w:val="nil"/>
              <w:bottom w:val="single" w:sz="4" w:space="0" w:color="auto"/>
              <w:right w:val="single" w:sz="4" w:space="0" w:color="auto"/>
            </w:tcBorders>
            <w:shd w:val="clear" w:color="auto" w:fill="F2C6C9"/>
            <w:noWrap/>
            <w:vAlign w:val="center"/>
            <w:hideMark/>
          </w:tcPr>
          <w:p w14:paraId="4CCDDCED" w14:textId="6EBC6A38" w:rsidR="00795555" w:rsidRPr="00ED0743" w:rsidRDefault="00795555" w:rsidP="0096701B">
            <w:pPr>
              <w:spacing w:before="0" w:after="0" w:line="240" w:lineRule="auto"/>
              <w:ind w:left="-57" w:right="284"/>
              <w:jc w:val="right"/>
              <w:rPr>
                <w:rFonts w:eastAsia="Times New Roman"/>
                <w:b/>
                <w:bCs/>
                <w:color w:val="000000"/>
                <w:sz w:val="20"/>
                <w:szCs w:val="20"/>
                <w:lang w:eastAsia="cs-CZ"/>
              </w:rPr>
            </w:pPr>
            <w:r w:rsidRPr="00ED0743">
              <w:rPr>
                <w:rFonts w:eastAsia="Times New Roman"/>
                <w:b/>
                <w:bCs/>
                <w:color w:val="000000"/>
                <w:sz w:val="20"/>
                <w:szCs w:val="20"/>
                <w:lang w:eastAsia="cs-CZ"/>
              </w:rPr>
              <w:t>1</w:t>
            </w:r>
            <w:r w:rsidR="00E63308">
              <w:rPr>
                <w:rFonts w:eastAsia="Times New Roman"/>
                <w:b/>
                <w:bCs/>
                <w:color w:val="000000"/>
                <w:sz w:val="20"/>
                <w:szCs w:val="20"/>
                <w:lang w:eastAsia="cs-CZ"/>
              </w:rPr>
              <w:t xml:space="preserve"> 148,6</w:t>
            </w:r>
            <w:r w:rsidRPr="00ED0743">
              <w:rPr>
                <w:rFonts w:eastAsia="Times New Roman"/>
                <w:b/>
                <w:bCs/>
                <w:color w:val="000000"/>
                <w:sz w:val="20"/>
                <w:szCs w:val="20"/>
                <w:lang w:eastAsia="cs-CZ"/>
              </w:rPr>
              <w:t xml:space="preserve"> </w:t>
            </w:r>
          </w:p>
        </w:tc>
      </w:tr>
      <w:tr w:rsidR="00795555" w:rsidRPr="008E5DBA" w14:paraId="5A54EC1A" w14:textId="77777777" w:rsidTr="004B0E8B">
        <w:trPr>
          <w:trHeight w:val="300"/>
        </w:trPr>
        <w:tc>
          <w:tcPr>
            <w:tcW w:w="9068" w:type="dxa"/>
            <w:gridSpan w:val="5"/>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14960545"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 xml:space="preserve">Podíl na příjmech státního rozpočtu </w:t>
            </w:r>
          </w:p>
        </w:tc>
      </w:tr>
      <w:tr w:rsidR="00795555" w:rsidRPr="008E5DBA" w14:paraId="049E4B09" w14:textId="77777777" w:rsidTr="004B0E8B">
        <w:trPr>
          <w:trHeight w:val="300"/>
        </w:trPr>
        <w:tc>
          <w:tcPr>
            <w:tcW w:w="4080" w:type="dxa"/>
            <w:tcBorders>
              <w:top w:val="nil"/>
              <w:left w:val="single" w:sz="4" w:space="0" w:color="auto"/>
              <w:bottom w:val="single" w:sz="4" w:space="0" w:color="auto"/>
              <w:right w:val="single" w:sz="4" w:space="0" w:color="auto"/>
            </w:tcBorders>
            <w:shd w:val="clear" w:color="000000" w:fill="FFFFFF"/>
            <w:noWrap/>
            <w:vAlign w:val="center"/>
            <w:hideMark/>
          </w:tcPr>
          <w:p w14:paraId="06F27897"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Daňové příjmy</w:t>
            </w:r>
          </w:p>
        </w:tc>
        <w:tc>
          <w:tcPr>
            <w:tcW w:w="1246" w:type="dxa"/>
            <w:tcBorders>
              <w:top w:val="nil"/>
              <w:left w:val="nil"/>
              <w:bottom w:val="single" w:sz="4" w:space="0" w:color="auto"/>
              <w:right w:val="single" w:sz="4" w:space="0" w:color="auto"/>
            </w:tcBorders>
            <w:shd w:val="clear" w:color="auto" w:fill="auto"/>
            <w:noWrap/>
            <w:vAlign w:val="center"/>
            <w:hideMark/>
          </w:tcPr>
          <w:p w14:paraId="1F08F5D9" w14:textId="34B20A59"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87,40</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35CC5A21" w14:textId="0512746E"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85,49</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000000" w:fill="FFFFFF"/>
            <w:noWrap/>
            <w:vAlign w:val="center"/>
            <w:hideMark/>
          </w:tcPr>
          <w:p w14:paraId="7BAA64B9" w14:textId="27884649"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88,35</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8" w:type="dxa"/>
            <w:tcBorders>
              <w:top w:val="nil"/>
              <w:left w:val="nil"/>
              <w:bottom w:val="single" w:sz="4" w:space="0" w:color="auto"/>
              <w:right w:val="single" w:sz="4" w:space="0" w:color="auto"/>
            </w:tcBorders>
            <w:shd w:val="clear" w:color="000000" w:fill="FFFFFF"/>
            <w:noWrap/>
            <w:vAlign w:val="center"/>
            <w:hideMark/>
          </w:tcPr>
          <w:p w14:paraId="52E70B03" w14:textId="26DDBDFC"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90,45</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r>
      <w:tr w:rsidR="00795555" w:rsidRPr="008E5DBA" w14:paraId="12A6D0A3" w14:textId="77777777" w:rsidTr="004B0E8B">
        <w:trPr>
          <w:trHeight w:val="300"/>
        </w:trPr>
        <w:tc>
          <w:tcPr>
            <w:tcW w:w="4080" w:type="dxa"/>
            <w:tcBorders>
              <w:top w:val="nil"/>
              <w:left w:val="single" w:sz="4" w:space="0" w:color="auto"/>
              <w:bottom w:val="single" w:sz="4" w:space="0" w:color="auto"/>
              <w:right w:val="single" w:sz="4" w:space="0" w:color="auto"/>
            </w:tcBorders>
            <w:shd w:val="clear" w:color="auto" w:fill="auto"/>
            <w:noWrap/>
            <w:vAlign w:val="center"/>
            <w:hideMark/>
          </w:tcPr>
          <w:p w14:paraId="47B13CAF"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Mandatorní výdaje</w:t>
            </w:r>
          </w:p>
        </w:tc>
        <w:tc>
          <w:tcPr>
            <w:tcW w:w="1246" w:type="dxa"/>
            <w:tcBorders>
              <w:top w:val="nil"/>
              <w:left w:val="nil"/>
              <w:bottom w:val="single" w:sz="4" w:space="0" w:color="auto"/>
              <w:right w:val="single" w:sz="4" w:space="0" w:color="auto"/>
            </w:tcBorders>
            <w:shd w:val="clear" w:color="auto" w:fill="auto"/>
            <w:noWrap/>
            <w:vAlign w:val="center"/>
            <w:hideMark/>
          </w:tcPr>
          <w:p w14:paraId="7571EA0D" w14:textId="46222531"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54,68</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2E2CE4D1" w14:textId="31629C1B"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63,82</w:t>
            </w:r>
            <w:r w:rsidR="00BD43F8">
              <w:rPr>
                <w:rFonts w:eastAsia="Times New Roman"/>
                <w:color w:val="000000"/>
                <w:sz w:val="20"/>
                <w:szCs w:val="20"/>
                <w:lang w:eastAsia="cs-CZ"/>
              </w:rPr>
              <w:t xml:space="preserve">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0B52F594" w14:textId="4CEC97B8" w:rsidR="00795555" w:rsidRPr="00ED0743" w:rsidRDefault="00E63308" w:rsidP="00E63308">
            <w:pPr>
              <w:spacing w:before="0" w:after="0" w:line="240" w:lineRule="auto"/>
              <w:jc w:val="center"/>
              <w:rPr>
                <w:rFonts w:eastAsia="Times New Roman"/>
                <w:color w:val="000000"/>
                <w:sz w:val="20"/>
                <w:szCs w:val="20"/>
                <w:lang w:eastAsia="cs-CZ"/>
              </w:rPr>
            </w:pPr>
            <w:r>
              <w:rPr>
                <w:rFonts w:eastAsia="Times New Roman"/>
                <w:color w:val="000000"/>
                <w:sz w:val="20"/>
                <w:szCs w:val="20"/>
                <w:lang w:eastAsia="cs-CZ"/>
              </w:rPr>
              <w:t>54</w:t>
            </w:r>
            <w:r w:rsidR="00795555" w:rsidRPr="00ED0743">
              <w:rPr>
                <w:rFonts w:eastAsia="Times New Roman"/>
                <w:color w:val="000000"/>
                <w:sz w:val="20"/>
                <w:szCs w:val="20"/>
                <w:lang w:eastAsia="cs-CZ"/>
              </w:rPr>
              <w:t>,</w:t>
            </w:r>
            <w:r>
              <w:rPr>
                <w:rFonts w:eastAsia="Times New Roman"/>
                <w:color w:val="000000"/>
                <w:sz w:val="20"/>
                <w:szCs w:val="20"/>
                <w:lang w:eastAsia="cs-CZ"/>
              </w:rPr>
              <w:t>8</w:t>
            </w:r>
            <w:r w:rsidR="00795555" w:rsidRPr="00ED0743">
              <w:rPr>
                <w:rFonts w:eastAsia="Times New Roman"/>
                <w:color w:val="000000"/>
                <w:sz w:val="20"/>
                <w:szCs w:val="20"/>
                <w:lang w:eastAsia="cs-CZ"/>
              </w:rPr>
              <w:t>1</w:t>
            </w:r>
            <w:r w:rsidR="00BD43F8">
              <w:rPr>
                <w:rFonts w:eastAsia="Times New Roman"/>
                <w:color w:val="000000"/>
                <w:sz w:val="20"/>
                <w:szCs w:val="20"/>
                <w:lang w:eastAsia="cs-CZ"/>
              </w:rPr>
              <w:t> </w:t>
            </w:r>
            <w:r w:rsidR="00795555" w:rsidRPr="00ED0743">
              <w:rPr>
                <w:rFonts w:eastAsia="Times New Roman"/>
                <w:color w:val="000000"/>
                <w:sz w:val="20"/>
                <w:szCs w:val="20"/>
                <w:lang w:eastAsia="cs-CZ"/>
              </w:rPr>
              <w:t>%</w:t>
            </w:r>
          </w:p>
        </w:tc>
        <w:tc>
          <w:tcPr>
            <w:tcW w:w="1248" w:type="dxa"/>
            <w:tcBorders>
              <w:top w:val="nil"/>
              <w:left w:val="nil"/>
              <w:bottom w:val="single" w:sz="4" w:space="0" w:color="auto"/>
              <w:right w:val="single" w:sz="4" w:space="0" w:color="auto"/>
            </w:tcBorders>
            <w:shd w:val="clear" w:color="auto" w:fill="auto"/>
            <w:noWrap/>
            <w:vAlign w:val="center"/>
            <w:hideMark/>
          </w:tcPr>
          <w:p w14:paraId="08A3E578" w14:textId="7D63BC7A"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56,32</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r>
      <w:tr w:rsidR="00795555" w:rsidRPr="008E5DBA" w14:paraId="27649DD7" w14:textId="77777777" w:rsidTr="004B0E8B">
        <w:trPr>
          <w:trHeight w:val="300"/>
        </w:trPr>
        <w:tc>
          <w:tcPr>
            <w:tcW w:w="4080" w:type="dxa"/>
            <w:tcBorders>
              <w:top w:val="nil"/>
              <w:left w:val="single" w:sz="4" w:space="0" w:color="auto"/>
              <w:bottom w:val="single" w:sz="4" w:space="0" w:color="auto"/>
              <w:right w:val="single" w:sz="4" w:space="0" w:color="auto"/>
            </w:tcBorders>
            <w:shd w:val="clear" w:color="auto" w:fill="auto"/>
            <w:noWrap/>
            <w:vAlign w:val="center"/>
            <w:hideMark/>
          </w:tcPr>
          <w:p w14:paraId="249EBEDB"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Kvazimandatorní výdaje</w:t>
            </w:r>
          </w:p>
        </w:tc>
        <w:tc>
          <w:tcPr>
            <w:tcW w:w="1246" w:type="dxa"/>
            <w:tcBorders>
              <w:top w:val="nil"/>
              <w:left w:val="nil"/>
              <w:bottom w:val="single" w:sz="4" w:space="0" w:color="auto"/>
              <w:right w:val="single" w:sz="4" w:space="0" w:color="auto"/>
            </w:tcBorders>
            <w:shd w:val="clear" w:color="auto" w:fill="auto"/>
            <w:noWrap/>
            <w:vAlign w:val="center"/>
            <w:hideMark/>
          </w:tcPr>
          <w:p w14:paraId="790C8F87" w14:textId="0C7DF1AB"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20,28</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71EB222E" w14:textId="0E711C0B"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23,49</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648B2D87" w14:textId="3FAE57BA" w:rsidR="00795555" w:rsidRPr="00ED0743" w:rsidRDefault="00E63308" w:rsidP="00E63308">
            <w:pPr>
              <w:spacing w:before="0" w:after="0" w:line="240" w:lineRule="auto"/>
              <w:jc w:val="center"/>
              <w:rPr>
                <w:rFonts w:eastAsia="Times New Roman"/>
                <w:color w:val="000000"/>
                <w:sz w:val="20"/>
                <w:szCs w:val="20"/>
                <w:lang w:eastAsia="cs-CZ"/>
              </w:rPr>
            </w:pPr>
            <w:r>
              <w:rPr>
                <w:rFonts w:eastAsia="Times New Roman"/>
                <w:color w:val="000000"/>
                <w:sz w:val="20"/>
                <w:szCs w:val="20"/>
                <w:lang w:eastAsia="cs-CZ"/>
              </w:rPr>
              <w:t>21</w:t>
            </w:r>
            <w:r w:rsidR="00795555" w:rsidRPr="00ED0743">
              <w:rPr>
                <w:rFonts w:eastAsia="Times New Roman"/>
                <w:color w:val="000000"/>
                <w:sz w:val="20"/>
                <w:szCs w:val="20"/>
                <w:lang w:eastAsia="cs-CZ"/>
              </w:rPr>
              <w:t>,</w:t>
            </w:r>
            <w:r>
              <w:rPr>
                <w:rFonts w:eastAsia="Times New Roman"/>
                <w:color w:val="000000"/>
                <w:sz w:val="20"/>
                <w:szCs w:val="20"/>
                <w:lang w:eastAsia="cs-CZ"/>
              </w:rPr>
              <w:t>3</w:t>
            </w:r>
            <w:r w:rsidR="00795555" w:rsidRPr="00ED0743">
              <w:rPr>
                <w:rFonts w:eastAsia="Times New Roman"/>
                <w:color w:val="000000"/>
                <w:sz w:val="20"/>
                <w:szCs w:val="20"/>
                <w:lang w:eastAsia="cs-CZ"/>
              </w:rPr>
              <w:t>4</w:t>
            </w:r>
            <w:r w:rsidR="00BD43F8">
              <w:rPr>
                <w:rFonts w:eastAsia="Times New Roman"/>
                <w:color w:val="000000"/>
                <w:sz w:val="20"/>
                <w:szCs w:val="20"/>
                <w:lang w:eastAsia="cs-CZ"/>
              </w:rPr>
              <w:t> </w:t>
            </w:r>
            <w:r w:rsidR="00795555" w:rsidRPr="00ED0743">
              <w:rPr>
                <w:rFonts w:eastAsia="Times New Roman"/>
                <w:color w:val="000000"/>
                <w:sz w:val="20"/>
                <w:szCs w:val="20"/>
                <w:lang w:eastAsia="cs-CZ"/>
              </w:rPr>
              <w:t>%</w:t>
            </w:r>
          </w:p>
        </w:tc>
        <w:tc>
          <w:tcPr>
            <w:tcW w:w="1248" w:type="dxa"/>
            <w:tcBorders>
              <w:top w:val="nil"/>
              <w:left w:val="nil"/>
              <w:bottom w:val="single" w:sz="4" w:space="0" w:color="auto"/>
              <w:right w:val="single" w:sz="4" w:space="0" w:color="auto"/>
            </w:tcBorders>
            <w:shd w:val="clear" w:color="auto" w:fill="auto"/>
            <w:noWrap/>
            <w:vAlign w:val="center"/>
            <w:hideMark/>
          </w:tcPr>
          <w:p w14:paraId="4A5E86C2" w14:textId="6ADBDDDE"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22,06</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r>
      <w:tr w:rsidR="00795555" w:rsidRPr="008E5DBA" w14:paraId="15141896" w14:textId="77777777" w:rsidTr="004B0E8B">
        <w:trPr>
          <w:trHeight w:val="340"/>
        </w:trPr>
        <w:tc>
          <w:tcPr>
            <w:tcW w:w="4080" w:type="dxa"/>
            <w:tcBorders>
              <w:top w:val="nil"/>
              <w:left w:val="single" w:sz="4" w:space="0" w:color="auto"/>
              <w:bottom w:val="single" w:sz="4" w:space="0" w:color="auto"/>
              <w:right w:val="single" w:sz="4" w:space="0" w:color="auto"/>
            </w:tcBorders>
            <w:shd w:val="clear" w:color="auto" w:fill="F2C6C9"/>
            <w:vAlign w:val="center"/>
            <w:hideMark/>
          </w:tcPr>
          <w:p w14:paraId="5A080105" w14:textId="77777777" w:rsidR="00795555" w:rsidRPr="00ED0743" w:rsidRDefault="00795555" w:rsidP="00795555">
            <w:pPr>
              <w:spacing w:before="0" w:after="0" w:line="240" w:lineRule="auto"/>
              <w:jc w:val="left"/>
              <w:rPr>
                <w:rFonts w:eastAsia="Times New Roman"/>
                <w:b/>
                <w:bCs/>
                <w:color w:val="000000"/>
                <w:sz w:val="20"/>
                <w:szCs w:val="20"/>
                <w:lang w:eastAsia="cs-CZ"/>
              </w:rPr>
            </w:pPr>
            <w:r w:rsidRPr="00ED0743">
              <w:rPr>
                <w:rFonts w:eastAsia="Times New Roman"/>
                <w:b/>
                <w:bCs/>
                <w:color w:val="000000"/>
                <w:sz w:val="20"/>
                <w:szCs w:val="20"/>
                <w:lang w:eastAsia="cs-CZ"/>
              </w:rPr>
              <w:t>Mandatorní a kvazimandatorní výdaje celkem</w:t>
            </w:r>
          </w:p>
        </w:tc>
        <w:tc>
          <w:tcPr>
            <w:tcW w:w="1246" w:type="dxa"/>
            <w:tcBorders>
              <w:top w:val="nil"/>
              <w:left w:val="nil"/>
              <w:bottom w:val="single" w:sz="4" w:space="0" w:color="auto"/>
              <w:right w:val="single" w:sz="4" w:space="0" w:color="auto"/>
            </w:tcBorders>
            <w:shd w:val="clear" w:color="auto" w:fill="F2C6C9"/>
            <w:noWrap/>
            <w:vAlign w:val="center"/>
            <w:hideMark/>
          </w:tcPr>
          <w:p w14:paraId="001BF456" w14:textId="32E725D2"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74,96</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c>
          <w:tcPr>
            <w:tcW w:w="1247" w:type="dxa"/>
            <w:tcBorders>
              <w:top w:val="nil"/>
              <w:left w:val="nil"/>
              <w:bottom w:val="single" w:sz="4" w:space="0" w:color="auto"/>
              <w:right w:val="single" w:sz="4" w:space="0" w:color="auto"/>
            </w:tcBorders>
            <w:shd w:val="clear" w:color="auto" w:fill="F2C6C9"/>
            <w:noWrap/>
            <w:vAlign w:val="center"/>
            <w:hideMark/>
          </w:tcPr>
          <w:p w14:paraId="4B7940B6" w14:textId="4C5C0D41"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87,31</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c>
          <w:tcPr>
            <w:tcW w:w="1247" w:type="dxa"/>
            <w:tcBorders>
              <w:top w:val="nil"/>
              <w:left w:val="nil"/>
              <w:bottom w:val="single" w:sz="4" w:space="0" w:color="auto"/>
              <w:right w:val="single" w:sz="4" w:space="0" w:color="auto"/>
            </w:tcBorders>
            <w:shd w:val="clear" w:color="auto" w:fill="F2C6C9"/>
            <w:noWrap/>
            <w:vAlign w:val="center"/>
            <w:hideMark/>
          </w:tcPr>
          <w:p w14:paraId="05B46C2D" w14:textId="3FCD5244" w:rsidR="00795555" w:rsidRPr="00ED0743" w:rsidRDefault="00795555" w:rsidP="00E63308">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76,1</w:t>
            </w:r>
            <w:r w:rsidR="00E63308">
              <w:rPr>
                <w:rFonts w:eastAsia="Times New Roman"/>
                <w:b/>
                <w:bCs/>
                <w:color w:val="000000"/>
                <w:sz w:val="20"/>
                <w:szCs w:val="20"/>
                <w:lang w:eastAsia="cs-CZ"/>
              </w:rPr>
              <w:t>5</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c>
          <w:tcPr>
            <w:tcW w:w="1248" w:type="dxa"/>
            <w:tcBorders>
              <w:top w:val="nil"/>
              <w:left w:val="nil"/>
              <w:bottom w:val="single" w:sz="4" w:space="0" w:color="auto"/>
              <w:right w:val="single" w:sz="4" w:space="0" w:color="auto"/>
            </w:tcBorders>
            <w:shd w:val="clear" w:color="auto" w:fill="F2C6C9"/>
            <w:noWrap/>
            <w:vAlign w:val="center"/>
            <w:hideMark/>
          </w:tcPr>
          <w:p w14:paraId="75A6A4FB" w14:textId="3A2946AA"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78,38</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r>
      <w:tr w:rsidR="00795555" w:rsidRPr="008E5DBA" w14:paraId="7DF780CB" w14:textId="77777777" w:rsidTr="004B0E8B">
        <w:trPr>
          <w:trHeight w:val="300"/>
        </w:trPr>
        <w:tc>
          <w:tcPr>
            <w:tcW w:w="9068" w:type="dxa"/>
            <w:gridSpan w:val="5"/>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3EFFFF72" w14:textId="77777777"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Podíl na výdajích státního rozpočtu</w:t>
            </w:r>
          </w:p>
        </w:tc>
      </w:tr>
      <w:tr w:rsidR="00795555" w:rsidRPr="008E5DBA" w14:paraId="6858141F" w14:textId="77777777" w:rsidTr="004B0E8B">
        <w:trPr>
          <w:trHeight w:val="300"/>
        </w:trPr>
        <w:tc>
          <w:tcPr>
            <w:tcW w:w="4080" w:type="dxa"/>
            <w:tcBorders>
              <w:top w:val="nil"/>
              <w:left w:val="single" w:sz="4" w:space="0" w:color="auto"/>
              <w:bottom w:val="single" w:sz="4" w:space="0" w:color="auto"/>
              <w:right w:val="single" w:sz="4" w:space="0" w:color="auto"/>
            </w:tcBorders>
            <w:shd w:val="clear" w:color="000000" w:fill="FFFFFF"/>
            <w:noWrap/>
            <w:vAlign w:val="center"/>
            <w:hideMark/>
          </w:tcPr>
          <w:p w14:paraId="1B14D76C"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Daňové příjmy</w:t>
            </w:r>
          </w:p>
        </w:tc>
        <w:tc>
          <w:tcPr>
            <w:tcW w:w="1247" w:type="dxa"/>
            <w:tcBorders>
              <w:top w:val="nil"/>
              <w:left w:val="nil"/>
              <w:bottom w:val="single" w:sz="4" w:space="0" w:color="auto"/>
              <w:right w:val="single" w:sz="4" w:space="0" w:color="auto"/>
            </w:tcBorders>
            <w:shd w:val="clear" w:color="000000" w:fill="FFFFFF"/>
            <w:noWrap/>
            <w:vAlign w:val="center"/>
            <w:hideMark/>
          </w:tcPr>
          <w:p w14:paraId="0998FE77" w14:textId="2D4B24F8"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85,79</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000000" w:fill="FFFFFF"/>
            <w:noWrap/>
            <w:vAlign w:val="center"/>
            <w:hideMark/>
          </w:tcPr>
          <w:p w14:paraId="4D66BF7F" w14:textId="5DF157FA"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71,40</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000000" w:fill="FFFFFF"/>
            <w:noWrap/>
            <w:vAlign w:val="center"/>
            <w:hideMark/>
          </w:tcPr>
          <w:p w14:paraId="79CD41AD" w14:textId="1F837047"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88,54</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000000" w:fill="FFFFFF"/>
            <w:noWrap/>
            <w:vAlign w:val="center"/>
            <w:hideMark/>
          </w:tcPr>
          <w:p w14:paraId="525D822F" w14:textId="6CBD8F10"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88,04</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r>
      <w:tr w:rsidR="00795555" w:rsidRPr="008E5DBA" w14:paraId="417216DB" w14:textId="77777777" w:rsidTr="004B0E8B">
        <w:trPr>
          <w:trHeight w:val="300"/>
        </w:trPr>
        <w:tc>
          <w:tcPr>
            <w:tcW w:w="4080" w:type="dxa"/>
            <w:tcBorders>
              <w:top w:val="nil"/>
              <w:left w:val="single" w:sz="4" w:space="0" w:color="auto"/>
              <w:bottom w:val="single" w:sz="4" w:space="0" w:color="auto"/>
              <w:right w:val="single" w:sz="4" w:space="0" w:color="auto"/>
            </w:tcBorders>
            <w:shd w:val="clear" w:color="auto" w:fill="auto"/>
            <w:noWrap/>
            <w:vAlign w:val="center"/>
            <w:hideMark/>
          </w:tcPr>
          <w:p w14:paraId="1608DB4E"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Mandatorní výdaje</w:t>
            </w:r>
          </w:p>
        </w:tc>
        <w:tc>
          <w:tcPr>
            <w:tcW w:w="1247" w:type="dxa"/>
            <w:tcBorders>
              <w:top w:val="nil"/>
              <w:left w:val="nil"/>
              <w:bottom w:val="single" w:sz="4" w:space="0" w:color="auto"/>
              <w:right w:val="single" w:sz="4" w:space="0" w:color="auto"/>
            </w:tcBorders>
            <w:shd w:val="clear" w:color="auto" w:fill="auto"/>
            <w:noWrap/>
            <w:vAlign w:val="center"/>
            <w:hideMark/>
          </w:tcPr>
          <w:p w14:paraId="6CD20458" w14:textId="1320D97E"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53,67</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4FFD88F9" w14:textId="341769D1"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53,30</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4C7C8C9A" w14:textId="0B1E4755" w:rsidR="00795555" w:rsidRPr="00ED0743" w:rsidRDefault="00795555" w:rsidP="00E63308">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5</w:t>
            </w:r>
            <w:r w:rsidR="00E63308">
              <w:rPr>
                <w:rFonts w:eastAsia="Times New Roman"/>
                <w:color w:val="000000"/>
                <w:sz w:val="20"/>
                <w:szCs w:val="20"/>
                <w:lang w:eastAsia="cs-CZ"/>
              </w:rPr>
              <w:t>4</w:t>
            </w:r>
            <w:r w:rsidRPr="00ED0743">
              <w:rPr>
                <w:rFonts w:eastAsia="Times New Roman"/>
                <w:color w:val="000000"/>
                <w:sz w:val="20"/>
                <w:szCs w:val="20"/>
                <w:lang w:eastAsia="cs-CZ"/>
              </w:rPr>
              <w:t>,</w:t>
            </w:r>
            <w:r w:rsidR="00E63308">
              <w:rPr>
                <w:rFonts w:eastAsia="Times New Roman"/>
                <w:color w:val="000000"/>
                <w:sz w:val="20"/>
                <w:szCs w:val="20"/>
                <w:lang w:eastAsia="cs-CZ"/>
              </w:rPr>
              <w:t>9</w:t>
            </w:r>
            <w:r w:rsidRPr="00ED0743">
              <w:rPr>
                <w:rFonts w:eastAsia="Times New Roman"/>
                <w:color w:val="000000"/>
                <w:sz w:val="20"/>
                <w:szCs w:val="20"/>
                <w:lang w:eastAsia="cs-CZ"/>
              </w:rPr>
              <w:t>3</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612AC91C" w14:textId="17B97874"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54,83</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r>
      <w:tr w:rsidR="00795555" w:rsidRPr="008E5DBA" w14:paraId="78AAAD95" w14:textId="77777777" w:rsidTr="004B0E8B">
        <w:trPr>
          <w:trHeight w:val="300"/>
        </w:trPr>
        <w:tc>
          <w:tcPr>
            <w:tcW w:w="4080" w:type="dxa"/>
            <w:tcBorders>
              <w:top w:val="nil"/>
              <w:left w:val="single" w:sz="4" w:space="0" w:color="auto"/>
              <w:bottom w:val="single" w:sz="4" w:space="0" w:color="auto"/>
              <w:right w:val="single" w:sz="4" w:space="0" w:color="auto"/>
            </w:tcBorders>
            <w:shd w:val="clear" w:color="auto" w:fill="auto"/>
            <w:noWrap/>
            <w:vAlign w:val="center"/>
            <w:hideMark/>
          </w:tcPr>
          <w:p w14:paraId="50E3A7AC" w14:textId="77777777" w:rsidR="00795555" w:rsidRPr="00ED0743" w:rsidRDefault="00795555" w:rsidP="00795555">
            <w:pPr>
              <w:spacing w:before="0" w:after="0" w:line="240" w:lineRule="auto"/>
              <w:jc w:val="left"/>
              <w:rPr>
                <w:rFonts w:eastAsia="Times New Roman"/>
                <w:color w:val="000000"/>
                <w:sz w:val="20"/>
                <w:szCs w:val="20"/>
                <w:lang w:eastAsia="cs-CZ"/>
              </w:rPr>
            </w:pPr>
            <w:r w:rsidRPr="00ED0743">
              <w:rPr>
                <w:rFonts w:eastAsia="Times New Roman"/>
                <w:color w:val="000000"/>
                <w:sz w:val="20"/>
                <w:szCs w:val="20"/>
                <w:lang w:eastAsia="cs-CZ"/>
              </w:rPr>
              <w:t>Kvazimandatorní výdaje</w:t>
            </w:r>
          </w:p>
        </w:tc>
        <w:tc>
          <w:tcPr>
            <w:tcW w:w="1247" w:type="dxa"/>
            <w:tcBorders>
              <w:top w:val="nil"/>
              <w:left w:val="nil"/>
              <w:bottom w:val="single" w:sz="4" w:space="0" w:color="auto"/>
              <w:right w:val="single" w:sz="4" w:space="0" w:color="auto"/>
            </w:tcBorders>
            <w:shd w:val="clear" w:color="auto" w:fill="auto"/>
            <w:noWrap/>
            <w:vAlign w:val="center"/>
            <w:hideMark/>
          </w:tcPr>
          <w:p w14:paraId="48A462B3" w14:textId="6B76109D"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19,90</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656B5879" w14:textId="22EF441F"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19,62</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622E05ED" w14:textId="4FA5BA54" w:rsidR="00795555" w:rsidRPr="00ED0743" w:rsidRDefault="00E63308" w:rsidP="00E63308">
            <w:pPr>
              <w:spacing w:before="0" w:after="0" w:line="240" w:lineRule="auto"/>
              <w:jc w:val="center"/>
              <w:rPr>
                <w:rFonts w:eastAsia="Times New Roman"/>
                <w:color w:val="000000"/>
                <w:sz w:val="20"/>
                <w:szCs w:val="20"/>
                <w:lang w:eastAsia="cs-CZ"/>
              </w:rPr>
            </w:pPr>
            <w:r>
              <w:rPr>
                <w:rFonts w:eastAsia="Times New Roman"/>
                <w:color w:val="000000"/>
                <w:sz w:val="20"/>
                <w:szCs w:val="20"/>
                <w:lang w:eastAsia="cs-CZ"/>
              </w:rPr>
              <w:t>21</w:t>
            </w:r>
            <w:r w:rsidR="00795555" w:rsidRPr="00ED0743">
              <w:rPr>
                <w:rFonts w:eastAsia="Times New Roman"/>
                <w:color w:val="000000"/>
                <w:sz w:val="20"/>
                <w:szCs w:val="20"/>
                <w:lang w:eastAsia="cs-CZ"/>
              </w:rPr>
              <w:t>,</w:t>
            </w:r>
            <w:r>
              <w:rPr>
                <w:rFonts w:eastAsia="Times New Roman"/>
                <w:color w:val="000000"/>
                <w:sz w:val="20"/>
                <w:szCs w:val="20"/>
                <w:lang w:eastAsia="cs-CZ"/>
              </w:rPr>
              <w:t>39</w:t>
            </w:r>
            <w:r w:rsidR="00BD43F8">
              <w:rPr>
                <w:rFonts w:eastAsia="Times New Roman"/>
                <w:color w:val="000000"/>
                <w:sz w:val="20"/>
                <w:szCs w:val="20"/>
                <w:lang w:eastAsia="cs-CZ"/>
              </w:rPr>
              <w:t> </w:t>
            </w:r>
            <w:r w:rsidR="00795555" w:rsidRPr="00ED0743">
              <w:rPr>
                <w:rFonts w:eastAsia="Times New Roman"/>
                <w:color w:val="000000"/>
                <w:sz w:val="20"/>
                <w:szCs w:val="20"/>
                <w:lang w:eastAsia="cs-CZ"/>
              </w:rPr>
              <w:t>%</w:t>
            </w:r>
          </w:p>
        </w:tc>
        <w:tc>
          <w:tcPr>
            <w:tcW w:w="1247" w:type="dxa"/>
            <w:tcBorders>
              <w:top w:val="nil"/>
              <w:left w:val="nil"/>
              <w:bottom w:val="single" w:sz="4" w:space="0" w:color="auto"/>
              <w:right w:val="single" w:sz="4" w:space="0" w:color="auto"/>
            </w:tcBorders>
            <w:shd w:val="clear" w:color="auto" w:fill="auto"/>
            <w:noWrap/>
            <w:vAlign w:val="center"/>
            <w:hideMark/>
          </w:tcPr>
          <w:p w14:paraId="1AA64B7D" w14:textId="7524A9B1" w:rsidR="00795555" w:rsidRPr="00ED0743" w:rsidRDefault="00795555" w:rsidP="00795555">
            <w:pPr>
              <w:spacing w:before="0" w:after="0" w:line="240" w:lineRule="auto"/>
              <w:jc w:val="center"/>
              <w:rPr>
                <w:rFonts w:eastAsia="Times New Roman"/>
                <w:color w:val="000000"/>
                <w:sz w:val="20"/>
                <w:szCs w:val="20"/>
                <w:lang w:eastAsia="cs-CZ"/>
              </w:rPr>
            </w:pPr>
            <w:r w:rsidRPr="00ED0743">
              <w:rPr>
                <w:rFonts w:eastAsia="Times New Roman"/>
                <w:color w:val="000000"/>
                <w:sz w:val="20"/>
                <w:szCs w:val="20"/>
                <w:lang w:eastAsia="cs-CZ"/>
              </w:rPr>
              <w:t>21,47</w:t>
            </w:r>
            <w:r w:rsidR="00BD43F8">
              <w:rPr>
                <w:rFonts w:eastAsia="Times New Roman"/>
                <w:color w:val="000000"/>
                <w:sz w:val="20"/>
                <w:szCs w:val="20"/>
                <w:lang w:eastAsia="cs-CZ"/>
              </w:rPr>
              <w:t> </w:t>
            </w:r>
            <w:r w:rsidRPr="00ED0743">
              <w:rPr>
                <w:rFonts w:eastAsia="Times New Roman"/>
                <w:color w:val="000000"/>
                <w:sz w:val="20"/>
                <w:szCs w:val="20"/>
                <w:lang w:eastAsia="cs-CZ"/>
              </w:rPr>
              <w:t>%</w:t>
            </w:r>
          </w:p>
        </w:tc>
      </w:tr>
      <w:tr w:rsidR="00795555" w:rsidRPr="008E5DBA" w14:paraId="7DA70167" w14:textId="77777777" w:rsidTr="004B0E8B">
        <w:trPr>
          <w:trHeight w:val="340"/>
        </w:trPr>
        <w:tc>
          <w:tcPr>
            <w:tcW w:w="4080" w:type="dxa"/>
            <w:tcBorders>
              <w:top w:val="nil"/>
              <w:left w:val="single" w:sz="4" w:space="0" w:color="auto"/>
              <w:bottom w:val="single" w:sz="4" w:space="0" w:color="auto"/>
              <w:right w:val="single" w:sz="4" w:space="0" w:color="auto"/>
            </w:tcBorders>
            <w:shd w:val="clear" w:color="auto" w:fill="F2C6C9"/>
            <w:vAlign w:val="center"/>
            <w:hideMark/>
          </w:tcPr>
          <w:p w14:paraId="46D22FA7" w14:textId="77777777" w:rsidR="00795555" w:rsidRPr="00ED0743" w:rsidRDefault="00795555" w:rsidP="00795555">
            <w:pPr>
              <w:spacing w:before="0" w:after="0" w:line="240" w:lineRule="auto"/>
              <w:jc w:val="left"/>
              <w:rPr>
                <w:rFonts w:eastAsia="Times New Roman"/>
                <w:b/>
                <w:bCs/>
                <w:color w:val="000000"/>
                <w:sz w:val="20"/>
                <w:szCs w:val="20"/>
                <w:lang w:eastAsia="cs-CZ"/>
              </w:rPr>
            </w:pPr>
            <w:r w:rsidRPr="00ED0743">
              <w:rPr>
                <w:rFonts w:eastAsia="Times New Roman"/>
                <w:b/>
                <w:bCs/>
                <w:color w:val="000000"/>
                <w:sz w:val="20"/>
                <w:szCs w:val="20"/>
                <w:lang w:eastAsia="cs-CZ"/>
              </w:rPr>
              <w:t>Mandatorní a kvazimandatorní výdaje celkem</w:t>
            </w:r>
          </w:p>
        </w:tc>
        <w:tc>
          <w:tcPr>
            <w:tcW w:w="1247" w:type="dxa"/>
            <w:tcBorders>
              <w:top w:val="nil"/>
              <w:left w:val="nil"/>
              <w:bottom w:val="single" w:sz="4" w:space="0" w:color="auto"/>
              <w:right w:val="single" w:sz="4" w:space="0" w:color="auto"/>
            </w:tcBorders>
            <w:shd w:val="clear" w:color="auto" w:fill="F2C6C9"/>
            <w:noWrap/>
            <w:vAlign w:val="center"/>
            <w:hideMark/>
          </w:tcPr>
          <w:p w14:paraId="087B03B2" w14:textId="5536B9E4"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73,58</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c>
          <w:tcPr>
            <w:tcW w:w="1247" w:type="dxa"/>
            <w:tcBorders>
              <w:top w:val="nil"/>
              <w:left w:val="nil"/>
              <w:bottom w:val="single" w:sz="4" w:space="0" w:color="auto"/>
              <w:right w:val="single" w:sz="4" w:space="0" w:color="auto"/>
            </w:tcBorders>
            <w:shd w:val="clear" w:color="auto" w:fill="F2C6C9"/>
            <w:noWrap/>
            <w:vAlign w:val="center"/>
            <w:hideMark/>
          </w:tcPr>
          <w:p w14:paraId="724977F6" w14:textId="0775BCAD"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72,91</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c>
          <w:tcPr>
            <w:tcW w:w="1247" w:type="dxa"/>
            <w:tcBorders>
              <w:top w:val="nil"/>
              <w:left w:val="nil"/>
              <w:bottom w:val="single" w:sz="4" w:space="0" w:color="auto"/>
              <w:right w:val="single" w:sz="4" w:space="0" w:color="auto"/>
            </w:tcBorders>
            <w:shd w:val="clear" w:color="auto" w:fill="F2C6C9"/>
            <w:noWrap/>
            <w:vAlign w:val="center"/>
            <w:hideMark/>
          </w:tcPr>
          <w:p w14:paraId="078C1055" w14:textId="1F566A6A" w:rsidR="00795555" w:rsidRPr="00ED0743" w:rsidRDefault="00E63308" w:rsidP="00E63308">
            <w:pPr>
              <w:spacing w:before="0" w:after="0" w:line="240" w:lineRule="auto"/>
              <w:jc w:val="center"/>
              <w:rPr>
                <w:rFonts w:eastAsia="Times New Roman"/>
                <w:b/>
                <w:bCs/>
                <w:color w:val="000000"/>
                <w:sz w:val="20"/>
                <w:szCs w:val="20"/>
                <w:lang w:eastAsia="cs-CZ"/>
              </w:rPr>
            </w:pPr>
            <w:r>
              <w:rPr>
                <w:rFonts w:eastAsia="Times New Roman"/>
                <w:b/>
                <w:bCs/>
                <w:color w:val="000000"/>
                <w:sz w:val="20"/>
                <w:szCs w:val="20"/>
                <w:lang w:eastAsia="cs-CZ"/>
              </w:rPr>
              <w:t>76,31</w:t>
            </w:r>
            <w:r w:rsidR="00BD43F8">
              <w:rPr>
                <w:rFonts w:eastAsia="Times New Roman"/>
                <w:b/>
                <w:bCs/>
                <w:color w:val="000000"/>
                <w:sz w:val="20"/>
                <w:szCs w:val="20"/>
                <w:lang w:eastAsia="cs-CZ"/>
              </w:rPr>
              <w:t> </w:t>
            </w:r>
            <w:r w:rsidR="00795555" w:rsidRPr="00ED0743">
              <w:rPr>
                <w:rFonts w:eastAsia="Times New Roman"/>
                <w:b/>
                <w:bCs/>
                <w:color w:val="000000"/>
                <w:sz w:val="20"/>
                <w:szCs w:val="20"/>
                <w:lang w:eastAsia="cs-CZ"/>
              </w:rPr>
              <w:t>%</w:t>
            </w:r>
          </w:p>
        </w:tc>
        <w:tc>
          <w:tcPr>
            <w:tcW w:w="1247" w:type="dxa"/>
            <w:tcBorders>
              <w:top w:val="nil"/>
              <w:left w:val="nil"/>
              <w:bottom w:val="single" w:sz="4" w:space="0" w:color="auto"/>
              <w:right w:val="single" w:sz="4" w:space="0" w:color="auto"/>
            </w:tcBorders>
            <w:shd w:val="clear" w:color="auto" w:fill="F2C6C9"/>
            <w:noWrap/>
            <w:vAlign w:val="center"/>
            <w:hideMark/>
          </w:tcPr>
          <w:p w14:paraId="235B3904" w14:textId="237178CE" w:rsidR="00795555" w:rsidRPr="00ED0743" w:rsidRDefault="00795555" w:rsidP="00795555">
            <w:pPr>
              <w:spacing w:before="0" w:after="0" w:line="240" w:lineRule="auto"/>
              <w:jc w:val="center"/>
              <w:rPr>
                <w:rFonts w:eastAsia="Times New Roman"/>
                <w:b/>
                <w:bCs/>
                <w:color w:val="000000"/>
                <w:sz w:val="20"/>
                <w:szCs w:val="20"/>
                <w:lang w:eastAsia="cs-CZ"/>
              </w:rPr>
            </w:pPr>
            <w:r w:rsidRPr="00ED0743">
              <w:rPr>
                <w:rFonts w:eastAsia="Times New Roman"/>
                <w:b/>
                <w:bCs/>
                <w:color w:val="000000"/>
                <w:sz w:val="20"/>
                <w:szCs w:val="20"/>
                <w:lang w:eastAsia="cs-CZ"/>
              </w:rPr>
              <w:t>76,30</w:t>
            </w:r>
            <w:r w:rsidR="00BD43F8">
              <w:rPr>
                <w:rFonts w:eastAsia="Times New Roman"/>
                <w:b/>
                <w:bCs/>
                <w:color w:val="000000"/>
                <w:sz w:val="20"/>
                <w:szCs w:val="20"/>
                <w:lang w:eastAsia="cs-CZ"/>
              </w:rPr>
              <w:t> </w:t>
            </w:r>
            <w:r w:rsidRPr="00ED0743">
              <w:rPr>
                <w:rFonts w:eastAsia="Times New Roman"/>
                <w:b/>
                <w:bCs/>
                <w:color w:val="000000"/>
                <w:sz w:val="20"/>
                <w:szCs w:val="20"/>
                <w:lang w:eastAsia="cs-CZ"/>
              </w:rPr>
              <w:t>%</w:t>
            </w:r>
          </w:p>
        </w:tc>
      </w:tr>
    </w:tbl>
    <w:p w14:paraId="5D06E194" w14:textId="3EDC7DC5" w:rsidR="00795555" w:rsidRPr="00EA0EE4" w:rsidRDefault="00795555" w:rsidP="002C4F38">
      <w:pPr>
        <w:pStyle w:val="Poznazdroj"/>
      </w:pPr>
      <w:r w:rsidRPr="0096701B">
        <w:rPr>
          <w:b/>
        </w:rPr>
        <w:t>Zdroj:</w:t>
      </w:r>
      <w:r w:rsidRPr="001571CB">
        <w:t xml:space="preserve"> </w:t>
      </w:r>
      <w:r w:rsidRPr="00EA0EE4">
        <w:t>SZÚ za roky 2008</w:t>
      </w:r>
      <w:r w:rsidR="00CB5CFE" w:rsidRPr="00EA0EE4">
        <w:t xml:space="preserve"> a</w:t>
      </w:r>
      <w:r w:rsidRPr="00EA0EE4">
        <w:t xml:space="preserve"> 2009, </w:t>
      </w:r>
      <w:r w:rsidR="00E675CA" w:rsidRPr="00EA0EE4">
        <w:t xml:space="preserve">návrh SZÚ za rok </w:t>
      </w:r>
      <w:r w:rsidRPr="00EA0EE4">
        <w:t xml:space="preserve">2018, </w:t>
      </w:r>
      <w:r w:rsidR="00E675CA" w:rsidRPr="00EA0EE4">
        <w:t>z</w:t>
      </w:r>
      <w:r w:rsidRPr="00EA0EE4">
        <w:t>ákon č. 336/2018 Sb., o státním rozpočtu České republiky na rok 2019</w:t>
      </w:r>
      <w:r w:rsidR="00CB5CFE" w:rsidRPr="00EA0EE4">
        <w:t>,</w:t>
      </w:r>
      <w:r w:rsidR="00E675CA" w:rsidRPr="00EA0EE4">
        <w:t xml:space="preserve"> </w:t>
      </w:r>
      <w:r w:rsidRPr="00EA0EE4">
        <w:t>a dokumentace k návrhu tohoto zákona</w:t>
      </w:r>
      <w:r w:rsidR="00E63308" w:rsidRPr="00EA0EE4">
        <w:t xml:space="preserve">, </w:t>
      </w:r>
      <w:r w:rsidR="00E63308" w:rsidRPr="00EA0EE4">
        <w:rPr>
          <w:i/>
        </w:rPr>
        <w:t>Státní rozpočet 2019 v kostce</w:t>
      </w:r>
      <w:r w:rsidRPr="00EA0EE4">
        <w:t>.</w:t>
      </w:r>
    </w:p>
    <w:p w14:paraId="22FFCB2B" w14:textId="1278FF33" w:rsidR="00201AD0" w:rsidRPr="00201AD0" w:rsidRDefault="00201AD0" w:rsidP="00201AD0">
      <w:pPr>
        <w:spacing w:before="0" w:after="0"/>
        <w:ind w:left="284" w:hanging="284"/>
        <w:rPr>
          <w:sz w:val="20"/>
          <w:szCs w:val="20"/>
        </w:rPr>
      </w:pPr>
      <w:r w:rsidRPr="00201AD0">
        <w:rPr>
          <w:sz w:val="20"/>
          <w:szCs w:val="20"/>
        </w:rPr>
        <w:t xml:space="preserve">* </w:t>
      </w:r>
      <w:r w:rsidRPr="00201AD0">
        <w:rPr>
          <w:sz w:val="20"/>
          <w:szCs w:val="20"/>
        </w:rPr>
        <w:tab/>
        <w:t>Pro rok 2019 jsou uvedeny rozpočtované hodnoty.</w:t>
      </w:r>
    </w:p>
    <w:p w14:paraId="6D2843FF" w14:textId="6CB78AC6" w:rsidR="00201AD0" w:rsidRPr="00201AD0" w:rsidRDefault="00201AD0" w:rsidP="00201AD0">
      <w:pPr>
        <w:spacing w:before="0" w:after="0"/>
        <w:ind w:left="284" w:hanging="284"/>
        <w:rPr>
          <w:sz w:val="20"/>
          <w:szCs w:val="20"/>
        </w:rPr>
      </w:pPr>
      <w:r w:rsidRPr="00201AD0">
        <w:rPr>
          <w:sz w:val="20"/>
          <w:szCs w:val="20"/>
        </w:rPr>
        <w:t>**</w:t>
      </w:r>
      <w:r w:rsidRPr="00201AD0">
        <w:rPr>
          <w:sz w:val="20"/>
          <w:szCs w:val="20"/>
        </w:rPr>
        <w:tab/>
        <w:t>V mandatorních výdajích jsou zahrnuty i dotace na obnovitelné zdroje.</w:t>
      </w:r>
    </w:p>
    <w:p w14:paraId="3878CCB0" w14:textId="1E849F11" w:rsidR="00D30A77" w:rsidRDefault="00795555" w:rsidP="00795555">
      <w:pPr>
        <w:spacing w:after="0"/>
        <w:rPr>
          <w:szCs w:val="24"/>
        </w:rPr>
      </w:pPr>
      <w:r w:rsidRPr="00171C81">
        <w:rPr>
          <w:szCs w:val="24"/>
        </w:rPr>
        <w:t>Ke zvyšování</w:t>
      </w:r>
      <w:r>
        <w:rPr>
          <w:szCs w:val="24"/>
        </w:rPr>
        <w:t xml:space="preserve"> však</w:t>
      </w:r>
      <w:r w:rsidRPr="00171C81">
        <w:rPr>
          <w:szCs w:val="24"/>
        </w:rPr>
        <w:t xml:space="preserve"> dochází jak v oblasti výdajů mandatorních, především u sociálních transferů</w:t>
      </w:r>
      <w:r>
        <w:rPr>
          <w:szCs w:val="24"/>
        </w:rPr>
        <w:t>,</w:t>
      </w:r>
      <w:r w:rsidRPr="00171C81">
        <w:rPr>
          <w:szCs w:val="24"/>
        </w:rPr>
        <w:t xml:space="preserve"> tak v oblasti kvazimandatorních, prostřednictvím nárůstu výdajů na </w:t>
      </w:r>
      <w:r w:rsidR="00A62DA9">
        <w:rPr>
          <w:szCs w:val="24"/>
        </w:rPr>
        <w:t>platy</w:t>
      </w:r>
      <w:r w:rsidRPr="00171C81">
        <w:rPr>
          <w:szCs w:val="24"/>
        </w:rPr>
        <w:t xml:space="preserve"> zaměstnanců OSS</w:t>
      </w:r>
      <w:r>
        <w:rPr>
          <w:szCs w:val="24"/>
        </w:rPr>
        <w:t xml:space="preserve"> </w:t>
      </w:r>
      <w:r w:rsidRPr="00171C81">
        <w:rPr>
          <w:szCs w:val="24"/>
        </w:rPr>
        <w:t xml:space="preserve">a </w:t>
      </w:r>
      <w:r w:rsidR="00C00EED">
        <w:rPr>
          <w:szCs w:val="24"/>
        </w:rPr>
        <w:t>příspěvkových organizací</w:t>
      </w:r>
      <w:r w:rsidRPr="00171C81">
        <w:rPr>
          <w:szCs w:val="24"/>
        </w:rPr>
        <w:t xml:space="preserve"> státního rozpočtu. Kvazimandatorní výdaje rostly v letech 2017 a 2018 dokonce vyšším než 10% tempem.</w:t>
      </w:r>
      <w:r>
        <w:rPr>
          <w:szCs w:val="24"/>
        </w:rPr>
        <w:t xml:space="preserve"> </w:t>
      </w:r>
      <w:r w:rsidRPr="00171C81">
        <w:rPr>
          <w:szCs w:val="24"/>
        </w:rPr>
        <w:t xml:space="preserve">Oproti roku 2008 vzrostly </w:t>
      </w:r>
      <w:r w:rsidR="00CB350B">
        <w:rPr>
          <w:szCs w:val="24"/>
        </w:rPr>
        <w:t>v</w:t>
      </w:r>
      <w:r w:rsidR="00CB5CFE">
        <w:rPr>
          <w:szCs w:val="24"/>
        </w:rPr>
        <w:t> </w:t>
      </w:r>
      <w:r w:rsidR="00CB350B">
        <w:rPr>
          <w:szCs w:val="24"/>
        </w:rPr>
        <w:t>roce</w:t>
      </w:r>
      <w:r w:rsidRPr="00171C81">
        <w:rPr>
          <w:szCs w:val="24"/>
        </w:rPr>
        <w:t xml:space="preserve"> 2018 mandatorní a kvazimandatorní výdaje nominálně o 271,</w:t>
      </w:r>
      <w:r w:rsidR="00C11BB3">
        <w:rPr>
          <w:szCs w:val="24"/>
        </w:rPr>
        <w:t>5</w:t>
      </w:r>
      <w:r w:rsidRPr="00171C81">
        <w:rPr>
          <w:szCs w:val="24"/>
        </w:rPr>
        <w:t xml:space="preserve"> mld. Kč, jejich podíl na příjmech státního rozpočtu se zvýšil o 1,1</w:t>
      </w:r>
      <w:r w:rsidR="00C11BB3">
        <w:rPr>
          <w:szCs w:val="24"/>
        </w:rPr>
        <w:t>9</w:t>
      </w:r>
      <w:r w:rsidRPr="00171C81">
        <w:rPr>
          <w:szCs w:val="24"/>
        </w:rPr>
        <w:t xml:space="preserve"> p.</w:t>
      </w:r>
      <w:r w:rsidR="00234B49">
        <w:rPr>
          <w:szCs w:val="24"/>
        </w:rPr>
        <w:t xml:space="preserve"> </w:t>
      </w:r>
      <w:r w:rsidRPr="00171C81">
        <w:rPr>
          <w:szCs w:val="24"/>
        </w:rPr>
        <w:t>b</w:t>
      </w:r>
      <w:r w:rsidR="00234B49">
        <w:rPr>
          <w:szCs w:val="24"/>
        </w:rPr>
        <w:t>.</w:t>
      </w:r>
      <w:r>
        <w:rPr>
          <w:szCs w:val="24"/>
        </w:rPr>
        <w:t xml:space="preserve"> </w:t>
      </w:r>
      <w:r w:rsidR="00C11BB3">
        <w:rPr>
          <w:szCs w:val="24"/>
        </w:rPr>
        <w:t>a na výdajích o 2,73</w:t>
      </w:r>
      <w:r w:rsidRPr="00171C81">
        <w:rPr>
          <w:szCs w:val="24"/>
        </w:rPr>
        <w:t xml:space="preserve"> p.</w:t>
      </w:r>
      <w:r w:rsidR="00234B49">
        <w:rPr>
          <w:szCs w:val="24"/>
        </w:rPr>
        <w:t xml:space="preserve"> </w:t>
      </w:r>
      <w:r w:rsidRPr="00171C81">
        <w:rPr>
          <w:szCs w:val="24"/>
        </w:rPr>
        <w:t xml:space="preserve">b. </w:t>
      </w:r>
      <w:r>
        <w:rPr>
          <w:szCs w:val="24"/>
        </w:rPr>
        <w:t>M</w:t>
      </w:r>
      <w:r w:rsidRPr="00171C81">
        <w:rPr>
          <w:szCs w:val="24"/>
        </w:rPr>
        <w:t>andatorní výdaje</w:t>
      </w:r>
      <w:r>
        <w:rPr>
          <w:szCs w:val="24"/>
        </w:rPr>
        <w:t xml:space="preserve"> vzrostly za toto období</w:t>
      </w:r>
      <w:r w:rsidRPr="00171C81">
        <w:rPr>
          <w:szCs w:val="24"/>
        </w:rPr>
        <w:t xml:space="preserve"> o 3</w:t>
      </w:r>
      <w:r w:rsidR="00C11BB3">
        <w:rPr>
          <w:szCs w:val="24"/>
        </w:rPr>
        <w:t>2</w:t>
      </w:r>
      <w:r w:rsidRPr="00171C81">
        <w:rPr>
          <w:szCs w:val="24"/>
        </w:rPr>
        <w:t>,</w:t>
      </w:r>
      <w:r w:rsidR="00C11BB3">
        <w:rPr>
          <w:szCs w:val="24"/>
        </w:rPr>
        <w:t>26</w:t>
      </w:r>
      <w:r w:rsidRPr="00171C81">
        <w:rPr>
          <w:szCs w:val="24"/>
        </w:rPr>
        <w:t xml:space="preserve"> %, což je větší nárůst než u celkových příjmů, které vzrostly o</w:t>
      </w:r>
      <w:r w:rsidR="003D1221">
        <w:rPr>
          <w:szCs w:val="24"/>
        </w:rPr>
        <w:t> </w:t>
      </w:r>
      <w:r w:rsidRPr="00171C81">
        <w:rPr>
          <w:szCs w:val="24"/>
        </w:rPr>
        <w:t>31,95 %</w:t>
      </w:r>
      <w:r w:rsidR="008C2C42">
        <w:rPr>
          <w:szCs w:val="24"/>
        </w:rPr>
        <w:t>,</w:t>
      </w:r>
      <w:r w:rsidRPr="00171C81">
        <w:rPr>
          <w:szCs w:val="24"/>
        </w:rPr>
        <w:t xml:space="preserve"> i celkových výdajů, které se zvýšily o 29,25 %.</w:t>
      </w:r>
      <w:r>
        <w:rPr>
          <w:szCs w:val="24"/>
        </w:rPr>
        <w:t xml:space="preserve"> </w:t>
      </w:r>
    </w:p>
    <w:p w14:paraId="2C142A50" w14:textId="28A76274" w:rsidR="00795555" w:rsidRDefault="00795555" w:rsidP="00D30A77">
      <w:pPr>
        <w:pStyle w:val="ramecek"/>
      </w:pPr>
      <w:r>
        <w:lastRenderedPageBreak/>
        <w:t>T</w:t>
      </w:r>
      <w:r w:rsidRPr="009A1558">
        <w:t xml:space="preserve">empo růstu mandatorních výdajů je z dlouhodobého hlediska vyšší než tempo růstu příjmů i výdajů státního rozpočtu, </w:t>
      </w:r>
      <w:r>
        <w:t xml:space="preserve">což </w:t>
      </w:r>
      <w:r w:rsidRPr="009A1558">
        <w:t xml:space="preserve">do budoucna představuje riziko </w:t>
      </w:r>
      <w:r>
        <w:t>pro fiskální udržitelnost</w:t>
      </w:r>
      <w:r w:rsidRPr="009A1558">
        <w:t xml:space="preserve"> státního rozpočtu.</w:t>
      </w:r>
    </w:p>
    <w:p w14:paraId="1CA80247" w14:textId="6E1F0FF5" w:rsidR="00795555" w:rsidRPr="001E4EB0" w:rsidRDefault="00795555" w:rsidP="002D6F59">
      <w:r>
        <w:t xml:space="preserve">V současné době patří </w:t>
      </w:r>
      <w:r w:rsidRPr="00171C81">
        <w:t>Česká republika mezi ekonomicky nejstabilnější země v Evropě. Díky ekonomickému růstu se jí daří alespoň mírně snižovat státní dluh v poměru k HDP</w:t>
      </w:r>
      <w:r>
        <w:t>,</w:t>
      </w:r>
      <w:r w:rsidRPr="00171C81">
        <w:t xml:space="preserve"> nezaměstnanost je dokonce nejnižší v celé EU</w:t>
      </w:r>
      <w:r w:rsidRPr="00210BC5">
        <w:t xml:space="preserve">. V průběhu roku 2018 však začala česká ekonomika zpomalovat. </w:t>
      </w:r>
      <w:r w:rsidRPr="00171C81">
        <w:rPr>
          <w:b/>
        </w:rPr>
        <w:t xml:space="preserve">Vláda </w:t>
      </w:r>
      <w:r>
        <w:rPr>
          <w:b/>
        </w:rPr>
        <w:t xml:space="preserve">navíc </w:t>
      </w:r>
      <w:r w:rsidRPr="00171C81">
        <w:rPr>
          <w:b/>
        </w:rPr>
        <w:t>v dobách ekonomického růstu stále sestavuje deficitní rozpočty, nestabilizuje běžné</w:t>
      </w:r>
      <w:r>
        <w:rPr>
          <w:b/>
        </w:rPr>
        <w:t>,</w:t>
      </w:r>
      <w:r w:rsidRPr="00171C81">
        <w:rPr>
          <w:b/>
        </w:rPr>
        <w:t xml:space="preserve"> </w:t>
      </w:r>
      <w:r>
        <w:rPr>
          <w:b/>
        </w:rPr>
        <w:t xml:space="preserve">respektive mandatorní, </w:t>
      </w:r>
      <w:r w:rsidRPr="00171C81">
        <w:rPr>
          <w:b/>
        </w:rPr>
        <w:t>výdaje a spoléhá se především na vyšší plnění příjmové str</w:t>
      </w:r>
      <w:r w:rsidR="008C2C42">
        <w:rPr>
          <w:b/>
        </w:rPr>
        <w:t>any</w:t>
      </w:r>
      <w:r w:rsidRPr="00171C81">
        <w:rPr>
          <w:b/>
        </w:rPr>
        <w:t xml:space="preserve"> rozpočtu.</w:t>
      </w:r>
      <w:r>
        <w:rPr>
          <w:b/>
        </w:rPr>
        <w:t xml:space="preserve"> </w:t>
      </w:r>
      <w:r>
        <w:t xml:space="preserve">Česká ekonomika je také </w:t>
      </w:r>
      <w:r w:rsidR="00A65CC8">
        <w:t xml:space="preserve">silně závislá na exportu, </w:t>
      </w:r>
      <w:r w:rsidRPr="00171C81">
        <w:t>a</w:t>
      </w:r>
      <w:r w:rsidR="008C2C42">
        <w:t> </w:t>
      </w:r>
      <w:r w:rsidRPr="00171C81">
        <w:t>tudíž i silně prováz</w:t>
      </w:r>
      <w:r w:rsidR="008C2C42">
        <w:t>ána</w:t>
      </w:r>
      <w:r w:rsidRPr="00171C81">
        <w:t xml:space="preserve"> s ekonomikami našich obchodních partnerů. V následujícím období tak na její vývoj může mít silný dopad i zpomalování růstu těchto ekonomik</w:t>
      </w:r>
      <w:r>
        <w:t>,</w:t>
      </w:r>
      <w:r w:rsidRPr="00171C81">
        <w:t xml:space="preserve"> jak</w:t>
      </w:r>
      <w:r w:rsidR="008C2C42">
        <w:t>o</w:t>
      </w:r>
      <w:r w:rsidRPr="00171C81">
        <w:t xml:space="preserve"> tomu bylo v roce 2009, kdy se státní rozpočet musel vyrovnat s následky importované </w:t>
      </w:r>
      <w:r w:rsidR="008C2C42">
        <w:t>ekonomické</w:t>
      </w:r>
      <w:r w:rsidRPr="00171C81">
        <w:t xml:space="preserve"> krize.</w:t>
      </w:r>
      <w:r>
        <w:t xml:space="preserve"> Následující graf znázorňuje na příkladu roku 2019</w:t>
      </w:r>
      <w:r>
        <w:rPr>
          <w:rStyle w:val="Znakapoznpodarou"/>
          <w:szCs w:val="24"/>
        </w:rPr>
        <w:footnoteReference w:id="6"/>
      </w:r>
      <w:r>
        <w:t xml:space="preserve"> modelovou situaci, jak by státní </w:t>
      </w:r>
      <w:r w:rsidRPr="00246C3F">
        <w:t xml:space="preserve">rozpočet reagoval, kdyby došlo k výraznému </w:t>
      </w:r>
      <w:r>
        <w:t>zhoršení ekonomického vývoje</w:t>
      </w:r>
      <w:r w:rsidRPr="00246C3F">
        <w:t>, jak</w:t>
      </w:r>
      <w:r w:rsidR="008C2C42">
        <w:t>o</w:t>
      </w:r>
      <w:r w:rsidRPr="00246C3F">
        <w:t xml:space="preserve"> tomu bylo mezi roky 2008 a 2009.</w:t>
      </w:r>
      <w:r>
        <w:t xml:space="preserve"> Mezi těmito roky se </w:t>
      </w:r>
      <w:r w:rsidR="008C2C42">
        <w:t>v důsledku</w:t>
      </w:r>
      <w:r>
        <w:t xml:space="preserve"> poklesu ekonomické výkonnosti příjmy státního rozpočtu snížily o 8,4 % a jejich schválený rozpočet nebyl v roce 2009 naplněn o 12,5 %. </w:t>
      </w:r>
      <w:r w:rsidRPr="00171C81">
        <w:t xml:space="preserve">Přestože se podařilo udržet výdaje téměř na úrovni schváleného rozpočtu, </w:t>
      </w:r>
      <w:r w:rsidR="008C2C42">
        <w:t>vinou</w:t>
      </w:r>
      <w:r w:rsidRPr="00171C81">
        <w:t xml:space="preserve"> </w:t>
      </w:r>
      <w:r w:rsidR="008C2C42">
        <w:t>enormního</w:t>
      </w:r>
      <w:r w:rsidRPr="00171C81">
        <w:t xml:space="preserve"> propadu příjmů skončilo hospodaření státního rozpočtu </w:t>
      </w:r>
      <w:r>
        <w:t>v roce 2009</w:t>
      </w:r>
      <w:r w:rsidR="008C2C42">
        <w:t xml:space="preserve"> nikoli</w:t>
      </w:r>
      <w:r>
        <w:t xml:space="preserve"> </w:t>
      </w:r>
      <w:r w:rsidRPr="001E4EB0">
        <w:t>schodk</w:t>
      </w:r>
      <w:r w:rsidR="008C2C42">
        <w:t>em</w:t>
      </w:r>
      <w:r w:rsidRPr="001E4EB0">
        <w:t xml:space="preserve"> 52,18 mld. Kč</w:t>
      </w:r>
      <w:r w:rsidR="008C2C42">
        <w:t>, nýbrž</w:t>
      </w:r>
      <w:r w:rsidRPr="001E4EB0">
        <w:t xml:space="preserve"> schodkem ve výši 192,39 mld. Kč.</w:t>
      </w:r>
    </w:p>
    <w:p w14:paraId="707ABA43" w14:textId="6A7B4D34" w:rsidR="00795555" w:rsidRPr="001F1042" w:rsidRDefault="00E877E5" w:rsidP="00D3507E">
      <w:pPr>
        <w:pStyle w:val="Tituleknadgrafy1-9"/>
      </w:pPr>
      <w:r w:rsidRPr="00E877E5">
        <w:t>Graf č. </w:t>
      </w:r>
      <w:r w:rsidRPr="00E877E5">
        <w:fldChar w:fldCharType="begin"/>
      </w:r>
      <w:r w:rsidRPr="00E877E5">
        <w:instrText xml:space="preserve"> SEQ Graf_č. \* ARABIC </w:instrText>
      </w:r>
      <w:r w:rsidRPr="00E877E5">
        <w:fldChar w:fldCharType="separate"/>
      </w:r>
      <w:r w:rsidR="009849B2">
        <w:t>3</w:t>
      </w:r>
      <w:r w:rsidRPr="00E877E5">
        <w:fldChar w:fldCharType="end"/>
      </w:r>
      <w:r w:rsidR="00001875">
        <w:t xml:space="preserve"> –</w:t>
      </w:r>
      <w:r w:rsidR="00001875">
        <w:tab/>
      </w:r>
      <w:r w:rsidR="00795555" w:rsidRPr="001F1042">
        <w:t xml:space="preserve">Modelová situace </w:t>
      </w:r>
      <w:r w:rsidR="00795555">
        <w:t xml:space="preserve">v případě nepříznivého </w:t>
      </w:r>
      <w:r w:rsidR="00795555" w:rsidRPr="001F1042">
        <w:t xml:space="preserve">vývoje </w:t>
      </w:r>
      <w:r w:rsidR="00795555">
        <w:t xml:space="preserve">ekonomiky </w:t>
      </w:r>
      <w:r w:rsidR="00795555" w:rsidRPr="001F1042">
        <w:t>(v mld. Kč)</w:t>
      </w:r>
    </w:p>
    <w:p w14:paraId="2F4892F4" w14:textId="0B896C21" w:rsidR="00795555" w:rsidRDefault="009F06CC" w:rsidP="00C95133">
      <w:pPr>
        <w:spacing w:before="0" w:after="0"/>
      </w:pPr>
      <w:r>
        <w:rPr>
          <w:noProof/>
          <w:lang w:eastAsia="cs-CZ"/>
        </w:rPr>
        <w:drawing>
          <wp:inline distT="0" distB="0" distL="0" distR="0" wp14:anchorId="3205E044" wp14:editId="579612B2">
            <wp:extent cx="5759450" cy="2190750"/>
            <wp:effectExtent l="0" t="0" r="0" b="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E3A62CD" w14:textId="1FEA851D" w:rsidR="00795555" w:rsidRPr="00EA0EE4" w:rsidRDefault="00795555" w:rsidP="002C4F38">
      <w:pPr>
        <w:pStyle w:val="Poznazdroj"/>
      </w:pPr>
      <w:r w:rsidRPr="007D483D">
        <w:rPr>
          <w:b/>
        </w:rPr>
        <w:t>Zdroj:</w:t>
      </w:r>
      <w:r>
        <w:t xml:space="preserve"> </w:t>
      </w:r>
      <w:r w:rsidR="00EA0EE4">
        <w:tab/>
      </w:r>
      <w:r w:rsidRPr="00EA0EE4">
        <w:t xml:space="preserve">informační portál MONITOR, </w:t>
      </w:r>
      <w:r w:rsidR="00E675CA" w:rsidRPr="00EA0EE4">
        <w:t>z</w:t>
      </w:r>
      <w:r w:rsidRPr="00EA0EE4">
        <w:t>ákon č. 336/2018 Sb., o státním rozpočtu České republiky na rok 2019</w:t>
      </w:r>
      <w:r w:rsidR="008C2C42">
        <w:t>,</w:t>
      </w:r>
      <w:r w:rsidRPr="00EA0EE4">
        <w:t xml:space="preserve"> a</w:t>
      </w:r>
      <w:r w:rsidR="00EA0EE4">
        <w:rPr>
          <w:b/>
        </w:rPr>
        <w:t> </w:t>
      </w:r>
      <w:r w:rsidRPr="00EA0EE4">
        <w:t>dokumentace k návrhu tohoto zákona.</w:t>
      </w:r>
    </w:p>
    <w:p w14:paraId="70ED02E0" w14:textId="77777777" w:rsidR="00795555" w:rsidRPr="00EA0EE4" w:rsidRDefault="00795555" w:rsidP="002C4F38">
      <w:pPr>
        <w:pStyle w:val="Poznazdroj"/>
      </w:pPr>
      <w:r w:rsidRPr="007D483D">
        <w:rPr>
          <w:b/>
        </w:rPr>
        <w:t>Pozn.:</w:t>
      </w:r>
      <w:r>
        <w:t xml:space="preserve"> </w:t>
      </w:r>
      <w:r w:rsidRPr="00EA0EE4">
        <w:t>Pro rok 2019 se jedná o výpočet NKÚ.</w:t>
      </w:r>
    </w:p>
    <w:p w14:paraId="1513AB0E" w14:textId="1D5ACEB3" w:rsidR="00D30A77" w:rsidRDefault="00795555" w:rsidP="00795555">
      <w:pPr>
        <w:spacing w:after="24"/>
        <w:rPr>
          <w:szCs w:val="24"/>
        </w:rPr>
      </w:pPr>
      <w:r>
        <w:rPr>
          <w:szCs w:val="24"/>
        </w:rPr>
        <w:t xml:space="preserve">Kdyby došlo k podobnému propadu ekonomiky spojenému s nenaplněním příjmů oproti schválenému rozpočtu ve výši 12,5 %, </w:t>
      </w:r>
      <w:r w:rsidRPr="00171C81">
        <w:rPr>
          <w:szCs w:val="24"/>
        </w:rPr>
        <w:t>mohl by schodek i při nepřekročení rozpočtovaných výdajů dosáhnout</w:t>
      </w:r>
      <w:r>
        <w:rPr>
          <w:szCs w:val="24"/>
        </w:rPr>
        <w:t xml:space="preserve"> v roce 2019</w:t>
      </w:r>
      <w:r w:rsidRPr="00171C81">
        <w:rPr>
          <w:szCs w:val="24"/>
        </w:rPr>
        <w:t xml:space="preserve"> místo plánovaných 40 mld. Kč více než 2</w:t>
      </w:r>
      <w:r>
        <w:rPr>
          <w:szCs w:val="24"/>
        </w:rPr>
        <w:t xml:space="preserve">20 </w:t>
      </w:r>
      <w:r w:rsidRPr="00171C81">
        <w:rPr>
          <w:szCs w:val="24"/>
        </w:rPr>
        <w:t xml:space="preserve">mld. Kč. </w:t>
      </w:r>
      <w:r>
        <w:rPr>
          <w:szCs w:val="24"/>
        </w:rPr>
        <w:t xml:space="preserve">Silně </w:t>
      </w:r>
      <w:r>
        <w:rPr>
          <w:szCs w:val="24"/>
        </w:rPr>
        <w:lastRenderedPageBreak/>
        <w:t xml:space="preserve">negativní dopad na výsledné saldo by mělo i mírné zpomalení ekonomického růstu, </w:t>
      </w:r>
      <w:r w:rsidR="00277808">
        <w:rPr>
          <w:szCs w:val="24"/>
        </w:rPr>
        <w:br/>
      </w:r>
      <w:r>
        <w:rPr>
          <w:szCs w:val="24"/>
        </w:rPr>
        <w:t xml:space="preserve">např. snížení plnění příjmů oproti schválenému rozpočtu pouze o 5 % by rozpočtovaný schodek téměř ztrojnásobilo. </w:t>
      </w:r>
    </w:p>
    <w:p w14:paraId="0358AA3B" w14:textId="1EC96217" w:rsidR="00795555" w:rsidRDefault="00795555" w:rsidP="00D30A77">
      <w:pPr>
        <w:pStyle w:val="ramecek"/>
      </w:pPr>
      <w:r w:rsidRPr="00061470">
        <w:t>V </w:t>
      </w:r>
      <w:r w:rsidR="003E54AD">
        <w:t>důsledku</w:t>
      </w:r>
      <w:r w:rsidRPr="00061470">
        <w:t xml:space="preserve"> stále se zvyšující</w:t>
      </w:r>
      <w:r w:rsidR="003E54AD">
        <w:t>ch</w:t>
      </w:r>
      <w:r w:rsidRPr="00061470">
        <w:t xml:space="preserve"> mandatorní</w:t>
      </w:r>
      <w:r w:rsidR="003E54AD">
        <w:t>ch</w:t>
      </w:r>
      <w:r>
        <w:t xml:space="preserve"> </w:t>
      </w:r>
      <w:r w:rsidRPr="00061470">
        <w:t>a kvazimandatorní</w:t>
      </w:r>
      <w:r w:rsidR="003E54AD">
        <w:t>ch</w:t>
      </w:r>
      <w:r w:rsidR="007D483D">
        <w:t xml:space="preserve"> </w:t>
      </w:r>
      <w:r w:rsidRPr="00061470">
        <w:t>výdaj</w:t>
      </w:r>
      <w:r w:rsidR="003E54AD">
        <w:t>ů</w:t>
      </w:r>
      <w:r w:rsidRPr="00061470">
        <w:t xml:space="preserve"> a </w:t>
      </w:r>
      <w:r w:rsidR="003E54AD">
        <w:t xml:space="preserve">vlivem </w:t>
      </w:r>
      <w:r w:rsidRPr="00061470">
        <w:t>siln</w:t>
      </w:r>
      <w:r w:rsidR="003E54AD">
        <w:t>é</w:t>
      </w:r>
      <w:r w:rsidRPr="00061470">
        <w:t xml:space="preserve"> závislost</w:t>
      </w:r>
      <w:r w:rsidR="003E54AD">
        <w:t>i</w:t>
      </w:r>
      <w:r w:rsidRPr="00061470">
        <w:t xml:space="preserve"> na plnění daňových příjmů, které reagují velmi citlivě na případné zpomalení ekonomického růstu, </w:t>
      </w:r>
      <w:r>
        <w:t xml:space="preserve">je </w:t>
      </w:r>
      <w:r w:rsidRPr="00061470">
        <w:t xml:space="preserve">státní rozpočet </w:t>
      </w:r>
      <w:r>
        <w:t xml:space="preserve">na </w:t>
      </w:r>
      <w:r w:rsidRPr="00061470">
        <w:t xml:space="preserve">případnou recesi připraven ještě hůře, než tomu </w:t>
      </w:r>
      <w:r>
        <w:t>b</w:t>
      </w:r>
      <w:r w:rsidRPr="00061470">
        <w:t xml:space="preserve">ylo před deseti lety. </w:t>
      </w:r>
      <w:r>
        <w:t xml:space="preserve">Dokonce i mírné </w:t>
      </w:r>
      <w:r w:rsidRPr="00061470">
        <w:t xml:space="preserve">ekonomické ochlazení </w:t>
      </w:r>
      <w:r>
        <w:t xml:space="preserve">může </w:t>
      </w:r>
      <w:r w:rsidR="008C2C42">
        <w:t xml:space="preserve">u </w:t>
      </w:r>
      <w:r>
        <w:t>takto nastavený</w:t>
      </w:r>
      <w:r w:rsidR="008C2C42">
        <w:t>ch</w:t>
      </w:r>
      <w:r>
        <w:t xml:space="preserve"> rozpočt</w:t>
      </w:r>
      <w:r w:rsidR="003E54AD">
        <w:t>ů</w:t>
      </w:r>
      <w:r>
        <w:t xml:space="preserve"> </w:t>
      </w:r>
      <w:r w:rsidR="00335C23">
        <w:t>způsobit vysoké schodky.</w:t>
      </w:r>
    </w:p>
    <w:p w14:paraId="49BB21E6" w14:textId="77777777" w:rsidR="00085B30" w:rsidRDefault="00085B30">
      <w:pPr>
        <w:spacing w:before="0" w:after="0" w:line="240" w:lineRule="auto"/>
        <w:jc w:val="left"/>
        <w:rPr>
          <w:b/>
        </w:rPr>
      </w:pPr>
      <w:r>
        <w:br w:type="page"/>
      </w:r>
    </w:p>
    <w:p w14:paraId="446C1827" w14:textId="31137222" w:rsidR="000C2CB2" w:rsidRDefault="000C2CB2" w:rsidP="008971F5">
      <w:pPr>
        <w:pStyle w:val="Nadpis3"/>
        <w:numPr>
          <w:ilvl w:val="0"/>
          <w:numId w:val="5"/>
        </w:numPr>
      </w:pPr>
      <w:bookmarkStart w:id="11" w:name="_Toc17208266"/>
      <w:bookmarkStart w:id="12" w:name="_Toc482272320"/>
      <w:r>
        <w:lastRenderedPageBreak/>
        <w:t xml:space="preserve">Rozpočtování a </w:t>
      </w:r>
      <w:r w:rsidR="00040CA1">
        <w:t>výdajový rámec</w:t>
      </w:r>
      <w:bookmarkEnd w:id="11"/>
    </w:p>
    <w:p w14:paraId="72956B4E" w14:textId="126EE2D7" w:rsidR="007B7C94" w:rsidRDefault="007B7C94" w:rsidP="007B7C94">
      <w:r>
        <w:t>Státní rozpočet obsahuje dle rozpočtových pravidel</w:t>
      </w:r>
      <w:r>
        <w:rPr>
          <w:rStyle w:val="Znakapoznpodarou"/>
        </w:rPr>
        <w:footnoteReference w:id="7"/>
      </w:r>
      <w:r>
        <w:t xml:space="preserve"> očekávané příjmy a odhadované výdaje státního rozpočtu. Celkové výdaje státního rozpočtu jsou v návrhu zákona o státním rozpočtu stanoveny na základě výdajového rámce, který je</w:t>
      </w:r>
      <w:r w:rsidRPr="004F479C">
        <w:t xml:space="preserve"> tvořen celkovými výdaji státního rozpočtu </w:t>
      </w:r>
      <w:r>
        <w:t xml:space="preserve">a </w:t>
      </w:r>
      <w:r w:rsidRPr="004F479C">
        <w:t>státních fondů</w:t>
      </w:r>
      <w:r>
        <w:t xml:space="preserve"> s vyloučením jejich vzájemných dotačních vztahů. Výdajový rámec na rok 2018 byl v roce 2015 stanoven ve výši 1 245,7 mld. Kč. Následně byl několikrát změněn, například z důvodu posílení platů ve zdravotnictví, zvýšení výdajů na rozvoj dopravní infrastruktury či zvýšení výdajů na platy v regionálním školství a na platy ostatních státních zaměstnanců. V roce 2017 nabyl účinnosti zákon o pravidlech rozpočtové odpovědnosti</w:t>
      </w:r>
      <w:r>
        <w:rPr>
          <w:rStyle w:val="Znakapoznpodarou"/>
        </w:rPr>
        <w:footnoteReference w:id="8"/>
      </w:r>
      <w:r>
        <w:t>, který změnil metodiku stanovení výdajových rámců. Rámce jsou nyní uváděny v </w:t>
      </w:r>
      <w:r w:rsidR="003E54AD">
        <w:rPr>
          <w:i/>
        </w:rPr>
        <w:t>r</w:t>
      </w:r>
      <w:r w:rsidRPr="00295579">
        <w:rPr>
          <w:i/>
        </w:rPr>
        <w:t>ozpočtové strategii sektoru veřejných institucí ČR</w:t>
      </w:r>
      <w:r>
        <w:t xml:space="preserve"> a obsahují již prostředky z rozpočtu EU a finančních mechanismů</w:t>
      </w:r>
      <w:r w:rsidRPr="00103D70">
        <w:rPr>
          <w:rStyle w:val="Znakapoznpodarou"/>
        </w:rPr>
        <w:footnoteReference w:id="9"/>
      </w:r>
      <w:r>
        <w:t xml:space="preserve">, </w:t>
      </w:r>
      <w:r w:rsidR="003E54AD">
        <w:t>zatímco</w:t>
      </w:r>
      <w:r>
        <w:t xml:space="preserve"> dříve </w:t>
      </w:r>
      <w:r w:rsidR="003E54AD">
        <w:t xml:space="preserve">byly tyto prostředky </w:t>
      </w:r>
      <w:r>
        <w:t>zahrnuty až v podkladech předkládaných s vládním návrhem zákona o státním rozpočtu na příslušný rok. Konečná výše výdajového rámce, schválená v zákoně o státním rozpočtu na rok 2018</w:t>
      </w:r>
      <w:r>
        <w:rPr>
          <w:rStyle w:val="Znakapoznpodarou"/>
        </w:rPr>
        <w:footnoteReference w:id="10"/>
      </w:r>
      <w:r>
        <w:t>, činila 1 441,0 mld. Kč.</w:t>
      </w:r>
    </w:p>
    <w:p w14:paraId="69428918" w14:textId="4816B949" w:rsidR="007B7C94" w:rsidRPr="003E1BF9" w:rsidRDefault="00073991" w:rsidP="00D3507E">
      <w:pPr>
        <w:pStyle w:val="Titulekschma"/>
      </w:pPr>
      <w:r>
        <w:t xml:space="preserve">Schéma </w:t>
      </w:r>
      <w:r w:rsidR="007B7C94" w:rsidRPr="003E1BF9">
        <w:t>č. </w:t>
      </w:r>
      <w:r w:rsidR="007B7C94" w:rsidRPr="003E1BF9">
        <w:fldChar w:fldCharType="begin"/>
      </w:r>
      <w:r w:rsidR="007B7C94" w:rsidRPr="003E1BF9">
        <w:instrText xml:space="preserve"> SEQ Obrázek_č. \* ARABIC </w:instrText>
      </w:r>
      <w:r w:rsidR="007B7C94" w:rsidRPr="003E1BF9">
        <w:fldChar w:fldCharType="separate"/>
      </w:r>
      <w:r w:rsidR="009849B2">
        <w:t>1</w:t>
      </w:r>
      <w:r w:rsidR="007B7C94" w:rsidRPr="003E1BF9">
        <w:fldChar w:fldCharType="end"/>
      </w:r>
      <w:r w:rsidR="007B7C94" w:rsidRPr="003E1BF9">
        <w:t> –</w:t>
      </w:r>
      <w:r w:rsidR="003C0C85">
        <w:tab/>
      </w:r>
      <w:r w:rsidR="007B7C94" w:rsidRPr="003E1BF9">
        <w:t>Vývoj výdajového rámce na rok 2018 (v mld. Kč)</w:t>
      </w:r>
    </w:p>
    <w:p w14:paraId="38923E01" w14:textId="77777777" w:rsidR="007B7C94" w:rsidRDefault="007B7C94" w:rsidP="007B7C94">
      <w:pPr>
        <w:spacing w:line="240" w:lineRule="auto"/>
      </w:pPr>
      <w:r>
        <w:rPr>
          <w:noProof/>
          <w:lang w:eastAsia="cs-CZ"/>
        </w:rPr>
        <w:drawing>
          <wp:inline distT="0" distB="0" distL="0" distR="0" wp14:anchorId="7C27392B" wp14:editId="33581467">
            <wp:extent cx="5760000" cy="360000"/>
            <wp:effectExtent l="19050" t="0" r="31750" b="2159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D616F7F" w14:textId="7946E6DC" w:rsidR="007B7C94" w:rsidRPr="00EA0EE4" w:rsidRDefault="007B7C94" w:rsidP="002C4F38">
      <w:pPr>
        <w:pStyle w:val="Poznazdroj"/>
      </w:pPr>
      <w:r w:rsidRPr="007D483D">
        <w:rPr>
          <w:b/>
        </w:rPr>
        <w:t>Zdroj:</w:t>
      </w:r>
      <w:r w:rsidRPr="00DD76FC">
        <w:t xml:space="preserve"> </w:t>
      </w:r>
      <w:r w:rsidR="00EA0EE4">
        <w:tab/>
      </w:r>
      <w:r w:rsidRPr="00EA0EE4">
        <w:t>usnesení PS PČR č. 999 z roku 2015, č. 1324 z roku 2016 a č. 1451 z roku 2016, usnesení vlády ČR č. 314 z roku 2017, zákon č. 474/2017 Sb., o státním rozpočtu České republiky na rok 2018.</w:t>
      </w:r>
    </w:p>
    <w:p w14:paraId="7DFF51BF" w14:textId="244E8CCF" w:rsidR="007B7C94" w:rsidRPr="0013234E" w:rsidRDefault="007B7C94" w:rsidP="007B7C94">
      <w:pPr>
        <w:rPr>
          <w:b/>
        </w:rPr>
      </w:pPr>
      <w:r w:rsidRPr="00486165">
        <w:t>Schválený</w:t>
      </w:r>
      <w:r>
        <w:t xml:space="preserve"> rozpočet výdajů státního rozpočtu (</w:t>
      </w:r>
      <w:r w:rsidRPr="004F479C">
        <w:t>bez dotací státním fondům</w:t>
      </w:r>
      <w:r>
        <w:t xml:space="preserve">) a státních fondů byl </w:t>
      </w:r>
      <w:r w:rsidR="006C5B77">
        <w:t xml:space="preserve">pro </w:t>
      </w:r>
      <w:r>
        <w:t>ro</w:t>
      </w:r>
      <w:r w:rsidR="006C5B77">
        <w:t>k</w:t>
      </w:r>
      <w:r>
        <w:t xml:space="preserve"> 2018 </w:t>
      </w:r>
      <w:r w:rsidRPr="00B608DA">
        <w:rPr>
          <w:shd w:val="clear" w:color="auto" w:fill="FFFFFF" w:themeFill="background1"/>
        </w:rPr>
        <w:t xml:space="preserve">o 40,3 mld. Kč nižší než stanovený výdajový rámec, avšak skutečná výše výdajů </w:t>
      </w:r>
      <w:r w:rsidR="006C5B77" w:rsidRPr="00B608DA">
        <w:rPr>
          <w:shd w:val="clear" w:color="auto" w:fill="FFFFFF" w:themeFill="background1"/>
        </w:rPr>
        <w:t xml:space="preserve">překročila </w:t>
      </w:r>
      <w:r w:rsidRPr="00B608DA">
        <w:rPr>
          <w:shd w:val="clear" w:color="auto" w:fill="FFFFFF" w:themeFill="background1"/>
        </w:rPr>
        <w:t>vymezený výdajový rámec o 3,8 mld. Kč.</w:t>
      </w:r>
      <w:r w:rsidRPr="00B608DA">
        <w:t xml:space="preserve"> </w:t>
      </w:r>
      <w:r>
        <w:rPr>
          <w:b/>
        </w:rPr>
        <w:t>V </w:t>
      </w:r>
      <w:r w:rsidRPr="00B608DA">
        <w:rPr>
          <w:b/>
        </w:rPr>
        <w:t xml:space="preserve">roce </w:t>
      </w:r>
      <w:r>
        <w:rPr>
          <w:b/>
        </w:rPr>
        <w:t xml:space="preserve">2018 tak nedošlo </w:t>
      </w:r>
      <w:r w:rsidRPr="00230E93">
        <w:rPr>
          <w:b/>
        </w:rPr>
        <w:t>k dodržení výdajového rámce, ačkoliv je závazný a schv</w:t>
      </w:r>
      <w:r w:rsidR="006C5B77">
        <w:rPr>
          <w:b/>
        </w:rPr>
        <w:t>álený</w:t>
      </w:r>
      <w:r w:rsidRPr="00230E93">
        <w:rPr>
          <w:b/>
        </w:rPr>
        <w:t xml:space="preserve"> </w:t>
      </w:r>
      <w:r w:rsidR="001064C4">
        <w:rPr>
          <w:b/>
        </w:rPr>
        <w:t>PS</w:t>
      </w:r>
      <w:r w:rsidRPr="00230E93">
        <w:rPr>
          <w:b/>
        </w:rPr>
        <w:t xml:space="preserve"> PČR, která by měla vyžadovat jeho dodržování. </w:t>
      </w:r>
      <w:r w:rsidRPr="0013234E">
        <w:rPr>
          <w:b/>
        </w:rPr>
        <w:t>Neustálé změny výdajového rámce a jeho překračování nepřispívají k zabezpečení udržitelnosti veřejných financí.</w:t>
      </w:r>
    </w:p>
    <w:p w14:paraId="46EFFAD5" w14:textId="4AA2FF70" w:rsidR="007B7C94" w:rsidRDefault="007B7C94" w:rsidP="007B7C94">
      <w:r>
        <w:t>Státní rozpočet na rok 2018 byl stanoven zákone</w:t>
      </w:r>
      <w:r w:rsidRPr="00500444">
        <w:t>m</w:t>
      </w:r>
      <w:r w:rsidR="007571F1" w:rsidRPr="00500444">
        <w:rPr>
          <w:vertAlign w:val="superscript"/>
        </w:rPr>
        <w:t>9</w:t>
      </w:r>
      <w:r>
        <w:t xml:space="preserve"> ve výši příjmů </w:t>
      </w:r>
      <w:r w:rsidRPr="009655BA">
        <w:t>1</w:t>
      </w:r>
      <w:r>
        <w:t> </w:t>
      </w:r>
      <w:r w:rsidRPr="009655BA">
        <w:t>314</w:t>
      </w:r>
      <w:r>
        <w:t xml:space="preserve">,50 mld. Kč a ve výši výdajů 1 364,50 mld. Kč. Během roku bylo provedeno celkem </w:t>
      </w:r>
      <w:r w:rsidRPr="00040CA1">
        <w:t>992</w:t>
      </w:r>
      <w:r>
        <w:t xml:space="preserve"> rozpočtových opatření, která navýšila rozpočet příjmů na 1 326,74 mld. Kč a rozpočet výdajů na 1 376,74 mld. Kč. </w:t>
      </w:r>
      <w:r w:rsidRPr="00B608DA">
        <w:t>Zapojením zejména nároků z nespotřebovaných výdajů byl rozpočet výdajů navýšen na</w:t>
      </w:r>
      <w:r w:rsidR="006C5B77">
        <w:t xml:space="preserve"> </w:t>
      </w:r>
      <w:r w:rsidRPr="00B608DA">
        <w:t>konečných 1 518,35</w:t>
      </w:r>
      <w:r>
        <w:t xml:space="preserve"> mld. Kč. Jelikož čerpání výdajů za rok 2018 činilo 1 400,97 mld. Kč, zůstalo 117,37 mld. Kč nevyčerpáno. Nevyčerpání konečného rozpočtu převyšující sto miliard korun se pravidelně opakuje již od roku 2011. Systém rozpočtování by měl být více zaměřen na</w:t>
      </w:r>
      <w:r w:rsidR="006C5B77">
        <w:t xml:space="preserve"> </w:t>
      </w:r>
      <w:r>
        <w:t xml:space="preserve">sestavování rozpočtů jednotlivých výdajových položek, aby nedocházelo k výraznému </w:t>
      </w:r>
      <w:r>
        <w:lastRenderedPageBreak/>
        <w:t>nedočerpání konečných rozpočtů a růstu nároků z nespotřebovaných výdajů. Při sestavování státního rozpočtu by se měla brát v úvahu možnost zapojení nároků z nespotřebovaných výdajů,</w:t>
      </w:r>
      <w:r w:rsidRPr="00870043">
        <w:t xml:space="preserve"> </w:t>
      </w:r>
      <w:r>
        <w:t>které významnou měrou zvyšuje konečný rozpočet. Jak vyplynulo mj. z KA č. 16/09</w:t>
      </w:r>
      <w:r>
        <w:rPr>
          <w:rStyle w:val="Znakapoznpodarou"/>
        </w:rPr>
        <w:footnoteReference w:id="11"/>
      </w:r>
      <w:r>
        <w:t xml:space="preserve">, v současné době mnohdy dochází k </w:t>
      </w:r>
      <w:r w:rsidRPr="0062758E">
        <w:t xml:space="preserve">zapojení </w:t>
      </w:r>
      <w:r>
        <w:t xml:space="preserve">nároků z nespotřebovaných výdajů do rozpočtu </w:t>
      </w:r>
      <w:r w:rsidRPr="00E43186">
        <w:t>bez ohledu na</w:t>
      </w:r>
      <w:r w:rsidR="006C5B77">
        <w:t xml:space="preserve"> </w:t>
      </w:r>
      <w:r w:rsidRPr="00E43186">
        <w:t>skutečné potřeby kapitol</w:t>
      </w:r>
      <w:r>
        <w:t>. Z</w:t>
      </w:r>
      <w:r w:rsidRPr="0062758E">
        <w:t>ákon o státním rozpočtu</w:t>
      </w:r>
      <w:r>
        <w:t xml:space="preserve"> tak ztrácí na svém významu.</w:t>
      </w:r>
    </w:p>
    <w:p w14:paraId="7F768D53" w14:textId="41273D7B" w:rsidR="007B7C94" w:rsidRDefault="007B7C94" w:rsidP="007B7C94">
      <w:r>
        <w:t xml:space="preserve">Státní rozpočet je v ČR sestavován na základě peněžního principu, </w:t>
      </w:r>
      <w:r w:rsidR="006C5B77">
        <w:t>to znamená, že</w:t>
      </w:r>
      <w:r>
        <w:t xml:space="preserve"> se příjmy a</w:t>
      </w:r>
      <w:r w:rsidR="006C5B77">
        <w:t> </w:t>
      </w:r>
      <w:r>
        <w:t xml:space="preserve">výdaje OSS </w:t>
      </w:r>
      <w:r w:rsidR="006C5B77">
        <w:t xml:space="preserve">vykazují </w:t>
      </w:r>
      <w:r>
        <w:t>do</w:t>
      </w:r>
      <w:r w:rsidR="006C5B77">
        <w:t xml:space="preserve"> </w:t>
      </w:r>
      <w:r>
        <w:t>období, kdy došlo ke skutečnému pohybu peněžních prostředků</w:t>
      </w:r>
      <w:r w:rsidR="006C5B77">
        <w:t>,</w:t>
      </w:r>
      <w:r>
        <w:t xml:space="preserve"> </w:t>
      </w:r>
      <w:r w:rsidR="00CE043D">
        <w:t xml:space="preserve">a to </w:t>
      </w:r>
      <w:r>
        <w:t>bez</w:t>
      </w:r>
      <w:r w:rsidR="006C5B77">
        <w:t xml:space="preserve"> </w:t>
      </w:r>
      <w:r w:rsidRPr="00246D10">
        <w:t>ohledu na časovou a věcnou souvislost</w:t>
      </w:r>
      <w:r>
        <w:t xml:space="preserve">. V roce 2018 tak skončil státní rozpočet přebytkovým saldem ve výši 2,94 mld. Kč. </w:t>
      </w:r>
    </w:p>
    <w:p w14:paraId="0218A217" w14:textId="3F97685D" w:rsidR="007B7C94" w:rsidRDefault="007B7C94" w:rsidP="007B7C94">
      <w:r>
        <w:t>Na rozdíl od údajů o plnění státního rozpočtu se v účetnictví OSS sledují veškeré transakce na základě tzv. akruálního principu. Ten zachycuje veškeré vzniklé náklady a výnosy (neomezuje se jen na příjmy a výdaje) do období, se kterým věcně a časově souvisejí</w:t>
      </w:r>
      <w:r w:rsidR="006C5B77">
        <w:t xml:space="preserve">, </w:t>
      </w:r>
      <w:r w:rsidR="00CE043D">
        <w:t>přičemž</w:t>
      </w:r>
      <w:r>
        <w:t xml:space="preserve"> </w:t>
      </w:r>
      <w:r w:rsidR="00CE043D">
        <w:t xml:space="preserve">nebere </w:t>
      </w:r>
      <w:r>
        <w:t>ohled na to, zda došlo k reálnému pohybu peněz. Z účetních údajů OSS vyplývá, že při uplatnění akruálního principu dosáhl v roce 2018 nekonsolidovaný výsledek hospodaření OSS ztráty ve výši 23,64 mld. Kč</w:t>
      </w:r>
      <w:r>
        <w:rPr>
          <w:rStyle w:val="Znakapoznpodarou"/>
        </w:rPr>
        <w:footnoteReference w:id="12"/>
      </w:r>
      <w:r>
        <w:t>.</w:t>
      </w:r>
    </w:p>
    <w:p w14:paraId="060F066E" w14:textId="289F904A" w:rsidR="007B7C94" w:rsidRPr="00C95133" w:rsidRDefault="00E877E5" w:rsidP="00D3507E">
      <w:pPr>
        <w:pStyle w:val="Tituleknadgrafy1-9"/>
      </w:pPr>
      <w:r w:rsidRPr="00C95133">
        <w:t>Graf č. </w:t>
      </w:r>
      <w:r w:rsidRPr="00C95133">
        <w:fldChar w:fldCharType="begin"/>
      </w:r>
      <w:r w:rsidRPr="00C95133">
        <w:instrText xml:space="preserve"> SEQ Graf_č. \* ARABIC </w:instrText>
      </w:r>
      <w:r w:rsidRPr="00C95133">
        <w:fldChar w:fldCharType="separate"/>
      </w:r>
      <w:r w:rsidR="009849B2">
        <w:t>4</w:t>
      </w:r>
      <w:r w:rsidRPr="00C95133">
        <w:fldChar w:fldCharType="end"/>
      </w:r>
      <w:r>
        <w:t xml:space="preserve"> </w:t>
      </w:r>
      <w:r w:rsidR="007B7C94" w:rsidRPr="00C95133">
        <w:t>–</w:t>
      </w:r>
      <w:r w:rsidR="009C35D5">
        <w:tab/>
      </w:r>
      <w:r w:rsidR="007B7C94" w:rsidRPr="00C95133">
        <w:t xml:space="preserve">Vývoj </w:t>
      </w:r>
      <w:r w:rsidR="00CB350B">
        <w:t xml:space="preserve">rozpočtového </w:t>
      </w:r>
      <w:r w:rsidR="007B7C94" w:rsidRPr="00C95133">
        <w:t>salda a výsledku hospodaření (v mld. Kč)</w:t>
      </w:r>
    </w:p>
    <w:p w14:paraId="097654AD" w14:textId="77777777" w:rsidR="007B7C94" w:rsidRDefault="007B7C94" w:rsidP="007B7C94">
      <w:pPr>
        <w:spacing w:before="0" w:after="0" w:line="240" w:lineRule="auto"/>
      </w:pPr>
      <w:r>
        <w:rPr>
          <w:noProof/>
          <w:lang w:eastAsia="cs-CZ"/>
        </w:rPr>
        <w:drawing>
          <wp:inline distT="0" distB="0" distL="0" distR="0" wp14:anchorId="49005420" wp14:editId="55136FCF">
            <wp:extent cx="5759450" cy="154305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B9B297D" w14:textId="77777777" w:rsidR="007B7C94" w:rsidRPr="00EA0EE4" w:rsidRDefault="007B7C94" w:rsidP="002C4F38">
      <w:pPr>
        <w:pStyle w:val="Poznazdroj"/>
      </w:pPr>
      <w:r w:rsidRPr="007D483D">
        <w:rPr>
          <w:b/>
        </w:rPr>
        <w:t>Zdroj:</w:t>
      </w:r>
      <w:r>
        <w:t xml:space="preserve"> </w:t>
      </w:r>
      <w:r w:rsidRPr="00EA0EE4">
        <w:t>informační portál MONITOR.</w:t>
      </w:r>
    </w:p>
    <w:p w14:paraId="2A9350EB" w14:textId="2427762D" w:rsidR="007B7C94" w:rsidRDefault="007B7C94" w:rsidP="007B7C94">
      <w:r>
        <w:t>Rozdíl</w:t>
      </w:r>
      <w:r w:rsidR="00CE043D">
        <w:t>y mezi</w:t>
      </w:r>
      <w:r>
        <w:t xml:space="preserve"> rozpočtový</w:t>
      </w:r>
      <w:r w:rsidR="00CE043D">
        <w:t>mi</w:t>
      </w:r>
      <w:r>
        <w:t xml:space="preserve"> sald</w:t>
      </w:r>
      <w:r w:rsidR="00CE043D">
        <w:t>y</w:t>
      </w:r>
      <w:r>
        <w:t xml:space="preserve"> a výsledk</w:t>
      </w:r>
      <w:r w:rsidR="00CE043D">
        <w:t>y</w:t>
      </w:r>
      <w:r>
        <w:t xml:space="preserve"> hospodaření OSS j</w:t>
      </w:r>
      <w:r w:rsidR="00CE043D">
        <w:t>sou</w:t>
      </w:r>
      <w:r>
        <w:t xml:space="preserve"> způsoben</w:t>
      </w:r>
      <w:r w:rsidR="00CE043D">
        <w:t>y</w:t>
      </w:r>
      <w:r>
        <w:t xml:space="preserve"> mj. zachycením finančního majetku na mimorozpočtových účtech</w:t>
      </w:r>
      <w:r>
        <w:rPr>
          <w:rStyle w:val="Znakapoznpodarou"/>
        </w:rPr>
        <w:footnoteReference w:id="13"/>
      </w:r>
      <w:r>
        <w:t>, zejména však velkým množstvím akruálních účetních případů, které se v peněžním výkaznictví státního rozpočtu neprojeví. Mezi tyto případy patří zejména zachycování odpisů dlouhodobého majetku, opravných položek, nákladů z prodeje dlouhodobého majetku, krátkodobých a dlouhodobých pohledávek</w:t>
      </w:r>
      <w:r>
        <w:rPr>
          <w:rStyle w:val="Znakapoznpodarou"/>
        </w:rPr>
        <w:footnoteReference w:id="14"/>
      </w:r>
      <w:r>
        <w:t>, krátkodobých a dlouhodobých závazků</w:t>
      </w:r>
      <w:r>
        <w:rPr>
          <w:rStyle w:val="Znakapoznpodarou"/>
        </w:rPr>
        <w:footnoteReference w:id="15"/>
      </w:r>
      <w:r>
        <w:t xml:space="preserve"> aj. Z uvedených </w:t>
      </w:r>
      <w:r w:rsidR="00CE043D">
        <w:t>informací</w:t>
      </w:r>
      <w:r>
        <w:t xml:space="preserve"> vyplývá, že </w:t>
      </w:r>
      <w:r>
        <w:lastRenderedPageBreak/>
        <w:t>výsledek hospodaření vypovídá o jiných skutečnostech než saldo státního rozpočtu, přičemž podle NKÚ je žádoucí tyto výsledky zjišťovat, analyzovat a porovnávat.</w:t>
      </w:r>
    </w:p>
    <w:p w14:paraId="70941645" w14:textId="39B58452" w:rsidR="007B7C94" w:rsidRDefault="007B7C94" w:rsidP="007B7C94">
      <w:r>
        <w:t xml:space="preserve">NKÚ v kontrolním závěru z </w:t>
      </w:r>
      <w:r w:rsidR="009475C9">
        <w:t>KA</w:t>
      </w:r>
      <w:r>
        <w:t xml:space="preserve"> č. 17/36</w:t>
      </w:r>
      <w:r>
        <w:rPr>
          <w:rStyle w:val="Znakapoznpodarou"/>
        </w:rPr>
        <w:footnoteReference w:id="16"/>
      </w:r>
      <w:r>
        <w:t xml:space="preserve"> uvedl, že p</w:t>
      </w:r>
      <w:r w:rsidRPr="00CA0B81">
        <w:t xml:space="preserve">otenciál akruálních účetních informací </w:t>
      </w:r>
      <w:r>
        <w:t>není</w:t>
      </w:r>
      <w:r w:rsidRPr="00CA0B81">
        <w:t xml:space="preserve"> ze strany M</w:t>
      </w:r>
      <w:r>
        <w:t>inisterstva financí</w:t>
      </w:r>
      <w:r w:rsidRPr="00CA0B81">
        <w:t xml:space="preserve"> plně využíván.</w:t>
      </w:r>
      <w:r>
        <w:t xml:space="preserve"> Tyto</w:t>
      </w:r>
      <w:r w:rsidRPr="00CA0B81">
        <w:t xml:space="preserve"> informace zobrazují skutečné finanční dopady učiněných rozhodnutí a mohou pomoci k</w:t>
      </w:r>
      <w:r>
        <w:t> </w:t>
      </w:r>
      <w:r w:rsidRPr="00CA0B81">
        <w:t>transparentnějšímu skládání účtů při hospodaření s majetkem</w:t>
      </w:r>
      <w:r>
        <w:t xml:space="preserve"> státu a k lepšímu rozhodování </w:t>
      </w:r>
      <w:r w:rsidRPr="00CA0B81">
        <w:t>za předpokladu, že jsou spolehlivé a</w:t>
      </w:r>
      <w:r w:rsidR="00CE043D">
        <w:t> </w:t>
      </w:r>
      <w:r w:rsidRPr="00CA0B81">
        <w:t>srovnatelné.</w:t>
      </w:r>
      <w:r w:rsidRPr="00611D85">
        <w:t xml:space="preserve"> </w:t>
      </w:r>
      <w:r w:rsidRPr="00CA0B81">
        <w:t>Nepropojení akruálního účetnictví se systémem rozpočetnictví a z toho vyplývající nevyužívání akruálních účetních informací ze strany M</w:t>
      </w:r>
      <w:r>
        <w:t>inisterstva financí</w:t>
      </w:r>
      <w:r w:rsidRPr="00CA0B81">
        <w:t xml:space="preserve"> při sestavování státního rozpočtu, závěrečných účtů kapitol státního rozpočtu a státního závěrečného účtu představuje výrazné omezení předpokládaných přínosů účetní reformy</w:t>
      </w:r>
      <w:r w:rsidR="00E24524">
        <w:t xml:space="preserve"> z roku 2010</w:t>
      </w:r>
      <w:r w:rsidRPr="00CA0B81">
        <w:t>.</w:t>
      </w:r>
    </w:p>
    <w:p w14:paraId="1A8E73E5" w14:textId="77777777" w:rsidR="000C2CB2" w:rsidRDefault="000C2CB2">
      <w:pPr>
        <w:spacing w:before="0" w:after="0" w:line="240" w:lineRule="auto"/>
        <w:jc w:val="left"/>
        <w:rPr>
          <w:b/>
        </w:rPr>
      </w:pPr>
      <w:r>
        <w:br w:type="page"/>
      </w:r>
    </w:p>
    <w:p w14:paraId="03BE07A1" w14:textId="75DE91C2" w:rsidR="00C1759D" w:rsidRDefault="00C1759D" w:rsidP="008971F5">
      <w:pPr>
        <w:pStyle w:val="Nadpis3"/>
        <w:numPr>
          <w:ilvl w:val="0"/>
          <w:numId w:val="5"/>
        </w:numPr>
      </w:pPr>
      <w:bookmarkStart w:id="13" w:name="_Toc17208267"/>
      <w:r w:rsidRPr="00CF1151">
        <w:lastRenderedPageBreak/>
        <w:t>Příjmy státního rozpočtu</w:t>
      </w:r>
      <w:bookmarkEnd w:id="12"/>
      <w:bookmarkEnd w:id="13"/>
    </w:p>
    <w:p w14:paraId="427D6903" w14:textId="068934B2" w:rsidR="0005326B" w:rsidRDefault="0005326B" w:rsidP="0005326B">
      <w:bookmarkStart w:id="14" w:name="_Toc482272321"/>
      <w:r w:rsidRPr="000903C1">
        <w:rPr>
          <w:noProof/>
          <w:lang w:eastAsia="cs-CZ"/>
        </w:rPr>
        <mc:AlternateContent>
          <mc:Choice Requires="wps">
            <w:drawing>
              <wp:anchor distT="45720" distB="45720" distL="114300" distR="114300" simplePos="0" relativeHeight="251644416" behindDoc="0" locked="0" layoutInCell="1" allowOverlap="1" wp14:anchorId="54B5B29F" wp14:editId="65B54179">
                <wp:simplePos x="0" y="0"/>
                <wp:positionH relativeFrom="column">
                  <wp:posOffset>1683385</wp:posOffset>
                </wp:positionH>
                <wp:positionV relativeFrom="paragraph">
                  <wp:posOffset>499110</wp:posOffset>
                </wp:positionV>
                <wp:extent cx="3888000" cy="287020"/>
                <wp:effectExtent l="0" t="0" r="0" b="0"/>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0" cy="287020"/>
                        </a:xfrm>
                        <a:prstGeom prst="rect">
                          <a:avLst/>
                        </a:prstGeom>
                        <a:solidFill>
                          <a:srgbClr val="FFFFFF"/>
                        </a:solidFill>
                        <a:ln w="9525">
                          <a:noFill/>
                          <a:miter lim="800000"/>
                          <a:headEnd/>
                          <a:tailEnd/>
                        </a:ln>
                      </wps:spPr>
                      <wps:txbx>
                        <w:txbxContent>
                          <w:p w14:paraId="343259CC" w14:textId="6CAAA244" w:rsidR="009E69AD" w:rsidRPr="000903C1" w:rsidRDefault="009E69AD" w:rsidP="0005326B">
                            <w:pPr>
                              <w:spacing w:before="0" w:after="0"/>
                              <w:jc w:val="center"/>
                              <w:rPr>
                                <w:b/>
                                <w:sz w:val="18"/>
                              </w:rPr>
                            </w:pPr>
                            <w:r>
                              <w:rPr>
                                <w:b/>
                                <w:sz w:val="18"/>
                              </w:rPr>
                              <w:t>Plnění příjmů státního rozpočtu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5B29F" id="_x0000_s1028" type="#_x0000_t202" style="position:absolute;left:0;text-align:left;margin-left:132.55pt;margin-top:39.3pt;width:306.15pt;height:22.6pt;z-index:251644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npKgIAACcEAAAOAAAAZHJzL2Uyb0RvYy54bWysU9uO0zAQfUfiHyy/06ShZbtR09XSpQhp&#10;uUi7fIDjOI2F7TG2m6T8Ed/BjzF2uqVa3hB5iMae8fGZc8brm1Er0gvnJZiKzmc5JcJwaKTZV/Tr&#10;4+7VihIfmGmYAiMqehSe3mxevlgPthQFdKAa4QiCGF8OtqJdCLbMMs87oZmfgRUGky04zQIu3T5r&#10;HBsQXausyPM32QCusQ648B5376Yk3ST8thU8fG5bLwJRFUVuIf1d+tfxn23WrNw7ZjvJTzTYP7DQ&#10;TBq89Ax1xwIjByf/gtKSO/DQhhkHnUHbSi5SD9jNPH/WzUPHrEi9oDjenmXy/w+Wf+q/OCKbiqJR&#10;hmm06FGMAfpfP4kFJUgRJRqsL7HywWJtGN/CiFandr29B/7NEwPbjpm9uHUOhk6wBinO48ns4uiE&#10;4yNIPXyEBu9ihwAJaGydjvqhIgTR0arj2R7kQzhuvl6tVnmOKY65YnWVF8m/jJVPp63z4b0ATWJQ&#10;UYf2J3TW3/sQ2bDyqSRe5kHJZieVSgu3r7fKkZ7hqOzSlxp4VqYMGSp6vSyWCdlAPJ+mSMuAo6yk&#10;Ri2RJhJN21GNd6ZJcWBSTTEyUeYkT1Rk0iaM9ZjMOKteQ3NEvRxMk4svDYMO3A9KBpzaivrvB+YE&#10;JeqDQc2v54tFHPO0WCyvUCHiLjP1ZYYZjlAVDZRM4TakpxHlMHCL3rQyyRZNnJicKOM0JjVPLyeO&#10;++U6Vf1535vfAAAA//8DAFBLAwQUAAYACAAAACEA0HrK4N8AAAAKAQAADwAAAGRycy9kb3ducmV2&#10;LnhtbEyP0U6DQBBF3038h82Y+GLsUmxZpCyNmmh8be0HLDAFUnaWsNtC/97xyT5O7sm9Z/LtbHtx&#10;wdF3jjQsFxEIpMrVHTUaDj+fzykIHwzVpneEGq7oYVvc3+Umq91EO7zsQyO4hHxmNLQhDJmUvmrR&#10;Gr9wAxJnRzdaE/gcG1mPZuJy28s4ihJpTUe80JoBP1qsTvuz1XD8np7Wr1P5FQ5qt0reTadKd9X6&#10;8WF+24AIOId/GP70WR0KdirdmWoveg1xsl4yqkGlCQgGUqVWIEom45cUZJHL2xeKXwAAAP//AwBQ&#10;SwECLQAUAAYACAAAACEAtoM4kv4AAADhAQAAEwAAAAAAAAAAAAAAAAAAAAAAW0NvbnRlbnRfVHlw&#10;ZXNdLnhtbFBLAQItABQABgAIAAAAIQA4/SH/1gAAAJQBAAALAAAAAAAAAAAAAAAAAC8BAABfcmVs&#10;cy8ucmVsc1BLAQItABQABgAIAAAAIQDXxunpKgIAACcEAAAOAAAAAAAAAAAAAAAAAC4CAABkcnMv&#10;ZTJvRG9jLnhtbFBLAQItABQABgAIAAAAIQDQesrg3wAAAAoBAAAPAAAAAAAAAAAAAAAAAIQEAABk&#10;cnMvZG93bnJldi54bWxQSwUGAAAAAAQABADzAAAAkAUAAAAA&#10;" stroked="f">
                <v:textbox>
                  <w:txbxContent>
                    <w:p w14:paraId="343259CC" w14:textId="6CAAA244" w:rsidR="009E69AD" w:rsidRPr="000903C1" w:rsidRDefault="009E69AD" w:rsidP="0005326B">
                      <w:pPr>
                        <w:spacing w:before="0" w:after="0"/>
                        <w:jc w:val="center"/>
                        <w:rPr>
                          <w:b/>
                          <w:sz w:val="18"/>
                        </w:rPr>
                      </w:pPr>
                      <w:r>
                        <w:rPr>
                          <w:b/>
                          <w:sz w:val="18"/>
                        </w:rPr>
                        <w:t>Plnění příjmů státního rozpočtu</w:t>
                      </w:r>
                    </w:p>
                  </w:txbxContent>
                </v:textbox>
                <w10:wrap type="square"/>
              </v:shape>
            </w:pict>
          </mc:Fallback>
        </mc:AlternateContent>
      </w:r>
      <w:r w:rsidRPr="00127790">
        <w:rPr>
          <w:noProof/>
          <w:lang w:eastAsia="cs-CZ"/>
        </w:rPr>
        <w:drawing>
          <wp:anchor distT="0" distB="0" distL="114300" distR="114300" simplePos="0" relativeHeight="251645440" behindDoc="1" locked="0" layoutInCell="1" allowOverlap="1" wp14:anchorId="5D9687DC" wp14:editId="759DA0A9">
            <wp:simplePos x="0" y="0"/>
            <wp:positionH relativeFrom="margin">
              <wp:posOffset>1662430</wp:posOffset>
            </wp:positionH>
            <wp:positionV relativeFrom="paragraph">
              <wp:posOffset>679450</wp:posOffset>
            </wp:positionV>
            <wp:extent cx="4032000" cy="2268000"/>
            <wp:effectExtent l="19050" t="0" r="6985" b="0"/>
            <wp:wrapTight wrapText="bothSides">
              <wp:wrapPolygon edited="0">
                <wp:start x="-102" y="907"/>
                <wp:lineTo x="-102" y="14698"/>
                <wp:lineTo x="408" y="15787"/>
                <wp:lineTo x="-102" y="16694"/>
                <wp:lineTo x="-102" y="17965"/>
                <wp:lineTo x="306" y="18691"/>
                <wp:lineTo x="-102" y="19961"/>
                <wp:lineTo x="-102" y="20687"/>
                <wp:lineTo x="3776" y="20687"/>
                <wp:lineTo x="18371" y="20324"/>
                <wp:lineTo x="21535" y="19961"/>
                <wp:lineTo x="21535" y="15787"/>
                <wp:lineTo x="21331" y="12884"/>
                <wp:lineTo x="21229" y="10525"/>
                <wp:lineTo x="21127" y="9980"/>
                <wp:lineTo x="21535" y="8347"/>
                <wp:lineTo x="20617" y="7803"/>
                <wp:lineTo x="3878" y="7077"/>
                <wp:lineTo x="21331" y="7077"/>
                <wp:lineTo x="21535" y="3811"/>
                <wp:lineTo x="21535" y="1270"/>
                <wp:lineTo x="3878" y="907"/>
                <wp:lineTo x="-102" y="907"/>
              </wp:wrapPolygon>
            </wp:wrapTight>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14:sizeRelH relativeFrom="margin">
              <wp14:pctWidth>0</wp14:pctWidth>
            </wp14:sizeRelH>
            <wp14:sizeRelV relativeFrom="margin">
              <wp14:pctHeight>0</wp14:pctHeight>
            </wp14:sizeRelV>
          </wp:anchor>
        </w:drawing>
      </w:r>
      <w:r>
        <w:t>Příznivá</w:t>
      </w:r>
      <w:r w:rsidRPr="00127790">
        <w:t xml:space="preserve"> ekonomická situace v ČR v průběhu roku 2018 odpovídala vrcholu ekonomického cyklu</w:t>
      </w:r>
      <w:r>
        <w:t xml:space="preserve"> a</w:t>
      </w:r>
      <w:r w:rsidRPr="00127790">
        <w:t xml:space="preserve"> vytvořila předpoklad pro </w:t>
      </w:r>
      <w:r>
        <w:t>překročení</w:t>
      </w:r>
      <w:r w:rsidRPr="00127790">
        <w:t xml:space="preserve"> </w:t>
      </w:r>
      <w:r>
        <w:t xml:space="preserve">plánovaných </w:t>
      </w:r>
      <w:r w:rsidRPr="00127790">
        <w:t xml:space="preserve">příjmů </w:t>
      </w:r>
      <w:r>
        <w:t>(1 314,5 mld. Kč). Meziroční zvýšení o 130,3</w:t>
      </w:r>
      <w:r w:rsidRPr="00127790">
        <w:t xml:space="preserve"> mld. </w:t>
      </w:r>
      <w:r>
        <w:t xml:space="preserve">Kč (o 10,2 </w:t>
      </w:r>
      <w:r>
        <w:rPr>
          <w:rFonts w:cstheme="minorHAnsi"/>
        </w:rPr>
        <w:t>%</w:t>
      </w:r>
      <w:r>
        <w:t xml:space="preserve">) </w:t>
      </w:r>
      <w:r w:rsidRPr="0086357A">
        <w:t>patřilo k</w:t>
      </w:r>
      <w:r w:rsidR="00CE043D">
        <w:t> </w:t>
      </w:r>
      <w:r w:rsidRPr="0086357A">
        <w:t>nejvyšším zvýšení</w:t>
      </w:r>
      <w:r>
        <w:t>m</w:t>
      </w:r>
      <w:r w:rsidRPr="0086357A">
        <w:t xml:space="preserve"> plnění příjmů od roku 1993. Nejvíce se</w:t>
      </w:r>
      <w:r>
        <w:t xml:space="preserve"> na růstu </w:t>
      </w:r>
      <w:r w:rsidRPr="00127790">
        <w:t>podílely daňové příjmy</w:t>
      </w:r>
      <w:r>
        <w:t xml:space="preserve"> </w:t>
      </w:r>
      <w:r w:rsidR="00CE043D">
        <w:t>(zvýšení</w:t>
      </w:r>
      <w:r>
        <w:t xml:space="preserve"> </w:t>
      </w:r>
      <w:r w:rsidR="00CE043D">
        <w:t xml:space="preserve">o </w:t>
      </w:r>
      <w:r>
        <w:t>84,8 mld. Kč</w:t>
      </w:r>
      <w:r w:rsidR="00CE043D">
        <w:t>)</w:t>
      </w:r>
      <w:r>
        <w:t xml:space="preserve">, kdy rostly zejména příjmy z pojistného na sociální zabezpečení </w:t>
      </w:r>
      <w:r w:rsidR="00CE043D">
        <w:br/>
      </w:r>
      <w:r>
        <w:t>(o</w:t>
      </w:r>
      <w:r w:rsidR="00CE043D">
        <w:t xml:space="preserve"> </w:t>
      </w:r>
      <w:r>
        <w:t>47,1 mld.</w:t>
      </w:r>
      <w:r w:rsidR="00CE043D">
        <w:t xml:space="preserve"> </w:t>
      </w:r>
      <w:r>
        <w:t xml:space="preserve">Kč), daně z příjmů fyzických osob (o 17,9 mld. Kč) a daň z přidané hodnoty (o 13,0 mld. Kč). V porovnání s rokem 2017 došlo rovněž ke </w:t>
      </w:r>
      <w:r w:rsidRPr="00127790">
        <w:t>zvýšení objemu přijatých transferů</w:t>
      </w:r>
      <w:r>
        <w:t xml:space="preserve"> o 37,2 mld. Kč, kdy došlo oproti zákonem schválenému rozpočtu ke zvýšení příjmů ze závěrečných plateb z rozpočtu EU za operační programy předcházejícího PO7+ o více než 23,8 mld. Kč.</w:t>
      </w:r>
    </w:p>
    <w:p w14:paraId="60327453" w14:textId="29D213A2" w:rsidR="0005326B" w:rsidRPr="00394865" w:rsidRDefault="0005326B" w:rsidP="0005326B">
      <w:pPr>
        <w:pStyle w:val="ramecek"/>
        <w:spacing w:before="120" w:after="120"/>
      </w:pPr>
      <w:r>
        <w:t>Příjmy</w:t>
      </w:r>
      <w:r w:rsidRPr="00394865">
        <w:t xml:space="preserve"> nad rámec </w:t>
      </w:r>
      <w:r w:rsidR="00A71378">
        <w:t xml:space="preserve">schváleného </w:t>
      </w:r>
      <w:r w:rsidRPr="00394865">
        <w:t>rozpočt</w:t>
      </w:r>
      <w:r>
        <w:t xml:space="preserve">u </w:t>
      </w:r>
      <w:r w:rsidRPr="00B8319E">
        <w:t>ve výši 89,4 mld. Kč</w:t>
      </w:r>
      <w:r w:rsidRPr="00394865">
        <w:t xml:space="preserve"> představovaly „rozpočtový polštář“</w:t>
      </w:r>
      <w:r>
        <w:t>, který byl využit</w:t>
      </w:r>
      <w:r w:rsidRPr="00394865">
        <w:t xml:space="preserve"> </w:t>
      </w:r>
      <w:r>
        <w:t>částečně ke zvýšení celkových výdajů SR a částečně ke zlepšení salda SR.</w:t>
      </w:r>
    </w:p>
    <w:p w14:paraId="0AEBF33F" w14:textId="5C9B05EA" w:rsidR="0005326B" w:rsidRDefault="0005326B" w:rsidP="0005326B">
      <w:r w:rsidRPr="00CA556D">
        <w:rPr>
          <w:b/>
          <w:noProof/>
          <w:lang w:eastAsia="cs-CZ"/>
        </w:rPr>
        <mc:AlternateContent>
          <mc:Choice Requires="wpg">
            <w:drawing>
              <wp:anchor distT="0" distB="0" distL="114300" distR="114300" simplePos="0" relativeHeight="251646464" behindDoc="1" locked="0" layoutInCell="1" allowOverlap="1" wp14:anchorId="1DB5B641" wp14:editId="3B296E34">
                <wp:simplePos x="0" y="0"/>
                <wp:positionH relativeFrom="column">
                  <wp:posOffset>100330</wp:posOffset>
                </wp:positionH>
                <wp:positionV relativeFrom="paragraph">
                  <wp:posOffset>417830</wp:posOffset>
                </wp:positionV>
                <wp:extent cx="2924175" cy="1723390"/>
                <wp:effectExtent l="0" t="0" r="0" b="0"/>
                <wp:wrapTight wrapText="bothSides">
                  <wp:wrapPolygon edited="0">
                    <wp:start x="0" y="0"/>
                    <wp:lineTo x="0" y="21250"/>
                    <wp:lineTo x="21389" y="21250"/>
                    <wp:lineTo x="21389" y="0"/>
                    <wp:lineTo x="0" y="0"/>
                  </wp:wrapPolygon>
                </wp:wrapTight>
                <wp:docPr id="9" name="Skupina 9"/>
                <wp:cNvGraphicFramePr/>
                <a:graphic xmlns:a="http://schemas.openxmlformats.org/drawingml/2006/main">
                  <a:graphicData uri="http://schemas.microsoft.com/office/word/2010/wordprocessingGroup">
                    <wpg:wgp>
                      <wpg:cNvGrpSpPr/>
                      <wpg:grpSpPr>
                        <a:xfrm>
                          <a:off x="0" y="0"/>
                          <a:ext cx="2924175" cy="1723390"/>
                          <a:chOff x="10633" y="-164668"/>
                          <a:chExt cx="3072765" cy="2061944"/>
                        </a:xfrm>
                      </wpg:grpSpPr>
                      <wpg:graphicFrame>
                        <wpg:cNvPr id="10" name="Graf 10"/>
                        <wpg:cNvFrPr/>
                        <wpg:xfrm>
                          <a:off x="10633" y="297711"/>
                          <a:ext cx="3072765" cy="1599565"/>
                        </wpg:xfrm>
                        <a:graphic>
                          <a:graphicData uri="http://schemas.openxmlformats.org/drawingml/2006/chart">
                            <c:chart xmlns:c="http://schemas.openxmlformats.org/drawingml/2006/chart" xmlns:r="http://schemas.openxmlformats.org/officeDocument/2006/relationships" r:id="rId30"/>
                          </a:graphicData>
                        </a:graphic>
                      </wpg:graphicFrame>
                      <wps:wsp>
                        <wps:cNvPr id="11" name="Textové pole 2"/>
                        <wps:cNvSpPr txBox="1">
                          <a:spLocks noChangeArrowheads="1"/>
                        </wps:cNvSpPr>
                        <wps:spPr bwMode="auto">
                          <a:xfrm>
                            <a:off x="16982" y="-164668"/>
                            <a:ext cx="3066415" cy="592382"/>
                          </a:xfrm>
                          <a:prstGeom prst="rect">
                            <a:avLst/>
                          </a:prstGeom>
                          <a:solidFill>
                            <a:srgbClr val="FFFFFF"/>
                          </a:solidFill>
                          <a:ln w="9525">
                            <a:noFill/>
                            <a:miter lim="800000"/>
                            <a:headEnd/>
                            <a:tailEnd/>
                          </a:ln>
                        </wps:spPr>
                        <wps:txbx>
                          <w:txbxContent>
                            <w:p w14:paraId="781C12B5" w14:textId="47C2632A" w:rsidR="009E69AD" w:rsidRPr="00250AAE" w:rsidRDefault="009E69AD" w:rsidP="0005326B">
                              <w:pPr>
                                <w:spacing w:before="0" w:after="0" w:line="240" w:lineRule="auto"/>
                                <w:ind w:left="-113" w:right="113"/>
                                <w:jc w:val="center"/>
                                <w:rPr>
                                  <w:b/>
                                  <w:sz w:val="18"/>
                                </w:rPr>
                              </w:pPr>
                              <w:r w:rsidRPr="00250AAE">
                                <w:rPr>
                                  <w:b/>
                                  <w:sz w:val="18"/>
                                </w:rPr>
                                <w:t>Zvýšení příjmů SR ze zdaněné práce ve srovnání s nárůstem u nepřímých daní mezi roky 2014 a 2018 (v</w:t>
                              </w:r>
                              <w:r>
                                <w:rPr>
                                  <w:b/>
                                  <w:sz w:val="18"/>
                                </w:rPr>
                                <w:t> </w:t>
                              </w:r>
                              <w:r w:rsidRPr="00250AAE">
                                <w:rPr>
                                  <w:b/>
                                  <w:sz w:val="18"/>
                                </w:rPr>
                                <w:t>mld. Kč)</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B5B641" id="Skupina 9" o:spid="_x0000_s1029" style="position:absolute;left:0;text-align:left;margin-left:7.9pt;margin-top:32.9pt;width:230.25pt;height:135.7pt;z-index:-251670016;mso-width-relative:margin;mso-height-relative:margin" coordorigin="106,-1646" coordsize="30727,20619"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e3UeCOAAAAAJAQAADwAAAGRycy9k&#10;b3ducmV2LnhtbEyPQUvDQBCF74L/YRnBm92ksanEbEop6qkItoJ4m2anSWh2NmS3Sfrv3Z7s6fF4&#10;w3vf5KvJtGKg3jWWFcSzCARxaXXDlYLv/fvTCwjnkTW2lknBhRysivu7HDNtR/6iYecrEUrYZaig&#10;9r7LpHRlTQbdzHbEITva3qAPtq+k7nEM5aaV8yhKpcGGw0KNHW1qKk+7s1HwMeK4TuK3YXs6bi6/&#10;+8XnzzYmpR4fpvUrCE+T/z+GK35AhyIwHeyZtRNt8ItA7hWkVw358zJNQBwUJMlyDrLI5e0HxR8A&#10;AAD//wMAUEsDBBQABgAIAAAAIQCDlbgfLgMAADAHAAAOAAAAZHJzL2Uyb0RvYy54bWycVVtu2zAQ&#10;/C/QOxD8T2TJtmwJkYM0iY0AaRsg6QFoinogEsmStOX0Rj1HL9YlKT9iB2gafUikSI5mZ2dXF5eb&#10;tkFrpnQteIbD8wFGjFOR17zM8I+n+dkUI20Iz0kjOMvwC9P4cvb500UnUxaJSjQ5UwhAuE47meHK&#10;GJkGgaYVa4k+F5JxWCyEaomBqSqDXJEO0NsmiAaDOOiEyqUSlGkNb2/8Ip45/KJg1HwvCs0MajIM&#10;3Iy7K3df2nswuyBpqYisatrTIB9g0ZKaw0d3UDfEELRS9QlUW1MltCjMORVtIIqipszFANGEg6No&#10;FkqspIulTLtS7mQCaY90+jAs/bZ+UKjOM5xgxEkLKXp8XsmaE5RYcTpZprBnoeSjfFD9i9LPbLyb&#10;QrX2CZGgjZP1ZScr2xhE4WWURKNwMsaIwlo4iYbDpBeeVpAdey4cxMMhRrB+FsajOJ76xNDqtscY&#10;DibRJO4xokEcJqOR3RNsKQSW6Y6Yn7iszhVEtQukDzYEL/hoF4oUCKb7WOdqF+hRdHuWUTKZhKEn&#10;uQ3zFcVwnCRj4GspWjJbpN5q77HKv71PK6IM+IOmbtT7g564471IPQCUx5G93gDw1r0RdNUybnwt&#10;KtYQA41AV7XUGKnU+krd5U4oyFQfvC0Ol7mdGH3yXucLGoLee16fkPovzz9WRDJXStr6eWuDcGuD&#10;J8iiWP/5jaRoGIq8HdxW63tkNl+EtamrcS3vBX3WiIvrivCSXSkluoqRHDj6UDu5O2qdp1NtQZbd&#10;V5FDgZGVEQ5oa4q+eMI4mUanRbD3VxyPwr4Exkk0hM2HFUBSqbRZMNEiOwDlofu575D1vTZ+63aL&#10;NaAWTZ3P66ZxE1UurxuF1gQ65dxdPfqrbQ1HHfSKcTR2yFzY8wBN0rY20Mmbus3wdGAve5ykVpdb&#10;nruxIXXjx2CGhrvS8Np4lcxmuXG9aLjVfynyF1BOCd+44UcDg0qoXxh10LQzrH+uiGIYNXcc1E/C&#10;0ch2eTcZjScRTNThyvJwhXAKUBk2GPnhtXF/BkubiyvIUlE72WwGPZOeMhizr2toy4dWftPa+x/d&#10;7C8AAAD//wMAUEsDBBQABgAIAAAAIQCrFs1GuQAAACIBAAAZAAAAZHJzL19yZWxzL2Uyb0RvYy54&#10;bWwucmVsc4SPzQrCMBCE74LvEPZu03oQkSa9iNCr1AdY0u0PtknIRrFvb9CLguBxdphvdsrqMU/i&#10;ToFHZxUUWQ6CrHHtaHsFl+a02YPgiLbFyVlSsBBDpder8kwTxhTiYfQsEsWygiFGf5CSzUAzcuY8&#10;2eR0LswYkwy99Giu2JPc5vlOhk8G6C+mqFsFoW4LEM3iU/N/tuu60dDRmdtMNv6okGbAEBMQQ09R&#10;wUvy+1pk6VOQupRfy/QTAAD//wMAUEsDBBQABgAIAAAAIQBxBoiJSQEAAOgBAAAgAAAAZHJzL2No&#10;YXJ0cy9fcmVscy9jaGFydDEueG1sLnJlbHOEUc1Kw0AQvgu+Q1jw2G5SQYo0KRUtFPEHrRcJyLqZ&#10;pNtsdsLuGtJH0Tfw0EfoKfheThTBguBhmP3m+/abndnJtK100IB1Ck3MomHIAjASM2WKmD0s54Mx&#10;C5wXJhMaDcRsA45Nk8ODyR1o4emSW6naBeRiXMxW3tennDu5gkq4IdZgiMnRVsITtAWvhSxFAXwU&#10;hifc/vZgyZ5nsMhiZhdZxILlpqbO/3tjnisJ5yhfKjD+jxYcNdw8r0F6MhW2AB+zXGmgJ/M0nUfp&#10;2ex6lobHR6PwnmbGRrkSCZR94bF7ozQKo3F6KWrlUW8IZz3fL+hLLNLbj9duu6426dKCyYhrul2D&#10;a+ilwnRbygOKupdV3TsdBYWBX4UnqbxWDTrfMz0NJRqslCy7HaFvx2GrXfszxhVmtKGL1oM1QjOe&#10;TPje/ySfAAAA//8DAFBLAwQUAAYACAAAACEA183WzOUIAACkIwAAFQAAAGRycy9jaGFydHMvY2hh&#10;cnQxLnhtbOxay27jRhbdDzD/wBABshhQ4qP4EloOZMoaNMadNtqdLGZXIksS4yKLTZZsy0H28wtB&#10;r7LMIsgXZOX2f82tB6mHLdvtzgzSM3YDarIeV3UfVXXuuXrx9WVBjXNSNzkrh6bTs02DlCnL8nI+&#10;NL99O7Ei02g4LjNMWUmG5oo05tcHf/3Li3SQLnDNTyucEgOElM0gHZoLzqtBv9+kC1LgpscqUkLf&#10;jNUF5vBaz/tZjS9AeEH7rm0HfSnE1ALwEwQUOC/b+fVj5rPZLE/JmKXLgpRcraImFHOwQLPIq6aV&#10;ljpB7d6SWORpzRo2472UFX0lrFUKhDl+v9PqAIyUYU6c2EbGOaZD0zb7opHicq4a0sZK/qkaa7Ys&#10;M5IlrC7BHRvji3QwopzUJYhKWMlh1dpexaMsXuD6bFlZsNwKlJzmNOcrqbZ58AJkJwsG9jDekHfL&#10;vCbN0EwdtDYB+lgD2GE/6rvar6CsgwYNX1GiFHJsV2jb775XLmGCKZ3i9EzYZmNwN3TdLybuGkPM&#10;kmEkHvCSs7c5p2RMKOEk01+rTFxRxkc1wWIgxSu25OKpwOUS0+PuXfW8xfWccDU9L8ElSsTlK5Zp&#10;XUg2J6pxdVfjpZrr9uzQC6I4sGNk28gN0JElFUsHKzUi7sV26PqB7fmuh/ww9rsRF2qE3UOB47qu&#10;F8VeHMeR52oJi7Y/QiDfc/zAD4MYISeUVt7Vrb+pdsaW80W55InYxsIO57heJYyyNvgcpVxDatGb&#10;Z1ohHcOszkitv14NzE6kmN2B0+V0Sok33hrbVCcgFQ8aRvNsklMqX+r5NKFa6Dg+Gk0mUo2dYbQ0&#10;LuCoim3fhgje6ZQnD+mkUC616G+NgjdaiplkNiMpP264CEkIPbmodEAuRZtQGp6MZZ0PzR8Sz4vs&#10;JEGWPw6OLGTHiXV45LnWUeiO3Tj0fC9Jflxvm+Bjt42DNrZMMFiW+bsleanD9wdb/TkW8u3AQqFn&#10;W4fOOLAm/mQymiQo8W33R+1yWLPUptUCFNOe2XWQdvATHQTB7Mf+s4PEud46yPtjHaR3+RMddDh2&#10;R5737KBNB/l/rIOkddPBpzlInESYVgusTshA7PXWa+pEhP28dYCJ8+v/9QwMP9GDx1PaiKM9g4e7&#10;7rX9uKC70GPPQyh2ojiKY9v24D7YvtAt1AvsEI7kIEBhFMRRFB1ZaiPeeyM3C3ZxTOakzP5BNDbQ&#10;l63o+Q4DUBex3N7L0JZg/g0uNB7ZGHtK6jvbT0idCvgo5WyMP5R39Gl+tS2qvUK2LsKjwPfCkWON&#10;g0lioVngW/E4dqzQdVGCYuRHh4cbF6H/0RfhJnb0NUxT97O82bbW8llfyjoAbwWi9u9jAhHZTgSA&#10;0QPUF8YovhWITi+MUBiHIXKiKLAhYvUQAAXbsHcLGj4HosjkPrdAfDL42BeI+lR7MBCtqOcBAg78&#10;yA19MBycevq863Icy4UhcQg5UOT5jh959nMkrmmShziFzy0Sn4yy9kWixlkPR6LTC+AvRJG4fB2E&#10;olvZtuX33ChGkM0FfizORYhVGejPR2LT+18LxCeDRR2Id9MUq6bjF4DKzNiFaVDccGgcmhP518L3&#10;TXZDUQ7bhMctSW8B42xIU2m/ZDnosgCWSSE319cpAiQCy+L1bKaaAXKuMwcpejdxeIj54JeKlpmy&#10;bHVSGzXjgrM0miqd5HXDj0HLE1wDTeuYgjTmr+FjRhnQMSnNK9NYsPpqt02MAxAIPaZxUeNqaDbv&#10;lrgmoObLEuhGL3Jg1QaXL4rVMerNnulmDy5TEAXfx2vTUC8Jh3dHUUHVCPi/SS4JHTxQaoj8ijb8&#10;VLCQACTxoJIfStOMzN6Aps3V0AQsbxpTqTAwPvC8HJolkN6CAK/zMyC/S3Yqn0zjDOhY+FKgsGEK&#10;bgjNBTn+MB/FL+/go2B5QMyWBl9VZAZ0+tD8W1FalIsoApIK73QQrDrSZqcjbXTcKaWk8zXPBjmF&#10;cJxQVZDPYL+WeIaQAHvA4ad8DyzYny0LUQvCQDceg5U3mfE9VN1/N0MRZ0RbAHH8T0h3wBGwx/5O&#10;WGGIh6F5IRjmN8BQJsCPA1ktQxyfa75yPVy4z/E1fQmelHmS+l/ymPAokgyZ9qZYEpsQ0W/ITOS/&#10;s4OvRiWm179fYeMEf2OMv/riy+MvXXcgPn0RGHIYTEgwVHXElIonUKvQWSQSMSfaDCB+1RYAKvlg&#10;jMsP740ro7r56frX74ub34zZ6ipPz65/TxcG1E+mQvK5DLxKrqgVIDay6Dlh3+cNL69/MUpsNCzN&#10;r3+m5fWvRgXtNz/zD+/hZZ8MV8sY45t/qTXkGRaiFiwrGV/tm+fpeacV4zc/kan4Pgz1MCJKAWLx&#10;vxgg58P77fmgyNo66kXaFh61tSHdFkqVy+Ieo7+SRofPtdFhQmd0VUNLoPpwYPdssYKNlkc6BQFQ&#10;d4PYiWPHEaeu7W5rsnZj6wXHswG4Rx5gehcSyX3DW4PDF4SeG/sAvgIkShV7Z7SmdgGOBR7ksZC+&#10;htviQcW1AdRLa1dt0Dv5iT8DJxA9kaTStZZutz7yLN5gcv7DjND+sxgc1C17JsDCKYWy4qgtdOol&#10;Lhgla5oJCjiK2blVi2qBVwmXOaXyHlT4qWu4H8rAaraKfZJVE3uQyqcTpq+RWp1e9yQWd5X27qv3&#10;Qa0udsIYtpcXBK4HH7IW12XCYc+DjQGsjes7oRO4aJ2hdNU+345cG/6JBCYAfKTTn67aB/XCGGqK&#10;HpTAAhS5jqrC3EvpMIBhoOU286fBQWdTwSsLyNE13G/kFjO0QOtj8CKhABibHIrt+/HhfqynAuIZ&#10;0z0O08FmUGEvL2qogX+XN69LqoNB041Z3lSHgA3PmpHeG3Ncqd0hNv1YAAgB7V/hzTowiO5K7+2e&#10;3U5xxC9B1vXY6fxu/CvLGXBv+KaRihRhBogYHosqg3ShnAPUp3MA3Cmg/q0AxQP5swlxirTBu6eo&#10;u53aPCaAlNCPB9BwK4kfa9Ax5tiooXA+NOuXmbpRxc8Tvq3Ej0I2diIYcXOOBEXSqvLHNQf/BgAA&#10;//8DAFBLAQItABQABgAIAAAAIQD1avy5IAEAAF4CAAATAAAAAAAAAAAAAAAAAAAAAABbQ29udGVu&#10;dF9UeXBlc10ueG1sUEsBAi0AFAAGAAgAAAAhADj9If/WAAAAlAEAAAsAAAAAAAAAAAAAAAAAUQEA&#10;AF9yZWxzLy5yZWxzUEsBAi0AFAAGAAgAAAAhAHt1HgjgAAAACQEAAA8AAAAAAAAAAAAAAAAAUAIA&#10;AGRycy9kb3ducmV2LnhtbFBLAQItABQABgAIAAAAIQCDlbgfLgMAADAHAAAOAAAAAAAAAAAAAAAA&#10;AF0DAABkcnMvZTJvRG9jLnhtbFBLAQItABQABgAIAAAAIQCrFs1GuQAAACIBAAAZAAAAAAAAAAAA&#10;AAAAALcGAABkcnMvX3JlbHMvZTJvRG9jLnhtbC5yZWxzUEsBAi0AFAAGAAgAAAAhAHEGiIlJAQAA&#10;6AEAACAAAAAAAAAAAAAAAAAApwcAAGRycy9jaGFydHMvX3JlbHMvY2hhcnQxLnhtbC5yZWxzUEsB&#10;Ai0AFAAGAAgAAAAhANfN1szlCAAApCMAABUAAAAAAAAAAAAAAAAALgkAAGRycy9jaGFydHMvY2hh&#10;cnQxLnhtbFBLBQYAAAAABwAHAMsBAABG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10" o:spid="_x0000_s1030" type="#_x0000_t75" style="position:absolute;left:106;top:2948;width:30748;height:160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0V1wgAAANsAAAAPAAAAZHJzL2Rvd25yZXYueG1sRI/RasJA&#10;EEXfC/7DMoJvdWNAkegqIggWaUXbDxiyYxLMzobsNq5/33ko+DbDvXPvmfU2uVYN1IfGs4HZNANF&#10;XHrbcGXg5/vwvgQVIrLF1jMZeFKA7Wb0tsbC+gdfaLjGSkkIhwIN1DF2hdahrMlhmPqOWLSb7x1G&#10;WftK2x4fEu5anWfZQjtsWBpq7GhfU3m//joD+vax8HjZ5anJz6evzzT4eXY2ZjJOuxWoSCm+zP/X&#10;Ryv4Qi+/yAB68wcAAP//AwBQSwECLQAUAAYACAAAACEA2+H2y+4AAACFAQAAEwAAAAAAAAAAAAAA&#10;AAAAAAAAW0NvbnRlbnRfVHlwZXNdLnhtbFBLAQItABQABgAIAAAAIQBa9CxbvwAAABUBAAALAAAA&#10;AAAAAAAAAAAAAB8BAABfcmVscy8ucmVsc1BLAQItABQABgAIAAAAIQBR40V1wgAAANsAAAAPAAAA&#10;AAAAAAAAAAAAAAcCAABkcnMvZG93bnJldi54bWxQSwUGAAAAAAMAAwC3AAAA9gIAAAAA&#10;">
                  <v:imagedata r:id="rId31" o:title=""/>
                  <o:lock v:ext="edit" aspectratio="f"/>
                </v:shape>
                <v:shape id="_x0000_s1031" type="#_x0000_t202" style="position:absolute;left:169;top:-1646;width:30664;height:5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14:paraId="781C12B5" w14:textId="47C2632A" w:rsidR="009E69AD" w:rsidRPr="00250AAE" w:rsidRDefault="009E69AD" w:rsidP="0005326B">
                        <w:pPr>
                          <w:spacing w:before="0" w:after="0" w:line="240" w:lineRule="auto"/>
                          <w:ind w:left="-113" w:right="113"/>
                          <w:jc w:val="center"/>
                          <w:rPr>
                            <w:b/>
                            <w:sz w:val="18"/>
                          </w:rPr>
                        </w:pPr>
                        <w:r w:rsidRPr="00250AAE">
                          <w:rPr>
                            <w:b/>
                            <w:sz w:val="18"/>
                          </w:rPr>
                          <w:t>Zvýšení příjmů SR ze zdaněné práce ve srovnání s nárůstem u nepřímých daní mezi roky 2014 a 2018 (v</w:t>
                        </w:r>
                        <w:r>
                          <w:rPr>
                            <w:b/>
                            <w:sz w:val="18"/>
                          </w:rPr>
                          <w:t> </w:t>
                        </w:r>
                        <w:r w:rsidRPr="00250AAE">
                          <w:rPr>
                            <w:b/>
                            <w:sz w:val="18"/>
                          </w:rPr>
                          <w:t>mld. Kč)</w:t>
                        </w:r>
                      </w:p>
                    </w:txbxContent>
                  </v:textbox>
                </v:shape>
                <w10:wrap type="tight"/>
              </v:group>
            </w:pict>
          </mc:Fallback>
        </mc:AlternateContent>
      </w:r>
      <w:r w:rsidRPr="00CA556D">
        <w:rPr>
          <w:b/>
        </w:rPr>
        <w:t>Dominantním faktorem určující</w:t>
      </w:r>
      <w:r>
        <w:rPr>
          <w:b/>
        </w:rPr>
        <w:t>m</w:t>
      </w:r>
      <w:r w:rsidRPr="00CA556D">
        <w:rPr>
          <w:b/>
        </w:rPr>
        <w:t xml:space="preserve"> zvyšování celkových příjmů SR </w:t>
      </w:r>
      <w:r>
        <w:rPr>
          <w:b/>
        </w:rPr>
        <w:t xml:space="preserve">se </w:t>
      </w:r>
      <w:r w:rsidRPr="00CA556D">
        <w:rPr>
          <w:b/>
        </w:rPr>
        <w:t>v posledních letech stala vysoká úroveň zaměstnanosti provázaná se zvyšováním mezd a platů.</w:t>
      </w:r>
      <w:r>
        <w:t xml:space="preserve"> </w:t>
      </w:r>
      <w:r w:rsidRPr="00CF5E8E">
        <w:rPr>
          <w:b/>
        </w:rPr>
        <w:t>Ve spojení s</w:t>
      </w:r>
      <w:r w:rsidR="00AD5133">
        <w:rPr>
          <w:b/>
        </w:rPr>
        <w:t> </w:t>
      </w:r>
      <w:r w:rsidRPr="00CF5E8E">
        <w:rPr>
          <w:b/>
        </w:rPr>
        <w:t xml:space="preserve">vysokou mírou zdanění práce, na kterou NKÚ upozornil již ve svém předcházejícím stanovisku k návrhu SZÚ za rok 2017, </w:t>
      </w:r>
      <w:r>
        <w:rPr>
          <w:b/>
        </w:rPr>
        <w:t xml:space="preserve">je plnění příjmů SR silně závislé na přímých </w:t>
      </w:r>
      <w:r w:rsidRPr="00CF5E8E">
        <w:rPr>
          <w:b/>
        </w:rPr>
        <w:t>daních</w:t>
      </w:r>
      <w:r w:rsidRPr="00CF5E8E">
        <w:rPr>
          <w:rStyle w:val="Znakapoznpodarou"/>
          <w:b/>
        </w:rPr>
        <w:footnoteReference w:id="17"/>
      </w:r>
      <w:r w:rsidRPr="00CF5E8E">
        <w:rPr>
          <w:b/>
        </w:rPr>
        <w:t>.</w:t>
      </w:r>
      <w:r>
        <w:t xml:space="preserve"> Naopak nepřímé daně</w:t>
      </w:r>
      <w:r>
        <w:rPr>
          <w:rStyle w:val="Znakapoznpodarou"/>
        </w:rPr>
        <w:footnoteReference w:id="18"/>
      </w:r>
      <w:r>
        <w:t xml:space="preserve">, které se vyznačují menší citlivostí na ekonomické změny (zpomalování výkonnosti, recese) s menším dopadem na plnění příjmů, </w:t>
      </w:r>
      <w:r>
        <w:lastRenderedPageBreak/>
        <w:t xml:space="preserve">snížily svůj podíl ve struktuře hlavních položek příjmů SR. </w:t>
      </w:r>
      <w:r w:rsidRPr="00DE031E">
        <w:t xml:space="preserve">Ve srovnání s rokem 2014, </w:t>
      </w:r>
      <w:r>
        <w:t xml:space="preserve">který představoval začátek ekonomického růstu, </w:t>
      </w:r>
      <w:r w:rsidRPr="00397E0B">
        <w:rPr>
          <w:b/>
        </w:rPr>
        <w:t xml:space="preserve">se </w:t>
      </w:r>
      <w:r>
        <w:rPr>
          <w:b/>
        </w:rPr>
        <w:t>daně z příjmů</w:t>
      </w:r>
      <w:r w:rsidRPr="00DE031E">
        <w:rPr>
          <w:b/>
        </w:rPr>
        <w:t xml:space="preserve"> fyzických osob a pojistné na sociální </w:t>
      </w:r>
      <w:r w:rsidR="002D6F59">
        <w:rPr>
          <w:b/>
        </w:rPr>
        <w:t>zabezpečení</w:t>
      </w:r>
      <w:r w:rsidRPr="00DE031E">
        <w:rPr>
          <w:b/>
        </w:rPr>
        <w:t xml:space="preserve"> podílely do konce roku 2018 na zvýšení příjmů SR </w:t>
      </w:r>
      <w:r w:rsidR="00EE05A2">
        <w:rPr>
          <w:b/>
        </w:rPr>
        <w:t>výší</w:t>
      </w:r>
      <w:r w:rsidRPr="00DE031E">
        <w:rPr>
          <w:b/>
        </w:rPr>
        <w:t xml:space="preserve"> 178,7 mld. Kč.</w:t>
      </w:r>
      <w:r>
        <w:t xml:space="preserve"> Naopak objemově nejvýznamnější složky nepřímých daní (daň z přidané hodnoty a spotřební </w:t>
      </w:r>
      <w:r w:rsidR="00CE043D">
        <w:t xml:space="preserve">daně </w:t>
      </w:r>
      <w:r>
        <w:t xml:space="preserve">včetně energetických) přispěly ke zvýšení celkových příjmů SR pouze </w:t>
      </w:r>
      <w:r w:rsidR="00BD5B29">
        <w:t xml:space="preserve">o </w:t>
      </w:r>
      <w:r>
        <w:t>74 mld. Kč.</w:t>
      </w:r>
    </w:p>
    <w:p w14:paraId="18DF6BBD" w14:textId="050EE5A1" w:rsidR="0005326B" w:rsidRPr="00CA556D" w:rsidRDefault="0005326B" w:rsidP="0005326B">
      <w:r>
        <w:rPr>
          <w:b/>
        </w:rPr>
        <w:t>Pro budoucí vývoj plnění daňových příjmů spatřuje</w:t>
      </w:r>
      <w:r w:rsidRPr="004031D9">
        <w:rPr>
          <w:b/>
        </w:rPr>
        <w:t xml:space="preserve"> </w:t>
      </w:r>
      <w:r w:rsidR="00BD5B29">
        <w:rPr>
          <w:b/>
        </w:rPr>
        <w:t xml:space="preserve">NKÚ </w:t>
      </w:r>
      <w:r w:rsidRPr="004031D9">
        <w:rPr>
          <w:b/>
        </w:rPr>
        <w:t xml:space="preserve">riziko </w:t>
      </w:r>
      <w:r>
        <w:rPr>
          <w:b/>
        </w:rPr>
        <w:t>ve</w:t>
      </w:r>
      <w:r w:rsidR="005C2996">
        <w:rPr>
          <w:b/>
        </w:rPr>
        <w:t xml:space="preserve"> </w:t>
      </w:r>
      <w:r w:rsidRPr="004031D9">
        <w:rPr>
          <w:b/>
        </w:rPr>
        <w:t>vysok</w:t>
      </w:r>
      <w:r>
        <w:rPr>
          <w:b/>
        </w:rPr>
        <w:t>é</w:t>
      </w:r>
      <w:r w:rsidRPr="004031D9">
        <w:rPr>
          <w:b/>
        </w:rPr>
        <w:t xml:space="preserve"> </w:t>
      </w:r>
      <w:r>
        <w:rPr>
          <w:b/>
        </w:rPr>
        <w:t>závislosti</w:t>
      </w:r>
      <w:r w:rsidRPr="004031D9">
        <w:rPr>
          <w:b/>
        </w:rPr>
        <w:t xml:space="preserve"> na přímých daních včetně pojistného na sociální zabezpečení</w:t>
      </w:r>
      <w:r>
        <w:rPr>
          <w:b/>
        </w:rPr>
        <w:t>. Toto riziko se promítlo do celkového hospodaření SR již v roce 2009,</w:t>
      </w:r>
      <w:r w:rsidRPr="004031D9">
        <w:rPr>
          <w:b/>
        </w:rPr>
        <w:t xml:space="preserve"> </w:t>
      </w:r>
      <w:r>
        <w:rPr>
          <w:b/>
        </w:rPr>
        <w:t xml:space="preserve">jak znázorňuje následující graf. </w:t>
      </w:r>
      <w:r w:rsidRPr="00096B18">
        <w:t>Možnost dopadu ekonomické recese blíže u</w:t>
      </w:r>
      <w:r w:rsidR="00BD5B29">
        <w:t>kazuje</w:t>
      </w:r>
      <w:r w:rsidRPr="00096B18">
        <w:t xml:space="preserve"> i modelová situace </w:t>
      </w:r>
      <w:r w:rsidR="00BD5B29">
        <w:t>zobrazená</w:t>
      </w:r>
      <w:r w:rsidRPr="00096B18">
        <w:t xml:space="preserve"> </w:t>
      </w:r>
      <w:r w:rsidRPr="003F2C81">
        <w:t xml:space="preserve">v grafu č. </w:t>
      </w:r>
      <w:r w:rsidR="00096B18" w:rsidRPr="003F2C81">
        <w:t>3</w:t>
      </w:r>
      <w:r w:rsidR="00BD5B29">
        <w:t>, který je</w:t>
      </w:r>
      <w:r w:rsidRPr="00096B18">
        <w:t xml:space="preserve"> uveden v </w:t>
      </w:r>
      <w:r w:rsidRPr="00A71378">
        <w:t xml:space="preserve">kapitole </w:t>
      </w:r>
      <w:r w:rsidR="00096B18" w:rsidRPr="00FC7AAF">
        <w:t>IV. 1.</w:t>
      </w:r>
      <w:r w:rsidR="00096B18" w:rsidRPr="00A71378">
        <w:t xml:space="preserve"> </w:t>
      </w:r>
      <w:r w:rsidRPr="00A71378">
        <w:rPr>
          <w:i/>
        </w:rPr>
        <w:t>Hospodaření státního rozpočtu</w:t>
      </w:r>
      <w:r w:rsidRPr="00096B18">
        <w:t>.</w:t>
      </w:r>
    </w:p>
    <w:p w14:paraId="4E34FFCF" w14:textId="6D457F07" w:rsidR="0005326B" w:rsidRPr="004031D9" w:rsidRDefault="00E877E5" w:rsidP="00D3507E">
      <w:pPr>
        <w:pStyle w:val="Tituleknadgrafy1-9"/>
      </w:pPr>
      <w:r w:rsidRPr="00C95133">
        <w:t>Graf č. </w:t>
      </w:r>
      <w:r w:rsidRPr="00C95133">
        <w:fldChar w:fldCharType="begin"/>
      </w:r>
      <w:r w:rsidRPr="00C95133">
        <w:instrText xml:space="preserve"> SEQ Graf_č. \* ARABIC </w:instrText>
      </w:r>
      <w:r w:rsidRPr="00C95133">
        <w:fldChar w:fldCharType="separate"/>
      </w:r>
      <w:r w:rsidR="009849B2">
        <w:t>5</w:t>
      </w:r>
      <w:r w:rsidRPr="00C95133">
        <w:fldChar w:fldCharType="end"/>
      </w:r>
      <w:r>
        <w:t xml:space="preserve"> </w:t>
      </w:r>
      <w:r w:rsidR="0005326B" w:rsidRPr="004031D9">
        <w:t>–</w:t>
      </w:r>
      <w:r w:rsidR="00001875">
        <w:tab/>
      </w:r>
      <w:r w:rsidR="0005326B" w:rsidRPr="004031D9">
        <w:t xml:space="preserve">Meziroční </w:t>
      </w:r>
      <w:r w:rsidR="0005326B">
        <w:t>změna inkasa vybraných</w:t>
      </w:r>
      <w:r w:rsidR="0005326B" w:rsidRPr="004031D9">
        <w:t xml:space="preserve"> přímých a nepřímých daní včetně pojistného na sociální zabezpečení během ekonomické krize v roce 2009</w:t>
      </w:r>
      <w:r w:rsidR="0005326B">
        <w:t xml:space="preserve"> (v mld. Kč)</w:t>
      </w:r>
    </w:p>
    <w:p w14:paraId="62469358" w14:textId="77777777" w:rsidR="0005326B" w:rsidRDefault="0005326B" w:rsidP="0005326B">
      <w:pPr>
        <w:spacing w:before="0" w:after="0"/>
      </w:pPr>
      <w:r>
        <w:rPr>
          <w:noProof/>
          <w:lang w:eastAsia="cs-CZ"/>
        </w:rPr>
        <w:drawing>
          <wp:inline distT="0" distB="0" distL="0" distR="0" wp14:anchorId="107983D1" wp14:editId="3F758FA4">
            <wp:extent cx="5773420" cy="1438275"/>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488F8D6E" w14:textId="77777777" w:rsidR="0005326B" w:rsidRPr="00EA0EE4" w:rsidRDefault="0005326B" w:rsidP="002C4F38">
      <w:pPr>
        <w:pStyle w:val="Poznazdroj"/>
      </w:pPr>
      <w:r w:rsidRPr="00FC7AAF">
        <w:rPr>
          <w:b/>
        </w:rPr>
        <w:t>Zdroj:</w:t>
      </w:r>
      <w:r w:rsidRPr="00790659">
        <w:t xml:space="preserve"> </w:t>
      </w:r>
      <w:r w:rsidRPr="00EA0EE4">
        <w:t xml:space="preserve">SZÚ za roky 2008–2010. </w:t>
      </w:r>
    </w:p>
    <w:p w14:paraId="46319578" w14:textId="05F104B8" w:rsidR="0005326B" w:rsidRDefault="0005326B" w:rsidP="0005326B">
      <w:r>
        <w:t>Zkušenost z dopadu ekonomické krize v roce 2009 na plnění příjmů SR ukázala, že přímé daně zastoupené daní z příjmů právnických osob a daněmi z příjmů fyzických osob, které jsou pevně spojeny (podle skutečné zaměstnanosti) s platbou poji</w:t>
      </w:r>
      <w:r w:rsidR="00BD5B29">
        <w:t>stného</w:t>
      </w:r>
      <w:r>
        <w:t xml:space="preserve"> </w:t>
      </w:r>
      <w:r w:rsidR="00BD5B29">
        <w:t xml:space="preserve">na </w:t>
      </w:r>
      <w:r>
        <w:t xml:space="preserve">sociální zabezpečení, zaznamenaly „neřízené“ meziroční snížení o 90,8 mld. Kč. Brzdící efekt nepřímých daní při propadu výkonnosti ekonomiky se naopak projevil v minimálním meziročním poklesu ve výši 2,8 mld. Kč oproti roku 2008. </w:t>
      </w:r>
      <w:r w:rsidR="00BD5B29">
        <w:t>Dále</w:t>
      </w:r>
      <w:r>
        <w:t xml:space="preserve"> se nepřímé daně v následujícím roce 2010 vrátily do meziročního růstu a dosáhly i vyššího plnění než za rok 2008. Naopak daně z příjmů fyzických osob překročily skutečné plnění z roku 2008 až v roce 2014 a daň z příjmů právnických osob skutečnost z roku 2008 doposud nepřekročila</w:t>
      </w:r>
      <w:r>
        <w:rPr>
          <w:rStyle w:val="Znakapoznpodarou"/>
        </w:rPr>
        <w:footnoteReference w:id="19"/>
      </w:r>
      <w:r>
        <w:t>.</w:t>
      </w:r>
    </w:p>
    <w:p w14:paraId="773FF4A2" w14:textId="42115732" w:rsidR="0005326B" w:rsidRPr="00E604D8" w:rsidRDefault="0005326B" w:rsidP="0005326B">
      <w:r w:rsidRPr="008A5361">
        <w:t>Vysoké zdanění příjmů souvisí se snahou poplatníků snížit své daňové povinnosti na minimum</w:t>
      </w:r>
      <w:r>
        <w:t xml:space="preserve">. NKÚ </w:t>
      </w:r>
      <w:r w:rsidR="00A71378">
        <w:t xml:space="preserve">již </w:t>
      </w:r>
      <w:r>
        <w:t>v KA č. 16/21</w:t>
      </w:r>
      <w:r>
        <w:rPr>
          <w:rStyle w:val="Znakapoznpodarou"/>
        </w:rPr>
        <w:footnoteReference w:id="20"/>
      </w:r>
      <w:r>
        <w:t xml:space="preserve"> zjistil, že podnikající poplatníci daně z příjmů fyzických osob vykázali v letech 2012–2015 o 77 % nižší základ daně než zaměstnaní poplatníci, kteří podali přiznání k dani. S cílem zvýšit</w:t>
      </w:r>
      <w:r w:rsidRPr="005C421D">
        <w:t xml:space="preserve"> efektivit</w:t>
      </w:r>
      <w:r>
        <w:t>u výběru daní a zajistit spravedlivé konkurenční</w:t>
      </w:r>
      <w:r w:rsidRPr="005C421D">
        <w:t xml:space="preserve"> prostředí</w:t>
      </w:r>
      <w:r>
        <w:t xml:space="preserve"> byla s účinností od prosince 2016 zavedena elektronická evidence tržeb</w:t>
      </w:r>
      <w:r>
        <w:rPr>
          <w:rStyle w:val="Znakapoznpodarou"/>
        </w:rPr>
        <w:footnoteReference w:id="21"/>
      </w:r>
      <w:r>
        <w:t xml:space="preserve">. Přínosy </w:t>
      </w:r>
      <w:r>
        <w:lastRenderedPageBreak/>
        <w:t>elektronické evidence tržeb přitom byly podle návrhu SZÚ v roce 2018 o 0,5 mld. Kč nižší, než předpokládal státní rozpočet. Zavedení této evidence mělo podle návrhu SZÚ pozitivní dopad na inkaso daně z příjmů právnických osob ve výši 1,9 mld. Kč, přesto jeho výše na hodnotu předkrizového období nedosáhla. NKÚ spatřuje riziko</w:t>
      </w:r>
      <w:r w:rsidRPr="00E604D8">
        <w:t xml:space="preserve"> </w:t>
      </w:r>
      <w:r>
        <w:t xml:space="preserve">v nedosažení očekávaných přínosů zavedeného opatření a generování neúčelně vynaložených vysokých </w:t>
      </w:r>
      <w:r w:rsidRPr="00E604D8">
        <w:t xml:space="preserve">nákladů </w:t>
      </w:r>
      <w:r>
        <w:t>souvisejících se správou daní jak na straně správců daně, tak na straně poplatníků. Navíc zavedené opatření zvyšuje administrativní zátěž i těch daňových subjektů, které uskutečňují odvod daně v souladu se zákonem.</w:t>
      </w:r>
    </w:p>
    <w:p w14:paraId="6B98D519" w14:textId="53780AE1" w:rsidR="0005326B" w:rsidRPr="00A511F7" w:rsidRDefault="0005326B" w:rsidP="0005326B">
      <w:r w:rsidRPr="009D6628">
        <w:t xml:space="preserve">NKÚ již v KA </w:t>
      </w:r>
      <w:r w:rsidR="00955C16">
        <w:t xml:space="preserve">č. </w:t>
      </w:r>
      <w:r w:rsidRPr="009D6628">
        <w:t>15/33</w:t>
      </w:r>
      <w:r w:rsidRPr="009D6628">
        <w:rPr>
          <w:rStyle w:val="Znakapoznpodarou"/>
        </w:rPr>
        <w:footnoteReference w:id="22"/>
      </w:r>
      <w:r w:rsidRPr="009D6628">
        <w:t xml:space="preserve"> upozornil na skutečnost, že ve srovnání se zeměmi EU jsou sazby u</w:t>
      </w:r>
      <w:r w:rsidR="00BD5B29">
        <w:t> </w:t>
      </w:r>
      <w:r w:rsidRPr="009D6628">
        <w:t>energetických daní v ČR nastaven</w:t>
      </w:r>
      <w:r w:rsidR="00BD5B29">
        <w:t>y</w:t>
      </w:r>
      <w:r w:rsidRPr="009D6628">
        <w:t xml:space="preserve"> převážně kolem minimálních sazeb stanovených EU.</w:t>
      </w:r>
      <w:r w:rsidRPr="003E138A">
        <w:rPr>
          <w:b/>
        </w:rPr>
        <w:t xml:space="preserve"> </w:t>
      </w:r>
      <w:r>
        <w:rPr>
          <w:b/>
        </w:rPr>
        <w:t>Inkaso z</w:t>
      </w:r>
      <w:r w:rsidRPr="002964F2">
        <w:rPr>
          <w:b/>
        </w:rPr>
        <w:t xml:space="preserve"> energetických daní</w:t>
      </w:r>
      <w:r>
        <w:rPr>
          <w:b/>
        </w:rPr>
        <w:t xml:space="preserve"> </w:t>
      </w:r>
      <w:r w:rsidR="00BD5B29">
        <w:rPr>
          <w:b/>
        </w:rPr>
        <w:t xml:space="preserve">činilo </w:t>
      </w:r>
      <w:r>
        <w:rPr>
          <w:b/>
        </w:rPr>
        <w:t xml:space="preserve">za rok 2018 pouze </w:t>
      </w:r>
      <w:r w:rsidR="008D7262">
        <w:rPr>
          <w:b/>
        </w:rPr>
        <w:t>3</w:t>
      </w:r>
      <w:r>
        <w:rPr>
          <w:b/>
        </w:rPr>
        <w:t>,</w:t>
      </w:r>
      <w:r w:rsidR="008D7262">
        <w:rPr>
          <w:b/>
        </w:rPr>
        <w:t>3</w:t>
      </w:r>
      <w:r>
        <w:rPr>
          <w:b/>
        </w:rPr>
        <w:t xml:space="preserve"> mld. Kč a</w:t>
      </w:r>
      <w:r w:rsidR="0054776D">
        <w:rPr>
          <w:b/>
        </w:rPr>
        <w:t xml:space="preserve"> </w:t>
      </w:r>
      <w:r>
        <w:rPr>
          <w:b/>
        </w:rPr>
        <w:t>dlouhodobě</w:t>
      </w:r>
      <w:r w:rsidRPr="002964F2">
        <w:rPr>
          <w:b/>
        </w:rPr>
        <w:t xml:space="preserve"> klesá</w:t>
      </w:r>
      <w:r>
        <w:rPr>
          <w:b/>
        </w:rPr>
        <w:t xml:space="preserve"> </w:t>
      </w:r>
      <w:r w:rsidRPr="002964F2">
        <w:rPr>
          <w:b/>
        </w:rPr>
        <w:t xml:space="preserve">celkový podíl </w:t>
      </w:r>
      <w:r w:rsidR="00BD5B29" w:rsidRPr="002964F2">
        <w:rPr>
          <w:b/>
        </w:rPr>
        <w:t>energetických daní</w:t>
      </w:r>
      <w:r w:rsidR="00BD5B29">
        <w:rPr>
          <w:b/>
        </w:rPr>
        <w:t xml:space="preserve"> </w:t>
      </w:r>
      <w:r w:rsidRPr="002964F2">
        <w:rPr>
          <w:b/>
        </w:rPr>
        <w:t xml:space="preserve">na daňových příjmech, </w:t>
      </w:r>
      <w:r w:rsidR="00FC7AAF">
        <w:rPr>
          <w:b/>
        </w:rPr>
        <w:t xml:space="preserve">který </w:t>
      </w:r>
      <w:r>
        <w:rPr>
          <w:b/>
        </w:rPr>
        <w:t>z</w:t>
      </w:r>
      <w:r w:rsidRPr="002964F2">
        <w:rPr>
          <w:b/>
        </w:rPr>
        <w:t xml:space="preserve">a rok 2018 </w:t>
      </w:r>
      <w:r>
        <w:rPr>
          <w:b/>
        </w:rPr>
        <w:t>dosáhl hodnoty</w:t>
      </w:r>
      <w:r w:rsidRPr="002964F2">
        <w:rPr>
          <w:b/>
        </w:rPr>
        <w:t xml:space="preserve"> 0,</w:t>
      </w:r>
      <w:r w:rsidR="008D7262">
        <w:rPr>
          <w:b/>
        </w:rPr>
        <w:t>3</w:t>
      </w:r>
      <w:r w:rsidRPr="002964F2">
        <w:rPr>
          <w:b/>
        </w:rPr>
        <w:t xml:space="preserve"> %.</w:t>
      </w:r>
      <w:r>
        <w:rPr>
          <w:b/>
        </w:rPr>
        <w:t xml:space="preserve"> </w:t>
      </w:r>
      <w:r>
        <w:t>Vedle funkce fiskální (posílení příjmů státního rozpočtu) by zvýšení energetických daní mělo ve větší míře stimulovat snížení</w:t>
      </w:r>
      <w:r w:rsidRPr="00A511F7">
        <w:t xml:space="preserve"> energetick</w:t>
      </w:r>
      <w:r>
        <w:t>é</w:t>
      </w:r>
      <w:r w:rsidRPr="00A511F7">
        <w:t xml:space="preserve"> náročnost</w:t>
      </w:r>
      <w:r>
        <w:t>i</w:t>
      </w:r>
      <w:r w:rsidRPr="00A511F7">
        <w:t xml:space="preserve"> ekonomiky a omezovat negativní vliv</w:t>
      </w:r>
      <w:r>
        <w:t>y</w:t>
      </w:r>
      <w:r w:rsidRPr="00A511F7">
        <w:t xml:space="preserve"> výroby, respektive spotřeby environmentálně škodlivých výrobků</w:t>
      </w:r>
      <w:r>
        <w:t xml:space="preserve">, </w:t>
      </w:r>
      <w:r w:rsidRPr="008A5361">
        <w:t>na které dlouhodobě upozorňuje ve svých pravidelných přehledech OECD</w:t>
      </w:r>
      <w:r w:rsidRPr="008A5361">
        <w:rPr>
          <w:rStyle w:val="Znakapoznpodarou"/>
        </w:rPr>
        <w:footnoteReference w:id="23"/>
      </w:r>
      <w:r w:rsidRPr="008A5361">
        <w:t>.</w:t>
      </w:r>
    </w:p>
    <w:p w14:paraId="61340FCC" w14:textId="3E0384D9" w:rsidR="0005326B" w:rsidRDefault="00E877E5" w:rsidP="00D3507E">
      <w:pPr>
        <w:pStyle w:val="Tituleknadgrafy1-9"/>
      </w:pPr>
      <w:r w:rsidRPr="00E877E5">
        <w:t>Graf č. </w:t>
      </w:r>
      <w:r w:rsidRPr="00E877E5">
        <w:fldChar w:fldCharType="begin"/>
      </w:r>
      <w:r w:rsidRPr="00E877E5">
        <w:instrText xml:space="preserve"> SEQ Graf_č. \* ARABIC </w:instrText>
      </w:r>
      <w:r w:rsidRPr="00E877E5">
        <w:fldChar w:fldCharType="separate"/>
      </w:r>
      <w:r w:rsidR="009849B2">
        <w:t>6</w:t>
      </w:r>
      <w:r w:rsidRPr="00E877E5">
        <w:fldChar w:fldCharType="end"/>
      </w:r>
      <w:r>
        <w:t xml:space="preserve"> </w:t>
      </w:r>
      <w:r w:rsidR="0005326B">
        <w:t>–</w:t>
      </w:r>
      <w:r w:rsidR="00001875">
        <w:tab/>
      </w:r>
      <w:r w:rsidR="0005326B">
        <w:t>Vývoj inkasa u jednotlivých energetických daní (v mld. Kč)</w:t>
      </w:r>
    </w:p>
    <w:p w14:paraId="254EFEB8" w14:textId="77777777" w:rsidR="0005326B" w:rsidRPr="00A620B4" w:rsidRDefault="0005326B" w:rsidP="00AE7CC9">
      <w:pPr>
        <w:spacing w:before="0" w:after="0"/>
        <w:jc w:val="center"/>
        <w:rPr>
          <w:b/>
        </w:rPr>
      </w:pPr>
      <w:r>
        <w:rPr>
          <w:noProof/>
          <w:lang w:eastAsia="cs-CZ"/>
        </w:rPr>
        <w:drawing>
          <wp:inline distT="0" distB="0" distL="0" distR="0" wp14:anchorId="678C0F58" wp14:editId="1C145CC0">
            <wp:extent cx="5810250" cy="1257300"/>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28EAB1D" w14:textId="77777777" w:rsidR="0005326B" w:rsidRPr="00EA0EE4" w:rsidRDefault="0005326B" w:rsidP="002C4F38">
      <w:pPr>
        <w:pStyle w:val="Poznazdroj"/>
      </w:pPr>
      <w:r w:rsidRPr="00FC7AAF">
        <w:rPr>
          <w:b/>
        </w:rPr>
        <w:t>Zdroj:</w:t>
      </w:r>
      <w:r w:rsidRPr="0005326B">
        <w:t xml:space="preserve"> </w:t>
      </w:r>
      <w:r w:rsidRPr="00EA0EE4">
        <w:t>SZÚ za roky 2014–2017, návrh SZÚ za rok 2018.</w:t>
      </w:r>
    </w:p>
    <w:p w14:paraId="16476250" w14:textId="13D3F9AF" w:rsidR="0005326B" w:rsidRDefault="0005326B" w:rsidP="0005326B">
      <w:r>
        <w:t>Na celkovém inkasu spotřebních daní za rok 2018 ve výši 153,8 mld. Kč se podílel meziročně vyšší výběr spotřební daně z minerálních olejů o 1,0 mld. Kč a spotřební daně z tabákových výrobků o 2,6 mld. Kč.</w:t>
      </w:r>
    </w:p>
    <w:p w14:paraId="4B934452" w14:textId="26EA0473" w:rsidR="0005326B" w:rsidRDefault="00E877E5" w:rsidP="00D3507E">
      <w:pPr>
        <w:pStyle w:val="Tituleknadgrafy1-9"/>
      </w:pPr>
      <w:r w:rsidRPr="008A54A8">
        <w:t>Graf č.</w:t>
      </w:r>
      <w:r w:rsidRPr="00E877E5">
        <w:t> </w:t>
      </w:r>
      <w:r w:rsidRPr="00E877E5">
        <w:fldChar w:fldCharType="begin"/>
      </w:r>
      <w:r w:rsidRPr="00E877E5">
        <w:instrText xml:space="preserve"> SEQ Graf_č. \* ARABIC </w:instrText>
      </w:r>
      <w:r w:rsidRPr="00E877E5">
        <w:fldChar w:fldCharType="separate"/>
      </w:r>
      <w:r w:rsidR="009849B2">
        <w:t>7</w:t>
      </w:r>
      <w:r w:rsidRPr="00E877E5">
        <w:fldChar w:fldCharType="end"/>
      </w:r>
      <w:r>
        <w:t xml:space="preserve"> </w:t>
      </w:r>
      <w:r w:rsidR="0005326B" w:rsidRPr="00B44E29">
        <w:t>–</w:t>
      </w:r>
      <w:r w:rsidR="00001875">
        <w:tab/>
      </w:r>
      <w:r w:rsidR="0005326B" w:rsidRPr="00B44E29">
        <w:t>Vývoj inkasa spotřební</w:t>
      </w:r>
      <w:r w:rsidR="0054776D">
        <w:t>ch</w:t>
      </w:r>
      <w:r w:rsidR="0005326B" w:rsidRPr="00B44E29">
        <w:t xml:space="preserve"> dan</w:t>
      </w:r>
      <w:r w:rsidR="0054776D">
        <w:t>í</w:t>
      </w:r>
      <w:r w:rsidR="0005326B" w:rsidRPr="00B44E29">
        <w:t xml:space="preserve"> a </w:t>
      </w:r>
      <w:r w:rsidR="00F32C2C">
        <w:t xml:space="preserve">jeho </w:t>
      </w:r>
      <w:r w:rsidR="0005326B">
        <w:t xml:space="preserve">zvýšení </w:t>
      </w:r>
      <w:r w:rsidR="00F32C2C">
        <w:t xml:space="preserve">oproti </w:t>
      </w:r>
      <w:r w:rsidR="0005326B" w:rsidRPr="00B44E29">
        <w:t>rok</w:t>
      </w:r>
      <w:r w:rsidR="00F32C2C">
        <w:t>u</w:t>
      </w:r>
      <w:r w:rsidR="0005326B" w:rsidRPr="00B44E29">
        <w:t xml:space="preserve"> 2010 (v mld. Kč)</w:t>
      </w:r>
    </w:p>
    <w:p w14:paraId="6BB0CC89" w14:textId="170360CA" w:rsidR="0005326B" w:rsidRPr="00B44E29" w:rsidRDefault="008A54A8" w:rsidP="0005326B">
      <w:pPr>
        <w:spacing w:before="0" w:after="0"/>
        <w:rPr>
          <w:b/>
        </w:rPr>
      </w:pPr>
      <w:r>
        <w:rPr>
          <w:noProof/>
          <w:lang w:eastAsia="cs-CZ"/>
        </w:rPr>
        <w:drawing>
          <wp:inline distT="0" distB="0" distL="0" distR="0" wp14:anchorId="77A4E358" wp14:editId="0F9E2C2D">
            <wp:extent cx="5759450" cy="16383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8A3A04C" w14:textId="71729A36" w:rsidR="0005326B" w:rsidRPr="00EA0EE4" w:rsidRDefault="0005326B" w:rsidP="002C4F38">
      <w:pPr>
        <w:pStyle w:val="Poznazdroj"/>
      </w:pPr>
      <w:r w:rsidRPr="00FC7AAF">
        <w:rPr>
          <w:b/>
        </w:rPr>
        <w:t>Zdroj:</w:t>
      </w:r>
      <w:r w:rsidRPr="00B44E29">
        <w:t xml:space="preserve"> </w:t>
      </w:r>
      <w:r w:rsidRPr="00EA0EE4">
        <w:t>SZÚ za roky 2010,</w:t>
      </w:r>
      <w:r w:rsidR="0054776D">
        <w:t xml:space="preserve"> </w:t>
      </w:r>
      <w:r w:rsidRPr="00EA0EE4">
        <w:t>20</w:t>
      </w:r>
      <w:r w:rsidR="00792C98" w:rsidRPr="00EA0EE4">
        <w:t>15</w:t>
      </w:r>
      <w:r w:rsidR="0054776D">
        <w:t xml:space="preserve">, 2016 a </w:t>
      </w:r>
      <w:r w:rsidR="00792C98" w:rsidRPr="00EA0EE4">
        <w:t>2017, návrh SZÚ za rok 2018.</w:t>
      </w:r>
    </w:p>
    <w:p w14:paraId="38497F9E" w14:textId="0A640394" w:rsidR="0005326B" w:rsidRDefault="0005326B" w:rsidP="0005326B">
      <w:r w:rsidRPr="001A1CC1">
        <w:rPr>
          <w:b/>
        </w:rPr>
        <w:lastRenderedPageBreak/>
        <w:t>S</w:t>
      </w:r>
      <w:r w:rsidRPr="00615F85">
        <w:rPr>
          <w:b/>
        </w:rPr>
        <w:t>potřební daň z tabákových výrobků je jedin</w:t>
      </w:r>
      <w:r>
        <w:rPr>
          <w:b/>
        </w:rPr>
        <w:t>ou</w:t>
      </w:r>
      <w:r w:rsidRPr="00615F85">
        <w:rPr>
          <w:b/>
        </w:rPr>
        <w:t xml:space="preserve"> </w:t>
      </w:r>
      <w:r>
        <w:rPr>
          <w:b/>
        </w:rPr>
        <w:t>daní</w:t>
      </w:r>
      <w:r w:rsidRPr="00615F85">
        <w:rPr>
          <w:b/>
        </w:rPr>
        <w:t xml:space="preserve">, u které dochází </w:t>
      </w:r>
      <w:r>
        <w:rPr>
          <w:b/>
        </w:rPr>
        <w:t xml:space="preserve">dlouhodobě </w:t>
      </w:r>
      <w:r w:rsidRPr="00615F85">
        <w:rPr>
          <w:b/>
        </w:rPr>
        <w:t>k</w:t>
      </w:r>
      <w:r>
        <w:rPr>
          <w:b/>
        </w:rPr>
        <w:t>e</w:t>
      </w:r>
      <w:r w:rsidRPr="00615F85">
        <w:rPr>
          <w:b/>
        </w:rPr>
        <w:t xml:space="preserve"> zvyšování </w:t>
      </w:r>
      <w:r w:rsidRPr="00655D5E">
        <w:rPr>
          <w:b/>
        </w:rPr>
        <w:t>sazby daně</w:t>
      </w:r>
      <w:r>
        <w:rPr>
          <w:b/>
        </w:rPr>
        <w:t xml:space="preserve">. </w:t>
      </w:r>
      <w:r w:rsidRPr="0030694F">
        <w:t>Vedle z</w:t>
      </w:r>
      <w:r w:rsidR="002D6F59">
        <w:t>ajištění harmonizace se směrnicí</w:t>
      </w:r>
      <w:r w:rsidRPr="0030694F">
        <w:t xml:space="preserve"> EU</w:t>
      </w:r>
      <w:r w:rsidRPr="0030694F">
        <w:rPr>
          <w:rStyle w:val="Znakapoznpodarou"/>
        </w:rPr>
        <w:footnoteReference w:id="24"/>
      </w:r>
      <w:r w:rsidRPr="0030694F">
        <w:t xml:space="preserve"> je </w:t>
      </w:r>
      <w:r w:rsidRPr="00776B77">
        <w:t>tak naplňován i cíl zajištění vysokého stupně ochrany lidského zdraví v souladu s</w:t>
      </w:r>
      <w:r>
        <w:t>e</w:t>
      </w:r>
      <w:r w:rsidRPr="00776B77">
        <w:t xml:space="preserve"> </w:t>
      </w:r>
      <w:r w:rsidRPr="00386D26">
        <w:rPr>
          <w:i/>
        </w:rPr>
        <w:t>Smlouvou o fungování Evropské unie</w:t>
      </w:r>
      <w:r w:rsidRPr="00386D26">
        <w:t>.</w:t>
      </w:r>
      <w:r>
        <w:t xml:space="preserve"> </w:t>
      </w:r>
      <w:r w:rsidRPr="00230472">
        <w:rPr>
          <w:b/>
        </w:rPr>
        <w:t xml:space="preserve">Naopak </w:t>
      </w:r>
      <w:r>
        <w:rPr>
          <w:b/>
        </w:rPr>
        <w:t xml:space="preserve">u alkoholických nápojů </w:t>
      </w:r>
      <w:r w:rsidRPr="00230472">
        <w:rPr>
          <w:b/>
        </w:rPr>
        <w:t>se základní sazby spotřební</w:t>
      </w:r>
      <w:r w:rsidR="0054776D">
        <w:rPr>
          <w:b/>
        </w:rPr>
        <w:t>ch</w:t>
      </w:r>
      <w:r w:rsidRPr="00230472">
        <w:rPr>
          <w:b/>
        </w:rPr>
        <w:t xml:space="preserve"> dan</w:t>
      </w:r>
      <w:r w:rsidR="0054776D">
        <w:rPr>
          <w:b/>
        </w:rPr>
        <w:t>í</w:t>
      </w:r>
      <w:r w:rsidRPr="00230472">
        <w:rPr>
          <w:b/>
        </w:rPr>
        <w:t xml:space="preserve"> nezvyšovaly u piva a lihu od roku 2010, u vína od roku 2004. </w:t>
      </w:r>
      <w:r>
        <w:t xml:space="preserve">Přitom mezinárodní instituce </w:t>
      </w:r>
      <w:r w:rsidR="0054776D">
        <w:t>(</w:t>
      </w:r>
      <w:r>
        <w:t>OECD, WHO</w:t>
      </w:r>
      <w:r w:rsidR="0054776D">
        <w:t>)</w:t>
      </w:r>
      <w:r>
        <w:t xml:space="preserve"> </w:t>
      </w:r>
      <w:r w:rsidR="0054776D">
        <w:t>i Evropská unie</w:t>
      </w:r>
      <w:r>
        <w:t xml:space="preserve"> dlouhodobě upozorňují, že má ČR omezit vysokou spotřebu alkoholu s ohledem na jeho škodlivost a ekonomické dopady</w:t>
      </w:r>
      <w:r>
        <w:rPr>
          <w:rStyle w:val="Znakapoznpodarou"/>
        </w:rPr>
        <w:footnoteReference w:id="25"/>
      </w:r>
      <w:r>
        <w:t xml:space="preserve">. </w:t>
      </w:r>
      <w:r w:rsidR="0054776D">
        <w:t>Tento krok by však vyžadoval</w:t>
      </w:r>
      <w:r>
        <w:t xml:space="preserve"> analýzu dopadů případného zvýšení daňové zátěže u alkoholických nápojů na zajištění ochrany proti krácení příjmů a </w:t>
      </w:r>
      <w:r w:rsidR="0054776D">
        <w:t xml:space="preserve">analýzu </w:t>
      </w:r>
      <w:r>
        <w:t>dopadů snížení spotřeby na příjmy státního rozpočtu.</w:t>
      </w:r>
    </w:p>
    <w:p w14:paraId="76B19B8C" w14:textId="5FC02B74" w:rsidR="0005326B" w:rsidRDefault="00EB0332" w:rsidP="001712FC">
      <w:pPr>
        <w:pStyle w:val="Tituleknadtabulkou"/>
      </w:pPr>
      <w:r>
        <w:t xml:space="preserve">Tabulka č. </w:t>
      </w:r>
      <w:r>
        <w:fldChar w:fldCharType="begin"/>
      </w:r>
      <w:r>
        <w:instrText xml:space="preserve"> SEQ Tabulka_č._ \* ARABIC </w:instrText>
      </w:r>
      <w:r>
        <w:fldChar w:fldCharType="separate"/>
      </w:r>
      <w:r w:rsidR="009849B2">
        <w:t>3</w:t>
      </w:r>
      <w:r>
        <w:fldChar w:fldCharType="end"/>
      </w:r>
      <w:r>
        <w:t xml:space="preserve"> </w:t>
      </w:r>
      <w:r w:rsidR="0005326B">
        <w:t>–</w:t>
      </w:r>
      <w:r>
        <w:tab/>
      </w:r>
      <w:r w:rsidR="0005326B">
        <w:t>S</w:t>
      </w:r>
      <w:r w:rsidR="0005326B" w:rsidRPr="00AB316D">
        <w:t>potřební dan</w:t>
      </w:r>
      <w:r w:rsidR="0005326B">
        <w:t xml:space="preserve">ě z alkoholu a cigaret na 1 obyvatele za rok </w:t>
      </w:r>
      <w:r w:rsidR="005147E3">
        <w:t>2017</w:t>
      </w:r>
    </w:p>
    <w:tbl>
      <w:tblPr>
        <w:tblW w:w="9062" w:type="dxa"/>
        <w:tblInd w:w="80" w:type="dxa"/>
        <w:tblLayout w:type="fixed"/>
        <w:tblCellMar>
          <w:left w:w="70" w:type="dxa"/>
          <w:right w:w="70" w:type="dxa"/>
        </w:tblCellMar>
        <w:tblLook w:val="04A0" w:firstRow="1" w:lastRow="0" w:firstColumn="1" w:lastColumn="0" w:noHBand="0" w:noVBand="1"/>
      </w:tblPr>
      <w:tblGrid>
        <w:gridCol w:w="3920"/>
        <w:gridCol w:w="1285"/>
        <w:gridCol w:w="1286"/>
        <w:gridCol w:w="1285"/>
        <w:gridCol w:w="1286"/>
      </w:tblGrid>
      <w:tr w:rsidR="003334D3" w:rsidRPr="003334D3" w14:paraId="591A9C72" w14:textId="77777777" w:rsidTr="003334D3">
        <w:trPr>
          <w:trHeight w:val="315"/>
        </w:trPr>
        <w:tc>
          <w:tcPr>
            <w:tcW w:w="3920" w:type="dxa"/>
            <w:tcBorders>
              <w:top w:val="single" w:sz="8" w:space="0" w:color="auto"/>
              <w:left w:val="single" w:sz="8" w:space="0" w:color="auto"/>
              <w:bottom w:val="single" w:sz="8" w:space="0" w:color="auto"/>
              <w:right w:val="single" w:sz="8" w:space="0" w:color="auto"/>
            </w:tcBorders>
            <w:shd w:val="clear" w:color="auto" w:fill="E5F1FF"/>
            <w:noWrap/>
            <w:vAlign w:val="center"/>
            <w:hideMark/>
          </w:tcPr>
          <w:p w14:paraId="16A9512F" w14:textId="77777777" w:rsidR="0005326B" w:rsidRPr="003334D3" w:rsidRDefault="0005326B" w:rsidP="0005326B">
            <w:pPr>
              <w:spacing w:before="0" w:after="0" w:line="240" w:lineRule="auto"/>
              <w:jc w:val="center"/>
              <w:rPr>
                <w:rFonts w:eastAsia="Times New Roman" w:cs="Calibri"/>
                <w:b/>
                <w:sz w:val="20"/>
                <w:szCs w:val="20"/>
                <w:lang w:eastAsia="cs-CZ"/>
              </w:rPr>
            </w:pPr>
            <w:r w:rsidRPr="003334D3">
              <w:rPr>
                <w:rFonts w:eastAsia="Times New Roman" w:cs="Calibri"/>
                <w:b/>
                <w:sz w:val="20"/>
                <w:szCs w:val="20"/>
                <w:lang w:eastAsia="cs-CZ"/>
              </w:rPr>
              <w:t>Ukazatele</w:t>
            </w:r>
          </w:p>
        </w:tc>
        <w:tc>
          <w:tcPr>
            <w:tcW w:w="1285" w:type="dxa"/>
            <w:tcBorders>
              <w:top w:val="single" w:sz="8" w:space="0" w:color="auto"/>
              <w:left w:val="nil"/>
              <w:bottom w:val="single" w:sz="8" w:space="0" w:color="auto"/>
              <w:right w:val="single" w:sz="4" w:space="0" w:color="auto"/>
            </w:tcBorders>
            <w:shd w:val="clear" w:color="auto" w:fill="E5F1FF"/>
            <w:noWrap/>
            <w:vAlign w:val="center"/>
            <w:hideMark/>
          </w:tcPr>
          <w:p w14:paraId="789C2D58" w14:textId="22A9599B" w:rsidR="0005326B" w:rsidRPr="003334D3" w:rsidRDefault="002D6F59" w:rsidP="002D6F59">
            <w:pPr>
              <w:spacing w:before="0" w:after="0" w:line="240" w:lineRule="auto"/>
              <w:jc w:val="center"/>
              <w:rPr>
                <w:rFonts w:eastAsia="Times New Roman" w:cs="Calibri"/>
                <w:b/>
                <w:bCs/>
                <w:sz w:val="20"/>
                <w:szCs w:val="20"/>
                <w:lang w:eastAsia="cs-CZ"/>
              </w:rPr>
            </w:pPr>
            <w:r>
              <w:rPr>
                <w:rFonts w:eastAsia="Times New Roman" w:cs="Calibri"/>
                <w:b/>
                <w:bCs/>
                <w:sz w:val="20"/>
                <w:szCs w:val="20"/>
                <w:lang w:eastAsia="cs-CZ"/>
              </w:rPr>
              <w:t>Cigarety</w:t>
            </w:r>
          </w:p>
        </w:tc>
        <w:tc>
          <w:tcPr>
            <w:tcW w:w="1286" w:type="dxa"/>
            <w:tcBorders>
              <w:top w:val="single" w:sz="8" w:space="0" w:color="auto"/>
              <w:left w:val="nil"/>
              <w:bottom w:val="single" w:sz="8" w:space="0" w:color="auto"/>
              <w:right w:val="single" w:sz="4" w:space="0" w:color="auto"/>
            </w:tcBorders>
            <w:shd w:val="clear" w:color="auto" w:fill="E5F1FF"/>
            <w:noWrap/>
            <w:vAlign w:val="center"/>
            <w:hideMark/>
          </w:tcPr>
          <w:p w14:paraId="1A848ECB" w14:textId="7BD7E62D" w:rsidR="0005326B" w:rsidRPr="003334D3" w:rsidRDefault="002D6F59" w:rsidP="002D6F59">
            <w:pPr>
              <w:spacing w:before="0" w:after="0" w:line="240" w:lineRule="auto"/>
              <w:jc w:val="center"/>
              <w:rPr>
                <w:rFonts w:eastAsia="Times New Roman" w:cs="Calibri"/>
                <w:b/>
                <w:bCs/>
                <w:sz w:val="20"/>
                <w:szCs w:val="20"/>
                <w:lang w:eastAsia="cs-CZ"/>
              </w:rPr>
            </w:pPr>
            <w:r>
              <w:rPr>
                <w:rFonts w:eastAsia="Times New Roman" w:cs="Calibri"/>
                <w:b/>
                <w:bCs/>
                <w:sz w:val="20"/>
                <w:szCs w:val="20"/>
                <w:lang w:eastAsia="cs-CZ"/>
              </w:rPr>
              <w:t>Lihoviny</w:t>
            </w:r>
          </w:p>
        </w:tc>
        <w:tc>
          <w:tcPr>
            <w:tcW w:w="1285" w:type="dxa"/>
            <w:tcBorders>
              <w:top w:val="single" w:sz="8" w:space="0" w:color="auto"/>
              <w:left w:val="nil"/>
              <w:bottom w:val="single" w:sz="8" w:space="0" w:color="auto"/>
              <w:right w:val="single" w:sz="4" w:space="0" w:color="auto"/>
            </w:tcBorders>
            <w:shd w:val="clear" w:color="auto" w:fill="E5F1FF"/>
            <w:noWrap/>
            <w:vAlign w:val="center"/>
            <w:hideMark/>
          </w:tcPr>
          <w:p w14:paraId="6A66C51B" w14:textId="64221501" w:rsidR="0005326B" w:rsidRPr="003334D3" w:rsidRDefault="002D6F59" w:rsidP="002D6F59">
            <w:pPr>
              <w:spacing w:before="0" w:after="0" w:line="240" w:lineRule="auto"/>
              <w:jc w:val="center"/>
              <w:rPr>
                <w:rFonts w:eastAsia="Times New Roman" w:cs="Calibri"/>
                <w:b/>
                <w:bCs/>
                <w:sz w:val="20"/>
                <w:szCs w:val="20"/>
                <w:lang w:eastAsia="cs-CZ"/>
              </w:rPr>
            </w:pPr>
            <w:r>
              <w:rPr>
                <w:rFonts w:eastAsia="Times New Roman" w:cs="Calibri"/>
                <w:b/>
                <w:bCs/>
                <w:sz w:val="20"/>
                <w:szCs w:val="20"/>
                <w:lang w:eastAsia="cs-CZ"/>
              </w:rPr>
              <w:t>Pivo</w:t>
            </w:r>
          </w:p>
        </w:tc>
        <w:tc>
          <w:tcPr>
            <w:tcW w:w="1286" w:type="dxa"/>
            <w:tcBorders>
              <w:top w:val="single" w:sz="8" w:space="0" w:color="auto"/>
              <w:left w:val="nil"/>
              <w:bottom w:val="single" w:sz="8" w:space="0" w:color="auto"/>
              <w:right w:val="single" w:sz="8" w:space="0" w:color="auto"/>
            </w:tcBorders>
            <w:shd w:val="clear" w:color="auto" w:fill="E5F1FF"/>
            <w:noWrap/>
            <w:vAlign w:val="center"/>
            <w:hideMark/>
          </w:tcPr>
          <w:p w14:paraId="03A481F7" w14:textId="51D85708" w:rsidR="0005326B" w:rsidRPr="003334D3" w:rsidRDefault="002D6F59" w:rsidP="002D6F59">
            <w:pPr>
              <w:spacing w:before="0" w:after="0" w:line="240" w:lineRule="auto"/>
              <w:jc w:val="center"/>
              <w:rPr>
                <w:rFonts w:eastAsia="Times New Roman" w:cs="Calibri"/>
                <w:b/>
                <w:bCs/>
                <w:sz w:val="20"/>
                <w:szCs w:val="20"/>
                <w:lang w:eastAsia="cs-CZ"/>
              </w:rPr>
            </w:pPr>
            <w:r>
              <w:rPr>
                <w:rFonts w:eastAsia="Times New Roman" w:cs="Calibri"/>
                <w:b/>
                <w:bCs/>
                <w:sz w:val="20"/>
                <w:szCs w:val="20"/>
                <w:lang w:eastAsia="cs-CZ"/>
              </w:rPr>
              <w:t>Víno</w:t>
            </w:r>
          </w:p>
        </w:tc>
      </w:tr>
      <w:tr w:rsidR="0005326B" w:rsidRPr="00352BEA" w14:paraId="1996729F" w14:textId="77777777" w:rsidTr="005147E3">
        <w:trPr>
          <w:trHeight w:val="300"/>
        </w:trPr>
        <w:tc>
          <w:tcPr>
            <w:tcW w:w="3920" w:type="dxa"/>
            <w:tcBorders>
              <w:top w:val="nil"/>
              <w:left w:val="single" w:sz="8" w:space="0" w:color="auto"/>
              <w:bottom w:val="single" w:sz="4" w:space="0" w:color="auto"/>
              <w:right w:val="single" w:sz="8" w:space="0" w:color="auto"/>
            </w:tcBorders>
            <w:shd w:val="clear" w:color="auto" w:fill="auto"/>
            <w:noWrap/>
            <w:vAlign w:val="center"/>
            <w:hideMark/>
          </w:tcPr>
          <w:p w14:paraId="6CF0B8B3" w14:textId="77777777" w:rsidR="0005326B" w:rsidRPr="0005326B" w:rsidRDefault="0005326B" w:rsidP="005147E3">
            <w:pPr>
              <w:spacing w:before="0" w:after="0" w:line="240" w:lineRule="auto"/>
              <w:jc w:val="left"/>
              <w:rPr>
                <w:rFonts w:eastAsia="Times New Roman" w:cs="Calibri"/>
                <w:color w:val="000000"/>
                <w:sz w:val="20"/>
                <w:szCs w:val="20"/>
                <w:lang w:eastAsia="cs-CZ"/>
              </w:rPr>
            </w:pPr>
            <w:r w:rsidRPr="0005326B">
              <w:rPr>
                <w:rFonts w:eastAsia="Times New Roman" w:cs="Calibri"/>
                <w:color w:val="000000"/>
                <w:sz w:val="20"/>
                <w:szCs w:val="20"/>
                <w:lang w:eastAsia="cs-CZ"/>
              </w:rPr>
              <w:t>Spotřeba na jednoho obyvatele</w:t>
            </w:r>
          </w:p>
        </w:tc>
        <w:tc>
          <w:tcPr>
            <w:tcW w:w="1285" w:type="dxa"/>
            <w:tcBorders>
              <w:top w:val="nil"/>
              <w:left w:val="nil"/>
              <w:bottom w:val="single" w:sz="4" w:space="0" w:color="auto"/>
              <w:right w:val="single" w:sz="4" w:space="0" w:color="auto"/>
            </w:tcBorders>
            <w:shd w:val="clear" w:color="auto" w:fill="auto"/>
            <w:noWrap/>
            <w:vAlign w:val="center"/>
            <w:hideMark/>
          </w:tcPr>
          <w:p w14:paraId="69EA8B75" w14:textId="4A0F21AA" w:rsidR="0005326B" w:rsidRPr="005147E3" w:rsidRDefault="0005326B" w:rsidP="005147E3">
            <w:pPr>
              <w:spacing w:before="0" w:after="0" w:line="240" w:lineRule="auto"/>
              <w:jc w:val="right"/>
              <w:rPr>
                <w:rFonts w:eastAsia="Times New Roman" w:cs="Calibri"/>
                <w:color w:val="000000"/>
                <w:sz w:val="20"/>
                <w:szCs w:val="20"/>
                <w:lang w:eastAsia="cs-CZ"/>
              </w:rPr>
            </w:pPr>
            <w:r w:rsidRPr="005147E3">
              <w:rPr>
                <w:rFonts w:eastAsia="Times New Roman" w:cs="Calibri"/>
                <w:color w:val="000000"/>
                <w:sz w:val="20"/>
                <w:szCs w:val="20"/>
                <w:lang w:eastAsia="cs-CZ"/>
              </w:rPr>
              <w:t>1</w:t>
            </w:r>
            <w:r w:rsidR="002D6F59">
              <w:rPr>
                <w:rFonts w:eastAsia="Times New Roman" w:cs="Calibri"/>
                <w:color w:val="000000"/>
                <w:sz w:val="20"/>
                <w:szCs w:val="20"/>
                <w:lang w:eastAsia="cs-CZ"/>
              </w:rPr>
              <w:t> </w:t>
            </w:r>
            <w:r w:rsidRPr="005147E3">
              <w:rPr>
                <w:rFonts w:eastAsia="Times New Roman" w:cs="Calibri"/>
                <w:color w:val="000000"/>
                <w:sz w:val="20"/>
                <w:szCs w:val="20"/>
                <w:lang w:eastAsia="cs-CZ"/>
              </w:rPr>
              <w:t>978</w:t>
            </w:r>
            <w:r w:rsidR="002D6F59">
              <w:rPr>
                <w:rFonts w:eastAsia="Times New Roman" w:cs="Calibri"/>
                <w:color w:val="000000"/>
                <w:sz w:val="20"/>
                <w:szCs w:val="20"/>
                <w:lang w:eastAsia="cs-CZ"/>
              </w:rPr>
              <w:t xml:space="preserve"> ks</w:t>
            </w:r>
          </w:p>
        </w:tc>
        <w:tc>
          <w:tcPr>
            <w:tcW w:w="1286" w:type="dxa"/>
            <w:tcBorders>
              <w:top w:val="nil"/>
              <w:left w:val="nil"/>
              <w:bottom w:val="single" w:sz="4" w:space="0" w:color="auto"/>
              <w:right w:val="single" w:sz="4" w:space="0" w:color="auto"/>
            </w:tcBorders>
            <w:shd w:val="clear" w:color="auto" w:fill="auto"/>
            <w:noWrap/>
            <w:vAlign w:val="center"/>
            <w:hideMark/>
          </w:tcPr>
          <w:p w14:paraId="65F4FF03" w14:textId="05A03E9C" w:rsidR="0005326B" w:rsidRPr="005147E3" w:rsidRDefault="0005326B" w:rsidP="005147E3">
            <w:pPr>
              <w:spacing w:before="0" w:after="0" w:line="240" w:lineRule="auto"/>
              <w:jc w:val="right"/>
              <w:rPr>
                <w:rFonts w:eastAsia="Times New Roman" w:cs="Calibri"/>
                <w:color w:val="000000"/>
                <w:sz w:val="20"/>
                <w:szCs w:val="20"/>
                <w:lang w:eastAsia="cs-CZ"/>
              </w:rPr>
            </w:pPr>
            <w:r w:rsidRPr="005147E3">
              <w:rPr>
                <w:rFonts w:eastAsia="Times New Roman" w:cs="Calibri"/>
                <w:color w:val="000000"/>
                <w:sz w:val="20"/>
                <w:szCs w:val="20"/>
                <w:lang w:eastAsia="cs-CZ"/>
              </w:rPr>
              <w:t>6,9</w:t>
            </w:r>
            <w:r w:rsidR="002D6F59">
              <w:rPr>
                <w:rFonts w:eastAsia="Times New Roman" w:cs="Calibri"/>
                <w:color w:val="000000"/>
                <w:sz w:val="20"/>
                <w:szCs w:val="20"/>
                <w:lang w:eastAsia="cs-CZ"/>
              </w:rPr>
              <w:t xml:space="preserve"> litrů</w:t>
            </w:r>
          </w:p>
        </w:tc>
        <w:tc>
          <w:tcPr>
            <w:tcW w:w="1285" w:type="dxa"/>
            <w:tcBorders>
              <w:top w:val="nil"/>
              <w:left w:val="nil"/>
              <w:bottom w:val="single" w:sz="4" w:space="0" w:color="auto"/>
              <w:right w:val="single" w:sz="4" w:space="0" w:color="auto"/>
            </w:tcBorders>
            <w:shd w:val="clear" w:color="auto" w:fill="auto"/>
            <w:noWrap/>
            <w:vAlign w:val="center"/>
            <w:hideMark/>
          </w:tcPr>
          <w:p w14:paraId="02E80B6E" w14:textId="22AB765A" w:rsidR="0005326B" w:rsidRPr="005147E3" w:rsidRDefault="0005326B" w:rsidP="005147E3">
            <w:pPr>
              <w:spacing w:before="0" w:after="0" w:line="240" w:lineRule="auto"/>
              <w:jc w:val="right"/>
              <w:rPr>
                <w:rFonts w:eastAsia="Times New Roman" w:cs="Calibri"/>
                <w:color w:val="000000"/>
                <w:sz w:val="20"/>
                <w:szCs w:val="20"/>
                <w:lang w:eastAsia="cs-CZ"/>
              </w:rPr>
            </w:pPr>
            <w:r w:rsidRPr="005147E3">
              <w:rPr>
                <w:rFonts w:eastAsia="Times New Roman" w:cs="Calibri"/>
                <w:color w:val="000000"/>
                <w:sz w:val="20"/>
                <w:szCs w:val="20"/>
                <w:lang w:eastAsia="cs-CZ"/>
              </w:rPr>
              <w:t>144,3</w:t>
            </w:r>
            <w:r w:rsidR="002D6F59">
              <w:rPr>
                <w:rFonts w:eastAsia="Times New Roman" w:cs="Calibri"/>
                <w:color w:val="000000"/>
                <w:sz w:val="20"/>
                <w:szCs w:val="20"/>
                <w:lang w:eastAsia="cs-CZ"/>
              </w:rPr>
              <w:t xml:space="preserve"> litrů</w:t>
            </w:r>
          </w:p>
        </w:tc>
        <w:tc>
          <w:tcPr>
            <w:tcW w:w="1286" w:type="dxa"/>
            <w:tcBorders>
              <w:top w:val="nil"/>
              <w:left w:val="nil"/>
              <w:bottom w:val="single" w:sz="4" w:space="0" w:color="auto"/>
              <w:right w:val="single" w:sz="8" w:space="0" w:color="auto"/>
            </w:tcBorders>
            <w:shd w:val="clear" w:color="auto" w:fill="auto"/>
            <w:noWrap/>
            <w:vAlign w:val="center"/>
            <w:hideMark/>
          </w:tcPr>
          <w:p w14:paraId="1B0B3FAC" w14:textId="0C2600A2" w:rsidR="0005326B" w:rsidRPr="005147E3" w:rsidRDefault="0005326B" w:rsidP="005147E3">
            <w:pPr>
              <w:spacing w:before="0" w:after="0" w:line="240" w:lineRule="auto"/>
              <w:jc w:val="right"/>
              <w:rPr>
                <w:rFonts w:eastAsia="Times New Roman" w:cs="Calibri"/>
                <w:color w:val="000000"/>
                <w:sz w:val="20"/>
                <w:szCs w:val="20"/>
                <w:lang w:eastAsia="cs-CZ"/>
              </w:rPr>
            </w:pPr>
            <w:r w:rsidRPr="005147E3">
              <w:rPr>
                <w:rFonts w:eastAsia="Times New Roman" w:cs="Calibri"/>
                <w:color w:val="000000"/>
                <w:sz w:val="20"/>
                <w:szCs w:val="20"/>
                <w:lang w:eastAsia="cs-CZ"/>
              </w:rPr>
              <w:t>19,4</w:t>
            </w:r>
            <w:r w:rsidR="002D6F59">
              <w:rPr>
                <w:rFonts w:eastAsia="Times New Roman" w:cs="Calibri"/>
                <w:color w:val="000000"/>
                <w:sz w:val="20"/>
                <w:szCs w:val="20"/>
                <w:lang w:eastAsia="cs-CZ"/>
              </w:rPr>
              <w:t xml:space="preserve"> litrů</w:t>
            </w:r>
          </w:p>
        </w:tc>
      </w:tr>
      <w:tr w:rsidR="005147E3" w:rsidRPr="00352BEA" w14:paraId="6FEA050D" w14:textId="77777777" w:rsidTr="005147E3">
        <w:trPr>
          <w:trHeight w:val="300"/>
        </w:trPr>
        <w:tc>
          <w:tcPr>
            <w:tcW w:w="3920" w:type="dxa"/>
            <w:tcBorders>
              <w:top w:val="nil"/>
              <w:left w:val="single" w:sz="8" w:space="0" w:color="auto"/>
              <w:bottom w:val="single" w:sz="4" w:space="0" w:color="auto"/>
              <w:right w:val="single" w:sz="8" w:space="0" w:color="auto"/>
            </w:tcBorders>
            <w:shd w:val="clear" w:color="auto" w:fill="auto"/>
            <w:noWrap/>
            <w:vAlign w:val="center"/>
            <w:hideMark/>
          </w:tcPr>
          <w:p w14:paraId="3BB7ECAB" w14:textId="77777777" w:rsidR="005147E3" w:rsidRPr="0005326B" w:rsidRDefault="005147E3" w:rsidP="005147E3">
            <w:pPr>
              <w:spacing w:before="0" w:after="0" w:line="240" w:lineRule="auto"/>
              <w:jc w:val="left"/>
              <w:rPr>
                <w:rFonts w:eastAsia="Times New Roman" w:cs="Calibri"/>
                <w:color w:val="000000"/>
                <w:sz w:val="20"/>
                <w:szCs w:val="20"/>
                <w:lang w:eastAsia="cs-CZ"/>
              </w:rPr>
            </w:pPr>
            <w:r w:rsidRPr="0005326B">
              <w:rPr>
                <w:rFonts w:eastAsia="Times New Roman" w:cs="Calibri"/>
                <w:color w:val="000000"/>
                <w:sz w:val="20"/>
                <w:szCs w:val="20"/>
                <w:lang w:eastAsia="cs-CZ"/>
              </w:rPr>
              <w:t>Inkaso spotřební daně do SR v mil. Kč</w:t>
            </w:r>
          </w:p>
        </w:tc>
        <w:tc>
          <w:tcPr>
            <w:tcW w:w="1285" w:type="dxa"/>
            <w:tcBorders>
              <w:top w:val="nil"/>
              <w:left w:val="nil"/>
              <w:bottom w:val="single" w:sz="4" w:space="0" w:color="auto"/>
              <w:right w:val="single" w:sz="4" w:space="0" w:color="auto"/>
            </w:tcBorders>
            <w:shd w:val="clear" w:color="auto" w:fill="auto"/>
            <w:noWrap/>
            <w:vAlign w:val="center"/>
            <w:hideMark/>
          </w:tcPr>
          <w:p w14:paraId="19FF2AB9" w14:textId="5F5D4904" w:rsidR="005147E3" w:rsidRPr="005147E3" w:rsidRDefault="005147E3" w:rsidP="005147E3">
            <w:pPr>
              <w:spacing w:before="0" w:after="0" w:line="240" w:lineRule="auto"/>
              <w:jc w:val="right"/>
              <w:rPr>
                <w:rFonts w:eastAsia="Times New Roman" w:cs="Calibri"/>
                <w:color w:val="000000"/>
                <w:sz w:val="20"/>
                <w:szCs w:val="20"/>
                <w:lang w:eastAsia="cs-CZ"/>
              </w:rPr>
            </w:pPr>
            <w:r w:rsidRPr="005147E3">
              <w:rPr>
                <w:sz w:val="20"/>
                <w:szCs w:val="20"/>
              </w:rPr>
              <w:t>56 219,3</w:t>
            </w:r>
          </w:p>
        </w:tc>
        <w:tc>
          <w:tcPr>
            <w:tcW w:w="1286" w:type="dxa"/>
            <w:tcBorders>
              <w:top w:val="nil"/>
              <w:left w:val="nil"/>
              <w:bottom w:val="single" w:sz="4" w:space="0" w:color="auto"/>
              <w:right w:val="single" w:sz="4" w:space="0" w:color="auto"/>
            </w:tcBorders>
            <w:shd w:val="clear" w:color="auto" w:fill="auto"/>
            <w:noWrap/>
            <w:vAlign w:val="center"/>
            <w:hideMark/>
          </w:tcPr>
          <w:p w14:paraId="6D16C36F" w14:textId="2563B915" w:rsidR="005147E3" w:rsidRPr="005147E3" w:rsidRDefault="005147E3" w:rsidP="005147E3">
            <w:pPr>
              <w:spacing w:before="0" w:after="0" w:line="240" w:lineRule="auto"/>
              <w:jc w:val="right"/>
              <w:rPr>
                <w:rFonts w:eastAsia="Times New Roman" w:cs="Calibri"/>
                <w:color w:val="000000"/>
                <w:sz w:val="20"/>
                <w:szCs w:val="20"/>
                <w:lang w:eastAsia="cs-CZ"/>
              </w:rPr>
            </w:pPr>
            <w:r w:rsidRPr="005147E3">
              <w:rPr>
                <w:sz w:val="20"/>
                <w:szCs w:val="20"/>
              </w:rPr>
              <w:t>7 344,3</w:t>
            </w:r>
          </w:p>
        </w:tc>
        <w:tc>
          <w:tcPr>
            <w:tcW w:w="1285" w:type="dxa"/>
            <w:tcBorders>
              <w:top w:val="nil"/>
              <w:left w:val="nil"/>
              <w:bottom w:val="single" w:sz="4" w:space="0" w:color="auto"/>
              <w:right w:val="single" w:sz="4" w:space="0" w:color="auto"/>
            </w:tcBorders>
            <w:shd w:val="clear" w:color="auto" w:fill="auto"/>
            <w:noWrap/>
            <w:vAlign w:val="center"/>
            <w:hideMark/>
          </w:tcPr>
          <w:p w14:paraId="1D547D6D" w14:textId="4EC132C3" w:rsidR="005147E3" w:rsidRPr="005147E3" w:rsidRDefault="005147E3" w:rsidP="005147E3">
            <w:pPr>
              <w:spacing w:before="0" w:after="0" w:line="240" w:lineRule="auto"/>
              <w:jc w:val="right"/>
              <w:rPr>
                <w:rFonts w:eastAsia="Times New Roman" w:cs="Calibri"/>
                <w:color w:val="000000"/>
                <w:sz w:val="20"/>
                <w:szCs w:val="20"/>
                <w:lang w:eastAsia="cs-CZ"/>
              </w:rPr>
            </w:pPr>
            <w:r w:rsidRPr="005147E3">
              <w:rPr>
                <w:sz w:val="20"/>
                <w:szCs w:val="20"/>
              </w:rPr>
              <w:t>4 634,6</w:t>
            </w:r>
          </w:p>
        </w:tc>
        <w:tc>
          <w:tcPr>
            <w:tcW w:w="1286" w:type="dxa"/>
            <w:tcBorders>
              <w:top w:val="nil"/>
              <w:left w:val="nil"/>
              <w:bottom w:val="single" w:sz="4" w:space="0" w:color="auto"/>
              <w:right w:val="single" w:sz="8" w:space="0" w:color="auto"/>
            </w:tcBorders>
            <w:shd w:val="clear" w:color="auto" w:fill="auto"/>
            <w:noWrap/>
            <w:vAlign w:val="center"/>
            <w:hideMark/>
          </w:tcPr>
          <w:p w14:paraId="4D5C7B10" w14:textId="7CA1BD4B" w:rsidR="005147E3" w:rsidRPr="005147E3" w:rsidRDefault="005147E3" w:rsidP="005147E3">
            <w:pPr>
              <w:spacing w:before="0" w:after="0" w:line="240" w:lineRule="auto"/>
              <w:jc w:val="right"/>
              <w:rPr>
                <w:rFonts w:eastAsia="Times New Roman" w:cs="Calibri"/>
                <w:color w:val="000000"/>
                <w:sz w:val="20"/>
                <w:szCs w:val="20"/>
                <w:lang w:eastAsia="cs-CZ"/>
              </w:rPr>
            </w:pPr>
            <w:r w:rsidRPr="005147E3">
              <w:rPr>
                <w:sz w:val="20"/>
                <w:szCs w:val="20"/>
              </w:rPr>
              <w:t>380,7</w:t>
            </w:r>
          </w:p>
        </w:tc>
      </w:tr>
      <w:tr w:rsidR="005147E3" w:rsidRPr="00352BEA" w14:paraId="077F9C50" w14:textId="77777777" w:rsidTr="003334D3">
        <w:trPr>
          <w:trHeight w:val="315"/>
        </w:trPr>
        <w:tc>
          <w:tcPr>
            <w:tcW w:w="3920" w:type="dxa"/>
            <w:tcBorders>
              <w:top w:val="nil"/>
              <w:left w:val="single" w:sz="8" w:space="0" w:color="auto"/>
              <w:bottom w:val="single" w:sz="8" w:space="0" w:color="auto"/>
              <w:right w:val="single" w:sz="8" w:space="0" w:color="auto"/>
            </w:tcBorders>
            <w:shd w:val="clear" w:color="auto" w:fill="F2C6C9"/>
            <w:noWrap/>
            <w:vAlign w:val="center"/>
            <w:hideMark/>
          </w:tcPr>
          <w:p w14:paraId="7FD0C7AB" w14:textId="77777777" w:rsidR="005147E3" w:rsidRPr="0005326B" w:rsidRDefault="005147E3" w:rsidP="005147E3">
            <w:pPr>
              <w:spacing w:before="0" w:after="0" w:line="240" w:lineRule="auto"/>
              <w:jc w:val="left"/>
              <w:rPr>
                <w:rFonts w:eastAsia="Times New Roman" w:cs="Calibri"/>
                <w:b/>
                <w:bCs/>
                <w:color w:val="000000"/>
                <w:sz w:val="20"/>
                <w:szCs w:val="20"/>
                <w:lang w:eastAsia="cs-CZ"/>
              </w:rPr>
            </w:pPr>
            <w:r w:rsidRPr="0005326B">
              <w:rPr>
                <w:rFonts w:eastAsia="Times New Roman" w:cs="Calibri"/>
                <w:b/>
                <w:bCs/>
                <w:color w:val="000000"/>
                <w:sz w:val="20"/>
                <w:szCs w:val="20"/>
                <w:lang w:eastAsia="cs-CZ"/>
              </w:rPr>
              <w:t>Spotřební daň na jednoho obyvatele v Kč</w:t>
            </w:r>
          </w:p>
        </w:tc>
        <w:tc>
          <w:tcPr>
            <w:tcW w:w="1285" w:type="dxa"/>
            <w:tcBorders>
              <w:top w:val="nil"/>
              <w:left w:val="nil"/>
              <w:bottom w:val="single" w:sz="8" w:space="0" w:color="auto"/>
              <w:right w:val="single" w:sz="4" w:space="0" w:color="auto"/>
            </w:tcBorders>
            <w:shd w:val="clear" w:color="auto" w:fill="F2C6C9"/>
            <w:noWrap/>
            <w:vAlign w:val="center"/>
            <w:hideMark/>
          </w:tcPr>
          <w:p w14:paraId="0788E662" w14:textId="543B479B" w:rsidR="005147E3" w:rsidRPr="005147E3" w:rsidRDefault="005147E3" w:rsidP="005147E3">
            <w:pPr>
              <w:spacing w:before="0" w:after="0" w:line="240" w:lineRule="auto"/>
              <w:jc w:val="right"/>
              <w:rPr>
                <w:rFonts w:eastAsia="Times New Roman" w:cs="Calibri"/>
                <w:b/>
                <w:bCs/>
                <w:color w:val="000000"/>
                <w:sz w:val="20"/>
                <w:szCs w:val="20"/>
                <w:lang w:eastAsia="cs-CZ"/>
              </w:rPr>
            </w:pPr>
            <w:r w:rsidRPr="005147E3">
              <w:rPr>
                <w:b/>
                <w:sz w:val="20"/>
                <w:szCs w:val="20"/>
              </w:rPr>
              <w:t>5 299</w:t>
            </w:r>
          </w:p>
        </w:tc>
        <w:tc>
          <w:tcPr>
            <w:tcW w:w="1286" w:type="dxa"/>
            <w:tcBorders>
              <w:top w:val="nil"/>
              <w:left w:val="nil"/>
              <w:bottom w:val="single" w:sz="8" w:space="0" w:color="auto"/>
              <w:right w:val="single" w:sz="4" w:space="0" w:color="auto"/>
            </w:tcBorders>
            <w:shd w:val="clear" w:color="auto" w:fill="F2C6C9"/>
            <w:noWrap/>
            <w:vAlign w:val="center"/>
            <w:hideMark/>
          </w:tcPr>
          <w:p w14:paraId="29FAE970" w14:textId="34B63CF7" w:rsidR="005147E3" w:rsidRPr="005147E3" w:rsidRDefault="005147E3" w:rsidP="005147E3">
            <w:pPr>
              <w:spacing w:before="0" w:after="0" w:line="240" w:lineRule="auto"/>
              <w:jc w:val="right"/>
              <w:rPr>
                <w:rFonts w:eastAsia="Times New Roman" w:cs="Calibri"/>
                <w:b/>
                <w:bCs/>
                <w:color w:val="000000"/>
                <w:sz w:val="20"/>
                <w:szCs w:val="20"/>
                <w:lang w:eastAsia="cs-CZ"/>
              </w:rPr>
            </w:pPr>
            <w:r w:rsidRPr="005147E3">
              <w:rPr>
                <w:b/>
                <w:sz w:val="20"/>
                <w:szCs w:val="20"/>
              </w:rPr>
              <w:t>692</w:t>
            </w:r>
          </w:p>
        </w:tc>
        <w:tc>
          <w:tcPr>
            <w:tcW w:w="1285" w:type="dxa"/>
            <w:tcBorders>
              <w:top w:val="nil"/>
              <w:left w:val="nil"/>
              <w:bottom w:val="single" w:sz="8" w:space="0" w:color="auto"/>
              <w:right w:val="single" w:sz="4" w:space="0" w:color="auto"/>
            </w:tcBorders>
            <w:shd w:val="clear" w:color="auto" w:fill="F2C6C9"/>
            <w:noWrap/>
            <w:vAlign w:val="center"/>
            <w:hideMark/>
          </w:tcPr>
          <w:p w14:paraId="19DA2B22" w14:textId="1197E3EF" w:rsidR="005147E3" w:rsidRPr="005147E3" w:rsidRDefault="005147E3" w:rsidP="005147E3">
            <w:pPr>
              <w:spacing w:before="0" w:after="0" w:line="240" w:lineRule="auto"/>
              <w:jc w:val="right"/>
              <w:rPr>
                <w:rFonts w:eastAsia="Times New Roman" w:cs="Calibri"/>
                <w:b/>
                <w:bCs/>
                <w:color w:val="000000"/>
                <w:sz w:val="20"/>
                <w:szCs w:val="20"/>
                <w:lang w:eastAsia="cs-CZ"/>
              </w:rPr>
            </w:pPr>
            <w:r w:rsidRPr="005147E3">
              <w:rPr>
                <w:b/>
                <w:sz w:val="20"/>
                <w:szCs w:val="20"/>
              </w:rPr>
              <w:t>437</w:t>
            </w:r>
          </w:p>
        </w:tc>
        <w:tc>
          <w:tcPr>
            <w:tcW w:w="1286" w:type="dxa"/>
            <w:tcBorders>
              <w:top w:val="nil"/>
              <w:left w:val="nil"/>
              <w:bottom w:val="single" w:sz="8" w:space="0" w:color="auto"/>
              <w:right w:val="single" w:sz="8" w:space="0" w:color="auto"/>
            </w:tcBorders>
            <w:shd w:val="clear" w:color="auto" w:fill="F2C6C9"/>
            <w:noWrap/>
            <w:vAlign w:val="center"/>
            <w:hideMark/>
          </w:tcPr>
          <w:p w14:paraId="61B568BA" w14:textId="0250464F" w:rsidR="005147E3" w:rsidRPr="005147E3" w:rsidRDefault="005147E3" w:rsidP="005147E3">
            <w:pPr>
              <w:spacing w:before="0" w:after="0" w:line="240" w:lineRule="auto"/>
              <w:jc w:val="right"/>
              <w:rPr>
                <w:rFonts w:eastAsia="Times New Roman" w:cs="Calibri"/>
                <w:b/>
                <w:bCs/>
                <w:color w:val="000000"/>
                <w:sz w:val="20"/>
                <w:szCs w:val="20"/>
                <w:lang w:eastAsia="cs-CZ"/>
              </w:rPr>
            </w:pPr>
            <w:r w:rsidRPr="005147E3">
              <w:rPr>
                <w:b/>
                <w:sz w:val="20"/>
                <w:szCs w:val="20"/>
              </w:rPr>
              <w:t>36</w:t>
            </w:r>
          </w:p>
        </w:tc>
      </w:tr>
    </w:tbl>
    <w:p w14:paraId="459C5C63" w14:textId="3B64D284" w:rsidR="0005326B" w:rsidRPr="00EA0EE4" w:rsidRDefault="0005326B" w:rsidP="002C4F38">
      <w:pPr>
        <w:pStyle w:val="Poznazdroj"/>
      </w:pPr>
      <w:r w:rsidRPr="00386D26">
        <w:rPr>
          <w:b/>
        </w:rPr>
        <w:t>Zdroj:</w:t>
      </w:r>
      <w:r w:rsidRPr="00F1507B">
        <w:t xml:space="preserve"> </w:t>
      </w:r>
      <w:r w:rsidR="005147E3" w:rsidRPr="00EA0EE4">
        <w:t>Český statistický úřad</w:t>
      </w:r>
      <w:r w:rsidRPr="00EA0EE4">
        <w:t xml:space="preserve">, </w:t>
      </w:r>
      <w:r w:rsidR="005147E3" w:rsidRPr="00EA0EE4">
        <w:t>SZÚ za rok 2017</w:t>
      </w:r>
      <w:r w:rsidRPr="00EA0EE4">
        <w:t>.</w:t>
      </w:r>
    </w:p>
    <w:p w14:paraId="1A912C11" w14:textId="1C4B19FD" w:rsidR="0005326B" w:rsidRDefault="0005326B" w:rsidP="0005326B">
      <w:r>
        <w:t>V</w:t>
      </w:r>
      <w:r w:rsidRPr="00365E33">
        <w:t xml:space="preserve">ýznamným daňovým příjmem </w:t>
      </w:r>
      <w:r>
        <w:t xml:space="preserve">SR </w:t>
      </w:r>
      <w:r w:rsidRPr="00365E33">
        <w:t xml:space="preserve">byla </w:t>
      </w:r>
      <w:r>
        <w:t xml:space="preserve">i v roce 2018 </w:t>
      </w:r>
      <w:r w:rsidRPr="00365E33">
        <w:t xml:space="preserve">daň z přidané hodnoty (dále také „DPH“), jejíž inkaso se meziročně </w:t>
      </w:r>
      <w:r>
        <w:t xml:space="preserve">sice </w:t>
      </w:r>
      <w:r w:rsidRPr="00C7545E">
        <w:t>zvýšilo o 13,0 mld. Kč</w:t>
      </w:r>
      <w:r>
        <w:t>, ale současně bylo o 2 mld. Kč</w:t>
      </w:r>
      <w:r w:rsidR="0054776D" w:rsidRPr="0054776D">
        <w:t xml:space="preserve"> </w:t>
      </w:r>
      <w:r w:rsidR="0054776D">
        <w:t>nižší</w:t>
      </w:r>
      <w:r>
        <w:t xml:space="preserve">, než očekával plánovaný rozpočet DPH. </w:t>
      </w:r>
      <w:r w:rsidRPr="00F812FF">
        <w:rPr>
          <w:b/>
        </w:rPr>
        <w:t xml:space="preserve">Vyšší výběr DPH </w:t>
      </w:r>
      <w:r>
        <w:rPr>
          <w:b/>
        </w:rPr>
        <w:t xml:space="preserve">plně odrážel </w:t>
      </w:r>
      <w:r w:rsidRPr="00F812FF">
        <w:rPr>
          <w:b/>
        </w:rPr>
        <w:t>současn</w:t>
      </w:r>
      <w:r>
        <w:rPr>
          <w:b/>
        </w:rPr>
        <w:t>ou</w:t>
      </w:r>
      <w:r w:rsidRPr="00F812FF">
        <w:rPr>
          <w:b/>
        </w:rPr>
        <w:t xml:space="preserve"> ekonomick</w:t>
      </w:r>
      <w:r>
        <w:rPr>
          <w:b/>
        </w:rPr>
        <w:t>ou</w:t>
      </w:r>
      <w:r w:rsidRPr="00F812FF">
        <w:rPr>
          <w:b/>
        </w:rPr>
        <w:t xml:space="preserve"> situaci v ČR</w:t>
      </w:r>
      <w:r>
        <w:t xml:space="preserve"> (úroveň cenové inflace, růst tržeb nebo spotřeb</w:t>
      </w:r>
      <w:r w:rsidR="0054776D">
        <w:t>u</w:t>
      </w:r>
      <w:r>
        <w:t xml:space="preserve"> soukromých subjektů, vládních institucí a domácností). </w:t>
      </w:r>
      <w:r w:rsidRPr="00F812FF">
        <w:rPr>
          <w:b/>
        </w:rPr>
        <w:t xml:space="preserve">Omezujícím faktorem pro zvýšení výběru DPH mohou být i další navrhované úpravy v podobě přeřazení </w:t>
      </w:r>
      <w:r>
        <w:rPr>
          <w:b/>
        </w:rPr>
        <w:t>některých plnění za</w:t>
      </w:r>
      <w:r w:rsidRPr="00F812FF">
        <w:rPr>
          <w:b/>
        </w:rPr>
        <w:t xml:space="preserve"> zboží a</w:t>
      </w:r>
      <w:r w:rsidR="0054776D">
        <w:rPr>
          <w:b/>
        </w:rPr>
        <w:t> </w:t>
      </w:r>
      <w:r w:rsidRPr="00F812FF">
        <w:rPr>
          <w:b/>
        </w:rPr>
        <w:t>služ</w:t>
      </w:r>
      <w:r>
        <w:rPr>
          <w:b/>
        </w:rPr>
        <w:t>by</w:t>
      </w:r>
      <w:r w:rsidRPr="00F812FF">
        <w:rPr>
          <w:b/>
        </w:rPr>
        <w:t xml:space="preserve"> ze základní sazby </w:t>
      </w:r>
      <w:r w:rsidR="001D0242">
        <w:rPr>
          <w:b/>
        </w:rPr>
        <w:t>(</w:t>
      </w:r>
      <w:r w:rsidRPr="00F812FF">
        <w:rPr>
          <w:b/>
        </w:rPr>
        <w:t>21 %</w:t>
      </w:r>
      <w:r w:rsidR="001D0242">
        <w:rPr>
          <w:b/>
        </w:rPr>
        <w:t>)</w:t>
      </w:r>
      <w:r w:rsidRPr="00F812FF">
        <w:rPr>
          <w:b/>
        </w:rPr>
        <w:t xml:space="preserve"> do první snížené sazby </w:t>
      </w:r>
      <w:r w:rsidR="001D0242">
        <w:rPr>
          <w:b/>
        </w:rPr>
        <w:t>(</w:t>
      </w:r>
      <w:r w:rsidRPr="00F812FF">
        <w:rPr>
          <w:b/>
        </w:rPr>
        <w:t>15 %</w:t>
      </w:r>
      <w:r w:rsidR="001D0242">
        <w:rPr>
          <w:b/>
        </w:rPr>
        <w:t>)</w:t>
      </w:r>
      <w:r w:rsidRPr="00F812FF">
        <w:rPr>
          <w:b/>
        </w:rPr>
        <w:t xml:space="preserve"> nebo do druhé snížené sazby </w:t>
      </w:r>
      <w:r w:rsidR="001D0242">
        <w:rPr>
          <w:b/>
        </w:rPr>
        <w:t>(</w:t>
      </w:r>
      <w:r w:rsidRPr="00F812FF">
        <w:rPr>
          <w:b/>
        </w:rPr>
        <w:t>10 %</w:t>
      </w:r>
      <w:r w:rsidR="001D0242">
        <w:rPr>
          <w:b/>
        </w:rPr>
        <w:t>)</w:t>
      </w:r>
      <w:r>
        <w:rPr>
          <w:b/>
        </w:rPr>
        <w:t xml:space="preserve">. </w:t>
      </w:r>
      <w:r w:rsidRPr="008A5361">
        <w:rPr>
          <w:b/>
        </w:rPr>
        <w:t xml:space="preserve">V praxi se ukazuje, že konečná cena pro spotřebitele se zpravidla nemění, což částečně kompenzuje daňovým subjektům </w:t>
      </w:r>
      <w:r w:rsidR="001D0242" w:rsidRPr="008A5361">
        <w:rPr>
          <w:b/>
        </w:rPr>
        <w:t xml:space="preserve">náklady </w:t>
      </w:r>
      <w:r w:rsidRPr="008A5361">
        <w:rPr>
          <w:b/>
        </w:rPr>
        <w:t xml:space="preserve">na zavedení elektronické evidence tržeb a zároveň může ovlivnit vyšší výběr přímých daní. </w:t>
      </w:r>
      <w:r w:rsidR="00CB350B">
        <w:rPr>
          <w:b/>
        </w:rPr>
        <w:t>Výsledným e</w:t>
      </w:r>
      <w:r w:rsidRPr="008A5361">
        <w:rPr>
          <w:b/>
        </w:rPr>
        <w:t>fektem je snížení výběru DPH u vybraných služeb a zboží, které se následně promítá do klesajícího podílu nepřímých daní na celkových daňových příjmech</w:t>
      </w:r>
      <w:r w:rsidRPr="008A5361">
        <w:rPr>
          <w:rStyle w:val="Znakapoznpodarou"/>
          <w:b/>
        </w:rPr>
        <w:footnoteReference w:id="26"/>
      </w:r>
      <w:r w:rsidRPr="00386D26">
        <w:rPr>
          <w:b/>
        </w:rPr>
        <w:t>.</w:t>
      </w:r>
    </w:p>
    <w:p w14:paraId="4E544372" w14:textId="6486F6ED" w:rsidR="0005326B" w:rsidRDefault="00E877E5" w:rsidP="00D3507E">
      <w:pPr>
        <w:pStyle w:val="Tituleknadgrafy1-9"/>
      </w:pPr>
      <w:r w:rsidRPr="00C95133">
        <w:lastRenderedPageBreak/>
        <w:t>Graf č. </w:t>
      </w:r>
      <w:r w:rsidRPr="00C95133">
        <w:fldChar w:fldCharType="begin"/>
      </w:r>
      <w:r w:rsidRPr="00C95133">
        <w:instrText xml:space="preserve"> SEQ Graf_č. \* ARABIC </w:instrText>
      </w:r>
      <w:r w:rsidRPr="00C95133">
        <w:fldChar w:fldCharType="separate"/>
      </w:r>
      <w:r w:rsidR="009849B2">
        <w:t>8</w:t>
      </w:r>
      <w:r w:rsidRPr="00C95133">
        <w:fldChar w:fldCharType="end"/>
      </w:r>
      <w:r>
        <w:t xml:space="preserve"> </w:t>
      </w:r>
      <w:r w:rsidR="0005326B" w:rsidRPr="002B236F">
        <w:t>–</w:t>
      </w:r>
      <w:r w:rsidR="00001875">
        <w:tab/>
      </w:r>
      <w:r w:rsidR="0005326B">
        <w:t>Inkaso</w:t>
      </w:r>
      <w:r w:rsidR="0005326B" w:rsidRPr="002B236F">
        <w:t> DPH a jeho podíl na celkových daňových příjmech SR (v mld. Kč</w:t>
      </w:r>
      <w:r w:rsidR="0005326B">
        <w:t>, v %</w:t>
      </w:r>
      <w:r w:rsidR="0005326B" w:rsidRPr="002B236F">
        <w:t>)</w:t>
      </w:r>
      <w:r w:rsidR="0005326B">
        <w:t xml:space="preserve"> </w:t>
      </w:r>
    </w:p>
    <w:p w14:paraId="11AC39E5" w14:textId="77777777" w:rsidR="0005326B" w:rsidRDefault="0005326B" w:rsidP="00C95133">
      <w:pPr>
        <w:keepNext/>
        <w:spacing w:before="0" w:after="0"/>
      </w:pPr>
      <w:r>
        <w:rPr>
          <w:noProof/>
          <w:lang w:eastAsia="cs-CZ"/>
        </w:rPr>
        <w:drawing>
          <wp:inline distT="0" distB="0" distL="0" distR="0" wp14:anchorId="1D4497D9" wp14:editId="6ADC8B5D">
            <wp:extent cx="5676900" cy="1943100"/>
            <wp:effectExtent l="0" t="0" r="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1735B2A0" w14:textId="77777777" w:rsidR="0005326B" w:rsidRPr="00EA0EE4" w:rsidRDefault="0005326B" w:rsidP="002C4F38">
      <w:pPr>
        <w:pStyle w:val="Poznazdroj"/>
      </w:pPr>
      <w:r w:rsidRPr="00386D26">
        <w:rPr>
          <w:b/>
        </w:rPr>
        <w:t>Zdroj:</w:t>
      </w:r>
      <w:r w:rsidRPr="002B236F">
        <w:t xml:space="preserve"> </w:t>
      </w:r>
      <w:r w:rsidRPr="00EA0EE4">
        <w:t xml:space="preserve">SZÚ za roky 2014–2017, návrh SZÚ za rok 2018. </w:t>
      </w:r>
    </w:p>
    <w:p w14:paraId="021272F4" w14:textId="114DBE7E" w:rsidR="0005326B" w:rsidRPr="002B236F" w:rsidRDefault="0005326B" w:rsidP="0005326B">
      <w:pPr>
        <w:rPr>
          <w:sz w:val="20"/>
        </w:rPr>
      </w:pPr>
      <w:r w:rsidRPr="00073564">
        <w:t>Nově zav</w:t>
      </w:r>
      <w:r>
        <w:t>edeným</w:t>
      </w:r>
      <w:r w:rsidRPr="00073564">
        <w:t xml:space="preserve"> opatřením v EU </w:t>
      </w:r>
      <w:r>
        <w:t xml:space="preserve">v oblasti DPH </w:t>
      </w:r>
      <w:r w:rsidRPr="00073564">
        <w:t xml:space="preserve">je </w:t>
      </w:r>
      <w:r>
        <w:t xml:space="preserve">možnost uplatnění </w:t>
      </w:r>
      <w:r w:rsidRPr="00073564">
        <w:t>všeobecn</w:t>
      </w:r>
      <w:r>
        <w:t>ého</w:t>
      </w:r>
      <w:r w:rsidRPr="00073564">
        <w:t xml:space="preserve"> mechanismu přenesení daňové povinnosti u</w:t>
      </w:r>
      <w:r>
        <w:t xml:space="preserve"> tuzemského</w:t>
      </w:r>
      <w:r w:rsidRPr="00073564">
        <w:t xml:space="preserve"> prodeje zboží či služeb nad prahovou hodnotu 17 500 </w:t>
      </w:r>
      <w:r w:rsidR="00330E6C">
        <w:t>eur</w:t>
      </w:r>
      <w:r>
        <w:rPr>
          <w:rStyle w:val="Znakapoznpodarou"/>
        </w:rPr>
        <w:footnoteReference w:id="27"/>
      </w:r>
      <w:r w:rsidRPr="00073564">
        <w:t>. ČR o zavedení tohoto obecného mechanismu dlouhodobě usilovala a zvažuje jeho implementaci do zákona o DPH</w:t>
      </w:r>
      <w:r>
        <w:rPr>
          <w:rStyle w:val="Znakapoznpodarou"/>
        </w:rPr>
        <w:footnoteReference w:id="28"/>
      </w:r>
      <w:r w:rsidRPr="00073564">
        <w:t xml:space="preserve">. </w:t>
      </w:r>
      <w:r>
        <w:t>S</w:t>
      </w:r>
      <w:r w:rsidRPr="00073564">
        <w:t xml:space="preserve">měrnice </w:t>
      </w:r>
      <w:r>
        <w:t xml:space="preserve">však </w:t>
      </w:r>
      <w:r w:rsidRPr="00073564">
        <w:t xml:space="preserve">tento mechanismus umožňuje používat za </w:t>
      </w:r>
      <w:r>
        <w:t xml:space="preserve">přesně </w:t>
      </w:r>
      <w:r w:rsidRPr="00073564">
        <w:t xml:space="preserve">definovaných podmínek </w:t>
      </w:r>
      <w:r>
        <w:t xml:space="preserve">pouze </w:t>
      </w:r>
      <w:r w:rsidRPr="00073564">
        <w:t xml:space="preserve">do 30. června 2022. </w:t>
      </w:r>
      <w:r>
        <w:t xml:space="preserve">Důvodem zavedení tohoto dočasného opatření je umožnit členským státům do přijetí konečného režimu DPH účinně bojovat proti daňovým únikům na DPH, a to zejména proti rozšířeným </w:t>
      </w:r>
      <w:r w:rsidR="00835000">
        <w:t>karuselovým</w:t>
      </w:r>
      <w:r>
        <w:t xml:space="preserve"> podvodům. Aplikace všeobecného mechanismu přenesení daňové povinnosti si vyžádá</w:t>
      </w:r>
      <w:r w:rsidRPr="00073564">
        <w:t xml:space="preserve"> </w:t>
      </w:r>
      <w:r>
        <w:t>z</w:t>
      </w:r>
      <w:r w:rsidRPr="00073564">
        <w:t>ásadní změn</w:t>
      </w:r>
      <w:r>
        <w:t>u</w:t>
      </w:r>
      <w:r w:rsidRPr="00073564">
        <w:t xml:space="preserve"> nastavení systému DPH</w:t>
      </w:r>
      <w:r>
        <w:t>, a to</w:t>
      </w:r>
      <w:r w:rsidRPr="00073564">
        <w:t xml:space="preserve"> na velmi krátkou dobu (max. cca na tři roky)</w:t>
      </w:r>
      <w:r>
        <w:t>.</w:t>
      </w:r>
      <w:r w:rsidRPr="00073564">
        <w:t xml:space="preserve"> </w:t>
      </w:r>
      <w:r>
        <w:t>M</w:t>
      </w:r>
      <w:r w:rsidRPr="00073564">
        <w:t>uselo by dojít ke změně právních předpisů, ke změně nastavení informačních systémů správce daně i daňových subjektů i ke změnám jejich obchodních modelů. Předpokládaných e</w:t>
      </w:r>
      <w:r>
        <w:t>fektů by nemuselo být dosaženo.</w:t>
      </w:r>
    </w:p>
    <w:p w14:paraId="18D0B16A" w14:textId="1220ABF0" w:rsidR="0005326B" w:rsidRDefault="0005326B" w:rsidP="0005326B">
      <w:pPr>
        <w:pStyle w:val="ramecek"/>
        <w:spacing w:before="120" w:after="120"/>
      </w:pPr>
      <w:r>
        <w:t>Vysoký výběr přímých daní a pojistného nevytváří „pozitivní“ tlak na přehodnocení a přenesení daňové zátěže na část nepřímých daní, a to například na spotřební a</w:t>
      </w:r>
      <w:r w:rsidR="001D0242">
        <w:t> </w:t>
      </w:r>
      <w:r>
        <w:t>energetické daně. Příkladem může být přehlížená nerovnováha mezi přínosem vybrané spotřební daně včetně DPH z alkoholických produktů a skutečně vynaloženými výdaji z</w:t>
      </w:r>
      <w:r w:rsidR="001D0242">
        <w:t> </w:t>
      </w:r>
      <w:r>
        <w:t>veřejných rozpočtů na negativní dopady spojené s konzumací alkoholu.</w:t>
      </w:r>
    </w:p>
    <w:p w14:paraId="047B5FB4" w14:textId="5F1181D0" w:rsidR="00085B30" w:rsidRDefault="0005326B" w:rsidP="005147E3">
      <w:pPr>
        <w:pStyle w:val="ramecek"/>
        <w:spacing w:before="120" w:after="120"/>
        <w:rPr>
          <w:b w:val="0"/>
        </w:rPr>
      </w:pPr>
      <w:r>
        <w:t>Doposud nebyly naplněny některé body z programového prohlášení vlády</w:t>
      </w:r>
      <w:r>
        <w:rPr>
          <w:rStyle w:val="Znakapoznpodarou"/>
        </w:rPr>
        <w:footnoteReference w:id="29"/>
      </w:r>
      <w:r w:rsidRPr="00464760">
        <w:t>,</w:t>
      </w:r>
      <w:r>
        <w:t xml:space="preserve"> kterými jsou například zrušení superhrubé mzdy u daně z příjmů fyzických osob s pozitivním dopadem na snížení míry zdanění práce nebo přijetí systémových opatření ke snížení administrativní zátěže na straně správce daně </w:t>
      </w:r>
      <w:r w:rsidR="001D0242">
        <w:t>i</w:t>
      </w:r>
      <w:r>
        <w:t xml:space="preserve"> daňového subjektu.</w:t>
      </w:r>
      <w:r w:rsidR="00085B30">
        <w:br w:type="page"/>
      </w:r>
    </w:p>
    <w:p w14:paraId="1BA6D785" w14:textId="3D9B6595" w:rsidR="00C1759D" w:rsidRDefault="00C1759D" w:rsidP="008971F5">
      <w:pPr>
        <w:pStyle w:val="Nadpis3"/>
        <w:numPr>
          <w:ilvl w:val="0"/>
          <w:numId w:val="5"/>
        </w:numPr>
      </w:pPr>
      <w:bookmarkStart w:id="15" w:name="_Toc17208268"/>
      <w:r w:rsidRPr="005C42BB">
        <w:lastRenderedPageBreak/>
        <w:t>Výdaje státního rozpočtu</w:t>
      </w:r>
      <w:bookmarkEnd w:id="14"/>
      <w:bookmarkEnd w:id="15"/>
    </w:p>
    <w:p w14:paraId="415FDEAE" w14:textId="32663F84" w:rsidR="00283833" w:rsidRDefault="00A54A9F" w:rsidP="001D0242">
      <w:bookmarkStart w:id="16" w:name="_Toc482272322"/>
      <w:r w:rsidRPr="002022F9">
        <w:rPr>
          <w:noProof/>
          <w:highlight w:val="yellow"/>
          <w:lang w:eastAsia="cs-CZ"/>
        </w:rPr>
        <w:drawing>
          <wp:anchor distT="0" distB="0" distL="114300" distR="114300" simplePos="0" relativeHeight="251640320" behindDoc="1" locked="0" layoutInCell="1" allowOverlap="1" wp14:anchorId="6CA6781F" wp14:editId="287C5BC2">
            <wp:simplePos x="0" y="0"/>
            <wp:positionH relativeFrom="margin">
              <wp:posOffset>1948180</wp:posOffset>
            </wp:positionH>
            <wp:positionV relativeFrom="paragraph">
              <wp:posOffset>598170</wp:posOffset>
            </wp:positionV>
            <wp:extent cx="3839845" cy="1533525"/>
            <wp:effectExtent l="19050" t="0" r="8255" b="0"/>
            <wp:wrapSquare wrapText="bothSides"/>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14:sizeRelH relativeFrom="page">
              <wp14:pctWidth>0</wp14:pctWidth>
            </wp14:sizeRelH>
            <wp14:sizeRelV relativeFrom="page">
              <wp14:pctHeight>0</wp14:pctHeight>
            </wp14:sizeRelV>
          </wp:anchor>
        </w:drawing>
      </w:r>
      <w:r w:rsidRPr="002022F9">
        <w:rPr>
          <w:noProof/>
          <w:highlight w:val="yellow"/>
          <w:lang w:eastAsia="cs-CZ"/>
        </w:rPr>
        <mc:AlternateContent>
          <mc:Choice Requires="wps">
            <w:drawing>
              <wp:anchor distT="0" distB="0" distL="114300" distR="114300" simplePos="0" relativeHeight="251671040" behindDoc="0" locked="0" layoutInCell="1" allowOverlap="1" wp14:anchorId="4910357B" wp14:editId="45D8D9F9">
                <wp:simplePos x="0" y="0"/>
                <wp:positionH relativeFrom="column">
                  <wp:posOffset>1871980</wp:posOffset>
                </wp:positionH>
                <wp:positionV relativeFrom="paragraph">
                  <wp:posOffset>453390</wp:posOffset>
                </wp:positionV>
                <wp:extent cx="3887470" cy="287655"/>
                <wp:effectExtent l="0" t="0" r="0" b="0"/>
                <wp:wrapSquare wrapText="bothSides"/>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7470" cy="287655"/>
                        </a:xfrm>
                        <a:prstGeom prst="rect">
                          <a:avLst/>
                        </a:prstGeom>
                        <a:solidFill>
                          <a:srgbClr val="FFFFFF"/>
                        </a:solidFill>
                        <a:ln w="9525">
                          <a:noFill/>
                          <a:miter lim="800000"/>
                          <a:headEnd/>
                          <a:tailEnd/>
                        </a:ln>
                      </wps:spPr>
                      <wps:txbx>
                        <w:txbxContent>
                          <w:p w14:paraId="79431B2A" w14:textId="77777777" w:rsidR="009E69AD" w:rsidRDefault="009E69AD" w:rsidP="00283833">
                            <w:pPr>
                              <w:spacing w:before="0" w:after="0" w:line="240" w:lineRule="auto"/>
                              <w:jc w:val="center"/>
                              <w:rPr>
                                <w:b/>
                                <w:sz w:val="18"/>
                              </w:rPr>
                            </w:pPr>
                            <w:r>
                              <w:rPr>
                                <w:b/>
                                <w:sz w:val="18"/>
                              </w:rPr>
                              <w:t>Čerpání výdajů státního rozpočtu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10357B" id="Textové pole 17" o:spid="_x0000_s1032" type="#_x0000_t202" style="position:absolute;left:0;text-align:left;margin-left:147.4pt;margin-top:35.7pt;width:306.1pt;height:22.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3u1LQIAACkEAAAOAAAAZHJzL2Uyb0RvYy54bWysU12O0zAQfkfiDpbfadrSbrtR09XSpQhp&#10;+ZF2OcDEcRoLx2Nst0m5EefgYoydbrfAG8IPlscz8/mbb8arm77V7CCdV2gKPhmNOZNGYKXMruBf&#10;Hrevlpz5AKYCjUYW/Cg9v1m/fLHqbC6n2KCupGMEYnze2YI3Idg8y7xoZAt+hFYactboWghkul1W&#10;OegIvdXZdDy+yjp0lXUopPd0ezc4+Trh17UU4VNdexmYLjhxC2l3aS/jnq1XkO8c2EaJEw34BxYt&#10;KEOPnqHuIADbO/UXVKuEQ491GAlsM6xrJWSqgaqZjP+o5qEBK1MtJI63Z5n8/4MVHw+fHVMV9W7B&#10;mYGWevQo+4CHnz+YRS0Z3ZNInfU5xT5Yig79G+wpIRXs7T2Kr54Z3DRgdvLWOewaCRWRnMTM7CJ1&#10;wPERpOw+YEWPwT5gAupr10YFSRNG6NSs47lBRIgJuny9XC5mC3IJ8k2Xi6v5PD0B+VO2dT68k9iy&#10;eCi4owFI6HC49yGygfwpJD7mUatqq7ROhtuVG+3YAWhYtmmd0H8L04Z1Bb+eT+cJ2WDMT3PUqkDD&#10;rFVb8OU4rpgOeVTjranSOYDSw5mYaHOSJyoyaBP6sk/tmMXcKF2J1ZH0cjjMLv01OjTovnPW0dwW&#10;3H/bg5Oc6feGNL+ezGZx0JMxmy+mZLhLT3npASMIquCBs+G4CelzRNoGb6k3tUqyPTM5UaZ5TGqe&#10;/k4c+Es7RT3/8PUvAAAA//8DAFBLAwQUAAYACAAAACEA3KcmVt4AAAAKAQAADwAAAGRycy9kb3du&#10;cmV2LnhtbEyP3U6DQBCF7018h82YeGPsQoMglKVRE423/XmAgd0CKTtL2G2hb+94pZeT+XLOd8rt&#10;YgdxNZPvHSmIVxEIQ43TPbUKjofP51cQPiBpHBwZBTfjYVvd35VYaDfTzlz3oRUcQr5ABV0IYyGl&#10;bzpj0a/caIh/JzdZDHxOrdQTzhxuB7mOolRa7IkbOhzNR2ea8/5iFZy+56eXfK6/wjHbJek79lnt&#10;bko9PixvGxDBLOEPhl99VoeKnWp3Ie3FoGCdJ6weFGRxAoKBPMp4XM1knGYgq1L+n1D9AAAA//8D&#10;AFBLAQItABQABgAIAAAAIQC2gziS/gAAAOEBAAATAAAAAAAAAAAAAAAAAAAAAABbQ29udGVudF9U&#10;eXBlc10ueG1sUEsBAi0AFAAGAAgAAAAhADj9If/WAAAAlAEAAAsAAAAAAAAAAAAAAAAALwEAAF9y&#10;ZWxzLy5yZWxzUEsBAi0AFAAGAAgAAAAhAMOje7UtAgAAKQQAAA4AAAAAAAAAAAAAAAAALgIAAGRy&#10;cy9lMm9Eb2MueG1sUEsBAi0AFAAGAAgAAAAhANynJlbeAAAACgEAAA8AAAAAAAAAAAAAAAAAhwQA&#10;AGRycy9kb3ducmV2LnhtbFBLBQYAAAAABAAEAPMAAACSBQAAAAA=&#10;" stroked="f">
                <v:textbox>
                  <w:txbxContent>
                    <w:p w14:paraId="79431B2A" w14:textId="77777777" w:rsidR="009E69AD" w:rsidRDefault="009E69AD" w:rsidP="00283833">
                      <w:pPr>
                        <w:spacing w:before="0" w:after="0" w:line="240" w:lineRule="auto"/>
                        <w:jc w:val="center"/>
                        <w:rPr>
                          <w:b/>
                          <w:sz w:val="18"/>
                        </w:rPr>
                      </w:pPr>
                      <w:r>
                        <w:rPr>
                          <w:b/>
                          <w:sz w:val="18"/>
                        </w:rPr>
                        <w:t>Čerpání výdajů státního rozpočtu</w:t>
                      </w:r>
                    </w:p>
                  </w:txbxContent>
                </v:textbox>
                <w10:wrap type="square"/>
              </v:shape>
            </w:pict>
          </mc:Fallback>
        </mc:AlternateContent>
      </w:r>
      <w:r w:rsidR="00283833" w:rsidRPr="002022F9">
        <w:t>V roce 2018 dosáhly výdaje stá</w:t>
      </w:r>
      <w:r w:rsidR="00283833">
        <w:t xml:space="preserve">tního rozpočtu </w:t>
      </w:r>
      <w:r w:rsidR="00283833" w:rsidRPr="002022F9">
        <w:t>1</w:t>
      </w:r>
      <w:r w:rsidR="00283833">
        <w:t> </w:t>
      </w:r>
      <w:r w:rsidR="00283833" w:rsidRPr="002022F9">
        <w:t>401</w:t>
      </w:r>
      <w:r w:rsidR="00283833">
        <w:t>,</w:t>
      </w:r>
      <w:r w:rsidR="00283833" w:rsidRPr="002022F9">
        <w:t>0 mld. Kč, což je o 121,2 mld. Kč více než</w:t>
      </w:r>
      <w:r w:rsidR="001D0242">
        <w:t xml:space="preserve"> </w:t>
      </w:r>
      <w:r w:rsidR="00283833" w:rsidRPr="002022F9">
        <w:t>v</w:t>
      </w:r>
      <w:r w:rsidR="001D0242">
        <w:t> </w:t>
      </w:r>
      <w:r w:rsidR="00283833">
        <w:t>roce</w:t>
      </w:r>
      <w:r w:rsidR="001D0242">
        <w:t xml:space="preserve"> 2017</w:t>
      </w:r>
      <w:r w:rsidR="00283833">
        <w:t xml:space="preserve">. </w:t>
      </w:r>
      <w:r w:rsidR="00283833">
        <w:rPr>
          <w:b/>
        </w:rPr>
        <w:t>J</w:t>
      </w:r>
      <w:r w:rsidR="00283833" w:rsidRPr="002473EB">
        <w:rPr>
          <w:b/>
        </w:rPr>
        <w:t xml:space="preserve">ednalo </w:t>
      </w:r>
      <w:r w:rsidR="00283833">
        <w:rPr>
          <w:b/>
        </w:rPr>
        <w:t xml:space="preserve">se </w:t>
      </w:r>
      <w:r w:rsidR="00283833" w:rsidRPr="002473EB">
        <w:rPr>
          <w:b/>
        </w:rPr>
        <w:t xml:space="preserve">o nejvyšší </w:t>
      </w:r>
      <w:r w:rsidR="00283833">
        <w:rPr>
          <w:b/>
        </w:rPr>
        <w:t xml:space="preserve">čerpání výdajů v historii ČR </w:t>
      </w:r>
      <w:r w:rsidR="001D0242" w:rsidRPr="00386D26">
        <w:t>a bylo</w:t>
      </w:r>
      <w:r w:rsidR="00283833" w:rsidRPr="002473EB">
        <w:t xml:space="preserve"> zp</w:t>
      </w:r>
      <w:r w:rsidR="00283833">
        <w:t xml:space="preserve">ůsobeno </w:t>
      </w:r>
      <w:r w:rsidR="001D0242">
        <w:t xml:space="preserve">mimo jiné </w:t>
      </w:r>
      <w:r w:rsidR="00283833">
        <w:t xml:space="preserve">vysokým čerpáním nároků </w:t>
      </w:r>
      <w:r w:rsidR="00283833" w:rsidRPr="002473EB">
        <w:t>z nespotřebovaných výdajů ve výši 102,8 mld. Kč (meziročně o</w:t>
      </w:r>
      <w:r w:rsidR="001D0242">
        <w:t> </w:t>
      </w:r>
      <w:r w:rsidR="00283833" w:rsidRPr="002473EB">
        <w:t xml:space="preserve">30,2 mld. Kč více). </w:t>
      </w:r>
      <w:r w:rsidR="00283833">
        <w:t>Na meziročním zvýšení výdajů se</w:t>
      </w:r>
      <w:r w:rsidR="00283833" w:rsidRPr="002473EB">
        <w:t xml:space="preserve"> nejvíce podílely běžné výdaje s</w:t>
      </w:r>
      <w:r w:rsidR="00283833">
        <w:t> </w:t>
      </w:r>
      <w:r w:rsidR="00283833" w:rsidRPr="002473EB">
        <w:t>nárůstem</w:t>
      </w:r>
      <w:r w:rsidR="00283833">
        <w:t xml:space="preserve"> o</w:t>
      </w:r>
      <w:r>
        <w:t> </w:t>
      </w:r>
      <w:r w:rsidR="00283833">
        <w:t xml:space="preserve">86,5 mld. Kč. </w:t>
      </w:r>
      <w:r w:rsidR="00283833">
        <w:rPr>
          <w:b/>
        </w:rPr>
        <w:t>Ro</w:t>
      </w:r>
      <w:r w:rsidR="00283833" w:rsidRPr="002473EB">
        <w:rPr>
          <w:b/>
        </w:rPr>
        <w:t>stly</w:t>
      </w:r>
      <w:r w:rsidR="00283833" w:rsidRPr="002473EB">
        <w:t xml:space="preserve"> </w:t>
      </w:r>
      <w:r w:rsidR="00283833" w:rsidRPr="002473EB">
        <w:rPr>
          <w:b/>
        </w:rPr>
        <w:t>zejména mandatorní a kvazimandatorní výdaje, které stále více zatěžují výdaj</w:t>
      </w:r>
      <w:r w:rsidR="00792C98">
        <w:rPr>
          <w:b/>
        </w:rPr>
        <w:t>ovou stránku státního rozpočtu.</w:t>
      </w:r>
    </w:p>
    <w:p w14:paraId="15EE9719" w14:textId="4734EB4A" w:rsidR="00283833" w:rsidRDefault="00283833" w:rsidP="00283833">
      <w:pPr>
        <w:rPr>
          <w:lang w:eastAsia="cs-CZ"/>
        </w:rPr>
      </w:pPr>
      <w:r w:rsidRPr="00216E36">
        <w:rPr>
          <w:lang w:eastAsia="cs-CZ"/>
        </w:rPr>
        <w:t>Čerpání kapitálových výdajů v roce 2018 meziročně vzrostlo o necelých 35 mld. Kč.</w:t>
      </w:r>
      <w:r w:rsidRPr="000B723E">
        <w:rPr>
          <w:b/>
          <w:lang w:eastAsia="cs-CZ"/>
        </w:rPr>
        <w:t xml:space="preserve"> </w:t>
      </w:r>
      <w:r>
        <w:rPr>
          <w:b/>
          <w:lang w:eastAsia="cs-CZ"/>
        </w:rPr>
        <w:t>J</w:t>
      </w:r>
      <w:r w:rsidRPr="000B723E">
        <w:rPr>
          <w:b/>
          <w:lang w:eastAsia="cs-CZ"/>
        </w:rPr>
        <w:t xml:space="preserve">ednalo se hlavně o </w:t>
      </w:r>
      <w:r w:rsidR="005147E3">
        <w:rPr>
          <w:b/>
          <w:lang w:eastAsia="cs-CZ"/>
        </w:rPr>
        <w:t>snížení</w:t>
      </w:r>
      <w:r w:rsidRPr="000B723E">
        <w:rPr>
          <w:b/>
          <w:lang w:eastAsia="cs-CZ"/>
        </w:rPr>
        <w:t xml:space="preserve"> </w:t>
      </w:r>
      <w:r w:rsidR="005147E3">
        <w:rPr>
          <w:b/>
          <w:lang w:eastAsia="cs-CZ"/>
        </w:rPr>
        <w:t>„</w:t>
      </w:r>
      <w:r w:rsidRPr="000B723E">
        <w:rPr>
          <w:b/>
          <w:lang w:eastAsia="cs-CZ"/>
        </w:rPr>
        <w:t>investičního dluhu“ z</w:t>
      </w:r>
      <w:r>
        <w:rPr>
          <w:b/>
          <w:lang w:eastAsia="cs-CZ"/>
        </w:rPr>
        <w:t> minulých let</w:t>
      </w:r>
      <w:r w:rsidRPr="000B723E">
        <w:rPr>
          <w:b/>
          <w:lang w:eastAsia="cs-CZ"/>
        </w:rPr>
        <w:t xml:space="preserve">, </w:t>
      </w:r>
      <w:r w:rsidRPr="00BC2BEB">
        <w:rPr>
          <w:lang w:eastAsia="cs-CZ"/>
        </w:rPr>
        <w:t xml:space="preserve">který </w:t>
      </w:r>
      <w:r>
        <w:rPr>
          <w:lang w:eastAsia="cs-CZ"/>
        </w:rPr>
        <w:t>souvisel s </w:t>
      </w:r>
      <w:r w:rsidRPr="00BC2BEB">
        <w:rPr>
          <w:lang w:eastAsia="cs-CZ"/>
        </w:rPr>
        <w:t xml:space="preserve">pomalým </w:t>
      </w:r>
      <w:r>
        <w:rPr>
          <w:lang w:eastAsia="cs-CZ"/>
        </w:rPr>
        <w:t>rozjezdem programového období 2014</w:t>
      </w:r>
      <w:r w:rsidRPr="00F56906">
        <w:rPr>
          <w:lang w:eastAsia="cs-CZ"/>
        </w:rPr>
        <w:t>–</w:t>
      </w:r>
      <w:r>
        <w:rPr>
          <w:lang w:eastAsia="cs-CZ"/>
        </w:rPr>
        <w:t>2020, kdy byly čerpány nízké částky</w:t>
      </w:r>
      <w:r w:rsidRPr="00BC2BEB">
        <w:rPr>
          <w:lang w:eastAsia="cs-CZ"/>
        </w:rPr>
        <w:t>.</w:t>
      </w:r>
      <w:r>
        <w:rPr>
          <w:lang w:eastAsia="cs-CZ"/>
        </w:rPr>
        <w:t xml:space="preserve"> </w:t>
      </w:r>
      <w:r>
        <w:rPr>
          <w:b/>
          <w:lang w:eastAsia="cs-CZ"/>
        </w:rPr>
        <w:t>P</w:t>
      </w:r>
      <w:r w:rsidRPr="001A098D">
        <w:rPr>
          <w:b/>
          <w:lang w:eastAsia="cs-CZ"/>
        </w:rPr>
        <w:t xml:space="preserve">řes výrazný meziroční nárůst </w:t>
      </w:r>
      <w:r>
        <w:rPr>
          <w:b/>
          <w:lang w:eastAsia="cs-CZ"/>
        </w:rPr>
        <w:t xml:space="preserve">čerpání kapitálových výdajů </w:t>
      </w:r>
      <w:r w:rsidRPr="001A098D">
        <w:rPr>
          <w:b/>
          <w:lang w:eastAsia="cs-CZ"/>
        </w:rPr>
        <w:t xml:space="preserve">byl </w:t>
      </w:r>
      <w:r>
        <w:rPr>
          <w:b/>
          <w:lang w:eastAsia="cs-CZ"/>
        </w:rPr>
        <w:t xml:space="preserve">jejich </w:t>
      </w:r>
      <w:r w:rsidRPr="001A098D">
        <w:rPr>
          <w:b/>
          <w:lang w:eastAsia="cs-CZ"/>
        </w:rPr>
        <w:t>konečný rozpočet vyčerpán pouze z 66,5 %. Naproti tomu konečný rozpočet běžnýc</w:t>
      </w:r>
      <w:r>
        <w:rPr>
          <w:b/>
          <w:lang w:eastAsia="cs-CZ"/>
        </w:rPr>
        <w:t>h výdajů byl vyčerpán z více než</w:t>
      </w:r>
      <w:r w:rsidRPr="001A098D">
        <w:rPr>
          <w:b/>
          <w:lang w:eastAsia="cs-CZ"/>
        </w:rPr>
        <w:t xml:space="preserve"> 95 %.</w:t>
      </w:r>
    </w:p>
    <w:p w14:paraId="7D276468" w14:textId="303D2CBB" w:rsidR="00283833" w:rsidRPr="00DD14C1" w:rsidRDefault="00283833" w:rsidP="00283833">
      <w:pPr>
        <w:pStyle w:val="ramecek"/>
        <w:rPr>
          <w:lang w:eastAsia="cs-CZ"/>
        </w:rPr>
      </w:pPr>
      <w:r>
        <w:rPr>
          <w:lang w:eastAsia="cs-CZ"/>
        </w:rPr>
        <w:t>Kapitálové výdaje</w:t>
      </w:r>
      <w:r w:rsidRPr="00DD14C1">
        <w:rPr>
          <w:lang w:eastAsia="cs-CZ"/>
        </w:rPr>
        <w:t xml:space="preserve"> </w:t>
      </w:r>
      <w:r>
        <w:rPr>
          <w:lang w:eastAsia="cs-CZ"/>
        </w:rPr>
        <w:t>dosahují vyšších hodnot</w:t>
      </w:r>
      <w:r w:rsidRPr="00DD14C1">
        <w:rPr>
          <w:lang w:eastAsia="cs-CZ"/>
        </w:rPr>
        <w:t xml:space="preserve"> </w:t>
      </w:r>
      <w:r>
        <w:rPr>
          <w:lang w:eastAsia="cs-CZ"/>
        </w:rPr>
        <w:t xml:space="preserve">pouze </w:t>
      </w:r>
      <w:r w:rsidRPr="00DD14C1">
        <w:rPr>
          <w:lang w:eastAsia="cs-CZ"/>
        </w:rPr>
        <w:t>v letech, kdy ČR musí profinancovat část prostředků z rozpočtu EU, aby nedošlo ke snížení celkové alokace. Toto se projevilo kromě mimořádného roku 2015</w:t>
      </w:r>
      <w:r>
        <w:rPr>
          <w:rStyle w:val="Znakapoznpodarou"/>
          <w:lang w:eastAsia="cs-CZ"/>
        </w:rPr>
        <w:footnoteReference w:id="30"/>
      </w:r>
      <w:r w:rsidRPr="00DD14C1">
        <w:rPr>
          <w:lang w:eastAsia="cs-CZ"/>
        </w:rPr>
        <w:t xml:space="preserve"> také v roce 2018</w:t>
      </w:r>
      <w:r w:rsidR="007C7448">
        <w:rPr>
          <w:lang w:eastAsia="cs-CZ"/>
        </w:rPr>
        <w:t>, kdy bylo nutné</w:t>
      </w:r>
      <w:r>
        <w:rPr>
          <w:lang w:eastAsia="cs-CZ"/>
        </w:rPr>
        <w:t xml:space="preserve"> spln</w:t>
      </w:r>
      <w:r w:rsidR="007C7448">
        <w:rPr>
          <w:lang w:eastAsia="cs-CZ"/>
        </w:rPr>
        <w:t>it</w:t>
      </w:r>
      <w:r>
        <w:rPr>
          <w:lang w:eastAsia="cs-CZ"/>
        </w:rPr>
        <w:t xml:space="preserve"> pravidl</w:t>
      </w:r>
      <w:r w:rsidR="007C7448">
        <w:rPr>
          <w:lang w:eastAsia="cs-CZ"/>
        </w:rPr>
        <w:t>o</w:t>
      </w:r>
      <w:r>
        <w:rPr>
          <w:lang w:eastAsia="cs-CZ"/>
        </w:rPr>
        <w:t xml:space="preserve"> n+3</w:t>
      </w:r>
      <w:r w:rsidR="005147E3">
        <w:rPr>
          <w:rStyle w:val="Znakapoznpodarou"/>
          <w:lang w:eastAsia="cs-CZ"/>
        </w:rPr>
        <w:footnoteReference w:id="31"/>
      </w:r>
      <w:r>
        <w:rPr>
          <w:lang w:eastAsia="cs-CZ"/>
        </w:rPr>
        <w:t>.</w:t>
      </w:r>
    </w:p>
    <w:p w14:paraId="6B43F12D" w14:textId="77777777" w:rsidR="00283833" w:rsidRDefault="00283833" w:rsidP="00283833">
      <w:pPr>
        <w:rPr>
          <w:lang w:eastAsia="cs-CZ"/>
        </w:rPr>
      </w:pPr>
      <w:r>
        <w:rPr>
          <w:lang w:eastAsia="cs-CZ"/>
        </w:rPr>
        <w:t>Významným zdrojem kapitálových výdajů po roce 2015 jsou tuzemské investiční prostředky, a to zvláště z důvodu pomalého rozjezdu programového období 2014</w:t>
      </w:r>
      <w:r w:rsidRPr="00587AB0">
        <w:rPr>
          <w:lang w:eastAsia="cs-CZ"/>
        </w:rPr>
        <w:t>–</w:t>
      </w:r>
      <w:r>
        <w:rPr>
          <w:lang w:eastAsia="cs-CZ"/>
        </w:rPr>
        <w:t>2020 a nutnosti předfinancovat zejména dopravní stavby.</w:t>
      </w:r>
    </w:p>
    <w:p w14:paraId="28882DE1" w14:textId="47CFE415" w:rsidR="00283833" w:rsidRDefault="00E877E5" w:rsidP="00D3507E">
      <w:pPr>
        <w:pStyle w:val="Tituleknadgrafy1-9"/>
      </w:pPr>
      <w:r w:rsidRPr="00C95133">
        <w:lastRenderedPageBreak/>
        <w:t>Graf č. </w:t>
      </w:r>
      <w:r w:rsidRPr="00C95133">
        <w:fldChar w:fldCharType="begin"/>
      </w:r>
      <w:r w:rsidRPr="00C95133">
        <w:instrText xml:space="preserve"> SEQ Graf_č. \* ARABIC </w:instrText>
      </w:r>
      <w:r w:rsidRPr="00C95133">
        <w:fldChar w:fldCharType="separate"/>
      </w:r>
      <w:r w:rsidR="009849B2">
        <w:t>9</w:t>
      </w:r>
      <w:r w:rsidRPr="00C95133">
        <w:fldChar w:fldCharType="end"/>
      </w:r>
      <w:r>
        <w:t xml:space="preserve"> </w:t>
      </w:r>
      <w:r w:rsidR="00283833" w:rsidRPr="00657013">
        <w:t>–</w:t>
      </w:r>
      <w:r w:rsidR="00001875">
        <w:tab/>
      </w:r>
      <w:r w:rsidR="00283833" w:rsidRPr="00657013">
        <w:t>Podíly tuzemských a zahraničních</w:t>
      </w:r>
      <w:r w:rsidR="00283833">
        <w:t xml:space="preserve"> zdrojů</w:t>
      </w:r>
      <w:r w:rsidR="00283833" w:rsidRPr="00657013">
        <w:t xml:space="preserve"> </w:t>
      </w:r>
      <w:r w:rsidR="00283833">
        <w:t xml:space="preserve">na </w:t>
      </w:r>
      <w:r w:rsidR="00283833" w:rsidRPr="00657013">
        <w:t>kapitá</w:t>
      </w:r>
      <w:r w:rsidR="00283833">
        <w:t>lových výdajích (v %)</w:t>
      </w:r>
      <w:r w:rsidR="00283833" w:rsidRPr="00657013">
        <w:t xml:space="preserve"> </w:t>
      </w:r>
    </w:p>
    <w:p w14:paraId="0B54E530" w14:textId="77777777" w:rsidR="00283833" w:rsidRDefault="00283833" w:rsidP="003C0C85">
      <w:pPr>
        <w:spacing w:before="0" w:after="0"/>
      </w:pPr>
      <w:r>
        <w:rPr>
          <w:noProof/>
          <w:lang w:eastAsia="cs-CZ"/>
        </w:rPr>
        <w:drawing>
          <wp:inline distT="0" distB="0" distL="0" distR="0" wp14:anchorId="7BE2F602" wp14:editId="2B2EFDA6">
            <wp:extent cx="5759450" cy="1676400"/>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52E90AC0" w14:textId="77777777" w:rsidR="00283833" w:rsidRPr="00EA0EE4" w:rsidRDefault="00283833" w:rsidP="002C4F38">
      <w:pPr>
        <w:pStyle w:val="Poznazdroj"/>
        <w:rPr>
          <w:lang w:eastAsia="cs-CZ"/>
        </w:rPr>
      </w:pPr>
      <w:r w:rsidRPr="00A54A9F">
        <w:rPr>
          <w:b/>
          <w:lang w:eastAsia="cs-CZ"/>
        </w:rPr>
        <w:t>Zdroj:</w:t>
      </w:r>
      <w:r w:rsidRPr="006A5A49">
        <w:rPr>
          <w:lang w:eastAsia="cs-CZ"/>
        </w:rPr>
        <w:t xml:space="preserve"> </w:t>
      </w:r>
      <w:r w:rsidRPr="00EA0EE4">
        <w:rPr>
          <w:lang w:eastAsia="cs-CZ"/>
        </w:rPr>
        <w:t>SZÚ za roky 2014–2017, návrh SZÚ za rok 2018.</w:t>
      </w:r>
    </w:p>
    <w:p w14:paraId="514E36F3" w14:textId="077490F4" w:rsidR="00283833" w:rsidRDefault="00283833" w:rsidP="00283833">
      <w:pPr>
        <w:rPr>
          <w:lang w:eastAsia="cs-CZ"/>
        </w:rPr>
      </w:pPr>
      <w:r w:rsidRPr="005D3CF2">
        <w:rPr>
          <w:b/>
          <w:lang w:eastAsia="cs-CZ"/>
        </w:rPr>
        <w:t>Tlak na zvyšování národních investičních prostředků bude v dalších letech narůstat především kvůli předpokládané</w:t>
      </w:r>
      <w:r w:rsidRPr="005D3CF2">
        <w:rPr>
          <w:b/>
          <w:vertAlign w:val="superscript"/>
          <w:lang w:eastAsia="cs-CZ"/>
        </w:rPr>
        <w:footnoteReference w:id="32"/>
      </w:r>
      <w:r w:rsidRPr="005D3CF2">
        <w:rPr>
          <w:b/>
          <w:lang w:eastAsia="cs-CZ"/>
        </w:rPr>
        <w:t xml:space="preserve"> nižší alokaci z rozpočtu EU na realizaci politiky soudržnosti v ČR po roce 2020 a navýšení </w:t>
      </w:r>
      <w:r w:rsidRPr="00C121C3">
        <w:rPr>
          <w:b/>
          <w:lang w:eastAsia="cs-CZ"/>
        </w:rPr>
        <w:t xml:space="preserve">národního spolufinancování </w:t>
      </w:r>
      <w:r w:rsidR="007C7448">
        <w:rPr>
          <w:b/>
          <w:lang w:eastAsia="cs-CZ"/>
        </w:rPr>
        <w:t xml:space="preserve">u </w:t>
      </w:r>
      <w:r w:rsidRPr="00C121C3">
        <w:rPr>
          <w:b/>
          <w:lang w:eastAsia="cs-CZ"/>
        </w:rPr>
        <w:t>projektů podporovaných z fondů EU</w:t>
      </w:r>
      <w:r w:rsidRPr="00C81082">
        <w:rPr>
          <w:b/>
          <w:lang w:eastAsia="cs-CZ"/>
        </w:rPr>
        <w:t>.</w:t>
      </w:r>
      <w:r w:rsidRPr="00C81082">
        <w:rPr>
          <w:lang w:eastAsia="cs-CZ"/>
        </w:rPr>
        <w:t xml:space="preserve"> Hlavním důvodem nižší alokace pro ČR </w:t>
      </w:r>
      <w:r w:rsidR="007C7448">
        <w:rPr>
          <w:lang w:eastAsia="cs-CZ"/>
        </w:rPr>
        <w:t>bude</w:t>
      </w:r>
      <w:r w:rsidRPr="00C81082">
        <w:rPr>
          <w:lang w:eastAsia="cs-CZ"/>
        </w:rPr>
        <w:t xml:space="preserve"> </w:t>
      </w:r>
      <w:r>
        <w:rPr>
          <w:lang w:eastAsia="cs-CZ"/>
        </w:rPr>
        <w:t>zejména nová podoba výpočtu</w:t>
      </w:r>
      <w:r w:rsidRPr="00C25FB7">
        <w:rPr>
          <w:vertAlign w:val="superscript"/>
          <w:lang w:eastAsia="cs-CZ"/>
        </w:rPr>
        <w:footnoteReference w:id="33"/>
      </w:r>
      <w:r>
        <w:rPr>
          <w:lang w:eastAsia="cs-CZ"/>
        </w:rPr>
        <w:t>, na základě kterého se budou po roce 2020 přidělovat finanční prostředky z rozpočtu EU na politiku soudržnosti.</w:t>
      </w:r>
    </w:p>
    <w:p w14:paraId="409EE1E4" w14:textId="194AA837" w:rsidR="00283833" w:rsidRPr="006A5A49" w:rsidRDefault="00283833" w:rsidP="00283833">
      <w:pPr>
        <w:rPr>
          <w:b/>
          <w:lang w:eastAsia="cs-CZ"/>
        </w:rPr>
      </w:pPr>
      <w:r w:rsidRPr="00624E26">
        <w:rPr>
          <w:b/>
          <w:lang w:eastAsia="cs-CZ"/>
        </w:rPr>
        <w:t>Díky</w:t>
      </w:r>
      <w:r w:rsidRPr="001D0574">
        <w:rPr>
          <w:b/>
          <w:lang w:eastAsia="cs-CZ"/>
        </w:rPr>
        <w:t xml:space="preserve"> nárůstu čerpání kapitálových výdajů se jejich podíl na celkových výdajích sice meziročně zvýšil </w:t>
      </w:r>
      <w:r>
        <w:rPr>
          <w:b/>
          <w:lang w:eastAsia="cs-CZ"/>
        </w:rPr>
        <w:t xml:space="preserve">o 1,9 p. b. </w:t>
      </w:r>
      <w:r w:rsidRPr="001D0574">
        <w:rPr>
          <w:b/>
          <w:lang w:eastAsia="cs-CZ"/>
        </w:rPr>
        <w:t>na</w:t>
      </w:r>
      <w:r>
        <w:rPr>
          <w:b/>
          <w:lang w:eastAsia="cs-CZ"/>
        </w:rPr>
        <w:t xml:space="preserve"> celkových</w:t>
      </w:r>
      <w:r w:rsidRPr="001D0574">
        <w:rPr>
          <w:b/>
          <w:lang w:eastAsia="cs-CZ"/>
        </w:rPr>
        <w:t xml:space="preserve"> 8,3 %, ale nedosáhl</w:t>
      </w:r>
      <w:r>
        <w:rPr>
          <w:b/>
          <w:lang w:eastAsia="cs-CZ"/>
        </w:rPr>
        <w:t xml:space="preserve"> ani</w:t>
      </w:r>
      <w:r w:rsidRPr="001D0574">
        <w:rPr>
          <w:b/>
          <w:lang w:eastAsia="cs-CZ"/>
        </w:rPr>
        <w:t xml:space="preserve"> podílu z</w:t>
      </w:r>
      <w:r>
        <w:rPr>
          <w:b/>
          <w:lang w:eastAsia="cs-CZ"/>
        </w:rPr>
        <w:t> krizových let</w:t>
      </w:r>
      <w:r w:rsidRPr="001D0574">
        <w:rPr>
          <w:b/>
          <w:lang w:eastAsia="cs-CZ"/>
        </w:rPr>
        <w:t>.</w:t>
      </w:r>
      <w:r w:rsidRPr="00F70D7B">
        <w:rPr>
          <w:lang w:eastAsia="cs-CZ"/>
        </w:rPr>
        <w:t xml:space="preserve"> Aby</w:t>
      </w:r>
      <w:r w:rsidR="007C7448">
        <w:rPr>
          <w:lang w:eastAsia="cs-CZ"/>
        </w:rPr>
        <w:t xml:space="preserve"> </w:t>
      </w:r>
      <w:r w:rsidRPr="00F70D7B">
        <w:rPr>
          <w:lang w:eastAsia="cs-CZ"/>
        </w:rPr>
        <w:t xml:space="preserve">vláda dosáhla </w:t>
      </w:r>
      <w:r>
        <w:rPr>
          <w:lang w:eastAsia="cs-CZ"/>
        </w:rPr>
        <w:t xml:space="preserve">např. </w:t>
      </w:r>
      <w:r w:rsidRPr="00F70D7B">
        <w:rPr>
          <w:lang w:eastAsia="cs-CZ"/>
        </w:rPr>
        <w:t>11,4% podílu kapitálových výdajů</w:t>
      </w:r>
      <w:r w:rsidR="007C7448">
        <w:rPr>
          <w:lang w:eastAsia="cs-CZ"/>
        </w:rPr>
        <w:t>, jako tomu bylo v</w:t>
      </w:r>
      <w:r w:rsidRPr="00F70D7B">
        <w:rPr>
          <w:lang w:eastAsia="cs-CZ"/>
        </w:rPr>
        <w:t xml:space="preserve"> ro</w:t>
      </w:r>
      <w:r w:rsidR="007C7448">
        <w:rPr>
          <w:lang w:eastAsia="cs-CZ"/>
        </w:rPr>
        <w:t>ce</w:t>
      </w:r>
      <w:r w:rsidRPr="00F70D7B">
        <w:rPr>
          <w:lang w:eastAsia="cs-CZ"/>
        </w:rPr>
        <w:t xml:space="preserve"> 2009, musela </w:t>
      </w:r>
      <w:r>
        <w:rPr>
          <w:lang w:eastAsia="cs-CZ"/>
        </w:rPr>
        <w:t>by v roce 2018 vyčerpat z konečného rozpočtu ještě o 43,3 mld. Kč více. V t</w:t>
      </w:r>
      <w:r w:rsidR="007C7448">
        <w:rPr>
          <w:lang w:eastAsia="cs-CZ"/>
        </w:rPr>
        <w:t>akovém</w:t>
      </w:r>
      <w:r>
        <w:rPr>
          <w:lang w:eastAsia="cs-CZ"/>
        </w:rPr>
        <w:t xml:space="preserve"> případě by kapitálové výdaje činily 159,7 mld. Kč a jejich konečný rozpočet by byl čerpán na 91,2</w:t>
      </w:r>
      <w:r w:rsidR="007C7448">
        <w:rPr>
          <w:lang w:eastAsia="cs-CZ"/>
        </w:rPr>
        <w:t> </w:t>
      </w:r>
      <w:r>
        <w:rPr>
          <w:lang w:eastAsia="cs-CZ"/>
        </w:rPr>
        <w:t xml:space="preserve">%. </w:t>
      </w:r>
      <w:r w:rsidRPr="00A7452B">
        <w:rPr>
          <w:b/>
          <w:lang w:eastAsia="cs-CZ"/>
        </w:rPr>
        <w:t xml:space="preserve">Hospodaření SR by však </w:t>
      </w:r>
      <w:r w:rsidR="007C7448" w:rsidRPr="00A7452B">
        <w:rPr>
          <w:b/>
          <w:lang w:eastAsia="cs-CZ"/>
        </w:rPr>
        <w:t xml:space="preserve">v roce 2018 </w:t>
      </w:r>
      <w:r w:rsidR="007C7448">
        <w:rPr>
          <w:b/>
          <w:lang w:eastAsia="cs-CZ"/>
        </w:rPr>
        <w:t>ne</w:t>
      </w:r>
      <w:r w:rsidR="007C7448" w:rsidRPr="00A7452B">
        <w:rPr>
          <w:b/>
          <w:lang w:eastAsia="cs-CZ"/>
        </w:rPr>
        <w:t xml:space="preserve">skončilo </w:t>
      </w:r>
      <w:r w:rsidRPr="00A7452B">
        <w:rPr>
          <w:b/>
          <w:lang w:eastAsia="cs-CZ"/>
        </w:rPr>
        <w:t>přebytk</w:t>
      </w:r>
      <w:r w:rsidR="007C7448">
        <w:rPr>
          <w:b/>
          <w:lang w:eastAsia="cs-CZ"/>
        </w:rPr>
        <w:t>em</w:t>
      </w:r>
      <w:r w:rsidRPr="00A7452B">
        <w:rPr>
          <w:b/>
          <w:lang w:eastAsia="cs-CZ"/>
        </w:rPr>
        <w:t xml:space="preserve"> 2,9 mld. Kč</w:t>
      </w:r>
      <w:r w:rsidR="007C7448">
        <w:rPr>
          <w:b/>
          <w:lang w:eastAsia="cs-CZ"/>
        </w:rPr>
        <w:t>, nýbrž</w:t>
      </w:r>
      <w:r w:rsidRPr="00A7452B">
        <w:rPr>
          <w:b/>
          <w:lang w:eastAsia="cs-CZ"/>
        </w:rPr>
        <w:t xml:space="preserve"> schodk</w:t>
      </w:r>
      <w:r w:rsidR="007C7448">
        <w:rPr>
          <w:b/>
          <w:lang w:eastAsia="cs-CZ"/>
        </w:rPr>
        <w:t>em</w:t>
      </w:r>
      <w:r w:rsidRPr="00A7452B">
        <w:rPr>
          <w:b/>
          <w:lang w:eastAsia="cs-CZ"/>
        </w:rPr>
        <w:t xml:space="preserve"> </w:t>
      </w:r>
      <w:r w:rsidR="007C7448" w:rsidRPr="00A7452B">
        <w:rPr>
          <w:b/>
          <w:lang w:eastAsia="cs-CZ"/>
        </w:rPr>
        <w:t xml:space="preserve">ve výši </w:t>
      </w:r>
      <w:r w:rsidRPr="00A7452B">
        <w:rPr>
          <w:b/>
          <w:lang w:eastAsia="cs-CZ"/>
        </w:rPr>
        <w:t>40,</w:t>
      </w:r>
      <w:r>
        <w:rPr>
          <w:b/>
          <w:lang w:eastAsia="cs-CZ"/>
        </w:rPr>
        <w:t>4</w:t>
      </w:r>
      <w:r w:rsidRPr="00A7452B">
        <w:rPr>
          <w:b/>
          <w:lang w:eastAsia="cs-CZ"/>
        </w:rPr>
        <w:t xml:space="preserve"> mld. Kč.</w:t>
      </w:r>
    </w:p>
    <w:p w14:paraId="2A4CCAF6" w14:textId="5FCC9F44" w:rsidR="00283833" w:rsidRDefault="00283833" w:rsidP="00283833">
      <w:pPr>
        <w:rPr>
          <w:b/>
          <w:lang w:eastAsia="cs-CZ"/>
        </w:rPr>
      </w:pPr>
      <w:r w:rsidRPr="00D755CF">
        <w:rPr>
          <w:lang w:eastAsia="cs-CZ"/>
        </w:rPr>
        <w:t>V</w:t>
      </w:r>
      <w:r>
        <w:rPr>
          <w:lang w:eastAsia="cs-CZ"/>
        </w:rPr>
        <w:t> </w:t>
      </w:r>
      <w:r w:rsidRPr="00D755CF">
        <w:rPr>
          <w:lang w:eastAsia="cs-CZ"/>
        </w:rPr>
        <w:t>letech 2014 až 2018 tvořily většinu kapitálových výdajů investiční tr</w:t>
      </w:r>
      <w:r>
        <w:rPr>
          <w:lang w:eastAsia="cs-CZ"/>
        </w:rPr>
        <w:t>ansfery (v průměru přes 85 %). M</w:t>
      </w:r>
      <w:r w:rsidRPr="00D755CF">
        <w:rPr>
          <w:lang w:eastAsia="cs-CZ"/>
        </w:rPr>
        <w:t>ezi největší příjemce investičních transferů ze</w:t>
      </w:r>
      <w:r>
        <w:rPr>
          <w:lang w:eastAsia="cs-CZ"/>
        </w:rPr>
        <w:t> </w:t>
      </w:r>
      <w:r w:rsidRPr="00D755CF">
        <w:rPr>
          <w:lang w:eastAsia="cs-CZ"/>
        </w:rPr>
        <w:t xml:space="preserve">státního rozpočtu </w:t>
      </w:r>
      <w:r>
        <w:rPr>
          <w:lang w:eastAsia="cs-CZ"/>
        </w:rPr>
        <w:t>v tomto období patřily státní fondy (168,0</w:t>
      </w:r>
      <w:r w:rsidRPr="00D755CF">
        <w:rPr>
          <w:lang w:eastAsia="cs-CZ"/>
        </w:rPr>
        <w:t xml:space="preserve"> mld. Kč), podnikatelské</w:t>
      </w:r>
      <w:r>
        <w:rPr>
          <w:lang w:eastAsia="cs-CZ"/>
        </w:rPr>
        <w:t xml:space="preserve"> subjekty (106,1 mld. Kč) a kraje a</w:t>
      </w:r>
      <w:r w:rsidR="007C7448">
        <w:rPr>
          <w:lang w:eastAsia="cs-CZ"/>
        </w:rPr>
        <w:t> </w:t>
      </w:r>
      <w:r>
        <w:rPr>
          <w:lang w:eastAsia="cs-CZ"/>
        </w:rPr>
        <w:t>obce (85,8 mld. Kč).</w:t>
      </w:r>
    </w:p>
    <w:p w14:paraId="5F12FEC1" w14:textId="31A03395" w:rsidR="00283833" w:rsidRDefault="00E877E5" w:rsidP="00D3507E">
      <w:pPr>
        <w:pStyle w:val="Tituleknadgrafy10-99"/>
      </w:pPr>
      <w:r w:rsidRPr="00C95133">
        <w:lastRenderedPageBreak/>
        <w:t>Graf č. </w:t>
      </w:r>
      <w:r w:rsidRPr="00C95133">
        <w:fldChar w:fldCharType="begin"/>
      </w:r>
      <w:r w:rsidRPr="00C95133">
        <w:instrText xml:space="preserve"> SEQ Graf_č. \* ARABIC </w:instrText>
      </w:r>
      <w:r w:rsidRPr="00C95133">
        <w:fldChar w:fldCharType="separate"/>
      </w:r>
      <w:r w:rsidR="009849B2">
        <w:t>10</w:t>
      </w:r>
      <w:r w:rsidRPr="00C95133">
        <w:fldChar w:fldCharType="end"/>
      </w:r>
      <w:r>
        <w:t xml:space="preserve"> </w:t>
      </w:r>
      <w:r w:rsidR="00283833" w:rsidRPr="00A7337D">
        <w:t>–</w:t>
      </w:r>
      <w:r w:rsidR="00001875">
        <w:tab/>
      </w:r>
      <w:r w:rsidR="00283833" w:rsidRPr="00A7337D">
        <w:t>Příjemci investičních transferů ze státního rozpočtu (v mld. Kč)</w:t>
      </w:r>
    </w:p>
    <w:p w14:paraId="5DE27515" w14:textId="3943EB0D" w:rsidR="00283833" w:rsidRPr="00EA0EE4" w:rsidRDefault="005147E3" w:rsidP="002C4F38">
      <w:pPr>
        <w:pStyle w:val="Poznazdroj"/>
      </w:pPr>
      <w:r>
        <w:rPr>
          <w:noProof/>
          <w:lang w:eastAsia="cs-CZ"/>
        </w:rPr>
        <w:drawing>
          <wp:inline distT="0" distB="0" distL="0" distR="0" wp14:anchorId="1A3CE75F" wp14:editId="44C59B20">
            <wp:extent cx="5760000" cy="2556000"/>
            <wp:effectExtent l="0" t="0" r="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FFC5B7D" w14:textId="6DA016B4" w:rsidR="00EA0EE4" w:rsidRPr="00EA0EE4" w:rsidRDefault="00EA0EE4" w:rsidP="00EA0EE4">
      <w:pPr>
        <w:spacing w:before="0" w:after="0" w:line="240" w:lineRule="auto"/>
        <w:ind w:left="567" w:hanging="567"/>
        <w:rPr>
          <w:b/>
          <w:sz w:val="20"/>
          <w:szCs w:val="20"/>
          <w:lang w:eastAsia="cs-CZ"/>
        </w:rPr>
      </w:pPr>
      <w:r w:rsidRPr="00EA0EE4">
        <w:rPr>
          <w:b/>
          <w:sz w:val="20"/>
          <w:szCs w:val="20"/>
        </w:rPr>
        <w:t>Zdroj:</w:t>
      </w:r>
      <w:r w:rsidRPr="00EA0EE4">
        <w:rPr>
          <w:sz w:val="20"/>
          <w:szCs w:val="20"/>
        </w:rPr>
        <w:t xml:space="preserve"> </w:t>
      </w:r>
      <w:r w:rsidRPr="00EA0EE4">
        <w:rPr>
          <w:sz w:val="20"/>
          <w:szCs w:val="20"/>
        </w:rPr>
        <w:tab/>
      </w:r>
      <w:r w:rsidRPr="00A54A9F">
        <w:rPr>
          <w:sz w:val="20"/>
          <w:szCs w:val="20"/>
        </w:rPr>
        <w:t>informační portál MONITOR</w:t>
      </w:r>
      <w:r>
        <w:rPr>
          <w:sz w:val="20"/>
          <w:szCs w:val="20"/>
        </w:rPr>
        <w:t>.</w:t>
      </w:r>
    </w:p>
    <w:p w14:paraId="2AA556B2" w14:textId="6CEDEAEC" w:rsidR="00EA0EE4" w:rsidRPr="00EA0EE4" w:rsidRDefault="00EA0EE4" w:rsidP="00EA0EE4">
      <w:pPr>
        <w:spacing w:before="0" w:after="0" w:line="240" w:lineRule="auto"/>
        <w:ind w:left="567" w:hanging="567"/>
        <w:rPr>
          <w:b/>
          <w:sz w:val="20"/>
          <w:szCs w:val="20"/>
          <w:lang w:eastAsia="cs-CZ"/>
        </w:rPr>
      </w:pPr>
      <w:r w:rsidRPr="00EA0EE4">
        <w:rPr>
          <w:b/>
          <w:sz w:val="20"/>
          <w:szCs w:val="20"/>
        </w:rPr>
        <w:t>Pozn.:</w:t>
      </w:r>
      <w:r w:rsidRPr="00EA0EE4">
        <w:rPr>
          <w:sz w:val="20"/>
          <w:szCs w:val="20"/>
        </w:rPr>
        <w:t xml:space="preserve"> </w:t>
      </w:r>
      <w:r w:rsidRPr="00EA0EE4">
        <w:rPr>
          <w:sz w:val="20"/>
          <w:szCs w:val="20"/>
        </w:rPr>
        <w:tab/>
      </w:r>
      <w:r w:rsidRPr="00A54A9F">
        <w:rPr>
          <w:sz w:val="20"/>
          <w:szCs w:val="20"/>
        </w:rPr>
        <w:t>Mezi ostatní příjemce patří např. vysoké školy, výzkumné instituce, příspěvkové a neziskové organizace a</w:t>
      </w:r>
      <w:r w:rsidR="00DE10D7">
        <w:rPr>
          <w:sz w:val="20"/>
          <w:szCs w:val="20"/>
        </w:rPr>
        <w:t> </w:t>
      </w:r>
      <w:r w:rsidRPr="00A54A9F">
        <w:rPr>
          <w:sz w:val="20"/>
          <w:szCs w:val="20"/>
        </w:rPr>
        <w:t>spolky</w:t>
      </w:r>
      <w:r>
        <w:rPr>
          <w:sz w:val="20"/>
          <w:szCs w:val="20"/>
        </w:rPr>
        <w:t>.</w:t>
      </w:r>
    </w:p>
    <w:p w14:paraId="53B28A0F" w14:textId="00BB407B" w:rsidR="00283833" w:rsidRPr="00BC459D" w:rsidRDefault="00283833" w:rsidP="00283833">
      <w:pPr>
        <w:rPr>
          <w:b/>
          <w:lang w:eastAsia="cs-CZ"/>
        </w:rPr>
      </w:pPr>
      <w:r w:rsidRPr="00C25FB7">
        <w:rPr>
          <w:b/>
          <w:lang w:eastAsia="cs-CZ"/>
        </w:rPr>
        <w:t xml:space="preserve">Investiční transfery </w:t>
      </w:r>
      <w:r>
        <w:rPr>
          <w:b/>
          <w:lang w:eastAsia="cs-CZ"/>
        </w:rPr>
        <w:t xml:space="preserve">ze státního rozpočtu </w:t>
      </w:r>
      <w:r w:rsidRPr="00C25FB7">
        <w:rPr>
          <w:b/>
          <w:lang w:eastAsia="cs-CZ"/>
        </w:rPr>
        <w:t xml:space="preserve">jsou </w:t>
      </w:r>
      <w:r>
        <w:rPr>
          <w:b/>
          <w:lang w:eastAsia="cs-CZ"/>
        </w:rPr>
        <w:t>převáděny</w:t>
      </w:r>
      <w:r w:rsidRPr="00C25FB7">
        <w:rPr>
          <w:b/>
          <w:lang w:eastAsia="cs-CZ"/>
        </w:rPr>
        <w:t xml:space="preserve"> v průběhu roku</w:t>
      </w:r>
      <w:r w:rsidRPr="00B57229">
        <w:rPr>
          <w:lang w:eastAsia="cs-CZ"/>
        </w:rPr>
        <w:t xml:space="preserve"> </w:t>
      </w:r>
      <w:r w:rsidRPr="00B57229">
        <w:rPr>
          <w:b/>
          <w:lang w:eastAsia="cs-CZ"/>
        </w:rPr>
        <w:t>nerovnoměrně</w:t>
      </w:r>
      <w:r>
        <w:rPr>
          <w:b/>
          <w:lang w:eastAsia="cs-CZ"/>
        </w:rPr>
        <w:t>. N</w:t>
      </w:r>
      <w:r w:rsidRPr="00B57229">
        <w:rPr>
          <w:b/>
          <w:lang w:eastAsia="cs-CZ"/>
        </w:rPr>
        <w:t xml:space="preserve">ejvyšší </w:t>
      </w:r>
      <w:r>
        <w:rPr>
          <w:b/>
          <w:lang w:eastAsia="cs-CZ"/>
        </w:rPr>
        <w:t xml:space="preserve">převody </w:t>
      </w:r>
      <w:r w:rsidRPr="00B57229">
        <w:rPr>
          <w:b/>
          <w:lang w:eastAsia="cs-CZ"/>
        </w:rPr>
        <w:t>se uskutečňuj</w:t>
      </w:r>
      <w:r>
        <w:rPr>
          <w:b/>
          <w:lang w:eastAsia="cs-CZ"/>
        </w:rPr>
        <w:t>í</w:t>
      </w:r>
      <w:r w:rsidRPr="00B57229">
        <w:rPr>
          <w:b/>
          <w:lang w:eastAsia="cs-CZ"/>
        </w:rPr>
        <w:t xml:space="preserve"> </w:t>
      </w:r>
      <w:r>
        <w:rPr>
          <w:b/>
          <w:lang w:eastAsia="cs-CZ"/>
        </w:rPr>
        <w:t xml:space="preserve">každoročně </w:t>
      </w:r>
      <w:r w:rsidRPr="00B57229">
        <w:rPr>
          <w:b/>
          <w:lang w:eastAsia="cs-CZ"/>
        </w:rPr>
        <w:t>až v závěru roku, jak znázorňuje následující graf.</w:t>
      </w:r>
    </w:p>
    <w:p w14:paraId="03673CB7" w14:textId="7BB6C202" w:rsidR="00283833" w:rsidRDefault="00E877E5"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11</w:t>
      </w:r>
      <w:r w:rsidRPr="00C95133">
        <w:fldChar w:fldCharType="end"/>
      </w:r>
      <w:r>
        <w:t xml:space="preserve"> </w:t>
      </w:r>
      <w:r w:rsidR="00283833">
        <w:t>–</w:t>
      </w:r>
      <w:r w:rsidR="00001875">
        <w:tab/>
      </w:r>
      <w:r w:rsidR="00283833">
        <w:t>Čerpání investičních transferů v jednotlivých čtvrtletích (v %)</w:t>
      </w:r>
    </w:p>
    <w:p w14:paraId="2A90F519" w14:textId="77777777" w:rsidR="00283833" w:rsidRDefault="00283833" w:rsidP="003C0C85">
      <w:pPr>
        <w:spacing w:before="0" w:after="0"/>
      </w:pPr>
      <w:r w:rsidRPr="00C95133">
        <w:rPr>
          <w:noProof/>
          <w:lang w:eastAsia="cs-CZ"/>
        </w:rPr>
        <w:drawing>
          <wp:inline distT="0" distB="0" distL="0" distR="0" wp14:anchorId="20C3A168" wp14:editId="6BDD01F3">
            <wp:extent cx="5759450" cy="2133600"/>
            <wp:effectExtent l="0" t="0" r="0"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161797E7" w14:textId="77777777" w:rsidR="00283833" w:rsidRPr="00EA0EE4" w:rsidRDefault="00283833" w:rsidP="002C4F38">
      <w:pPr>
        <w:pStyle w:val="Poznazdroj"/>
      </w:pPr>
      <w:r w:rsidRPr="00A54A9F">
        <w:rPr>
          <w:b/>
        </w:rPr>
        <w:t>Zdroj:</w:t>
      </w:r>
      <w:r>
        <w:t xml:space="preserve"> </w:t>
      </w:r>
      <w:r w:rsidRPr="00EA0EE4">
        <w:t>SZÚ za roky 2014–2017, návrh SZÚ za rok 2018.</w:t>
      </w:r>
    </w:p>
    <w:p w14:paraId="0D885D72" w14:textId="6D21FEAC" w:rsidR="00D46486" w:rsidRDefault="00283833" w:rsidP="003C1971">
      <w:pPr>
        <w:pStyle w:val="ramecek"/>
        <w:rPr>
          <w:lang w:eastAsia="cs-CZ"/>
        </w:rPr>
      </w:pPr>
      <w:r>
        <w:rPr>
          <w:lang w:eastAsia="cs-CZ"/>
        </w:rPr>
        <w:t xml:space="preserve">Většina subjektů, které ze státního rozpočtu získávají investiční transfery, není konečným příjemcem těchto prostředků (zejména státní fondy, kraje a obce) a přeposílá je dalším organizacím. </w:t>
      </w:r>
      <w:r w:rsidR="00D46486">
        <w:rPr>
          <w:lang w:eastAsia="cs-CZ"/>
        </w:rPr>
        <w:t xml:space="preserve">K převodu velké části prostředků ze státního rozpočtu dochází </w:t>
      </w:r>
      <w:r w:rsidR="00D46486" w:rsidRPr="003078A3">
        <w:rPr>
          <w:lang w:eastAsia="cs-CZ"/>
        </w:rPr>
        <w:t>až</w:t>
      </w:r>
      <w:r w:rsidR="00DE10D7">
        <w:rPr>
          <w:lang w:eastAsia="cs-CZ"/>
        </w:rPr>
        <w:t xml:space="preserve"> </w:t>
      </w:r>
      <w:r w:rsidR="00242C3A">
        <w:rPr>
          <w:lang w:eastAsia="cs-CZ"/>
        </w:rPr>
        <w:t>v závěru roku</w:t>
      </w:r>
      <w:r w:rsidR="00D46486">
        <w:rPr>
          <w:lang w:eastAsia="cs-CZ"/>
        </w:rPr>
        <w:t xml:space="preserve">. Pokud tedy není většina transferů </w:t>
      </w:r>
      <w:r w:rsidR="008D7262">
        <w:rPr>
          <w:lang w:eastAsia="cs-CZ"/>
        </w:rPr>
        <w:t xml:space="preserve">v posledním čtvrtletí </w:t>
      </w:r>
      <w:r w:rsidR="00D46486">
        <w:rPr>
          <w:lang w:eastAsia="cs-CZ"/>
        </w:rPr>
        <w:t xml:space="preserve">poskytnuta tzv. </w:t>
      </w:r>
      <w:r w:rsidR="00DE10D7">
        <w:rPr>
          <w:lang w:eastAsia="cs-CZ"/>
        </w:rPr>
        <w:t>„</w:t>
      </w:r>
      <w:r w:rsidR="00D46486">
        <w:rPr>
          <w:lang w:eastAsia="cs-CZ"/>
        </w:rPr>
        <w:t>ex post“</w:t>
      </w:r>
      <w:r w:rsidR="00D46486">
        <w:rPr>
          <w:rStyle w:val="Znakapoznpodarou"/>
          <w:lang w:eastAsia="cs-CZ"/>
        </w:rPr>
        <w:footnoteReference w:id="34"/>
      </w:r>
      <w:r w:rsidR="00D46486">
        <w:rPr>
          <w:lang w:eastAsia="cs-CZ"/>
        </w:rPr>
        <w:t xml:space="preserve">, </w:t>
      </w:r>
      <w:r w:rsidR="00D46486" w:rsidRPr="003078A3">
        <w:rPr>
          <w:lang w:eastAsia="cs-CZ"/>
        </w:rPr>
        <w:t xml:space="preserve">je jejich skutečné proinvestování v daném roce </w:t>
      </w:r>
      <w:r w:rsidR="008D7262">
        <w:rPr>
          <w:lang w:eastAsia="cs-CZ"/>
        </w:rPr>
        <w:t>obtížně realizovatelné</w:t>
      </w:r>
      <w:r w:rsidR="00D46486">
        <w:rPr>
          <w:lang w:eastAsia="cs-CZ"/>
        </w:rPr>
        <w:t xml:space="preserve">. Mnoho investičních transferů se tak v daném roce </w:t>
      </w:r>
      <w:r w:rsidR="008D7262">
        <w:rPr>
          <w:lang w:eastAsia="cs-CZ"/>
        </w:rPr>
        <w:t xml:space="preserve">nemusí stát </w:t>
      </w:r>
      <w:r w:rsidR="00D46486">
        <w:rPr>
          <w:lang w:eastAsia="cs-CZ"/>
        </w:rPr>
        <w:t>skutečnou investicí (stane se jí v dalším období).</w:t>
      </w:r>
    </w:p>
    <w:p w14:paraId="462751B4" w14:textId="451EA765" w:rsidR="00C1759D" w:rsidRDefault="00C1759D" w:rsidP="008971F5">
      <w:pPr>
        <w:pStyle w:val="Nadpis3"/>
        <w:numPr>
          <w:ilvl w:val="0"/>
          <w:numId w:val="5"/>
        </w:numPr>
      </w:pPr>
      <w:bookmarkStart w:id="17" w:name="_Toc17208269"/>
      <w:r w:rsidRPr="005C42BB">
        <w:lastRenderedPageBreak/>
        <w:t xml:space="preserve">Prostředky </w:t>
      </w:r>
      <w:r>
        <w:t>z</w:t>
      </w:r>
      <w:r w:rsidR="00806A33">
        <w:t> EU/FM</w:t>
      </w:r>
      <w:bookmarkEnd w:id="16"/>
      <w:bookmarkEnd w:id="17"/>
    </w:p>
    <w:p w14:paraId="0D0D3406" w14:textId="698CBB22" w:rsidR="00AA2D37" w:rsidRPr="007E0457" w:rsidRDefault="00AA2D37" w:rsidP="00AA2D37">
      <w:pPr>
        <w:rPr>
          <w:rFonts w:cs="Calibri"/>
          <w:szCs w:val="24"/>
        </w:rPr>
      </w:pPr>
      <w:r w:rsidRPr="007E0457">
        <w:rPr>
          <w:rFonts w:cs="Calibri"/>
          <w:szCs w:val="24"/>
        </w:rPr>
        <w:t>Celkové příjmy prostředků z</w:t>
      </w:r>
      <w:r w:rsidR="005147E3">
        <w:rPr>
          <w:rFonts w:cs="Calibri"/>
          <w:szCs w:val="24"/>
        </w:rPr>
        <w:t xml:space="preserve"> rozpočtu </w:t>
      </w:r>
      <w:r w:rsidRPr="007E0457">
        <w:rPr>
          <w:rFonts w:cs="Calibri"/>
          <w:szCs w:val="24"/>
        </w:rPr>
        <w:t xml:space="preserve">Evropské unie a finančních mechanismů za rok 2018 dosáhly výše 119,08 mld. Kč a zákonem schválený rozpočet byl plněn na 169,59 %. Na meziročním růstu o 42,05 mld. Kč se kromě zvýšení příjmů z rozpočtu EU za programové období 2014–2020 (dále také „PO14+“) podílely především závěrečné platby Evropské komise (dále </w:t>
      </w:r>
      <w:r w:rsidR="005147E3">
        <w:rPr>
          <w:rFonts w:cs="Calibri"/>
          <w:szCs w:val="24"/>
        </w:rPr>
        <w:t>také</w:t>
      </w:r>
      <w:r w:rsidRPr="007E0457">
        <w:rPr>
          <w:rFonts w:cs="Calibri"/>
          <w:szCs w:val="24"/>
        </w:rPr>
        <w:t xml:space="preserve"> „EK“) na operační programy </w:t>
      </w:r>
      <w:r w:rsidR="00AA58D9">
        <w:rPr>
          <w:rFonts w:cs="Calibri"/>
          <w:szCs w:val="24"/>
        </w:rPr>
        <w:t xml:space="preserve">(dále také „OP“) </w:t>
      </w:r>
      <w:r w:rsidRPr="007E0457">
        <w:rPr>
          <w:rFonts w:cs="Calibri"/>
          <w:szCs w:val="24"/>
        </w:rPr>
        <w:t xml:space="preserve">v rámci programového období 2007–2013, které dosáhly v přepočtu výše 23,89 mld. Kč (tj. 20% podíl na celkových příjmech </w:t>
      </w:r>
      <w:r w:rsidR="00DE10D7">
        <w:rPr>
          <w:rFonts w:cs="Calibri"/>
          <w:szCs w:val="24"/>
        </w:rPr>
        <w:t xml:space="preserve">z </w:t>
      </w:r>
      <w:r w:rsidRPr="007E0457">
        <w:rPr>
          <w:rFonts w:cs="Calibri"/>
          <w:szCs w:val="24"/>
        </w:rPr>
        <w:t xml:space="preserve">EU/FM). </w:t>
      </w:r>
      <w:r w:rsidRPr="007E0457">
        <w:rPr>
          <w:rFonts w:cs="Calibri"/>
          <w:b/>
          <w:szCs w:val="24"/>
        </w:rPr>
        <w:t xml:space="preserve">Do rozpočtu příjmů na rok 2018 nebyly tyto prostředky zahrnuty, ačkoliv Ministerstvo financí v SZÚ za rok 2017 uvedlo, že se převod těchto prostředků na příjmové účty v roce 2018 očekává. Z tohoto důvodu vznikl </w:t>
      </w:r>
      <w:r w:rsidR="00DE10D7">
        <w:rPr>
          <w:rFonts w:cs="Calibri"/>
          <w:b/>
          <w:szCs w:val="24"/>
        </w:rPr>
        <w:t>velký</w:t>
      </w:r>
      <w:r w:rsidR="00DE10D7" w:rsidRPr="007E0457">
        <w:rPr>
          <w:rFonts w:cs="Calibri"/>
          <w:b/>
          <w:szCs w:val="24"/>
        </w:rPr>
        <w:t xml:space="preserve"> </w:t>
      </w:r>
      <w:r w:rsidRPr="007E0457">
        <w:rPr>
          <w:rFonts w:cs="Calibri"/>
          <w:b/>
          <w:szCs w:val="24"/>
        </w:rPr>
        <w:t>rozdíl mezi skutečností a</w:t>
      </w:r>
      <w:r w:rsidR="00DE10D7">
        <w:rPr>
          <w:rFonts w:cs="Calibri"/>
          <w:b/>
          <w:szCs w:val="24"/>
        </w:rPr>
        <w:t> </w:t>
      </w:r>
      <w:r w:rsidRPr="007E0457">
        <w:rPr>
          <w:rFonts w:cs="Calibri"/>
          <w:b/>
          <w:szCs w:val="24"/>
        </w:rPr>
        <w:t xml:space="preserve">rozpočtem příjmů za předchozí programové období, který byl v rámci sestaveného rozpočtu schválen pouze ve výši 0,04 mld. Kč. Tato skutečnost nevypovídá o systémovém přístupu </w:t>
      </w:r>
      <w:r w:rsidR="00012C63">
        <w:rPr>
          <w:rFonts w:cs="Calibri"/>
          <w:b/>
          <w:szCs w:val="24"/>
        </w:rPr>
        <w:t>Ministerstva financí</w:t>
      </w:r>
      <w:r w:rsidRPr="007E0457">
        <w:rPr>
          <w:rFonts w:cs="Calibri"/>
          <w:b/>
          <w:szCs w:val="24"/>
        </w:rPr>
        <w:t xml:space="preserve"> při tvorbě rozpočtu.</w:t>
      </w:r>
    </w:p>
    <w:p w14:paraId="4E917663" w14:textId="1955D658" w:rsidR="00AA2D37" w:rsidRDefault="00AA2D37" w:rsidP="00D3507E">
      <w:pPr>
        <w:pStyle w:val="Titulekschma"/>
      </w:pPr>
      <w:r>
        <w:t xml:space="preserve">Schéma </w:t>
      </w:r>
      <w:r w:rsidRPr="003E1BF9">
        <w:t>č. </w:t>
      </w:r>
      <w:r w:rsidRPr="003E1BF9">
        <w:fldChar w:fldCharType="begin"/>
      </w:r>
      <w:r w:rsidRPr="003E1BF9">
        <w:instrText xml:space="preserve"> SEQ Obrázek_č. \* ARABIC </w:instrText>
      </w:r>
      <w:r w:rsidRPr="003E1BF9">
        <w:fldChar w:fldCharType="separate"/>
      </w:r>
      <w:r w:rsidR="009849B2">
        <w:t>2</w:t>
      </w:r>
      <w:r w:rsidRPr="003E1BF9">
        <w:fldChar w:fldCharType="end"/>
      </w:r>
      <w:r w:rsidRPr="003E1BF9">
        <w:t> </w:t>
      </w:r>
      <w:r>
        <w:t>–</w:t>
      </w:r>
      <w:r w:rsidR="003C0C85">
        <w:tab/>
      </w:r>
      <w:r>
        <w:t>Příjmy z EU/FM za roky 2</w:t>
      </w:r>
      <w:r w:rsidR="007B3491">
        <w:t>017 a 2018 s procentním plněním</w:t>
      </w:r>
    </w:p>
    <w:p w14:paraId="3D779440" w14:textId="77777777" w:rsidR="00AA2D37" w:rsidRDefault="00AA2D37" w:rsidP="00C32D02">
      <w:pPr>
        <w:spacing w:before="0" w:after="0"/>
      </w:pPr>
      <w:r>
        <w:rPr>
          <w:noProof/>
          <w:lang w:eastAsia="cs-CZ"/>
        </w:rPr>
        <w:drawing>
          <wp:inline distT="0" distB="0" distL="0" distR="0" wp14:anchorId="751EE506" wp14:editId="18A0B3A0">
            <wp:extent cx="5762625" cy="2257425"/>
            <wp:effectExtent l="0" t="38100" r="0" b="28575"/>
            <wp:docPr id="196" name="Diagram 1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14:paraId="2F7F1E63" w14:textId="77777777" w:rsidR="00AA2D37" w:rsidRPr="00EA0EE4" w:rsidRDefault="00AA2D37" w:rsidP="002C4F38">
      <w:pPr>
        <w:pStyle w:val="Poznazdroj"/>
      </w:pPr>
      <w:r w:rsidRPr="007B3491">
        <w:rPr>
          <w:b/>
        </w:rPr>
        <w:t>Zdroj:</w:t>
      </w:r>
      <w:r w:rsidRPr="009175BF">
        <w:t xml:space="preserve"> </w:t>
      </w:r>
      <w:r w:rsidRPr="00EA0EE4">
        <w:t xml:space="preserve">SZÚ za rok 2017, </w:t>
      </w:r>
      <w:r w:rsidRPr="00EA0EE4">
        <w:rPr>
          <w:color w:val="000000" w:themeColor="text1"/>
        </w:rPr>
        <w:t>návrh SZÚ za rok 2018.</w:t>
      </w:r>
    </w:p>
    <w:p w14:paraId="3ABD8C37" w14:textId="71EF11CF" w:rsidR="00AA2D37" w:rsidRPr="007E0457" w:rsidRDefault="00AA2D37" w:rsidP="00AA2D37">
      <w:pPr>
        <w:spacing w:before="240"/>
        <w:rPr>
          <w:szCs w:val="24"/>
        </w:rPr>
      </w:pPr>
      <w:r w:rsidRPr="007E0457">
        <w:rPr>
          <w:szCs w:val="24"/>
        </w:rPr>
        <w:t xml:space="preserve">Celkové výdaje spolufinancované z rozpočtu EU/FM (dále </w:t>
      </w:r>
      <w:r w:rsidR="00A62DA9">
        <w:rPr>
          <w:szCs w:val="24"/>
        </w:rPr>
        <w:t>také</w:t>
      </w:r>
      <w:r w:rsidRPr="007E0457">
        <w:rPr>
          <w:szCs w:val="24"/>
        </w:rPr>
        <w:t xml:space="preserve"> „výdaje EU/FM“) dosáhly v roce 2018 výše 112,65 mld. Kč (tj. meziroční zvýšení o 30,82 mld. Kč). Schválený rozpočet výdajů EU/FM byl čerpán na 160,43 %. Na vyšším čerpání výdajů se projevilo již plně probíhající PO14+ a také rostoucí tlak na splnění pravidla n+3 a dodržení milníků výkonnostního rámce</w:t>
      </w:r>
      <w:r w:rsidR="00CF2B10">
        <w:rPr>
          <w:rStyle w:val="Znakapoznpodarou"/>
          <w:szCs w:val="24"/>
        </w:rPr>
        <w:footnoteReference w:id="35"/>
      </w:r>
      <w:r w:rsidRPr="007E0457">
        <w:rPr>
          <w:szCs w:val="24"/>
        </w:rPr>
        <w:t>.</w:t>
      </w:r>
    </w:p>
    <w:p w14:paraId="14B8E211" w14:textId="460198EE" w:rsidR="00AA2D37" w:rsidRDefault="00AA2D37" w:rsidP="00D3507E">
      <w:pPr>
        <w:pStyle w:val="Titulekschma"/>
      </w:pPr>
      <w:r>
        <w:lastRenderedPageBreak/>
        <w:t xml:space="preserve">Schéma </w:t>
      </w:r>
      <w:r w:rsidRPr="003E1BF9">
        <w:t>č. </w:t>
      </w:r>
      <w:r w:rsidRPr="003E1BF9">
        <w:fldChar w:fldCharType="begin"/>
      </w:r>
      <w:r w:rsidRPr="003E1BF9">
        <w:instrText xml:space="preserve"> SEQ Obrázek_č. \* ARABIC </w:instrText>
      </w:r>
      <w:r w:rsidRPr="003E1BF9">
        <w:fldChar w:fldCharType="separate"/>
      </w:r>
      <w:r w:rsidR="009849B2">
        <w:t>3</w:t>
      </w:r>
      <w:r w:rsidRPr="003E1BF9">
        <w:fldChar w:fldCharType="end"/>
      </w:r>
      <w:r>
        <w:t xml:space="preserve"> –</w:t>
      </w:r>
      <w:r>
        <w:tab/>
        <w:t xml:space="preserve">Výdaje EU/FM za roky 2017 a 2018 s procentním čerpáním </w:t>
      </w:r>
    </w:p>
    <w:p w14:paraId="13C54F9D" w14:textId="77777777" w:rsidR="00AA2D37" w:rsidRDefault="00AA2D37" w:rsidP="00C32D02">
      <w:pPr>
        <w:spacing w:before="0" w:after="0"/>
      </w:pPr>
      <w:r>
        <w:rPr>
          <w:noProof/>
          <w:lang w:eastAsia="cs-CZ"/>
        </w:rPr>
        <w:drawing>
          <wp:inline distT="0" distB="0" distL="0" distR="0" wp14:anchorId="1CF56F7E" wp14:editId="6817CDC6">
            <wp:extent cx="5772150" cy="2171700"/>
            <wp:effectExtent l="0" t="38100" r="0" b="19050"/>
            <wp:docPr id="197" name="Diagram 1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14:paraId="138BFEAC" w14:textId="77777777" w:rsidR="00AA2D37" w:rsidRPr="00EA0EE4" w:rsidRDefault="00AA2D37" w:rsidP="002C4F38">
      <w:pPr>
        <w:pStyle w:val="Poznazdroj"/>
        <w:rPr>
          <w:color w:val="000000" w:themeColor="text1"/>
        </w:rPr>
      </w:pPr>
      <w:r w:rsidRPr="007B3491">
        <w:rPr>
          <w:b/>
        </w:rPr>
        <w:t>Zdroj:</w:t>
      </w:r>
      <w:r w:rsidRPr="009175BF">
        <w:t xml:space="preserve"> </w:t>
      </w:r>
      <w:r w:rsidRPr="00EA0EE4">
        <w:t xml:space="preserve">SZÚ za rok 2017, </w:t>
      </w:r>
      <w:r w:rsidRPr="00EA0EE4">
        <w:rPr>
          <w:color w:val="000000" w:themeColor="text1"/>
        </w:rPr>
        <w:t>návrh SZÚ za rok 2018.</w:t>
      </w:r>
    </w:p>
    <w:p w14:paraId="7CB5CEA5" w14:textId="5D45F2E9" w:rsidR="00AA2D37" w:rsidRDefault="00AA2D37" w:rsidP="00AA2D37">
      <w:pPr>
        <w:rPr>
          <w:rFonts w:eastAsia="Times New Roman" w:cs="Times New Roman"/>
          <w:b/>
          <w:noProof/>
        </w:rPr>
      </w:pPr>
      <w:r w:rsidRPr="004137E7">
        <w:rPr>
          <w:szCs w:val="24"/>
        </w:rPr>
        <w:t xml:space="preserve">Rok 2018 byl </w:t>
      </w:r>
      <w:r>
        <w:rPr>
          <w:szCs w:val="24"/>
        </w:rPr>
        <w:t xml:space="preserve">zásadní pro splnění pravidla n+3 pro všechny programy v rámci </w:t>
      </w:r>
      <w:r w:rsidR="00DE10D7">
        <w:rPr>
          <w:i/>
          <w:szCs w:val="24"/>
        </w:rPr>
        <w:t>d</w:t>
      </w:r>
      <w:r w:rsidRPr="00CD66E3">
        <w:rPr>
          <w:i/>
          <w:szCs w:val="24"/>
        </w:rPr>
        <w:t>ohody o</w:t>
      </w:r>
      <w:r w:rsidR="00DE10D7">
        <w:rPr>
          <w:i/>
          <w:szCs w:val="24"/>
        </w:rPr>
        <w:t> </w:t>
      </w:r>
      <w:r w:rsidRPr="00CD66E3">
        <w:rPr>
          <w:i/>
          <w:szCs w:val="24"/>
        </w:rPr>
        <w:t>partnerství</w:t>
      </w:r>
      <w:r>
        <w:rPr>
          <w:rStyle w:val="Znakapoznpodarou"/>
          <w:szCs w:val="24"/>
        </w:rPr>
        <w:footnoteReference w:id="36"/>
      </w:r>
      <w:r>
        <w:rPr>
          <w:szCs w:val="24"/>
        </w:rPr>
        <w:t xml:space="preserve">. </w:t>
      </w:r>
      <w:r w:rsidRPr="00B012E7">
        <w:rPr>
          <w:b/>
          <w:szCs w:val="24"/>
        </w:rPr>
        <w:t xml:space="preserve">Stav finančních prostředků v žádostech </w:t>
      </w:r>
      <w:r w:rsidR="00DE10D7">
        <w:rPr>
          <w:b/>
          <w:szCs w:val="24"/>
        </w:rPr>
        <w:t xml:space="preserve">o platbu </w:t>
      </w:r>
      <w:r w:rsidRPr="00B012E7">
        <w:rPr>
          <w:b/>
          <w:szCs w:val="24"/>
        </w:rPr>
        <w:t xml:space="preserve">odeslaných </w:t>
      </w:r>
      <w:r w:rsidR="00DE10D7">
        <w:rPr>
          <w:b/>
          <w:szCs w:val="24"/>
        </w:rPr>
        <w:t>Evropské komisi</w:t>
      </w:r>
      <w:r w:rsidRPr="00B012E7">
        <w:rPr>
          <w:b/>
          <w:szCs w:val="24"/>
        </w:rPr>
        <w:t xml:space="preserve"> musel ke dni 31. 12. 2018 dosahovat cca 17 % z celkové alokace.</w:t>
      </w:r>
      <w:r>
        <w:rPr>
          <w:szCs w:val="24"/>
        </w:rPr>
        <w:t xml:space="preserve"> V opačném případě by hrozila ztráta nevyčerpaných finančních prostředků alokovaných pro roky 2014 a 2015. Jak </w:t>
      </w:r>
      <w:r w:rsidR="00956442">
        <w:rPr>
          <w:szCs w:val="24"/>
        </w:rPr>
        <w:t>ukazuje</w:t>
      </w:r>
      <w:r>
        <w:rPr>
          <w:szCs w:val="24"/>
        </w:rPr>
        <w:t xml:space="preserve"> následující tabulka, pravidlo n+3 se do konce roku podařilo splnit u všech programů.</w:t>
      </w:r>
    </w:p>
    <w:p w14:paraId="65C578B0" w14:textId="42783A60" w:rsidR="00AA2D37" w:rsidRDefault="00AA2D37" w:rsidP="001712FC">
      <w:pPr>
        <w:pStyle w:val="Tituleknadtabulkou"/>
      </w:pPr>
      <w:r>
        <w:t xml:space="preserve">Tabulka č. </w:t>
      </w:r>
      <w:r>
        <w:fldChar w:fldCharType="begin"/>
      </w:r>
      <w:r>
        <w:instrText xml:space="preserve"> SEQ Tabulka_č._ \* ARABIC </w:instrText>
      </w:r>
      <w:r>
        <w:fldChar w:fldCharType="separate"/>
      </w:r>
      <w:r w:rsidR="009849B2">
        <w:t>4</w:t>
      </w:r>
      <w:r>
        <w:fldChar w:fldCharType="end"/>
      </w:r>
      <w:r>
        <w:t xml:space="preserve"> –</w:t>
      </w:r>
      <w:r>
        <w:tab/>
      </w:r>
      <w:r w:rsidRPr="007D64B5">
        <w:t>Čtvrtletní plnění pravidla n+3 u jednotlivých programů v roce 2018</w:t>
      </w:r>
    </w:p>
    <w:tbl>
      <w:tblPr>
        <w:tblW w:w="9067" w:type="dxa"/>
        <w:tblInd w:w="70" w:type="dxa"/>
        <w:tblCellMar>
          <w:left w:w="70" w:type="dxa"/>
          <w:right w:w="70" w:type="dxa"/>
        </w:tblCellMar>
        <w:tblLook w:val="04A0" w:firstRow="1" w:lastRow="0" w:firstColumn="1" w:lastColumn="0" w:noHBand="0" w:noVBand="1"/>
      </w:tblPr>
      <w:tblGrid>
        <w:gridCol w:w="861"/>
        <w:gridCol w:w="1395"/>
        <w:gridCol w:w="1051"/>
        <w:gridCol w:w="930"/>
        <w:gridCol w:w="866"/>
        <w:gridCol w:w="842"/>
        <w:gridCol w:w="927"/>
        <w:gridCol w:w="2195"/>
      </w:tblGrid>
      <w:tr w:rsidR="00AA2D37" w:rsidRPr="00B40E45" w14:paraId="14E2C154" w14:textId="77777777" w:rsidTr="00AA2D37">
        <w:trPr>
          <w:trHeight w:val="756"/>
        </w:trPr>
        <w:tc>
          <w:tcPr>
            <w:tcW w:w="861" w:type="dxa"/>
            <w:vMerge w:val="restart"/>
            <w:tcBorders>
              <w:top w:val="single" w:sz="4" w:space="0" w:color="auto"/>
              <w:left w:val="single" w:sz="4" w:space="0" w:color="auto"/>
              <w:bottom w:val="single" w:sz="4" w:space="0" w:color="auto"/>
              <w:right w:val="single" w:sz="4" w:space="0" w:color="auto"/>
            </w:tcBorders>
            <w:shd w:val="clear" w:color="000000" w:fill="E5F1FF"/>
            <w:noWrap/>
            <w:vAlign w:val="center"/>
            <w:hideMark/>
          </w:tcPr>
          <w:p w14:paraId="63B3F5BE" w14:textId="77777777" w:rsidR="00AA2D37" w:rsidRPr="00B40E45" w:rsidRDefault="00AA2D37" w:rsidP="00AA2D3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Program</w:t>
            </w:r>
          </w:p>
        </w:tc>
        <w:tc>
          <w:tcPr>
            <w:tcW w:w="1395" w:type="dxa"/>
            <w:vMerge w:val="restart"/>
            <w:tcBorders>
              <w:top w:val="single" w:sz="4" w:space="0" w:color="auto"/>
              <w:left w:val="single" w:sz="4" w:space="0" w:color="auto"/>
              <w:bottom w:val="single" w:sz="4" w:space="0" w:color="auto"/>
              <w:right w:val="single" w:sz="4" w:space="0" w:color="auto"/>
            </w:tcBorders>
            <w:shd w:val="clear" w:color="000000" w:fill="E5F1FF"/>
            <w:vAlign w:val="center"/>
            <w:hideMark/>
          </w:tcPr>
          <w:p w14:paraId="09E752E4" w14:textId="28F7663C" w:rsidR="00AA2D37" w:rsidRPr="00B40E45" w:rsidRDefault="00AA2D37" w:rsidP="007123A1">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Celková alokace bez výkonnostní rezervy (v</w:t>
            </w:r>
            <w:r w:rsidR="007123A1">
              <w:rPr>
                <w:rFonts w:eastAsia="Times New Roman" w:cs="Calibri"/>
                <w:b/>
                <w:bCs/>
                <w:sz w:val="20"/>
                <w:szCs w:val="20"/>
                <w:lang w:eastAsia="cs-CZ"/>
              </w:rPr>
              <w:t> </w:t>
            </w:r>
            <w:r w:rsidRPr="00B40E45">
              <w:rPr>
                <w:rFonts w:eastAsia="Times New Roman" w:cs="Calibri"/>
                <w:b/>
                <w:bCs/>
                <w:sz w:val="20"/>
                <w:szCs w:val="20"/>
                <w:lang w:eastAsia="cs-CZ"/>
              </w:rPr>
              <w:t>mld.</w:t>
            </w:r>
            <w:r w:rsidR="007123A1">
              <w:rPr>
                <w:rFonts w:eastAsia="Times New Roman" w:cs="Calibri"/>
                <w:b/>
                <w:bCs/>
                <w:sz w:val="20"/>
                <w:szCs w:val="20"/>
                <w:lang w:eastAsia="cs-CZ"/>
              </w:rPr>
              <w:t> €</w:t>
            </w:r>
            <w:r w:rsidRPr="00B40E45">
              <w:rPr>
                <w:rFonts w:eastAsia="Times New Roman" w:cs="Calibri"/>
                <w:b/>
                <w:bCs/>
                <w:sz w:val="20"/>
                <w:szCs w:val="20"/>
                <w:lang w:eastAsia="cs-CZ"/>
              </w:rPr>
              <w:t>)</w:t>
            </w:r>
          </w:p>
        </w:tc>
        <w:tc>
          <w:tcPr>
            <w:tcW w:w="1051" w:type="dxa"/>
            <w:vMerge w:val="restart"/>
            <w:tcBorders>
              <w:top w:val="single" w:sz="4" w:space="0" w:color="auto"/>
              <w:left w:val="single" w:sz="4" w:space="0" w:color="auto"/>
              <w:bottom w:val="single" w:sz="4" w:space="0" w:color="auto"/>
              <w:right w:val="single" w:sz="4" w:space="0" w:color="auto"/>
            </w:tcBorders>
            <w:shd w:val="clear" w:color="000000" w:fill="E5F1FF"/>
            <w:vAlign w:val="center"/>
            <w:hideMark/>
          </w:tcPr>
          <w:p w14:paraId="0A63B8A4" w14:textId="77777777" w:rsidR="00AA2D37" w:rsidRPr="00B40E45" w:rsidRDefault="00AA2D37" w:rsidP="00AA2D3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Limit čerpání pro rok 2018 (v %)</w:t>
            </w:r>
          </w:p>
        </w:tc>
        <w:tc>
          <w:tcPr>
            <w:tcW w:w="3565" w:type="dxa"/>
            <w:gridSpan w:val="4"/>
            <w:tcBorders>
              <w:top w:val="single" w:sz="4" w:space="0" w:color="auto"/>
              <w:left w:val="nil"/>
              <w:bottom w:val="single" w:sz="4" w:space="0" w:color="auto"/>
              <w:right w:val="single" w:sz="4" w:space="0" w:color="000000"/>
            </w:tcBorders>
            <w:shd w:val="clear" w:color="000000" w:fill="E5F1FF"/>
            <w:vAlign w:val="center"/>
            <w:hideMark/>
          </w:tcPr>
          <w:p w14:paraId="2EAF2DD1" w14:textId="79CF7B08" w:rsidR="00AA2D37" w:rsidRPr="00B40E45" w:rsidRDefault="00AA2D37" w:rsidP="00DE10D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Stav finančních prostředků v žádostech o</w:t>
            </w:r>
            <w:r w:rsidR="00DE10D7">
              <w:rPr>
                <w:rFonts w:eastAsia="Times New Roman" w:cs="Calibri"/>
                <w:b/>
                <w:bCs/>
                <w:sz w:val="20"/>
                <w:szCs w:val="20"/>
                <w:lang w:eastAsia="cs-CZ"/>
              </w:rPr>
              <w:t> </w:t>
            </w:r>
            <w:r w:rsidRPr="00B40E45">
              <w:rPr>
                <w:rFonts w:eastAsia="Times New Roman" w:cs="Calibri"/>
                <w:b/>
                <w:bCs/>
                <w:sz w:val="20"/>
                <w:szCs w:val="20"/>
                <w:lang w:eastAsia="cs-CZ"/>
              </w:rPr>
              <w:t>průběžnou platbu odeslaných EK (kumulativně v %)</w:t>
            </w:r>
          </w:p>
        </w:tc>
        <w:tc>
          <w:tcPr>
            <w:tcW w:w="2195" w:type="dxa"/>
            <w:vMerge w:val="restart"/>
            <w:tcBorders>
              <w:top w:val="single" w:sz="4" w:space="0" w:color="auto"/>
              <w:left w:val="single" w:sz="4" w:space="0" w:color="auto"/>
              <w:bottom w:val="single" w:sz="4" w:space="0" w:color="auto"/>
              <w:right w:val="single" w:sz="4" w:space="0" w:color="auto"/>
            </w:tcBorders>
            <w:shd w:val="clear" w:color="000000" w:fill="E5F1FF"/>
            <w:vAlign w:val="center"/>
            <w:hideMark/>
          </w:tcPr>
          <w:p w14:paraId="117D7449" w14:textId="70BF0034" w:rsidR="00AA2D37" w:rsidRPr="00B40E45" w:rsidRDefault="00AA2D37" w:rsidP="00DE10D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Rozdíl mezi kumulativní hodnotou čerpání ve 4.</w:t>
            </w:r>
            <w:r w:rsidR="00DE10D7">
              <w:rPr>
                <w:rFonts w:eastAsia="Times New Roman" w:cs="Calibri"/>
                <w:b/>
                <w:bCs/>
                <w:sz w:val="20"/>
                <w:szCs w:val="20"/>
                <w:lang w:eastAsia="cs-CZ"/>
              </w:rPr>
              <w:t> </w:t>
            </w:r>
            <w:r w:rsidRPr="00B40E45">
              <w:rPr>
                <w:rFonts w:eastAsia="Times New Roman" w:cs="Calibri"/>
                <w:b/>
                <w:bCs/>
                <w:sz w:val="20"/>
                <w:szCs w:val="20"/>
                <w:lang w:eastAsia="cs-CZ"/>
              </w:rPr>
              <w:t>čtvrtletí a limitem čerpání pro rok 2018 (procentní bod)</w:t>
            </w:r>
          </w:p>
        </w:tc>
      </w:tr>
      <w:tr w:rsidR="00AA2D37" w:rsidRPr="00B40E45" w14:paraId="6E644DE0" w14:textId="77777777" w:rsidTr="00AA2D37">
        <w:trPr>
          <w:trHeight w:val="848"/>
        </w:trPr>
        <w:tc>
          <w:tcPr>
            <w:tcW w:w="861" w:type="dxa"/>
            <w:vMerge/>
            <w:tcBorders>
              <w:top w:val="single" w:sz="4" w:space="0" w:color="auto"/>
              <w:left w:val="single" w:sz="4" w:space="0" w:color="auto"/>
              <w:bottom w:val="single" w:sz="4" w:space="0" w:color="auto"/>
              <w:right w:val="single" w:sz="4" w:space="0" w:color="auto"/>
            </w:tcBorders>
            <w:vAlign w:val="center"/>
            <w:hideMark/>
          </w:tcPr>
          <w:p w14:paraId="5A1F7ED1" w14:textId="77777777" w:rsidR="00AA2D37" w:rsidRPr="00B40E45" w:rsidRDefault="00AA2D37" w:rsidP="00AA2D37">
            <w:pPr>
              <w:spacing w:after="0" w:line="240" w:lineRule="auto"/>
              <w:rPr>
                <w:rFonts w:eastAsia="Times New Roman" w:cs="Calibri"/>
                <w:b/>
                <w:bCs/>
                <w:sz w:val="20"/>
                <w:szCs w:val="20"/>
                <w:lang w:eastAsia="cs-CZ"/>
              </w:rPr>
            </w:pPr>
          </w:p>
        </w:tc>
        <w:tc>
          <w:tcPr>
            <w:tcW w:w="1395" w:type="dxa"/>
            <w:vMerge/>
            <w:tcBorders>
              <w:top w:val="single" w:sz="4" w:space="0" w:color="auto"/>
              <w:left w:val="single" w:sz="4" w:space="0" w:color="auto"/>
              <w:bottom w:val="single" w:sz="4" w:space="0" w:color="auto"/>
              <w:right w:val="single" w:sz="4" w:space="0" w:color="auto"/>
            </w:tcBorders>
            <w:vAlign w:val="center"/>
            <w:hideMark/>
          </w:tcPr>
          <w:p w14:paraId="055106D3" w14:textId="77777777" w:rsidR="00AA2D37" w:rsidRPr="00B40E45" w:rsidRDefault="00AA2D37" w:rsidP="00AA2D37">
            <w:pPr>
              <w:spacing w:after="0" w:line="240" w:lineRule="auto"/>
              <w:rPr>
                <w:rFonts w:eastAsia="Times New Roman" w:cs="Calibri"/>
                <w:b/>
                <w:bCs/>
                <w:sz w:val="20"/>
                <w:szCs w:val="20"/>
                <w:lang w:eastAsia="cs-CZ"/>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107F798A" w14:textId="77777777" w:rsidR="00AA2D37" w:rsidRPr="00B40E45" w:rsidRDefault="00AA2D37" w:rsidP="00AA2D37">
            <w:pPr>
              <w:spacing w:after="0" w:line="240" w:lineRule="auto"/>
              <w:rPr>
                <w:rFonts w:eastAsia="Times New Roman" w:cs="Calibri"/>
                <w:b/>
                <w:bCs/>
                <w:sz w:val="20"/>
                <w:szCs w:val="20"/>
                <w:lang w:eastAsia="cs-CZ"/>
              </w:rPr>
            </w:pPr>
          </w:p>
        </w:tc>
        <w:tc>
          <w:tcPr>
            <w:tcW w:w="930" w:type="dxa"/>
            <w:tcBorders>
              <w:top w:val="nil"/>
              <w:left w:val="nil"/>
              <w:bottom w:val="single" w:sz="4" w:space="0" w:color="auto"/>
              <w:right w:val="single" w:sz="4" w:space="0" w:color="auto"/>
            </w:tcBorders>
            <w:shd w:val="clear" w:color="000000" w:fill="E5F1FF"/>
            <w:noWrap/>
            <w:vAlign w:val="center"/>
            <w:hideMark/>
          </w:tcPr>
          <w:p w14:paraId="05664F0B" w14:textId="77777777" w:rsidR="00AA2D37" w:rsidRPr="00B40E45" w:rsidRDefault="00AA2D37" w:rsidP="00AA2D3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1. čtvrtletí</w:t>
            </w:r>
          </w:p>
        </w:tc>
        <w:tc>
          <w:tcPr>
            <w:tcW w:w="866" w:type="dxa"/>
            <w:tcBorders>
              <w:top w:val="nil"/>
              <w:left w:val="nil"/>
              <w:bottom w:val="single" w:sz="4" w:space="0" w:color="auto"/>
              <w:right w:val="single" w:sz="4" w:space="0" w:color="auto"/>
            </w:tcBorders>
            <w:shd w:val="clear" w:color="000000" w:fill="E5F1FF"/>
            <w:noWrap/>
            <w:vAlign w:val="center"/>
            <w:hideMark/>
          </w:tcPr>
          <w:p w14:paraId="40F31D68" w14:textId="77777777" w:rsidR="00AA2D37" w:rsidRPr="00B40E45" w:rsidRDefault="00AA2D37" w:rsidP="00AA2D3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2. čtvrtletí</w:t>
            </w:r>
          </w:p>
        </w:tc>
        <w:tc>
          <w:tcPr>
            <w:tcW w:w="842" w:type="dxa"/>
            <w:tcBorders>
              <w:top w:val="nil"/>
              <w:left w:val="nil"/>
              <w:bottom w:val="single" w:sz="4" w:space="0" w:color="auto"/>
              <w:right w:val="single" w:sz="4" w:space="0" w:color="auto"/>
            </w:tcBorders>
            <w:shd w:val="clear" w:color="000000" w:fill="E5F1FF"/>
            <w:noWrap/>
            <w:vAlign w:val="center"/>
            <w:hideMark/>
          </w:tcPr>
          <w:p w14:paraId="49BBF267" w14:textId="77777777" w:rsidR="00AA2D37" w:rsidRPr="00B40E45" w:rsidRDefault="00AA2D37" w:rsidP="00AA2D3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3. čtvrtletí</w:t>
            </w:r>
          </w:p>
        </w:tc>
        <w:tc>
          <w:tcPr>
            <w:tcW w:w="927" w:type="dxa"/>
            <w:tcBorders>
              <w:top w:val="nil"/>
              <w:left w:val="nil"/>
              <w:bottom w:val="single" w:sz="4" w:space="0" w:color="auto"/>
              <w:right w:val="single" w:sz="4" w:space="0" w:color="auto"/>
            </w:tcBorders>
            <w:shd w:val="clear" w:color="000000" w:fill="E5F1FF"/>
            <w:noWrap/>
            <w:vAlign w:val="center"/>
            <w:hideMark/>
          </w:tcPr>
          <w:p w14:paraId="4A4F282B" w14:textId="77777777" w:rsidR="00AA2D37" w:rsidRPr="00B40E45" w:rsidRDefault="00AA2D37" w:rsidP="00AA2D37">
            <w:pPr>
              <w:spacing w:after="0" w:line="240" w:lineRule="auto"/>
              <w:jc w:val="center"/>
              <w:rPr>
                <w:rFonts w:eastAsia="Times New Roman" w:cs="Calibri"/>
                <w:b/>
                <w:bCs/>
                <w:sz w:val="20"/>
                <w:szCs w:val="20"/>
                <w:lang w:eastAsia="cs-CZ"/>
              </w:rPr>
            </w:pPr>
            <w:r w:rsidRPr="00B40E45">
              <w:rPr>
                <w:rFonts w:eastAsia="Times New Roman" w:cs="Calibri"/>
                <w:b/>
                <w:bCs/>
                <w:sz w:val="20"/>
                <w:szCs w:val="20"/>
                <w:lang w:eastAsia="cs-CZ"/>
              </w:rPr>
              <w:t>4. čtvrtletí</w:t>
            </w:r>
          </w:p>
        </w:tc>
        <w:tc>
          <w:tcPr>
            <w:tcW w:w="2195" w:type="dxa"/>
            <w:vMerge/>
            <w:tcBorders>
              <w:top w:val="single" w:sz="4" w:space="0" w:color="auto"/>
              <w:left w:val="single" w:sz="4" w:space="0" w:color="auto"/>
              <w:bottom w:val="single" w:sz="4" w:space="0" w:color="auto"/>
              <w:right w:val="single" w:sz="4" w:space="0" w:color="auto"/>
            </w:tcBorders>
            <w:vAlign w:val="center"/>
            <w:hideMark/>
          </w:tcPr>
          <w:p w14:paraId="59C4CFCA" w14:textId="77777777" w:rsidR="00AA2D37" w:rsidRPr="00B40E45" w:rsidRDefault="00AA2D37" w:rsidP="00AA2D37">
            <w:pPr>
              <w:spacing w:after="0" w:line="240" w:lineRule="auto"/>
              <w:rPr>
                <w:rFonts w:eastAsia="Times New Roman" w:cs="Calibri"/>
                <w:b/>
                <w:bCs/>
                <w:sz w:val="20"/>
                <w:szCs w:val="20"/>
                <w:lang w:eastAsia="cs-CZ"/>
              </w:rPr>
            </w:pPr>
          </w:p>
        </w:tc>
      </w:tr>
      <w:tr w:rsidR="00AA2D37" w:rsidRPr="00B40E45" w14:paraId="6A52FEEF"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90C6DE2" w14:textId="77777777" w:rsidR="00AA2D37" w:rsidRPr="00B40E45" w:rsidRDefault="00AA2D37" w:rsidP="00AA2D37">
            <w:pPr>
              <w:spacing w:after="0" w:line="240" w:lineRule="auto"/>
              <w:rPr>
                <w:rFonts w:eastAsia="Times New Roman" w:cs="Calibri"/>
                <w:sz w:val="20"/>
                <w:szCs w:val="20"/>
                <w:lang w:eastAsia="cs-CZ"/>
              </w:rPr>
            </w:pPr>
            <w:r w:rsidRPr="00B40E45">
              <w:rPr>
                <w:rFonts w:eastAsia="Times New Roman" w:cs="Calibri"/>
                <w:sz w:val="20"/>
                <w:szCs w:val="20"/>
                <w:lang w:eastAsia="cs-CZ"/>
              </w:rPr>
              <w:t>OP PPR</w:t>
            </w:r>
          </w:p>
        </w:tc>
        <w:tc>
          <w:tcPr>
            <w:tcW w:w="1395" w:type="dxa"/>
            <w:tcBorders>
              <w:top w:val="nil"/>
              <w:left w:val="nil"/>
              <w:bottom w:val="single" w:sz="4" w:space="0" w:color="auto"/>
              <w:right w:val="single" w:sz="4" w:space="0" w:color="auto"/>
            </w:tcBorders>
            <w:shd w:val="clear" w:color="auto" w:fill="auto"/>
            <w:noWrap/>
            <w:vAlign w:val="center"/>
            <w:hideMark/>
          </w:tcPr>
          <w:p w14:paraId="0CE032F9"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0,19 </w:t>
            </w:r>
          </w:p>
        </w:tc>
        <w:tc>
          <w:tcPr>
            <w:tcW w:w="1051" w:type="dxa"/>
            <w:tcBorders>
              <w:top w:val="nil"/>
              <w:left w:val="nil"/>
              <w:bottom w:val="single" w:sz="4" w:space="0" w:color="auto"/>
              <w:right w:val="single" w:sz="4" w:space="0" w:color="auto"/>
            </w:tcBorders>
            <w:shd w:val="clear" w:color="auto" w:fill="auto"/>
            <w:noWrap/>
            <w:vAlign w:val="center"/>
            <w:hideMark/>
          </w:tcPr>
          <w:p w14:paraId="101032F5"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16,80 </w:t>
            </w:r>
          </w:p>
        </w:tc>
        <w:tc>
          <w:tcPr>
            <w:tcW w:w="930" w:type="dxa"/>
            <w:tcBorders>
              <w:top w:val="nil"/>
              <w:left w:val="nil"/>
              <w:bottom w:val="single" w:sz="4" w:space="0" w:color="auto"/>
              <w:right w:val="single" w:sz="4" w:space="0" w:color="auto"/>
            </w:tcBorders>
            <w:shd w:val="clear" w:color="auto" w:fill="auto"/>
            <w:noWrap/>
            <w:vAlign w:val="center"/>
            <w:hideMark/>
          </w:tcPr>
          <w:p w14:paraId="587F92D4"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1,80 </w:t>
            </w:r>
          </w:p>
        </w:tc>
        <w:tc>
          <w:tcPr>
            <w:tcW w:w="866" w:type="dxa"/>
            <w:tcBorders>
              <w:top w:val="nil"/>
              <w:left w:val="nil"/>
              <w:bottom w:val="single" w:sz="4" w:space="0" w:color="auto"/>
              <w:right w:val="single" w:sz="4" w:space="0" w:color="auto"/>
            </w:tcBorders>
            <w:shd w:val="clear" w:color="auto" w:fill="auto"/>
            <w:noWrap/>
            <w:vAlign w:val="center"/>
            <w:hideMark/>
          </w:tcPr>
          <w:p w14:paraId="3130C734"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3,08 </w:t>
            </w:r>
          </w:p>
        </w:tc>
        <w:tc>
          <w:tcPr>
            <w:tcW w:w="842" w:type="dxa"/>
            <w:tcBorders>
              <w:top w:val="nil"/>
              <w:left w:val="nil"/>
              <w:bottom w:val="single" w:sz="4" w:space="0" w:color="auto"/>
              <w:right w:val="single" w:sz="4" w:space="0" w:color="auto"/>
            </w:tcBorders>
            <w:shd w:val="clear" w:color="auto" w:fill="auto"/>
            <w:noWrap/>
            <w:vAlign w:val="center"/>
            <w:hideMark/>
          </w:tcPr>
          <w:p w14:paraId="3756D6DB"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4,55 </w:t>
            </w:r>
          </w:p>
        </w:tc>
        <w:tc>
          <w:tcPr>
            <w:tcW w:w="927" w:type="dxa"/>
            <w:tcBorders>
              <w:top w:val="nil"/>
              <w:left w:val="nil"/>
              <w:bottom w:val="single" w:sz="4" w:space="0" w:color="auto"/>
              <w:right w:val="single" w:sz="4" w:space="0" w:color="auto"/>
            </w:tcBorders>
            <w:shd w:val="clear" w:color="000000" w:fill="F2F2F2"/>
            <w:noWrap/>
            <w:vAlign w:val="center"/>
            <w:hideMark/>
          </w:tcPr>
          <w:p w14:paraId="197D558B"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17,41 </w:t>
            </w:r>
          </w:p>
        </w:tc>
        <w:tc>
          <w:tcPr>
            <w:tcW w:w="2195" w:type="dxa"/>
            <w:tcBorders>
              <w:top w:val="nil"/>
              <w:left w:val="nil"/>
              <w:bottom w:val="single" w:sz="4" w:space="0" w:color="auto"/>
              <w:right w:val="single" w:sz="4" w:space="0" w:color="auto"/>
            </w:tcBorders>
            <w:shd w:val="clear" w:color="000000" w:fill="F2C6C9"/>
            <w:noWrap/>
            <w:vAlign w:val="center"/>
            <w:hideMark/>
          </w:tcPr>
          <w:p w14:paraId="784781FF"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0,61 </w:t>
            </w:r>
          </w:p>
        </w:tc>
      </w:tr>
      <w:tr w:rsidR="00AA2D37" w:rsidRPr="00B40E45" w14:paraId="291760B0"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D0AF4DD" w14:textId="77777777" w:rsidR="00AA2D37" w:rsidRPr="00B40E45" w:rsidRDefault="00AA2D37" w:rsidP="00AA2D37">
            <w:pPr>
              <w:spacing w:after="0" w:line="240" w:lineRule="auto"/>
              <w:rPr>
                <w:rFonts w:eastAsia="Times New Roman" w:cs="Calibri"/>
                <w:sz w:val="20"/>
                <w:szCs w:val="20"/>
                <w:lang w:eastAsia="cs-CZ"/>
              </w:rPr>
            </w:pPr>
            <w:r w:rsidRPr="00B40E45">
              <w:rPr>
                <w:rFonts w:eastAsia="Times New Roman" w:cs="Calibri"/>
                <w:sz w:val="20"/>
                <w:szCs w:val="20"/>
                <w:lang w:eastAsia="cs-CZ"/>
              </w:rPr>
              <w:t>OP PIK</w:t>
            </w:r>
          </w:p>
        </w:tc>
        <w:tc>
          <w:tcPr>
            <w:tcW w:w="1395" w:type="dxa"/>
            <w:tcBorders>
              <w:top w:val="nil"/>
              <w:left w:val="nil"/>
              <w:bottom w:val="single" w:sz="4" w:space="0" w:color="auto"/>
              <w:right w:val="single" w:sz="4" w:space="0" w:color="auto"/>
            </w:tcBorders>
            <w:shd w:val="clear" w:color="auto" w:fill="auto"/>
            <w:noWrap/>
            <w:vAlign w:val="center"/>
            <w:hideMark/>
          </w:tcPr>
          <w:p w14:paraId="7860742F"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4,07 </w:t>
            </w:r>
          </w:p>
        </w:tc>
        <w:tc>
          <w:tcPr>
            <w:tcW w:w="1051" w:type="dxa"/>
            <w:tcBorders>
              <w:top w:val="nil"/>
              <w:left w:val="nil"/>
              <w:bottom w:val="single" w:sz="4" w:space="0" w:color="auto"/>
              <w:right w:val="single" w:sz="4" w:space="0" w:color="auto"/>
            </w:tcBorders>
            <w:shd w:val="clear" w:color="auto" w:fill="auto"/>
            <w:noWrap/>
            <w:vAlign w:val="center"/>
            <w:hideMark/>
          </w:tcPr>
          <w:p w14:paraId="27562E3B"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16,80 </w:t>
            </w:r>
          </w:p>
        </w:tc>
        <w:tc>
          <w:tcPr>
            <w:tcW w:w="930" w:type="dxa"/>
            <w:tcBorders>
              <w:top w:val="nil"/>
              <w:left w:val="nil"/>
              <w:bottom w:val="single" w:sz="4" w:space="0" w:color="auto"/>
              <w:right w:val="single" w:sz="4" w:space="0" w:color="auto"/>
            </w:tcBorders>
            <w:shd w:val="clear" w:color="auto" w:fill="auto"/>
            <w:noWrap/>
            <w:vAlign w:val="center"/>
            <w:hideMark/>
          </w:tcPr>
          <w:p w14:paraId="30384A5A"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6,56 </w:t>
            </w:r>
          </w:p>
        </w:tc>
        <w:tc>
          <w:tcPr>
            <w:tcW w:w="866" w:type="dxa"/>
            <w:tcBorders>
              <w:top w:val="nil"/>
              <w:left w:val="nil"/>
              <w:bottom w:val="single" w:sz="4" w:space="0" w:color="auto"/>
              <w:right w:val="single" w:sz="4" w:space="0" w:color="auto"/>
            </w:tcBorders>
            <w:shd w:val="clear" w:color="auto" w:fill="auto"/>
            <w:noWrap/>
            <w:vAlign w:val="center"/>
            <w:hideMark/>
          </w:tcPr>
          <w:p w14:paraId="7A892C05"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6,56 </w:t>
            </w:r>
          </w:p>
        </w:tc>
        <w:tc>
          <w:tcPr>
            <w:tcW w:w="842" w:type="dxa"/>
            <w:tcBorders>
              <w:top w:val="nil"/>
              <w:left w:val="nil"/>
              <w:bottom w:val="single" w:sz="4" w:space="0" w:color="auto"/>
              <w:right w:val="single" w:sz="4" w:space="0" w:color="auto"/>
            </w:tcBorders>
            <w:shd w:val="clear" w:color="auto" w:fill="auto"/>
            <w:noWrap/>
            <w:vAlign w:val="center"/>
            <w:hideMark/>
          </w:tcPr>
          <w:p w14:paraId="7B6AA709"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6,56 </w:t>
            </w:r>
          </w:p>
        </w:tc>
        <w:tc>
          <w:tcPr>
            <w:tcW w:w="927" w:type="dxa"/>
            <w:tcBorders>
              <w:top w:val="nil"/>
              <w:left w:val="nil"/>
              <w:bottom w:val="single" w:sz="4" w:space="0" w:color="auto"/>
              <w:right w:val="single" w:sz="4" w:space="0" w:color="auto"/>
            </w:tcBorders>
            <w:shd w:val="clear" w:color="000000" w:fill="F2F2F2"/>
            <w:noWrap/>
            <w:vAlign w:val="center"/>
            <w:hideMark/>
          </w:tcPr>
          <w:p w14:paraId="459701C6"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18,49 </w:t>
            </w:r>
          </w:p>
        </w:tc>
        <w:tc>
          <w:tcPr>
            <w:tcW w:w="2195" w:type="dxa"/>
            <w:tcBorders>
              <w:top w:val="nil"/>
              <w:left w:val="nil"/>
              <w:bottom w:val="single" w:sz="4" w:space="0" w:color="auto"/>
              <w:right w:val="single" w:sz="4" w:space="0" w:color="auto"/>
            </w:tcBorders>
            <w:shd w:val="clear" w:color="000000" w:fill="F2C6C9"/>
            <w:noWrap/>
            <w:vAlign w:val="center"/>
            <w:hideMark/>
          </w:tcPr>
          <w:p w14:paraId="4D2BEC5C"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1,69 </w:t>
            </w:r>
          </w:p>
        </w:tc>
      </w:tr>
      <w:tr w:rsidR="00AA2D37" w:rsidRPr="00B40E45" w14:paraId="13790FAB"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0E4FC8F" w14:textId="10D8A6FF" w:rsidR="00AA2D37" w:rsidRPr="00B40E45" w:rsidRDefault="00AA2D37" w:rsidP="00DE10D7">
            <w:pPr>
              <w:spacing w:after="0" w:line="240" w:lineRule="auto"/>
              <w:rPr>
                <w:rFonts w:eastAsia="Times New Roman" w:cs="Calibri"/>
                <w:sz w:val="20"/>
                <w:szCs w:val="20"/>
                <w:lang w:eastAsia="cs-CZ"/>
              </w:rPr>
            </w:pPr>
            <w:r w:rsidRPr="00B40E45">
              <w:rPr>
                <w:rFonts w:eastAsia="Times New Roman" w:cs="Calibri"/>
                <w:sz w:val="20"/>
                <w:szCs w:val="20"/>
                <w:lang w:eastAsia="cs-CZ"/>
              </w:rPr>
              <w:t>OPR</w:t>
            </w:r>
          </w:p>
        </w:tc>
        <w:tc>
          <w:tcPr>
            <w:tcW w:w="1395" w:type="dxa"/>
            <w:tcBorders>
              <w:top w:val="nil"/>
              <w:left w:val="nil"/>
              <w:bottom w:val="single" w:sz="4" w:space="0" w:color="auto"/>
              <w:right w:val="single" w:sz="4" w:space="0" w:color="auto"/>
            </w:tcBorders>
            <w:shd w:val="clear" w:color="auto" w:fill="auto"/>
            <w:noWrap/>
            <w:vAlign w:val="center"/>
            <w:hideMark/>
          </w:tcPr>
          <w:p w14:paraId="6BB9AB66"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0,03 </w:t>
            </w:r>
          </w:p>
        </w:tc>
        <w:tc>
          <w:tcPr>
            <w:tcW w:w="1051" w:type="dxa"/>
            <w:tcBorders>
              <w:top w:val="nil"/>
              <w:left w:val="nil"/>
              <w:bottom w:val="single" w:sz="4" w:space="0" w:color="auto"/>
              <w:right w:val="single" w:sz="4" w:space="0" w:color="auto"/>
            </w:tcBorders>
            <w:shd w:val="clear" w:color="auto" w:fill="auto"/>
            <w:noWrap/>
            <w:vAlign w:val="center"/>
            <w:hideMark/>
          </w:tcPr>
          <w:p w14:paraId="4CF163C3"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17,21 </w:t>
            </w:r>
          </w:p>
        </w:tc>
        <w:tc>
          <w:tcPr>
            <w:tcW w:w="930" w:type="dxa"/>
            <w:tcBorders>
              <w:top w:val="nil"/>
              <w:left w:val="nil"/>
              <w:bottom w:val="single" w:sz="4" w:space="0" w:color="auto"/>
              <w:right w:val="single" w:sz="4" w:space="0" w:color="auto"/>
            </w:tcBorders>
            <w:shd w:val="clear" w:color="auto" w:fill="auto"/>
            <w:noWrap/>
            <w:vAlign w:val="center"/>
            <w:hideMark/>
          </w:tcPr>
          <w:p w14:paraId="638D1105"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5,88 </w:t>
            </w:r>
          </w:p>
        </w:tc>
        <w:tc>
          <w:tcPr>
            <w:tcW w:w="866" w:type="dxa"/>
            <w:tcBorders>
              <w:top w:val="nil"/>
              <w:left w:val="nil"/>
              <w:bottom w:val="single" w:sz="4" w:space="0" w:color="auto"/>
              <w:right w:val="single" w:sz="4" w:space="0" w:color="auto"/>
            </w:tcBorders>
            <w:shd w:val="clear" w:color="auto" w:fill="auto"/>
            <w:noWrap/>
            <w:vAlign w:val="center"/>
            <w:hideMark/>
          </w:tcPr>
          <w:p w14:paraId="35D2DD36"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5,88 </w:t>
            </w:r>
          </w:p>
        </w:tc>
        <w:tc>
          <w:tcPr>
            <w:tcW w:w="842" w:type="dxa"/>
            <w:tcBorders>
              <w:top w:val="nil"/>
              <w:left w:val="nil"/>
              <w:bottom w:val="single" w:sz="4" w:space="0" w:color="auto"/>
              <w:right w:val="single" w:sz="4" w:space="0" w:color="auto"/>
            </w:tcBorders>
            <w:shd w:val="clear" w:color="auto" w:fill="auto"/>
            <w:noWrap/>
            <w:vAlign w:val="center"/>
            <w:hideMark/>
          </w:tcPr>
          <w:p w14:paraId="757D25C6"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9,48 </w:t>
            </w:r>
          </w:p>
        </w:tc>
        <w:tc>
          <w:tcPr>
            <w:tcW w:w="927" w:type="dxa"/>
            <w:tcBorders>
              <w:top w:val="nil"/>
              <w:left w:val="nil"/>
              <w:bottom w:val="single" w:sz="4" w:space="0" w:color="auto"/>
              <w:right w:val="single" w:sz="4" w:space="0" w:color="auto"/>
            </w:tcBorders>
            <w:shd w:val="clear" w:color="000000" w:fill="F2F2F2"/>
            <w:noWrap/>
            <w:vAlign w:val="center"/>
            <w:hideMark/>
          </w:tcPr>
          <w:p w14:paraId="5D1F0FDE"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20,21 </w:t>
            </w:r>
          </w:p>
        </w:tc>
        <w:tc>
          <w:tcPr>
            <w:tcW w:w="2195" w:type="dxa"/>
            <w:tcBorders>
              <w:top w:val="nil"/>
              <w:left w:val="nil"/>
              <w:bottom w:val="single" w:sz="4" w:space="0" w:color="auto"/>
              <w:right w:val="single" w:sz="4" w:space="0" w:color="auto"/>
            </w:tcBorders>
            <w:shd w:val="clear" w:color="000000" w:fill="F2C6C9"/>
            <w:noWrap/>
            <w:vAlign w:val="center"/>
            <w:hideMark/>
          </w:tcPr>
          <w:p w14:paraId="0BB0AA11"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3,00 </w:t>
            </w:r>
          </w:p>
        </w:tc>
      </w:tr>
      <w:tr w:rsidR="00AA2D37" w:rsidRPr="00B40E45" w14:paraId="2C0CEE7B"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265ABD28" w14:textId="77777777" w:rsidR="00AA2D37" w:rsidRPr="00B40E45" w:rsidRDefault="00AA2D37" w:rsidP="00AA2D37">
            <w:pPr>
              <w:spacing w:after="0" w:line="240" w:lineRule="auto"/>
              <w:rPr>
                <w:rFonts w:eastAsia="Times New Roman" w:cs="Calibri"/>
                <w:sz w:val="20"/>
                <w:szCs w:val="20"/>
                <w:lang w:eastAsia="cs-CZ"/>
              </w:rPr>
            </w:pPr>
            <w:r w:rsidRPr="00B40E45">
              <w:rPr>
                <w:rFonts w:eastAsia="Times New Roman" w:cs="Calibri"/>
                <w:sz w:val="20"/>
                <w:szCs w:val="20"/>
                <w:lang w:eastAsia="cs-CZ"/>
              </w:rPr>
              <w:t>IROP</w:t>
            </w:r>
          </w:p>
        </w:tc>
        <w:tc>
          <w:tcPr>
            <w:tcW w:w="1395" w:type="dxa"/>
            <w:tcBorders>
              <w:top w:val="nil"/>
              <w:left w:val="nil"/>
              <w:bottom w:val="single" w:sz="4" w:space="0" w:color="auto"/>
              <w:right w:val="single" w:sz="4" w:space="0" w:color="auto"/>
            </w:tcBorders>
            <w:shd w:val="clear" w:color="auto" w:fill="auto"/>
            <w:noWrap/>
            <w:vAlign w:val="center"/>
            <w:hideMark/>
          </w:tcPr>
          <w:p w14:paraId="02177D8E"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4,29 </w:t>
            </w:r>
          </w:p>
        </w:tc>
        <w:tc>
          <w:tcPr>
            <w:tcW w:w="1051" w:type="dxa"/>
            <w:tcBorders>
              <w:top w:val="nil"/>
              <w:left w:val="nil"/>
              <w:bottom w:val="single" w:sz="4" w:space="0" w:color="auto"/>
              <w:right w:val="single" w:sz="4" w:space="0" w:color="auto"/>
            </w:tcBorders>
            <w:shd w:val="clear" w:color="auto" w:fill="auto"/>
            <w:noWrap/>
            <w:vAlign w:val="center"/>
            <w:hideMark/>
          </w:tcPr>
          <w:p w14:paraId="5A3851C7"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17,09 </w:t>
            </w:r>
          </w:p>
        </w:tc>
        <w:tc>
          <w:tcPr>
            <w:tcW w:w="930" w:type="dxa"/>
            <w:tcBorders>
              <w:top w:val="nil"/>
              <w:left w:val="nil"/>
              <w:bottom w:val="single" w:sz="4" w:space="0" w:color="auto"/>
              <w:right w:val="single" w:sz="4" w:space="0" w:color="auto"/>
            </w:tcBorders>
            <w:shd w:val="clear" w:color="auto" w:fill="auto"/>
            <w:noWrap/>
            <w:vAlign w:val="center"/>
            <w:hideMark/>
          </w:tcPr>
          <w:p w14:paraId="3DA62B0B"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3,38 </w:t>
            </w:r>
          </w:p>
        </w:tc>
        <w:tc>
          <w:tcPr>
            <w:tcW w:w="866" w:type="dxa"/>
            <w:tcBorders>
              <w:top w:val="nil"/>
              <w:left w:val="nil"/>
              <w:bottom w:val="single" w:sz="4" w:space="0" w:color="auto"/>
              <w:right w:val="single" w:sz="4" w:space="0" w:color="auto"/>
            </w:tcBorders>
            <w:shd w:val="clear" w:color="auto" w:fill="auto"/>
            <w:noWrap/>
            <w:vAlign w:val="center"/>
            <w:hideMark/>
          </w:tcPr>
          <w:p w14:paraId="2ACE171E"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3,38 </w:t>
            </w:r>
          </w:p>
        </w:tc>
        <w:tc>
          <w:tcPr>
            <w:tcW w:w="842" w:type="dxa"/>
            <w:tcBorders>
              <w:top w:val="nil"/>
              <w:left w:val="nil"/>
              <w:bottom w:val="single" w:sz="4" w:space="0" w:color="auto"/>
              <w:right w:val="single" w:sz="4" w:space="0" w:color="auto"/>
            </w:tcBorders>
            <w:shd w:val="clear" w:color="auto" w:fill="auto"/>
            <w:noWrap/>
            <w:vAlign w:val="center"/>
            <w:hideMark/>
          </w:tcPr>
          <w:p w14:paraId="3F59B6BC"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9,90 </w:t>
            </w:r>
          </w:p>
        </w:tc>
        <w:tc>
          <w:tcPr>
            <w:tcW w:w="927" w:type="dxa"/>
            <w:tcBorders>
              <w:top w:val="nil"/>
              <w:left w:val="nil"/>
              <w:bottom w:val="single" w:sz="4" w:space="0" w:color="auto"/>
              <w:right w:val="single" w:sz="4" w:space="0" w:color="auto"/>
            </w:tcBorders>
            <w:shd w:val="clear" w:color="000000" w:fill="F2F2F2"/>
            <w:noWrap/>
            <w:vAlign w:val="center"/>
            <w:hideMark/>
          </w:tcPr>
          <w:p w14:paraId="6FC42628"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19,52 </w:t>
            </w:r>
          </w:p>
        </w:tc>
        <w:tc>
          <w:tcPr>
            <w:tcW w:w="2195" w:type="dxa"/>
            <w:tcBorders>
              <w:top w:val="nil"/>
              <w:left w:val="nil"/>
              <w:bottom w:val="single" w:sz="4" w:space="0" w:color="auto"/>
              <w:right w:val="single" w:sz="4" w:space="0" w:color="auto"/>
            </w:tcBorders>
            <w:shd w:val="clear" w:color="000000" w:fill="F2C6C9"/>
            <w:noWrap/>
            <w:vAlign w:val="center"/>
            <w:hideMark/>
          </w:tcPr>
          <w:p w14:paraId="52F8C0E5"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2,43 </w:t>
            </w:r>
          </w:p>
        </w:tc>
      </w:tr>
      <w:tr w:rsidR="00AA2D37" w:rsidRPr="00B40E45" w14:paraId="7B716CD1"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7259DA2" w14:textId="77777777" w:rsidR="00AA2D37" w:rsidRPr="00B40E45" w:rsidRDefault="00AA2D37" w:rsidP="00AA2D37">
            <w:pPr>
              <w:spacing w:after="0" w:line="240" w:lineRule="auto"/>
              <w:rPr>
                <w:rFonts w:eastAsia="Times New Roman" w:cs="Calibri"/>
                <w:sz w:val="20"/>
                <w:szCs w:val="20"/>
                <w:lang w:eastAsia="cs-CZ"/>
              </w:rPr>
            </w:pPr>
            <w:r w:rsidRPr="00B40E45">
              <w:rPr>
                <w:rFonts w:eastAsia="Times New Roman" w:cs="Calibri"/>
                <w:sz w:val="20"/>
                <w:szCs w:val="20"/>
                <w:lang w:eastAsia="cs-CZ"/>
              </w:rPr>
              <w:t>OP VVV</w:t>
            </w:r>
          </w:p>
        </w:tc>
        <w:tc>
          <w:tcPr>
            <w:tcW w:w="1395" w:type="dxa"/>
            <w:tcBorders>
              <w:top w:val="nil"/>
              <w:left w:val="nil"/>
              <w:bottom w:val="single" w:sz="4" w:space="0" w:color="auto"/>
              <w:right w:val="single" w:sz="4" w:space="0" w:color="auto"/>
            </w:tcBorders>
            <w:shd w:val="clear" w:color="auto" w:fill="auto"/>
            <w:noWrap/>
            <w:vAlign w:val="center"/>
            <w:hideMark/>
          </w:tcPr>
          <w:p w14:paraId="491D0520"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2,60 </w:t>
            </w:r>
          </w:p>
        </w:tc>
        <w:tc>
          <w:tcPr>
            <w:tcW w:w="1051" w:type="dxa"/>
            <w:tcBorders>
              <w:top w:val="nil"/>
              <w:left w:val="nil"/>
              <w:bottom w:val="single" w:sz="4" w:space="0" w:color="auto"/>
              <w:right w:val="single" w:sz="4" w:space="0" w:color="auto"/>
            </w:tcBorders>
            <w:shd w:val="clear" w:color="auto" w:fill="auto"/>
            <w:noWrap/>
            <w:vAlign w:val="center"/>
            <w:hideMark/>
          </w:tcPr>
          <w:p w14:paraId="795A7C15"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16,80 </w:t>
            </w:r>
          </w:p>
        </w:tc>
        <w:tc>
          <w:tcPr>
            <w:tcW w:w="930" w:type="dxa"/>
            <w:tcBorders>
              <w:top w:val="nil"/>
              <w:left w:val="nil"/>
              <w:bottom w:val="single" w:sz="4" w:space="0" w:color="auto"/>
              <w:right w:val="single" w:sz="4" w:space="0" w:color="auto"/>
            </w:tcBorders>
            <w:shd w:val="clear" w:color="auto" w:fill="auto"/>
            <w:noWrap/>
            <w:vAlign w:val="center"/>
            <w:hideMark/>
          </w:tcPr>
          <w:p w14:paraId="1F571B35"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5,70 </w:t>
            </w:r>
          </w:p>
        </w:tc>
        <w:tc>
          <w:tcPr>
            <w:tcW w:w="866" w:type="dxa"/>
            <w:tcBorders>
              <w:top w:val="nil"/>
              <w:left w:val="nil"/>
              <w:bottom w:val="single" w:sz="4" w:space="0" w:color="auto"/>
              <w:right w:val="single" w:sz="4" w:space="0" w:color="auto"/>
            </w:tcBorders>
            <w:shd w:val="clear" w:color="auto" w:fill="auto"/>
            <w:noWrap/>
            <w:vAlign w:val="center"/>
            <w:hideMark/>
          </w:tcPr>
          <w:p w14:paraId="6BBB712E"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5,70 </w:t>
            </w:r>
          </w:p>
        </w:tc>
        <w:tc>
          <w:tcPr>
            <w:tcW w:w="842" w:type="dxa"/>
            <w:tcBorders>
              <w:top w:val="nil"/>
              <w:left w:val="nil"/>
              <w:bottom w:val="single" w:sz="4" w:space="0" w:color="auto"/>
              <w:right w:val="single" w:sz="4" w:space="0" w:color="auto"/>
            </w:tcBorders>
            <w:shd w:val="clear" w:color="auto" w:fill="auto"/>
            <w:noWrap/>
            <w:vAlign w:val="center"/>
            <w:hideMark/>
          </w:tcPr>
          <w:p w14:paraId="10F1E301"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10,61 </w:t>
            </w:r>
          </w:p>
        </w:tc>
        <w:tc>
          <w:tcPr>
            <w:tcW w:w="927" w:type="dxa"/>
            <w:tcBorders>
              <w:top w:val="nil"/>
              <w:left w:val="nil"/>
              <w:bottom w:val="single" w:sz="4" w:space="0" w:color="auto"/>
              <w:right w:val="single" w:sz="4" w:space="0" w:color="auto"/>
            </w:tcBorders>
            <w:shd w:val="clear" w:color="000000" w:fill="F2F2F2"/>
            <w:noWrap/>
            <w:vAlign w:val="center"/>
            <w:hideMark/>
          </w:tcPr>
          <w:p w14:paraId="2A9E696B"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19,72 </w:t>
            </w:r>
          </w:p>
        </w:tc>
        <w:tc>
          <w:tcPr>
            <w:tcW w:w="2195" w:type="dxa"/>
            <w:tcBorders>
              <w:top w:val="nil"/>
              <w:left w:val="nil"/>
              <w:bottom w:val="single" w:sz="4" w:space="0" w:color="auto"/>
              <w:right w:val="single" w:sz="4" w:space="0" w:color="auto"/>
            </w:tcBorders>
            <w:shd w:val="clear" w:color="000000" w:fill="F2C6C9"/>
            <w:noWrap/>
            <w:vAlign w:val="center"/>
            <w:hideMark/>
          </w:tcPr>
          <w:p w14:paraId="1A3EEF5C"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2,92 </w:t>
            </w:r>
          </w:p>
        </w:tc>
      </w:tr>
      <w:tr w:rsidR="00AA2D37" w:rsidRPr="00B40E45" w14:paraId="5EAF377D"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49688A4E" w14:textId="136F297F" w:rsidR="00AA2D37" w:rsidRPr="00B40E45" w:rsidRDefault="00AA2D37" w:rsidP="00DE10D7">
            <w:pPr>
              <w:spacing w:after="0" w:line="240" w:lineRule="auto"/>
              <w:rPr>
                <w:rFonts w:eastAsia="Times New Roman" w:cs="Calibri"/>
                <w:sz w:val="20"/>
                <w:szCs w:val="20"/>
                <w:lang w:eastAsia="cs-CZ"/>
              </w:rPr>
            </w:pPr>
            <w:r w:rsidRPr="00B40E45">
              <w:rPr>
                <w:rFonts w:eastAsia="Times New Roman" w:cs="Calibri"/>
                <w:sz w:val="20"/>
                <w:szCs w:val="20"/>
                <w:lang w:eastAsia="cs-CZ"/>
              </w:rPr>
              <w:t>OP</w:t>
            </w:r>
            <w:r>
              <w:rPr>
                <w:rFonts w:eastAsia="Times New Roman" w:cs="Calibri"/>
                <w:sz w:val="20"/>
                <w:szCs w:val="20"/>
                <w:lang w:eastAsia="cs-CZ"/>
              </w:rPr>
              <w:t>Ž</w:t>
            </w:r>
            <w:r w:rsidRPr="00B40E45">
              <w:rPr>
                <w:rFonts w:eastAsia="Times New Roman" w:cs="Calibri"/>
                <w:sz w:val="20"/>
                <w:szCs w:val="20"/>
                <w:lang w:eastAsia="cs-CZ"/>
              </w:rPr>
              <w:t>P</w:t>
            </w:r>
          </w:p>
        </w:tc>
        <w:tc>
          <w:tcPr>
            <w:tcW w:w="1395" w:type="dxa"/>
            <w:tcBorders>
              <w:top w:val="nil"/>
              <w:left w:val="nil"/>
              <w:bottom w:val="single" w:sz="4" w:space="0" w:color="auto"/>
              <w:right w:val="single" w:sz="4" w:space="0" w:color="auto"/>
            </w:tcBorders>
            <w:shd w:val="clear" w:color="auto" w:fill="auto"/>
            <w:noWrap/>
            <w:vAlign w:val="center"/>
            <w:hideMark/>
          </w:tcPr>
          <w:p w14:paraId="4A8EC041"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2,58 </w:t>
            </w:r>
          </w:p>
        </w:tc>
        <w:tc>
          <w:tcPr>
            <w:tcW w:w="1051" w:type="dxa"/>
            <w:tcBorders>
              <w:top w:val="nil"/>
              <w:left w:val="nil"/>
              <w:bottom w:val="single" w:sz="4" w:space="0" w:color="auto"/>
              <w:right w:val="single" w:sz="4" w:space="0" w:color="auto"/>
            </w:tcBorders>
            <w:shd w:val="clear" w:color="auto" w:fill="auto"/>
            <w:noWrap/>
            <w:vAlign w:val="center"/>
            <w:hideMark/>
          </w:tcPr>
          <w:p w14:paraId="6172695C"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15,88 </w:t>
            </w:r>
          </w:p>
        </w:tc>
        <w:tc>
          <w:tcPr>
            <w:tcW w:w="930" w:type="dxa"/>
            <w:tcBorders>
              <w:top w:val="nil"/>
              <w:left w:val="nil"/>
              <w:bottom w:val="single" w:sz="4" w:space="0" w:color="auto"/>
              <w:right w:val="single" w:sz="4" w:space="0" w:color="auto"/>
            </w:tcBorders>
            <w:shd w:val="clear" w:color="auto" w:fill="auto"/>
            <w:noWrap/>
            <w:vAlign w:val="center"/>
            <w:hideMark/>
          </w:tcPr>
          <w:p w14:paraId="7D40CFE6"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10,12 </w:t>
            </w:r>
          </w:p>
        </w:tc>
        <w:tc>
          <w:tcPr>
            <w:tcW w:w="866" w:type="dxa"/>
            <w:tcBorders>
              <w:top w:val="nil"/>
              <w:left w:val="nil"/>
              <w:bottom w:val="single" w:sz="4" w:space="0" w:color="auto"/>
              <w:right w:val="single" w:sz="4" w:space="0" w:color="auto"/>
            </w:tcBorders>
            <w:shd w:val="clear" w:color="auto" w:fill="auto"/>
            <w:noWrap/>
            <w:vAlign w:val="center"/>
            <w:hideMark/>
          </w:tcPr>
          <w:p w14:paraId="3A74B6D2"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10,12 </w:t>
            </w:r>
          </w:p>
        </w:tc>
        <w:tc>
          <w:tcPr>
            <w:tcW w:w="842" w:type="dxa"/>
            <w:tcBorders>
              <w:top w:val="nil"/>
              <w:left w:val="nil"/>
              <w:bottom w:val="single" w:sz="4" w:space="0" w:color="auto"/>
              <w:right w:val="single" w:sz="4" w:space="0" w:color="auto"/>
            </w:tcBorders>
            <w:shd w:val="clear" w:color="000000" w:fill="F2F2F2"/>
            <w:noWrap/>
            <w:vAlign w:val="center"/>
            <w:hideMark/>
          </w:tcPr>
          <w:p w14:paraId="2A967154"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16,55 </w:t>
            </w:r>
          </w:p>
        </w:tc>
        <w:tc>
          <w:tcPr>
            <w:tcW w:w="927" w:type="dxa"/>
            <w:tcBorders>
              <w:top w:val="nil"/>
              <w:left w:val="nil"/>
              <w:bottom w:val="single" w:sz="4" w:space="0" w:color="auto"/>
              <w:right w:val="single" w:sz="4" w:space="0" w:color="auto"/>
            </w:tcBorders>
            <w:shd w:val="clear" w:color="auto" w:fill="auto"/>
            <w:noWrap/>
            <w:vAlign w:val="center"/>
            <w:hideMark/>
          </w:tcPr>
          <w:p w14:paraId="68867197"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22,49 </w:t>
            </w:r>
          </w:p>
        </w:tc>
        <w:tc>
          <w:tcPr>
            <w:tcW w:w="2195" w:type="dxa"/>
            <w:tcBorders>
              <w:top w:val="nil"/>
              <w:left w:val="nil"/>
              <w:bottom w:val="single" w:sz="4" w:space="0" w:color="auto"/>
              <w:right w:val="single" w:sz="4" w:space="0" w:color="auto"/>
            </w:tcBorders>
            <w:shd w:val="clear" w:color="000000" w:fill="F2C6C9"/>
            <w:noWrap/>
            <w:vAlign w:val="center"/>
            <w:hideMark/>
          </w:tcPr>
          <w:p w14:paraId="08C0920A"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6,61 </w:t>
            </w:r>
          </w:p>
        </w:tc>
      </w:tr>
      <w:tr w:rsidR="00AA2D37" w:rsidRPr="00B40E45" w14:paraId="78691FF7"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02F0968C" w14:textId="05A979AE" w:rsidR="00AA2D37" w:rsidRPr="00B40E45" w:rsidRDefault="00AA2D37" w:rsidP="00DE10D7">
            <w:pPr>
              <w:spacing w:after="0" w:line="240" w:lineRule="auto"/>
              <w:rPr>
                <w:rFonts w:eastAsia="Times New Roman" w:cs="Calibri"/>
                <w:sz w:val="20"/>
                <w:szCs w:val="20"/>
                <w:lang w:eastAsia="cs-CZ"/>
              </w:rPr>
            </w:pPr>
            <w:r w:rsidRPr="00B40E45">
              <w:rPr>
                <w:rFonts w:eastAsia="Times New Roman" w:cs="Calibri"/>
                <w:sz w:val="20"/>
                <w:szCs w:val="20"/>
                <w:lang w:eastAsia="cs-CZ"/>
              </w:rPr>
              <w:t>OPZ</w:t>
            </w:r>
          </w:p>
        </w:tc>
        <w:tc>
          <w:tcPr>
            <w:tcW w:w="1395" w:type="dxa"/>
            <w:tcBorders>
              <w:top w:val="nil"/>
              <w:left w:val="nil"/>
              <w:bottom w:val="single" w:sz="4" w:space="0" w:color="auto"/>
              <w:right w:val="single" w:sz="4" w:space="0" w:color="auto"/>
            </w:tcBorders>
            <w:shd w:val="clear" w:color="auto" w:fill="auto"/>
            <w:noWrap/>
            <w:vAlign w:val="center"/>
            <w:hideMark/>
          </w:tcPr>
          <w:p w14:paraId="62CC2E0F"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2,02 </w:t>
            </w:r>
          </w:p>
        </w:tc>
        <w:tc>
          <w:tcPr>
            <w:tcW w:w="1051" w:type="dxa"/>
            <w:tcBorders>
              <w:top w:val="nil"/>
              <w:left w:val="nil"/>
              <w:bottom w:val="single" w:sz="4" w:space="0" w:color="auto"/>
              <w:right w:val="single" w:sz="4" w:space="0" w:color="auto"/>
            </w:tcBorders>
            <w:shd w:val="clear" w:color="auto" w:fill="auto"/>
            <w:noWrap/>
            <w:vAlign w:val="center"/>
            <w:hideMark/>
          </w:tcPr>
          <w:p w14:paraId="4E0FCDF1"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17,12 </w:t>
            </w:r>
          </w:p>
        </w:tc>
        <w:tc>
          <w:tcPr>
            <w:tcW w:w="930" w:type="dxa"/>
            <w:tcBorders>
              <w:top w:val="nil"/>
              <w:left w:val="nil"/>
              <w:bottom w:val="single" w:sz="4" w:space="0" w:color="auto"/>
              <w:right w:val="single" w:sz="4" w:space="0" w:color="auto"/>
            </w:tcBorders>
            <w:shd w:val="clear" w:color="000000" w:fill="F2F2F2"/>
            <w:noWrap/>
            <w:vAlign w:val="center"/>
            <w:hideMark/>
          </w:tcPr>
          <w:p w14:paraId="4F5C74E3"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21,19 </w:t>
            </w:r>
          </w:p>
        </w:tc>
        <w:tc>
          <w:tcPr>
            <w:tcW w:w="866" w:type="dxa"/>
            <w:tcBorders>
              <w:top w:val="nil"/>
              <w:left w:val="nil"/>
              <w:bottom w:val="single" w:sz="4" w:space="0" w:color="auto"/>
              <w:right w:val="single" w:sz="4" w:space="0" w:color="auto"/>
            </w:tcBorders>
            <w:shd w:val="clear" w:color="auto" w:fill="auto"/>
            <w:noWrap/>
            <w:vAlign w:val="center"/>
            <w:hideMark/>
          </w:tcPr>
          <w:p w14:paraId="28FCF63E"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23,90 </w:t>
            </w:r>
          </w:p>
        </w:tc>
        <w:tc>
          <w:tcPr>
            <w:tcW w:w="842" w:type="dxa"/>
            <w:tcBorders>
              <w:top w:val="nil"/>
              <w:left w:val="nil"/>
              <w:bottom w:val="single" w:sz="4" w:space="0" w:color="auto"/>
              <w:right w:val="single" w:sz="4" w:space="0" w:color="auto"/>
            </w:tcBorders>
            <w:shd w:val="clear" w:color="auto" w:fill="auto"/>
            <w:noWrap/>
            <w:vAlign w:val="center"/>
            <w:hideMark/>
          </w:tcPr>
          <w:p w14:paraId="0B7F70D5"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28,85 </w:t>
            </w:r>
          </w:p>
        </w:tc>
        <w:tc>
          <w:tcPr>
            <w:tcW w:w="927" w:type="dxa"/>
            <w:tcBorders>
              <w:top w:val="nil"/>
              <w:left w:val="nil"/>
              <w:bottom w:val="single" w:sz="4" w:space="0" w:color="auto"/>
              <w:right w:val="single" w:sz="4" w:space="0" w:color="auto"/>
            </w:tcBorders>
            <w:shd w:val="clear" w:color="auto" w:fill="auto"/>
            <w:noWrap/>
            <w:vAlign w:val="center"/>
            <w:hideMark/>
          </w:tcPr>
          <w:p w14:paraId="331859B8"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32,87 </w:t>
            </w:r>
          </w:p>
        </w:tc>
        <w:tc>
          <w:tcPr>
            <w:tcW w:w="2195" w:type="dxa"/>
            <w:tcBorders>
              <w:top w:val="nil"/>
              <w:left w:val="nil"/>
              <w:bottom w:val="single" w:sz="4" w:space="0" w:color="auto"/>
              <w:right w:val="single" w:sz="4" w:space="0" w:color="auto"/>
            </w:tcBorders>
            <w:shd w:val="clear" w:color="000000" w:fill="F2C6C9"/>
            <w:noWrap/>
            <w:vAlign w:val="center"/>
            <w:hideMark/>
          </w:tcPr>
          <w:p w14:paraId="4836C67A"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15,75 </w:t>
            </w:r>
          </w:p>
        </w:tc>
      </w:tr>
      <w:tr w:rsidR="00AA2D37" w:rsidRPr="00B40E45" w14:paraId="228C5260"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3FC4B47" w14:textId="50FD81D9" w:rsidR="00AA2D37" w:rsidRPr="00B40E45" w:rsidRDefault="00AA2D37" w:rsidP="00DE10D7">
            <w:pPr>
              <w:spacing w:after="0" w:line="240" w:lineRule="auto"/>
              <w:rPr>
                <w:rFonts w:eastAsia="Times New Roman" w:cs="Calibri"/>
                <w:sz w:val="20"/>
                <w:szCs w:val="20"/>
                <w:lang w:eastAsia="cs-CZ"/>
              </w:rPr>
            </w:pPr>
            <w:r w:rsidRPr="00B40E45">
              <w:rPr>
                <w:rFonts w:eastAsia="Times New Roman" w:cs="Calibri"/>
                <w:sz w:val="20"/>
                <w:szCs w:val="20"/>
                <w:lang w:eastAsia="cs-CZ"/>
              </w:rPr>
              <w:t>OPTP</w:t>
            </w:r>
          </w:p>
        </w:tc>
        <w:tc>
          <w:tcPr>
            <w:tcW w:w="1395" w:type="dxa"/>
            <w:tcBorders>
              <w:top w:val="nil"/>
              <w:left w:val="nil"/>
              <w:bottom w:val="single" w:sz="4" w:space="0" w:color="auto"/>
              <w:right w:val="single" w:sz="4" w:space="0" w:color="auto"/>
            </w:tcBorders>
            <w:shd w:val="clear" w:color="auto" w:fill="auto"/>
            <w:noWrap/>
            <w:vAlign w:val="center"/>
            <w:hideMark/>
          </w:tcPr>
          <w:p w14:paraId="30E0C912"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0,21 </w:t>
            </w:r>
          </w:p>
        </w:tc>
        <w:tc>
          <w:tcPr>
            <w:tcW w:w="1051" w:type="dxa"/>
            <w:tcBorders>
              <w:top w:val="nil"/>
              <w:left w:val="nil"/>
              <w:bottom w:val="single" w:sz="4" w:space="0" w:color="auto"/>
              <w:right w:val="single" w:sz="4" w:space="0" w:color="auto"/>
            </w:tcBorders>
            <w:shd w:val="clear" w:color="auto" w:fill="auto"/>
            <w:noWrap/>
            <w:vAlign w:val="center"/>
            <w:hideMark/>
          </w:tcPr>
          <w:p w14:paraId="3A8E8F22"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17,95 </w:t>
            </w:r>
          </w:p>
        </w:tc>
        <w:tc>
          <w:tcPr>
            <w:tcW w:w="930" w:type="dxa"/>
            <w:tcBorders>
              <w:top w:val="nil"/>
              <w:left w:val="nil"/>
              <w:bottom w:val="single" w:sz="4" w:space="0" w:color="auto"/>
              <w:right w:val="single" w:sz="4" w:space="0" w:color="auto"/>
            </w:tcBorders>
            <w:shd w:val="clear" w:color="000000" w:fill="F2F2F2"/>
            <w:noWrap/>
            <w:vAlign w:val="center"/>
            <w:hideMark/>
          </w:tcPr>
          <w:p w14:paraId="0A15CBCB"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21,25 </w:t>
            </w:r>
          </w:p>
        </w:tc>
        <w:tc>
          <w:tcPr>
            <w:tcW w:w="866" w:type="dxa"/>
            <w:tcBorders>
              <w:top w:val="nil"/>
              <w:left w:val="nil"/>
              <w:bottom w:val="single" w:sz="4" w:space="0" w:color="auto"/>
              <w:right w:val="single" w:sz="4" w:space="0" w:color="auto"/>
            </w:tcBorders>
            <w:shd w:val="clear" w:color="auto" w:fill="auto"/>
            <w:noWrap/>
            <w:vAlign w:val="center"/>
            <w:hideMark/>
          </w:tcPr>
          <w:p w14:paraId="0137E651"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21,25 </w:t>
            </w:r>
          </w:p>
        </w:tc>
        <w:tc>
          <w:tcPr>
            <w:tcW w:w="842" w:type="dxa"/>
            <w:tcBorders>
              <w:top w:val="nil"/>
              <w:left w:val="nil"/>
              <w:bottom w:val="single" w:sz="4" w:space="0" w:color="auto"/>
              <w:right w:val="single" w:sz="4" w:space="0" w:color="auto"/>
            </w:tcBorders>
            <w:shd w:val="clear" w:color="auto" w:fill="auto"/>
            <w:noWrap/>
            <w:vAlign w:val="center"/>
            <w:hideMark/>
          </w:tcPr>
          <w:p w14:paraId="588B7469"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28,76 </w:t>
            </w:r>
          </w:p>
        </w:tc>
        <w:tc>
          <w:tcPr>
            <w:tcW w:w="927" w:type="dxa"/>
            <w:tcBorders>
              <w:top w:val="nil"/>
              <w:left w:val="nil"/>
              <w:bottom w:val="single" w:sz="4" w:space="0" w:color="auto"/>
              <w:right w:val="single" w:sz="4" w:space="0" w:color="auto"/>
            </w:tcBorders>
            <w:shd w:val="clear" w:color="auto" w:fill="auto"/>
            <w:noWrap/>
            <w:vAlign w:val="center"/>
            <w:hideMark/>
          </w:tcPr>
          <w:p w14:paraId="78FDC8D1"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32,48 </w:t>
            </w:r>
          </w:p>
        </w:tc>
        <w:tc>
          <w:tcPr>
            <w:tcW w:w="2195" w:type="dxa"/>
            <w:tcBorders>
              <w:top w:val="nil"/>
              <w:left w:val="nil"/>
              <w:bottom w:val="single" w:sz="4" w:space="0" w:color="auto"/>
              <w:right w:val="single" w:sz="4" w:space="0" w:color="auto"/>
            </w:tcBorders>
            <w:shd w:val="clear" w:color="000000" w:fill="F2C6C9"/>
            <w:noWrap/>
            <w:vAlign w:val="center"/>
            <w:hideMark/>
          </w:tcPr>
          <w:p w14:paraId="3B0DFC14"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14,53 </w:t>
            </w:r>
          </w:p>
        </w:tc>
      </w:tr>
      <w:tr w:rsidR="00AA2D37" w:rsidRPr="00B40E45" w14:paraId="0E8EAC09"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7C40EECF" w14:textId="16A7B220" w:rsidR="00AA2D37" w:rsidRPr="00B40E45" w:rsidRDefault="00AA2D37" w:rsidP="00DE10D7">
            <w:pPr>
              <w:spacing w:after="0" w:line="240" w:lineRule="auto"/>
              <w:rPr>
                <w:rFonts w:eastAsia="Times New Roman" w:cs="Calibri"/>
                <w:sz w:val="20"/>
                <w:szCs w:val="20"/>
                <w:lang w:eastAsia="cs-CZ"/>
              </w:rPr>
            </w:pPr>
            <w:r w:rsidRPr="00B40E45">
              <w:rPr>
                <w:rFonts w:eastAsia="Times New Roman" w:cs="Calibri"/>
                <w:sz w:val="20"/>
                <w:szCs w:val="20"/>
                <w:lang w:eastAsia="cs-CZ"/>
              </w:rPr>
              <w:t>OPD</w:t>
            </w:r>
          </w:p>
        </w:tc>
        <w:tc>
          <w:tcPr>
            <w:tcW w:w="1395" w:type="dxa"/>
            <w:tcBorders>
              <w:top w:val="nil"/>
              <w:left w:val="nil"/>
              <w:bottom w:val="single" w:sz="4" w:space="0" w:color="auto"/>
              <w:right w:val="single" w:sz="4" w:space="0" w:color="auto"/>
            </w:tcBorders>
            <w:shd w:val="clear" w:color="auto" w:fill="auto"/>
            <w:noWrap/>
            <w:vAlign w:val="center"/>
            <w:hideMark/>
          </w:tcPr>
          <w:p w14:paraId="62167568"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4,28 </w:t>
            </w:r>
          </w:p>
        </w:tc>
        <w:tc>
          <w:tcPr>
            <w:tcW w:w="1051" w:type="dxa"/>
            <w:tcBorders>
              <w:top w:val="nil"/>
              <w:left w:val="nil"/>
              <w:bottom w:val="single" w:sz="4" w:space="0" w:color="auto"/>
              <w:right w:val="single" w:sz="4" w:space="0" w:color="auto"/>
            </w:tcBorders>
            <w:shd w:val="clear" w:color="auto" w:fill="auto"/>
            <w:noWrap/>
            <w:vAlign w:val="center"/>
            <w:hideMark/>
          </w:tcPr>
          <w:p w14:paraId="12A2FA84"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17,30 </w:t>
            </w:r>
          </w:p>
        </w:tc>
        <w:tc>
          <w:tcPr>
            <w:tcW w:w="930" w:type="dxa"/>
            <w:tcBorders>
              <w:top w:val="nil"/>
              <w:left w:val="nil"/>
              <w:bottom w:val="single" w:sz="4" w:space="0" w:color="auto"/>
              <w:right w:val="single" w:sz="4" w:space="0" w:color="auto"/>
            </w:tcBorders>
            <w:shd w:val="clear" w:color="000000" w:fill="F2F2F2"/>
            <w:noWrap/>
            <w:vAlign w:val="center"/>
            <w:hideMark/>
          </w:tcPr>
          <w:p w14:paraId="1171445E"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18,28 </w:t>
            </w:r>
          </w:p>
        </w:tc>
        <w:tc>
          <w:tcPr>
            <w:tcW w:w="866" w:type="dxa"/>
            <w:tcBorders>
              <w:top w:val="nil"/>
              <w:left w:val="nil"/>
              <w:bottom w:val="single" w:sz="4" w:space="0" w:color="auto"/>
              <w:right w:val="single" w:sz="4" w:space="0" w:color="auto"/>
            </w:tcBorders>
            <w:shd w:val="clear" w:color="auto" w:fill="auto"/>
            <w:noWrap/>
            <w:vAlign w:val="center"/>
            <w:hideMark/>
          </w:tcPr>
          <w:p w14:paraId="41587648"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18,28 </w:t>
            </w:r>
          </w:p>
        </w:tc>
        <w:tc>
          <w:tcPr>
            <w:tcW w:w="842" w:type="dxa"/>
            <w:tcBorders>
              <w:top w:val="nil"/>
              <w:left w:val="nil"/>
              <w:bottom w:val="single" w:sz="4" w:space="0" w:color="auto"/>
              <w:right w:val="single" w:sz="4" w:space="0" w:color="auto"/>
            </w:tcBorders>
            <w:shd w:val="clear" w:color="auto" w:fill="auto"/>
            <w:noWrap/>
            <w:vAlign w:val="center"/>
            <w:hideMark/>
          </w:tcPr>
          <w:p w14:paraId="79BE8178"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25,12 </w:t>
            </w:r>
          </w:p>
        </w:tc>
        <w:tc>
          <w:tcPr>
            <w:tcW w:w="927" w:type="dxa"/>
            <w:tcBorders>
              <w:top w:val="nil"/>
              <w:left w:val="nil"/>
              <w:bottom w:val="single" w:sz="4" w:space="0" w:color="auto"/>
              <w:right w:val="single" w:sz="4" w:space="0" w:color="auto"/>
            </w:tcBorders>
            <w:shd w:val="clear" w:color="auto" w:fill="auto"/>
            <w:noWrap/>
            <w:vAlign w:val="center"/>
            <w:hideMark/>
          </w:tcPr>
          <w:p w14:paraId="1C79C637"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27,94 </w:t>
            </w:r>
          </w:p>
        </w:tc>
        <w:tc>
          <w:tcPr>
            <w:tcW w:w="2195" w:type="dxa"/>
            <w:tcBorders>
              <w:top w:val="nil"/>
              <w:left w:val="nil"/>
              <w:bottom w:val="single" w:sz="4" w:space="0" w:color="auto"/>
              <w:right w:val="single" w:sz="4" w:space="0" w:color="auto"/>
            </w:tcBorders>
            <w:shd w:val="clear" w:color="000000" w:fill="F2C6C9"/>
            <w:noWrap/>
            <w:vAlign w:val="center"/>
            <w:hideMark/>
          </w:tcPr>
          <w:p w14:paraId="06B5FBEF"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10,64 </w:t>
            </w:r>
          </w:p>
        </w:tc>
      </w:tr>
      <w:tr w:rsidR="00AA2D37" w:rsidRPr="00B40E45" w14:paraId="41081F29" w14:textId="77777777" w:rsidTr="00AA2D37">
        <w:trPr>
          <w:trHeight w:val="308"/>
        </w:trPr>
        <w:tc>
          <w:tcPr>
            <w:tcW w:w="861" w:type="dxa"/>
            <w:tcBorders>
              <w:top w:val="nil"/>
              <w:left w:val="single" w:sz="4" w:space="0" w:color="auto"/>
              <w:bottom w:val="single" w:sz="4" w:space="0" w:color="auto"/>
              <w:right w:val="single" w:sz="4" w:space="0" w:color="auto"/>
            </w:tcBorders>
            <w:shd w:val="clear" w:color="auto" w:fill="auto"/>
            <w:noWrap/>
            <w:vAlign w:val="center"/>
            <w:hideMark/>
          </w:tcPr>
          <w:p w14:paraId="126A8F31" w14:textId="77777777" w:rsidR="00AA2D37" w:rsidRPr="00B40E45" w:rsidRDefault="00AA2D37" w:rsidP="00AA2D37">
            <w:pPr>
              <w:spacing w:after="0" w:line="240" w:lineRule="auto"/>
              <w:rPr>
                <w:rFonts w:eastAsia="Times New Roman" w:cs="Calibri"/>
                <w:sz w:val="20"/>
                <w:szCs w:val="20"/>
                <w:lang w:eastAsia="cs-CZ"/>
              </w:rPr>
            </w:pPr>
            <w:r w:rsidRPr="00B40E45">
              <w:rPr>
                <w:rFonts w:eastAsia="Times New Roman" w:cs="Calibri"/>
                <w:sz w:val="20"/>
                <w:szCs w:val="20"/>
                <w:lang w:eastAsia="cs-CZ"/>
              </w:rPr>
              <w:t>PRV</w:t>
            </w:r>
          </w:p>
        </w:tc>
        <w:tc>
          <w:tcPr>
            <w:tcW w:w="1395" w:type="dxa"/>
            <w:tcBorders>
              <w:top w:val="nil"/>
              <w:left w:val="nil"/>
              <w:bottom w:val="single" w:sz="4" w:space="0" w:color="auto"/>
              <w:right w:val="single" w:sz="4" w:space="0" w:color="auto"/>
            </w:tcBorders>
            <w:shd w:val="clear" w:color="auto" w:fill="auto"/>
            <w:noWrap/>
            <w:vAlign w:val="center"/>
            <w:hideMark/>
          </w:tcPr>
          <w:p w14:paraId="1D040DF0"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2,18 </w:t>
            </w:r>
          </w:p>
        </w:tc>
        <w:tc>
          <w:tcPr>
            <w:tcW w:w="1051" w:type="dxa"/>
            <w:tcBorders>
              <w:top w:val="nil"/>
              <w:left w:val="nil"/>
              <w:bottom w:val="single" w:sz="4" w:space="0" w:color="auto"/>
              <w:right w:val="single" w:sz="4" w:space="0" w:color="auto"/>
            </w:tcBorders>
            <w:shd w:val="clear" w:color="auto" w:fill="auto"/>
            <w:noWrap/>
            <w:vAlign w:val="center"/>
            <w:hideMark/>
          </w:tcPr>
          <w:p w14:paraId="3F978070"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17,14 </w:t>
            </w:r>
          </w:p>
        </w:tc>
        <w:tc>
          <w:tcPr>
            <w:tcW w:w="930" w:type="dxa"/>
            <w:tcBorders>
              <w:top w:val="nil"/>
              <w:left w:val="nil"/>
              <w:bottom w:val="single" w:sz="4" w:space="0" w:color="auto"/>
              <w:right w:val="single" w:sz="4" w:space="0" w:color="auto"/>
            </w:tcBorders>
            <w:shd w:val="clear" w:color="000000" w:fill="F2F2F2"/>
            <w:noWrap/>
            <w:vAlign w:val="center"/>
            <w:hideMark/>
          </w:tcPr>
          <w:p w14:paraId="322710C5"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31,27 </w:t>
            </w:r>
          </w:p>
        </w:tc>
        <w:tc>
          <w:tcPr>
            <w:tcW w:w="866" w:type="dxa"/>
            <w:tcBorders>
              <w:top w:val="nil"/>
              <w:left w:val="nil"/>
              <w:bottom w:val="single" w:sz="4" w:space="0" w:color="auto"/>
              <w:right w:val="single" w:sz="4" w:space="0" w:color="auto"/>
            </w:tcBorders>
            <w:shd w:val="clear" w:color="auto" w:fill="auto"/>
            <w:noWrap/>
            <w:vAlign w:val="center"/>
            <w:hideMark/>
          </w:tcPr>
          <w:p w14:paraId="1FBB255E"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35,86 </w:t>
            </w:r>
          </w:p>
        </w:tc>
        <w:tc>
          <w:tcPr>
            <w:tcW w:w="842" w:type="dxa"/>
            <w:tcBorders>
              <w:top w:val="nil"/>
              <w:left w:val="nil"/>
              <w:bottom w:val="single" w:sz="4" w:space="0" w:color="auto"/>
              <w:right w:val="single" w:sz="4" w:space="0" w:color="auto"/>
            </w:tcBorders>
            <w:shd w:val="clear" w:color="auto" w:fill="auto"/>
            <w:noWrap/>
            <w:vAlign w:val="center"/>
            <w:hideMark/>
          </w:tcPr>
          <w:p w14:paraId="69954BC8"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41,40 </w:t>
            </w:r>
          </w:p>
        </w:tc>
        <w:tc>
          <w:tcPr>
            <w:tcW w:w="927" w:type="dxa"/>
            <w:tcBorders>
              <w:top w:val="nil"/>
              <w:left w:val="nil"/>
              <w:bottom w:val="single" w:sz="4" w:space="0" w:color="auto"/>
              <w:right w:val="single" w:sz="4" w:space="0" w:color="auto"/>
            </w:tcBorders>
            <w:shd w:val="clear" w:color="auto" w:fill="auto"/>
            <w:noWrap/>
            <w:vAlign w:val="center"/>
            <w:hideMark/>
          </w:tcPr>
          <w:p w14:paraId="1F89202F" w14:textId="77777777" w:rsidR="00AA2D37" w:rsidRPr="00B40E45" w:rsidRDefault="00AA2D37" w:rsidP="00AA2D37">
            <w:pPr>
              <w:spacing w:after="0" w:line="240" w:lineRule="auto"/>
              <w:jc w:val="right"/>
              <w:rPr>
                <w:rFonts w:eastAsia="Times New Roman" w:cs="Calibri"/>
                <w:sz w:val="20"/>
                <w:szCs w:val="20"/>
                <w:lang w:eastAsia="cs-CZ"/>
              </w:rPr>
            </w:pPr>
            <w:r w:rsidRPr="00B40E45">
              <w:rPr>
                <w:rFonts w:eastAsia="Times New Roman" w:cs="Calibri"/>
                <w:sz w:val="20"/>
                <w:szCs w:val="20"/>
                <w:lang w:eastAsia="cs-CZ"/>
              </w:rPr>
              <w:t xml:space="preserve">43,78 </w:t>
            </w:r>
          </w:p>
        </w:tc>
        <w:tc>
          <w:tcPr>
            <w:tcW w:w="2195" w:type="dxa"/>
            <w:tcBorders>
              <w:top w:val="nil"/>
              <w:left w:val="nil"/>
              <w:bottom w:val="single" w:sz="4" w:space="0" w:color="auto"/>
              <w:right w:val="single" w:sz="4" w:space="0" w:color="auto"/>
            </w:tcBorders>
            <w:shd w:val="clear" w:color="000000" w:fill="F2C6C9"/>
            <w:noWrap/>
            <w:vAlign w:val="center"/>
            <w:hideMark/>
          </w:tcPr>
          <w:p w14:paraId="6AA46D75" w14:textId="77777777" w:rsidR="00AA2D37" w:rsidRPr="00B40E45" w:rsidRDefault="00AA2D37" w:rsidP="00AA2D37">
            <w:pPr>
              <w:spacing w:after="0" w:line="240" w:lineRule="auto"/>
              <w:jc w:val="right"/>
              <w:rPr>
                <w:rFonts w:eastAsia="Times New Roman" w:cs="Calibri"/>
                <w:b/>
                <w:bCs/>
                <w:sz w:val="20"/>
                <w:szCs w:val="20"/>
                <w:lang w:eastAsia="cs-CZ"/>
              </w:rPr>
            </w:pPr>
            <w:r w:rsidRPr="00B40E45">
              <w:rPr>
                <w:rFonts w:eastAsia="Times New Roman" w:cs="Calibri"/>
                <w:b/>
                <w:bCs/>
                <w:sz w:val="20"/>
                <w:szCs w:val="20"/>
                <w:lang w:eastAsia="cs-CZ"/>
              </w:rPr>
              <w:t xml:space="preserve">26,64 </w:t>
            </w:r>
          </w:p>
        </w:tc>
      </w:tr>
    </w:tbl>
    <w:p w14:paraId="259C403D" w14:textId="555E0908" w:rsidR="00DE10D7" w:rsidRPr="00DE10D7" w:rsidRDefault="00DE10D7" w:rsidP="007B3491">
      <w:pPr>
        <w:pStyle w:val="Poznazdroj"/>
      </w:pPr>
      <w:r w:rsidRPr="00DE10D7">
        <w:rPr>
          <w:b/>
        </w:rPr>
        <w:t>Zdroj:</w:t>
      </w:r>
      <w:r w:rsidRPr="00DE10D7">
        <w:t xml:space="preserve"> </w:t>
      </w:r>
      <w:r w:rsidRPr="00DE10D7">
        <w:tab/>
        <w:t>čtvrtletní zprávy o implementaci ESI fondů v České republice v programovém období 2014–2020 za 1., 2., 3. a 4. čtvrtletí roku 2018</w:t>
      </w:r>
    </w:p>
    <w:p w14:paraId="6FCA94B4" w14:textId="32C504C6" w:rsidR="00AA2D37" w:rsidRDefault="00AA2D37" w:rsidP="00AA2D37">
      <w:pPr>
        <w:spacing w:before="240"/>
        <w:rPr>
          <w:szCs w:val="24"/>
        </w:rPr>
      </w:pPr>
      <w:r>
        <w:rPr>
          <w:szCs w:val="24"/>
        </w:rPr>
        <w:lastRenderedPageBreak/>
        <w:t xml:space="preserve">Z tabulky je zřejmé, že </w:t>
      </w:r>
      <w:r w:rsidRPr="00DA04D0">
        <w:rPr>
          <w:szCs w:val="24"/>
        </w:rPr>
        <w:t xml:space="preserve">limit </w:t>
      </w:r>
      <w:r>
        <w:rPr>
          <w:szCs w:val="24"/>
        </w:rPr>
        <w:t xml:space="preserve">s </w:t>
      </w:r>
      <w:r w:rsidR="00C26812">
        <w:rPr>
          <w:szCs w:val="24"/>
        </w:rPr>
        <w:t>přehledem</w:t>
      </w:r>
      <w:r>
        <w:rPr>
          <w:szCs w:val="24"/>
        </w:rPr>
        <w:t xml:space="preserve"> </w:t>
      </w:r>
      <w:r w:rsidRPr="00DA04D0">
        <w:rPr>
          <w:szCs w:val="24"/>
        </w:rPr>
        <w:t>splnil</w:t>
      </w:r>
      <w:r>
        <w:rPr>
          <w:szCs w:val="24"/>
        </w:rPr>
        <w:t>y</w:t>
      </w:r>
      <w:r w:rsidRPr="00DA04D0">
        <w:rPr>
          <w:szCs w:val="24"/>
        </w:rPr>
        <w:t xml:space="preserve"> </w:t>
      </w:r>
      <w:r w:rsidRPr="00C26812">
        <w:rPr>
          <w:i/>
          <w:szCs w:val="24"/>
        </w:rPr>
        <w:t>Program rozvoje venkova</w:t>
      </w:r>
      <w:r w:rsidRPr="00DA04D0">
        <w:rPr>
          <w:szCs w:val="24"/>
        </w:rPr>
        <w:t xml:space="preserve">, </w:t>
      </w:r>
      <w:r>
        <w:rPr>
          <w:szCs w:val="24"/>
        </w:rPr>
        <w:t xml:space="preserve">OP </w:t>
      </w:r>
      <w:r w:rsidRPr="00C26812">
        <w:rPr>
          <w:i/>
          <w:szCs w:val="24"/>
        </w:rPr>
        <w:t>Zaměstnanost</w:t>
      </w:r>
      <w:r>
        <w:rPr>
          <w:szCs w:val="24"/>
        </w:rPr>
        <w:t xml:space="preserve">, </w:t>
      </w:r>
      <w:r w:rsidRPr="00C26812">
        <w:rPr>
          <w:i/>
          <w:szCs w:val="24"/>
        </w:rPr>
        <w:t>Doprava</w:t>
      </w:r>
      <w:r>
        <w:rPr>
          <w:szCs w:val="24"/>
        </w:rPr>
        <w:t xml:space="preserve"> a </w:t>
      </w:r>
      <w:r w:rsidRPr="00C26812">
        <w:rPr>
          <w:i/>
          <w:szCs w:val="24"/>
        </w:rPr>
        <w:t>Technická pomoc</w:t>
      </w:r>
      <w:r w:rsidRPr="00DA04D0">
        <w:rPr>
          <w:szCs w:val="24"/>
        </w:rPr>
        <w:t xml:space="preserve">. Naopak </w:t>
      </w:r>
      <w:r w:rsidR="001A10E9">
        <w:rPr>
          <w:szCs w:val="24"/>
        </w:rPr>
        <w:t xml:space="preserve">zejména </w:t>
      </w:r>
      <w:r w:rsidRPr="00DA04D0">
        <w:rPr>
          <w:szCs w:val="24"/>
        </w:rPr>
        <w:t xml:space="preserve">OP </w:t>
      </w:r>
      <w:r w:rsidRPr="00C26812">
        <w:rPr>
          <w:i/>
          <w:szCs w:val="24"/>
        </w:rPr>
        <w:t>Praha – pól růstu ČR</w:t>
      </w:r>
      <w:r>
        <w:rPr>
          <w:szCs w:val="24"/>
        </w:rPr>
        <w:t xml:space="preserve"> </w:t>
      </w:r>
      <w:r w:rsidRPr="00DA04D0">
        <w:rPr>
          <w:szCs w:val="24"/>
        </w:rPr>
        <w:t xml:space="preserve">a </w:t>
      </w:r>
      <w:r w:rsidRPr="00C26812">
        <w:rPr>
          <w:i/>
          <w:szCs w:val="24"/>
        </w:rPr>
        <w:t xml:space="preserve">Podnikání a inovace pro konkurenceschopnost </w:t>
      </w:r>
      <w:r w:rsidRPr="00DA04D0">
        <w:rPr>
          <w:szCs w:val="24"/>
        </w:rPr>
        <w:t xml:space="preserve">splnily limit právě jen </w:t>
      </w:r>
      <w:r>
        <w:rPr>
          <w:szCs w:val="24"/>
        </w:rPr>
        <w:t xml:space="preserve">díky </w:t>
      </w:r>
      <w:r w:rsidRPr="00DA04D0">
        <w:rPr>
          <w:szCs w:val="24"/>
        </w:rPr>
        <w:t>zvýšen</w:t>
      </w:r>
      <w:r>
        <w:rPr>
          <w:szCs w:val="24"/>
        </w:rPr>
        <w:t>ému čerpání</w:t>
      </w:r>
      <w:r w:rsidRPr="00DA04D0">
        <w:rPr>
          <w:szCs w:val="24"/>
        </w:rPr>
        <w:t xml:space="preserve"> ve 4. čtvrtletí a pro plnění </w:t>
      </w:r>
      <w:r w:rsidR="008C2115">
        <w:rPr>
          <w:szCs w:val="24"/>
        </w:rPr>
        <w:t>pravidla</w:t>
      </w:r>
      <w:r w:rsidRPr="00DA04D0">
        <w:rPr>
          <w:szCs w:val="24"/>
        </w:rPr>
        <w:t xml:space="preserve"> n+3 v roce 2019 jsou velmi rizikové.</w:t>
      </w:r>
    </w:p>
    <w:p w14:paraId="49B7A551" w14:textId="4435A421" w:rsidR="00AA2D37" w:rsidRPr="00956442" w:rsidRDefault="00651443" w:rsidP="00AA2D37">
      <w:pPr>
        <w:spacing w:before="240"/>
        <w:rPr>
          <w:szCs w:val="24"/>
        </w:rPr>
      </w:pPr>
      <w:r>
        <w:rPr>
          <w:noProof/>
          <w:lang w:eastAsia="cs-CZ"/>
        </w:rPr>
        <w:drawing>
          <wp:anchor distT="0" distB="0" distL="114300" distR="114300" simplePos="0" relativeHeight="251673088" behindDoc="0" locked="0" layoutInCell="1" allowOverlap="1" wp14:anchorId="3E22EE2B" wp14:editId="743E1E29">
            <wp:simplePos x="0" y="0"/>
            <wp:positionH relativeFrom="column">
              <wp:posOffset>2319655</wp:posOffset>
            </wp:positionH>
            <wp:positionV relativeFrom="paragraph">
              <wp:posOffset>78740</wp:posOffset>
            </wp:positionV>
            <wp:extent cx="3362325" cy="1409700"/>
            <wp:effectExtent l="0" t="0" r="0" b="0"/>
            <wp:wrapSquare wrapText="bothSides"/>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14:sizeRelV relativeFrom="margin">
              <wp14:pctHeight>0</wp14:pctHeight>
            </wp14:sizeRelV>
          </wp:anchor>
        </w:drawing>
      </w:r>
      <w:r w:rsidRPr="00651443">
        <w:rPr>
          <w:noProof/>
          <w:lang w:eastAsia="cs-CZ"/>
        </w:rPr>
        <w:t xml:space="preserve"> </w:t>
      </w:r>
      <w:r w:rsidR="00AA2D37" w:rsidRPr="00956442">
        <w:rPr>
          <w:b/>
          <w:szCs w:val="24"/>
        </w:rPr>
        <w:t>Z hlediska vývoje výdajů EU/FM se stav mezi 3. a 4. čtvrtletím roku 2018 u všech rizikových operačních programů téměř zdvojnásobil</w:t>
      </w:r>
      <w:r w:rsidR="008C2115">
        <w:rPr>
          <w:b/>
          <w:szCs w:val="24"/>
        </w:rPr>
        <w:t>,</w:t>
      </w:r>
      <w:r w:rsidR="00AA2D37" w:rsidRPr="00956442">
        <w:rPr>
          <w:b/>
          <w:szCs w:val="24"/>
        </w:rPr>
        <w:t xml:space="preserve"> a</w:t>
      </w:r>
      <w:r w:rsidR="008C2115">
        <w:rPr>
          <w:b/>
          <w:szCs w:val="24"/>
        </w:rPr>
        <w:t xml:space="preserve"> </w:t>
      </w:r>
      <w:r w:rsidR="00AA2D37" w:rsidRPr="00956442">
        <w:rPr>
          <w:b/>
          <w:szCs w:val="24"/>
        </w:rPr>
        <w:t>nedá se tak hovořit o plynulosti čerpání výdajů na jednotlivé operační programy.</w:t>
      </w:r>
      <w:r w:rsidR="00AA2D37">
        <w:rPr>
          <w:szCs w:val="24"/>
        </w:rPr>
        <w:t xml:space="preserve"> </w:t>
      </w:r>
      <w:r w:rsidR="00956442">
        <w:rPr>
          <w:szCs w:val="24"/>
        </w:rPr>
        <w:t xml:space="preserve">Existuje riziko, že takto nerovnoměrný průběh čerpání </w:t>
      </w:r>
      <w:r w:rsidR="008C2115">
        <w:rPr>
          <w:szCs w:val="24"/>
        </w:rPr>
        <w:t>po</w:t>
      </w:r>
      <w:r w:rsidR="00956442">
        <w:rPr>
          <w:szCs w:val="24"/>
        </w:rPr>
        <w:t xml:space="preserve">vede </w:t>
      </w:r>
      <w:r w:rsidR="00AA2D37" w:rsidRPr="00956442">
        <w:rPr>
          <w:szCs w:val="24"/>
        </w:rPr>
        <w:t>mimo jiné k vyšší míře chybovosti při přípravě žádostí o platb</w:t>
      </w:r>
      <w:r w:rsidR="008C2115">
        <w:rPr>
          <w:szCs w:val="24"/>
        </w:rPr>
        <w:t>u</w:t>
      </w:r>
      <w:r w:rsidR="00AA2D37" w:rsidRPr="00956442">
        <w:rPr>
          <w:szCs w:val="24"/>
        </w:rPr>
        <w:t xml:space="preserve"> a jejich schvalování v rámci implementační struktury.</w:t>
      </w:r>
    </w:p>
    <w:p w14:paraId="254DEBDE" w14:textId="4E71A0D2" w:rsidR="00AA2D37" w:rsidRDefault="00AA2D37" w:rsidP="00D30A77">
      <w:pPr>
        <w:pStyle w:val="ramecek"/>
      </w:pPr>
      <w:r w:rsidRPr="00466AEE">
        <w:t xml:space="preserve">V mezinárodním srovnání publikovaném EK se ČR v roce 2018 umístila na předposledním místě z evropské osmadvacítky s hodnotou 63 % smluvně zajištěných prostředků z celkové alokace na schválené projekty spolufinancované z evropských strukturálních a investičních fondů (dále </w:t>
      </w:r>
      <w:r w:rsidR="00A62DA9">
        <w:t>také</w:t>
      </w:r>
      <w:r w:rsidRPr="00466AEE">
        <w:t xml:space="preserve"> „ESI fondy“). ČR </w:t>
      </w:r>
      <w:r w:rsidR="00956442">
        <w:t>se n</w:t>
      </w:r>
      <w:r w:rsidRPr="00466AEE">
        <w:t>epřiblížila průměru zemí EU, který v roce 2018 činil 72 % smluvně zajištěných prostředků (došlo naopak k meziročnímu zhoršení o tři procentní body mezi průměrem EU a ČR).</w:t>
      </w:r>
    </w:p>
    <w:p w14:paraId="395E7C84" w14:textId="3FCD5E69" w:rsidR="00AA2D37" w:rsidRDefault="00AA2D37" w:rsidP="00D3507E">
      <w:pPr>
        <w:pStyle w:val="Tituleknadgrafy10-99"/>
      </w:pPr>
      <w:r w:rsidRPr="008C12F0">
        <w:t>Graf č. </w:t>
      </w:r>
      <w:r w:rsidRPr="008C12F0">
        <w:fldChar w:fldCharType="begin"/>
      </w:r>
      <w:r w:rsidRPr="008C12F0">
        <w:instrText xml:space="preserve"> SEQ Graf_č. \* ARABIC </w:instrText>
      </w:r>
      <w:r w:rsidRPr="008C12F0">
        <w:fldChar w:fldCharType="separate"/>
      </w:r>
      <w:r w:rsidR="009849B2">
        <w:t>12</w:t>
      </w:r>
      <w:r w:rsidRPr="008C12F0">
        <w:fldChar w:fldCharType="end"/>
      </w:r>
      <w:r>
        <w:t xml:space="preserve"> –</w:t>
      </w:r>
      <w:r>
        <w:tab/>
        <w:t>Procentuální vyjádření smluvně zajištěných prostředků z ESI fondů v roce 2017 a 2018</w:t>
      </w:r>
      <w:r w:rsidR="003C0C85">
        <w:t xml:space="preserve"> (v </w:t>
      </w:r>
      <w:r w:rsidR="003C0C85">
        <w:rPr>
          <w:rFonts w:cs="Calibri"/>
        </w:rPr>
        <w:t>%</w:t>
      </w:r>
      <w:r w:rsidR="003C0C85">
        <w:t>, v p. b.)</w:t>
      </w:r>
    </w:p>
    <w:p w14:paraId="78DB97C3" w14:textId="5D258DB9" w:rsidR="00AA2D37" w:rsidRPr="007D64B5" w:rsidRDefault="008C12F0" w:rsidP="008444E7">
      <w:pPr>
        <w:tabs>
          <w:tab w:val="left" w:pos="1485"/>
        </w:tabs>
        <w:spacing w:before="0" w:after="0"/>
        <w:ind w:left="1418" w:hanging="1418"/>
        <w:rPr>
          <w:rFonts w:eastAsia="Times New Roman" w:cs="Times New Roman"/>
          <w:b/>
          <w:noProof/>
        </w:rPr>
      </w:pPr>
      <w:r>
        <w:rPr>
          <w:noProof/>
          <w:lang w:eastAsia="cs-CZ"/>
        </w:rPr>
        <w:drawing>
          <wp:inline distT="0" distB="0" distL="0" distR="0" wp14:anchorId="04BADD6F" wp14:editId="0E18070E">
            <wp:extent cx="5760000" cy="2600325"/>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1B59FC71" w14:textId="7EC7CBDA" w:rsidR="00AA2D37" w:rsidRPr="00EA0EE4" w:rsidRDefault="00AA2D37" w:rsidP="002C4F38">
      <w:pPr>
        <w:pStyle w:val="Poznazdroj"/>
      </w:pPr>
      <w:r w:rsidRPr="007B3491">
        <w:rPr>
          <w:b/>
        </w:rPr>
        <w:t>Zdroj:</w:t>
      </w:r>
      <w:r w:rsidRPr="009175BF">
        <w:t xml:space="preserve"> </w:t>
      </w:r>
      <w:r w:rsidRPr="00EA0EE4">
        <w:t>Evropská komise</w:t>
      </w:r>
      <w:r w:rsidR="00EA09B1" w:rsidRPr="00EA0EE4">
        <w:t xml:space="preserve"> (stav ke dni </w:t>
      </w:r>
      <w:r w:rsidRPr="00EA0EE4">
        <w:t>12. 7. 2019</w:t>
      </w:r>
      <w:r w:rsidR="00EA09B1" w:rsidRPr="00EA0EE4">
        <w:t>)</w:t>
      </w:r>
      <w:r w:rsidRPr="00EA0EE4">
        <w:t>.</w:t>
      </w:r>
    </w:p>
    <w:p w14:paraId="7F15A843" w14:textId="0FEEBA66" w:rsidR="004A4F44" w:rsidRDefault="00AA2D37" w:rsidP="00AA2D37">
      <w:pPr>
        <w:rPr>
          <w:b/>
          <w:szCs w:val="24"/>
        </w:rPr>
      </w:pPr>
      <w:r>
        <w:rPr>
          <w:szCs w:val="24"/>
        </w:rPr>
        <w:t>V červnu roku 2016 proběhlo r</w:t>
      </w:r>
      <w:r w:rsidRPr="00C42DA3">
        <w:rPr>
          <w:szCs w:val="24"/>
        </w:rPr>
        <w:t xml:space="preserve">eferendum o </w:t>
      </w:r>
      <w:r>
        <w:rPr>
          <w:szCs w:val="24"/>
        </w:rPr>
        <w:t>setrvání</w:t>
      </w:r>
      <w:r w:rsidRPr="00C42DA3">
        <w:rPr>
          <w:szCs w:val="24"/>
        </w:rPr>
        <w:t xml:space="preserve"> Spojeného království v </w:t>
      </w:r>
      <w:r>
        <w:rPr>
          <w:szCs w:val="24"/>
        </w:rPr>
        <w:t>EU, v němž se jeho občané rozhodli pro tzv. „</w:t>
      </w:r>
      <w:r w:rsidR="008C2115">
        <w:rPr>
          <w:szCs w:val="24"/>
        </w:rPr>
        <w:t>b</w:t>
      </w:r>
      <w:r>
        <w:rPr>
          <w:szCs w:val="24"/>
        </w:rPr>
        <w:t>rexit“ neboli ukončení členství v EU. Za PO7+ a PO14+</w:t>
      </w:r>
      <w:r w:rsidRPr="00D24234">
        <w:rPr>
          <w:szCs w:val="24"/>
        </w:rPr>
        <w:t xml:space="preserve"> </w:t>
      </w:r>
      <w:r>
        <w:rPr>
          <w:szCs w:val="24"/>
        </w:rPr>
        <w:t xml:space="preserve">odvedlo </w:t>
      </w:r>
      <w:r w:rsidRPr="00EA6359">
        <w:rPr>
          <w:szCs w:val="24"/>
        </w:rPr>
        <w:t>do konce roku 201</w:t>
      </w:r>
      <w:r w:rsidR="00EA6359" w:rsidRPr="00EA6359">
        <w:rPr>
          <w:szCs w:val="24"/>
        </w:rPr>
        <w:t>8</w:t>
      </w:r>
      <w:r>
        <w:rPr>
          <w:szCs w:val="24"/>
        </w:rPr>
        <w:t xml:space="preserve"> Spojené království do unijního rozpočtu 1</w:t>
      </w:r>
      <w:r w:rsidR="00EA6359">
        <w:rPr>
          <w:szCs w:val="24"/>
        </w:rPr>
        <w:t>77,</w:t>
      </w:r>
      <w:r w:rsidR="00486165">
        <w:rPr>
          <w:szCs w:val="24"/>
        </w:rPr>
        <w:t>6</w:t>
      </w:r>
      <w:r>
        <w:rPr>
          <w:szCs w:val="24"/>
        </w:rPr>
        <w:t xml:space="preserve"> mld. € a získalo </w:t>
      </w:r>
      <w:r w:rsidR="00EA6359">
        <w:rPr>
          <w:szCs w:val="24"/>
        </w:rPr>
        <w:t>82,0</w:t>
      </w:r>
      <w:r>
        <w:rPr>
          <w:szCs w:val="24"/>
        </w:rPr>
        <w:t xml:space="preserve"> mld. €. Objem odvodů převýšil příjmy o </w:t>
      </w:r>
      <w:r w:rsidR="00510024">
        <w:rPr>
          <w:szCs w:val="24"/>
        </w:rPr>
        <w:t>95,7</w:t>
      </w:r>
      <w:r>
        <w:rPr>
          <w:szCs w:val="24"/>
        </w:rPr>
        <w:t xml:space="preserve"> mld. € za obě programová období</w:t>
      </w:r>
      <w:r w:rsidR="008C2115">
        <w:rPr>
          <w:szCs w:val="24"/>
        </w:rPr>
        <w:t>, což</w:t>
      </w:r>
      <w:r>
        <w:rPr>
          <w:szCs w:val="24"/>
        </w:rPr>
        <w:t xml:space="preserve"> řadí Spojené království mezi největší přispěvatele do rozpočtu EU. Po odchodu Spojeného </w:t>
      </w:r>
      <w:r>
        <w:rPr>
          <w:szCs w:val="24"/>
        </w:rPr>
        <w:lastRenderedPageBreak/>
        <w:t xml:space="preserve">království tak ztratí EU čistého </w:t>
      </w:r>
      <w:r w:rsidR="004A4F44">
        <w:rPr>
          <w:szCs w:val="24"/>
        </w:rPr>
        <w:t>plátce</w:t>
      </w:r>
      <w:r>
        <w:rPr>
          <w:szCs w:val="24"/>
        </w:rPr>
        <w:t xml:space="preserve"> a s ním průměrný roční příspěvek do rozpočtu příjmů ve výši cca 14,</w:t>
      </w:r>
      <w:r w:rsidR="00EA6359">
        <w:rPr>
          <w:szCs w:val="24"/>
        </w:rPr>
        <w:t>8</w:t>
      </w:r>
      <w:r>
        <w:rPr>
          <w:szCs w:val="24"/>
        </w:rPr>
        <w:t xml:space="preserve"> mld. €</w:t>
      </w:r>
      <w:r>
        <w:rPr>
          <w:rStyle w:val="Znakapoznpodarou"/>
          <w:szCs w:val="24"/>
        </w:rPr>
        <w:footnoteReference w:id="37"/>
      </w:r>
      <w:r>
        <w:rPr>
          <w:szCs w:val="24"/>
        </w:rPr>
        <w:t>. Výpadek prostředků by měl být dle návrhu EK</w:t>
      </w:r>
      <w:r>
        <w:rPr>
          <w:rStyle w:val="Znakapoznpodarou"/>
          <w:szCs w:val="24"/>
        </w:rPr>
        <w:footnoteReference w:id="38"/>
      </w:r>
      <w:r>
        <w:rPr>
          <w:szCs w:val="24"/>
        </w:rPr>
        <w:t xml:space="preserve"> nahrazen po ukončení členství Spojeného království v EU novými příjmy</w:t>
      </w:r>
      <w:r>
        <w:rPr>
          <w:rStyle w:val="Znakapoznpodarou"/>
          <w:szCs w:val="24"/>
        </w:rPr>
        <w:footnoteReference w:id="39"/>
      </w:r>
      <w:r>
        <w:rPr>
          <w:szCs w:val="24"/>
        </w:rPr>
        <w:t>, zvýšením stropu vlastních zdrojů z 1,2</w:t>
      </w:r>
      <w:r w:rsidR="00E84F8D">
        <w:rPr>
          <w:szCs w:val="24"/>
        </w:rPr>
        <w:t>0</w:t>
      </w:r>
      <w:r>
        <w:rPr>
          <w:szCs w:val="24"/>
        </w:rPr>
        <w:t xml:space="preserve"> % na 1,29</w:t>
      </w:r>
      <w:r w:rsidRPr="00FC2E16">
        <w:rPr>
          <w:szCs w:val="24"/>
        </w:rPr>
        <w:t xml:space="preserve"> % hrubého národního důchodu evropské sedmadvacítky</w:t>
      </w:r>
      <w:r>
        <w:rPr>
          <w:szCs w:val="24"/>
        </w:rPr>
        <w:t xml:space="preserve">, realokací prostředků a úsporami </w:t>
      </w:r>
      <w:r w:rsidR="008C2115">
        <w:rPr>
          <w:szCs w:val="24"/>
        </w:rPr>
        <w:t xml:space="preserve">v </w:t>
      </w:r>
      <w:r>
        <w:rPr>
          <w:szCs w:val="24"/>
        </w:rPr>
        <w:t xml:space="preserve">rozpočtu. </w:t>
      </w:r>
      <w:r w:rsidR="008C2115">
        <w:rPr>
          <w:b/>
          <w:szCs w:val="24"/>
        </w:rPr>
        <w:t>O</w:t>
      </w:r>
      <w:r w:rsidRPr="0075612A">
        <w:rPr>
          <w:b/>
          <w:szCs w:val="24"/>
        </w:rPr>
        <w:t>dvod</w:t>
      </w:r>
      <w:r w:rsidR="008C2115">
        <w:rPr>
          <w:b/>
          <w:szCs w:val="24"/>
        </w:rPr>
        <w:t>y</w:t>
      </w:r>
      <w:r w:rsidRPr="0075612A">
        <w:rPr>
          <w:b/>
          <w:szCs w:val="24"/>
        </w:rPr>
        <w:t xml:space="preserve"> ČR do unijního rozpočtu by se tak v následujících letech mohl</w:t>
      </w:r>
      <w:r w:rsidR="008C2115">
        <w:rPr>
          <w:b/>
          <w:szCs w:val="24"/>
        </w:rPr>
        <w:t>y</w:t>
      </w:r>
      <w:r w:rsidRPr="0075612A">
        <w:rPr>
          <w:b/>
          <w:szCs w:val="24"/>
        </w:rPr>
        <w:t xml:space="preserve"> </w:t>
      </w:r>
      <w:r>
        <w:rPr>
          <w:b/>
          <w:szCs w:val="24"/>
        </w:rPr>
        <w:t>výrazněji zvýšit. Vyšší odvody mohou vést mimo jiné ke zhorše</w:t>
      </w:r>
      <w:r w:rsidR="00596EA7">
        <w:rPr>
          <w:b/>
          <w:szCs w:val="24"/>
        </w:rPr>
        <w:t>ní bilance čisté pozice ČR.</w:t>
      </w:r>
    </w:p>
    <w:p w14:paraId="66364467" w14:textId="482CF090" w:rsidR="00AA2D37" w:rsidRDefault="00AA2D37" w:rsidP="00AA2D37">
      <w:pPr>
        <w:rPr>
          <w:szCs w:val="24"/>
        </w:rPr>
      </w:pPr>
      <w:r>
        <w:rPr>
          <w:szCs w:val="24"/>
        </w:rPr>
        <w:t>Následující graf znázorňuje modelovou situaci, o kolik finančních prostředků mohly klesnout příjmy ČR, pokud by Spojené království nebylo členem EU již v současném a předchozím období.</w:t>
      </w:r>
    </w:p>
    <w:p w14:paraId="4AEB1CF4" w14:textId="7A2985E1" w:rsidR="00AA2D37" w:rsidRPr="00AA2D37" w:rsidRDefault="00AA2D37" w:rsidP="00D3507E">
      <w:pPr>
        <w:pStyle w:val="Tituleknadgrafy10-99"/>
      </w:pPr>
      <w:r w:rsidRPr="00AD5F7B">
        <w:t>Graf č. </w:t>
      </w:r>
      <w:r w:rsidRPr="00AD5F7B">
        <w:fldChar w:fldCharType="begin"/>
      </w:r>
      <w:r w:rsidRPr="00AD5F7B">
        <w:instrText xml:space="preserve"> SEQ Graf_č. \* ARABIC </w:instrText>
      </w:r>
      <w:r w:rsidRPr="00AD5F7B">
        <w:fldChar w:fldCharType="separate"/>
      </w:r>
      <w:r w:rsidR="009849B2">
        <w:t>13</w:t>
      </w:r>
      <w:r w:rsidRPr="00AD5F7B">
        <w:fldChar w:fldCharType="end"/>
      </w:r>
      <w:r w:rsidRPr="00AD5F7B">
        <w:t xml:space="preserve"> –</w:t>
      </w:r>
      <w:r w:rsidRPr="00AA2D37">
        <w:tab/>
        <w:t>Skutečné příjmy ČR z rozpočtu EU a odhadované příjmy ČR z rozpočtu EU bez Spojeného království (v mld. Kč)</w:t>
      </w:r>
    </w:p>
    <w:p w14:paraId="38C287F2" w14:textId="3D6DA55A" w:rsidR="00AA2D37" w:rsidRDefault="00AD5F7B" w:rsidP="00C32D02">
      <w:pPr>
        <w:spacing w:before="0" w:after="0"/>
      </w:pPr>
      <w:r>
        <w:rPr>
          <w:noProof/>
          <w:lang w:eastAsia="cs-CZ"/>
        </w:rPr>
        <w:drawing>
          <wp:inline distT="0" distB="0" distL="0" distR="0" wp14:anchorId="326D51CD" wp14:editId="4AD356D0">
            <wp:extent cx="5760000" cy="1476000"/>
            <wp:effectExtent l="0" t="0" r="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19E61773" w14:textId="77777777" w:rsidR="00AA2D37" w:rsidRDefault="00AA2D37" w:rsidP="002C4F38">
      <w:pPr>
        <w:pStyle w:val="Poznazdroj"/>
      </w:pPr>
      <w:r w:rsidRPr="007B3491">
        <w:rPr>
          <w:b/>
        </w:rPr>
        <w:t>Zdroj:</w:t>
      </w:r>
      <w:r>
        <w:t xml:space="preserve"> </w:t>
      </w:r>
      <w:r w:rsidRPr="00EA0EE4">
        <w:t>Evropská komise</w:t>
      </w:r>
      <w:r w:rsidRPr="00EA0EE4">
        <w:rPr>
          <w:rStyle w:val="Znakapoznpodarou"/>
          <w:b/>
        </w:rPr>
        <w:footnoteReference w:id="40"/>
      </w:r>
      <w:r w:rsidRPr="00EA0EE4">
        <w:t>.</w:t>
      </w:r>
    </w:p>
    <w:p w14:paraId="2B1E43A9" w14:textId="11D2B7CB" w:rsidR="00AA2D37" w:rsidRPr="00EA0EE4" w:rsidRDefault="00AA2D37" w:rsidP="00277808">
      <w:pPr>
        <w:pStyle w:val="Poznazdroj"/>
      </w:pPr>
      <w:r w:rsidRPr="007B3491">
        <w:rPr>
          <w:b/>
        </w:rPr>
        <w:t>Pozn.:</w:t>
      </w:r>
      <w:r>
        <w:t xml:space="preserve"> </w:t>
      </w:r>
      <w:r w:rsidRPr="00EA0EE4">
        <w:t>Výpočet NKÚ</w:t>
      </w:r>
      <w:r w:rsidRPr="00EA0EE4">
        <w:rPr>
          <w:rStyle w:val="Znakapoznpodarou"/>
        </w:rPr>
        <w:footnoteReference w:id="41"/>
      </w:r>
      <w:r w:rsidRPr="00EA0EE4">
        <w:t>.</w:t>
      </w:r>
    </w:p>
    <w:p w14:paraId="50B97088" w14:textId="0A602A84" w:rsidR="00AA2D37" w:rsidRDefault="00AA2D37" w:rsidP="00AA2D37">
      <w:pPr>
        <w:rPr>
          <w:szCs w:val="24"/>
        </w:rPr>
      </w:pPr>
      <w:r>
        <w:rPr>
          <w:szCs w:val="24"/>
        </w:rPr>
        <w:t xml:space="preserve">Pokud by Spojené království nebylo členem EU, ČR by za poslední dvě programová období do </w:t>
      </w:r>
      <w:r w:rsidRPr="00EA6359">
        <w:rPr>
          <w:szCs w:val="24"/>
        </w:rPr>
        <w:t>31. 12. 201</w:t>
      </w:r>
      <w:r w:rsidR="00EA6359" w:rsidRPr="00EA6359">
        <w:rPr>
          <w:szCs w:val="24"/>
        </w:rPr>
        <w:t>8</w:t>
      </w:r>
      <w:r>
        <w:rPr>
          <w:szCs w:val="24"/>
        </w:rPr>
        <w:t xml:space="preserve"> </w:t>
      </w:r>
      <w:r w:rsidR="00750335">
        <w:rPr>
          <w:szCs w:val="24"/>
        </w:rPr>
        <w:t>získala z unijních zdrojů</w:t>
      </w:r>
      <w:r>
        <w:rPr>
          <w:szCs w:val="24"/>
        </w:rPr>
        <w:t xml:space="preserve"> v přepočtu o 8</w:t>
      </w:r>
      <w:r w:rsidR="00EA6359">
        <w:rPr>
          <w:szCs w:val="24"/>
        </w:rPr>
        <w:t>5</w:t>
      </w:r>
      <w:r>
        <w:rPr>
          <w:szCs w:val="24"/>
        </w:rPr>
        <w:t>,</w:t>
      </w:r>
      <w:r w:rsidR="00EA6359">
        <w:rPr>
          <w:szCs w:val="24"/>
        </w:rPr>
        <w:t>2</w:t>
      </w:r>
      <w:r>
        <w:rPr>
          <w:szCs w:val="24"/>
        </w:rPr>
        <w:t xml:space="preserve"> mld. Kč</w:t>
      </w:r>
      <w:r w:rsidR="00750335">
        <w:rPr>
          <w:szCs w:val="24"/>
        </w:rPr>
        <w:t xml:space="preserve"> méně</w:t>
      </w:r>
      <w:r>
        <w:rPr>
          <w:szCs w:val="24"/>
        </w:rPr>
        <w:t xml:space="preserve">. V rámci PO7+ by se jednalo o částku 35,6 mld. Kč </w:t>
      </w:r>
      <w:r w:rsidRPr="00EA6359">
        <w:rPr>
          <w:szCs w:val="24"/>
        </w:rPr>
        <w:t xml:space="preserve">a v PO14+ </w:t>
      </w:r>
      <w:r w:rsidR="00750335">
        <w:rPr>
          <w:szCs w:val="24"/>
        </w:rPr>
        <w:t>by</w:t>
      </w:r>
      <w:r w:rsidR="00750335" w:rsidRPr="00EA6359">
        <w:rPr>
          <w:szCs w:val="24"/>
        </w:rPr>
        <w:t xml:space="preserve"> </w:t>
      </w:r>
      <w:r w:rsidRPr="00EA6359">
        <w:rPr>
          <w:szCs w:val="24"/>
        </w:rPr>
        <w:t xml:space="preserve">do konce roku 2018 </w:t>
      </w:r>
      <w:r w:rsidR="00750335">
        <w:rPr>
          <w:szCs w:val="24"/>
        </w:rPr>
        <w:t xml:space="preserve">šlo </w:t>
      </w:r>
      <w:r w:rsidRPr="00EA6359">
        <w:rPr>
          <w:szCs w:val="24"/>
        </w:rPr>
        <w:t>o částku 4</w:t>
      </w:r>
      <w:r w:rsidR="00EA6359" w:rsidRPr="00EA6359">
        <w:rPr>
          <w:szCs w:val="24"/>
        </w:rPr>
        <w:t>9,6</w:t>
      </w:r>
      <w:r w:rsidRPr="00EA6359">
        <w:rPr>
          <w:szCs w:val="24"/>
        </w:rPr>
        <w:t xml:space="preserve"> mld. Kč.</w:t>
      </w:r>
      <w:r>
        <w:rPr>
          <w:szCs w:val="24"/>
        </w:rPr>
        <w:t xml:space="preserve"> Na konci současného programového období by byla odhadovaná výše příjmů pravděpodobně podstatně vyšší. </w:t>
      </w:r>
      <w:r w:rsidRPr="00F76ACF">
        <w:rPr>
          <w:b/>
          <w:szCs w:val="24"/>
        </w:rPr>
        <w:t>Členst</w:t>
      </w:r>
      <w:r>
        <w:rPr>
          <w:b/>
          <w:szCs w:val="24"/>
        </w:rPr>
        <w:t>ví Spojeného království v EU</w:t>
      </w:r>
      <w:r w:rsidRPr="00F76ACF">
        <w:rPr>
          <w:b/>
          <w:szCs w:val="24"/>
        </w:rPr>
        <w:t xml:space="preserve"> přineslo ČR v letech 2007–201</w:t>
      </w:r>
      <w:r w:rsidR="00EA6359">
        <w:rPr>
          <w:b/>
          <w:szCs w:val="24"/>
        </w:rPr>
        <w:t>8</w:t>
      </w:r>
      <w:r w:rsidRPr="00F76ACF">
        <w:rPr>
          <w:b/>
          <w:szCs w:val="24"/>
        </w:rPr>
        <w:t xml:space="preserve"> každoročně v průměru o 7,1 mld. Kč vyšší příjmy z unijního rozpočtu.</w:t>
      </w:r>
      <w:r w:rsidR="00C26812">
        <w:rPr>
          <w:b/>
          <w:szCs w:val="24"/>
        </w:rPr>
        <w:t xml:space="preserve"> Případný</w:t>
      </w:r>
      <w:r>
        <w:rPr>
          <w:b/>
          <w:szCs w:val="24"/>
        </w:rPr>
        <w:t xml:space="preserve"> </w:t>
      </w:r>
      <w:r w:rsidR="00750335">
        <w:rPr>
          <w:b/>
          <w:szCs w:val="24"/>
        </w:rPr>
        <w:t>b</w:t>
      </w:r>
      <w:r>
        <w:rPr>
          <w:b/>
          <w:szCs w:val="24"/>
        </w:rPr>
        <w:t>rexit tak bude pro ČR znamenat větší tlak na národní zdroje.</w:t>
      </w:r>
    </w:p>
    <w:p w14:paraId="6F808C06" w14:textId="0AEA6C18" w:rsidR="00085B30" w:rsidRDefault="00085B30" w:rsidP="00BB7C79">
      <w:pPr>
        <w:rPr>
          <w:rFonts w:asciiTheme="minorHAnsi" w:hAnsiTheme="minorHAnsi" w:cstheme="minorHAnsi"/>
          <w:b/>
          <w:sz w:val="28"/>
          <w:szCs w:val="28"/>
        </w:rPr>
      </w:pPr>
      <w:r>
        <w:br w:type="page"/>
      </w:r>
    </w:p>
    <w:p w14:paraId="22BE39E4" w14:textId="0474ADA2" w:rsidR="00C1759D" w:rsidRPr="00EE2BB9" w:rsidRDefault="002F6FB5" w:rsidP="00EE2BB9">
      <w:pPr>
        <w:pStyle w:val="Nadpis1"/>
        <w:ind w:left="426" w:hanging="426"/>
      </w:pPr>
      <w:bookmarkStart w:id="18" w:name="_Toc17208270"/>
      <w:r>
        <w:lastRenderedPageBreak/>
        <w:t>Hodnocení rizik</w:t>
      </w:r>
      <w:r w:rsidR="00C4184D">
        <w:t xml:space="preserve"> vybraných odvětví </w:t>
      </w:r>
      <w:r>
        <w:t xml:space="preserve">s možným dopadem na </w:t>
      </w:r>
      <w:r w:rsidR="00C4184D">
        <w:t>veřejný sektor</w:t>
      </w:r>
      <w:bookmarkEnd w:id="18"/>
    </w:p>
    <w:p w14:paraId="7FB96988" w14:textId="5F943D5F" w:rsidR="00A40247" w:rsidRDefault="00B246DA" w:rsidP="008971F5">
      <w:pPr>
        <w:pStyle w:val="Nadpis3"/>
        <w:numPr>
          <w:ilvl w:val="0"/>
          <w:numId w:val="16"/>
        </w:numPr>
      </w:pPr>
      <w:bookmarkStart w:id="19" w:name="_Toc17208271"/>
      <w:bookmarkEnd w:id="8"/>
      <w:r>
        <w:t>Kvalita dopravní infrastruktury</w:t>
      </w:r>
      <w:bookmarkEnd w:id="19"/>
    </w:p>
    <w:p w14:paraId="5F23EEC1" w14:textId="0C28A13C" w:rsidR="00BB7C79" w:rsidRPr="00651443" w:rsidRDefault="00BB7C79" w:rsidP="00BB7C79">
      <w:pPr>
        <w:rPr>
          <w:bCs/>
          <w:szCs w:val="24"/>
        </w:rPr>
      </w:pPr>
      <w:r>
        <w:rPr>
          <w:bCs/>
          <w:szCs w:val="24"/>
        </w:rPr>
        <w:t xml:space="preserve">Kvalitní dopravní infrastruktura, která vyhovuje kapacitním požadavkům státu, patří k základním předpokladům úspěšné a konkurenceschopné ekonomiky a měla by být jednou z vládních priorit. Výdaje vynakládané ze státního rozpočtu </w:t>
      </w:r>
      <w:r w:rsidR="00894162">
        <w:rPr>
          <w:bCs/>
          <w:szCs w:val="24"/>
        </w:rPr>
        <w:t>na</w:t>
      </w:r>
      <w:r>
        <w:rPr>
          <w:bCs/>
          <w:szCs w:val="24"/>
        </w:rPr>
        <w:t xml:space="preserve"> oblast </w:t>
      </w:r>
      <w:r w:rsidRPr="00033D29">
        <w:rPr>
          <w:bCs/>
          <w:szCs w:val="24"/>
        </w:rPr>
        <w:t xml:space="preserve">dopravy v roce 2018 činily 52,83 mld. Kč a meziročně klesly o 5,76 mld. Kč, a to především </w:t>
      </w:r>
      <w:r w:rsidR="00894162">
        <w:rPr>
          <w:bCs/>
          <w:szCs w:val="24"/>
        </w:rPr>
        <w:t>kvůli</w:t>
      </w:r>
      <w:r w:rsidRPr="00033D29">
        <w:rPr>
          <w:bCs/>
          <w:szCs w:val="24"/>
        </w:rPr>
        <w:t xml:space="preserve"> nižším transferům</w:t>
      </w:r>
      <w:r>
        <w:rPr>
          <w:bCs/>
          <w:szCs w:val="24"/>
        </w:rPr>
        <w:t xml:space="preserve"> </w:t>
      </w:r>
      <w:r w:rsidRPr="00C96D80">
        <w:rPr>
          <w:bCs/>
          <w:szCs w:val="24"/>
        </w:rPr>
        <w:t>Státnímu fondu dopravní infrastruktury</w:t>
      </w:r>
      <w:r>
        <w:rPr>
          <w:bCs/>
          <w:szCs w:val="24"/>
        </w:rPr>
        <w:t>. Podíl těchto výdajů</w:t>
      </w:r>
      <w:r>
        <w:rPr>
          <w:rStyle w:val="Znakapoznpodarou"/>
          <w:bCs/>
          <w:szCs w:val="24"/>
        </w:rPr>
        <w:footnoteReference w:id="42"/>
      </w:r>
      <w:r>
        <w:rPr>
          <w:bCs/>
          <w:szCs w:val="24"/>
        </w:rPr>
        <w:t xml:space="preserve"> na celkových výdajích státního rozpočtu dosáhl v roce 2018 pouze 3,77 % a oproti předchozímu roku se snížil o 0,8 p.</w:t>
      </w:r>
      <w:r w:rsidR="00234B49">
        <w:rPr>
          <w:bCs/>
          <w:szCs w:val="24"/>
        </w:rPr>
        <w:t xml:space="preserve"> </w:t>
      </w:r>
      <w:r>
        <w:rPr>
          <w:bCs/>
          <w:szCs w:val="24"/>
        </w:rPr>
        <w:t xml:space="preserve">b. </w:t>
      </w:r>
      <w:r w:rsidRPr="00ED2314">
        <w:rPr>
          <w:b/>
          <w:bCs/>
          <w:szCs w:val="24"/>
        </w:rPr>
        <w:t>Podpora sektoru dopravy</w:t>
      </w:r>
      <w:r>
        <w:rPr>
          <w:b/>
          <w:bCs/>
          <w:szCs w:val="24"/>
        </w:rPr>
        <w:t xml:space="preserve"> vyjádřená podílem na celkových výdajích státního rozpočtu v posledních letech klesla, což bylo ovlivněno mj. složitou procedurou při schvalování staveb a jejich nepřipraveností </w:t>
      </w:r>
      <w:r w:rsidR="00894162">
        <w:rPr>
          <w:b/>
          <w:bCs/>
          <w:szCs w:val="24"/>
        </w:rPr>
        <w:t>– n</w:t>
      </w:r>
      <w:r>
        <w:rPr>
          <w:b/>
          <w:bCs/>
          <w:szCs w:val="24"/>
        </w:rPr>
        <w:t xml:space="preserve">a </w:t>
      </w:r>
      <w:r w:rsidR="00894162">
        <w:rPr>
          <w:b/>
          <w:bCs/>
          <w:szCs w:val="24"/>
        </w:rPr>
        <w:t>tyto problémy</w:t>
      </w:r>
      <w:r>
        <w:rPr>
          <w:b/>
          <w:bCs/>
          <w:szCs w:val="24"/>
        </w:rPr>
        <w:t xml:space="preserve"> </w:t>
      </w:r>
      <w:r w:rsidR="00894162">
        <w:rPr>
          <w:b/>
          <w:bCs/>
          <w:szCs w:val="24"/>
        </w:rPr>
        <w:t xml:space="preserve">NKÚ </w:t>
      </w:r>
      <w:r>
        <w:rPr>
          <w:b/>
          <w:bCs/>
          <w:szCs w:val="24"/>
        </w:rPr>
        <w:t>opakovaně upozorňuje. Kladný vliv legislativních změn</w:t>
      </w:r>
      <w:r>
        <w:rPr>
          <w:rStyle w:val="Znakapoznpodarou"/>
          <w:b/>
          <w:bCs/>
          <w:szCs w:val="24"/>
        </w:rPr>
        <w:footnoteReference w:id="43"/>
      </w:r>
      <w:r>
        <w:rPr>
          <w:b/>
          <w:bCs/>
          <w:szCs w:val="24"/>
        </w:rPr>
        <w:t xml:space="preserve"> se může projevit až v dalších letech.</w:t>
      </w:r>
    </w:p>
    <w:p w14:paraId="008B43FA" w14:textId="5C567AF6" w:rsidR="00BB7C79" w:rsidRPr="000509E3" w:rsidRDefault="000509E3" w:rsidP="00651443">
      <w:pPr>
        <w:pStyle w:val="Tituleknadgrafy10-99"/>
        <w:jc w:val="both"/>
      </w:pPr>
      <w:r w:rsidRPr="000509E3">
        <w:t>Graf č. </w:t>
      </w:r>
      <w:r w:rsidRPr="000509E3">
        <w:fldChar w:fldCharType="begin"/>
      </w:r>
      <w:r w:rsidRPr="000509E3">
        <w:instrText xml:space="preserve"> SEQ Graf_č. \* ARABIC </w:instrText>
      </w:r>
      <w:r w:rsidRPr="000509E3">
        <w:fldChar w:fldCharType="separate"/>
      </w:r>
      <w:r w:rsidR="009849B2">
        <w:t>14</w:t>
      </w:r>
      <w:r w:rsidRPr="000509E3">
        <w:fldChar w:fldCharType="end"/>
      </w:r>
      <w:r w:rsidRPr="000509E3">
        <w:t xml:space="preserve"> </w:t>
      </w:r>
      <w:r w:rsidR="00BB7C79" w:rsidRPr="000509E3">
        <w:t>–</w:t>
      </w:r>
      <w:r w:rsidR="00001875">
        <w:tab/>
      </w:r>
      <w:r w:rsidR="00BB7C79" w:rsidRPr="000509E3">
        <w:t xml:space="preserve">Výdaje </w:t>
      </w:r>
      <w:r w:rsidR="00894162">
        <w:t>na</w:t>
      </w:r>
      <w:r w:rsidR="00BB7C79" w:rsidRPr="000509E3">
        <w:t xml:space="preserve"> oblast dopravy a jejich podíl na celkových výdajích státního</w:t>
      </w:r>
      <w:r w:rsidR="00651443">
        <w:t xml:space="preserve"> r</w:t>
      </w:r>
      <w:r w:rsidR="00BB7C79" w:rsidRPr="000509E3">
        <w:t>ozpočtu (v mld. Kč, v %)</w:t>
      </w:r>
    </w:p>
    <w:p w14:paraId="79BB7A79" w14:textId="77777777" w:rsidR="00BB7C79" w:rsidRDefault="00BB7C79" w:rsidP="00BB7C79">
      <w:pPr>
        <w:spacing w:before="0" w:after="0"/>
        <w:rPr>
          <w:bCs/>
          <w:szCs w:val="24"/>
        </w:rPr>
      </w:pPr>
      <w:r>
        <w:rPr>
          <w:noProof/>
          <w:lang w:eastAsia="cs-CZ"/>
        </w:rPr>
        <w:drawing>
          <wp:inline distT="0" distB="0" distL="0" distR="0" wp14:anchorId="102DEA1C" wp14:editId="28B64248">
            <wp:extent cx="5686425" cy="1819275"/>
            <wp:effectExtent l="0" t="0" r="0" b="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28567E0E" w14:textId="77777777" w:rsidR="00BB7C79" w:rsidRPr="00EA0EE4" w:rsidRDefault="00BB7C79" w:rsidP="002C4F38">
      <w:pPr>
        <w:pStyle w:val="Poznazdroj"/>
      </w:pPr>
      <w:r w:rsidRPr="00651443">
        <w:rPr>
          <w:b/>
        </w:rPr>
        <w:t>Zdroj:</w:t>
      </w:r>
      <w:r w:rsidRPr="0064058C">
        <w:t xml:space="preserve"> </w:t>
      </w:r>
      <w:r w:rsidRPr="00EA0EE4">
        <w:t>informační portál MONITOR.</w:t>
      </w:r>
    </w:p>
    <w:p w14:paraId="192E951D" w14:textId="59381F79" w:rsidR="00BB7C79" w:rsidRDefault="00BB7C79" w:rsidP="00BB7C79">
      <w:pPr>
        <w:rPr>
          <w:szCs w:val="24"/>
        </w:rPr>
      </w:pPr>
      <w:r w:rsidRPr="00E11715">
        <w:rPr>
          <w:szCs w:val="24"/>
        </w:rPr>
        <w:t>V roce 2018 byl</w:t>
      </w:r>
      <w:r w:rsidR="00894162">
        <w:rPr>
          <w:szCs w:val="24"/>
        </w:rPr>
        <w:t>y</w:t>
      </w:r>
      <w:r>
        <w:rPr>
          <w:szCs w:val="24"/>
        </w:rPr>
        <w:t xml:space="preserve"> v ČR</w:t>
      </w:r>
      <w:r w:rsidRPr="00E11715">
        <w:rPr>
          <w:szCs w:val="24"/>
        </w:rPr>
        <w:t xml:space="preserve"> postaven</w:t>
      </w:r>
      <w:r w:rsidR="00894162">
        <w:rPr>
          <w:szCs w:val="24"/>
        </w:rPr>
        <w:t>y</w:t>
      </w:r>
      <w:r w:rsidRPr="00E11715">
        <w:rPr>
          <w:szCs w:val="24"/>
        </w:rPr>
        <w:t xml:space="preserve"> pouze 4 km nových dálnic a 15 km silnic první třídy</w:t>
      </w:r>
      <w:r>
        <w:rPr>
          <w:szCs w:val="24"/>
        </w:rPr>
        <w:t>, tempo výstavby dopravní infrastruktury se tak nepodařilo ani v loňském roce zvýšit. Kromě toho ČR zaostává d</w:t>
      </w:r>
      <w:r w:rsidRPr="00033D29">
        <w:rPr>
          <w:szCs w:val="24"/>
        </w:rPr>
        <w:t xml:space="preserve">le mezinárodního srovnání </w:t>
      </w:r>
      <w:r>
        <w:rPr>
          <w:szCs w:val="24"/>
        </w:rPr>
        <w:t xml:space="preserve">spokojenosti obyvatel </w:t>
      </w:r>
      <w:r w:rsidRPr="00033D29">
        <w:rPr>
          <w:szCs w:val="24"/>
        </w:rPr>
        <w:t>publikovaného Světovým ekonomickým fórem</w:t>
      </w:r>
      <w:r w:rsidRPr="00033D29">
        <w:rPr>
          <w:rStyle w:val="Znakapoznpodarou"/>
          <w:szCs w:val="24"/>
        </w:rPr>
        <w:footnoteReference w:id="44"/>
      </w:r>
      <w:r>
        <w:rPr>
          <w:szCs w:val="24"/>
        </w:rPr>
        <w:t xml:space="preserve"> </w:t>
      </w:r>
      <w:r w:rsidRPr="00033D29">
        <w:rPr>
          <w:szCs w:val="24"/>
        </w:rPr>
        <w:t xml:space="preserve">za průměrem zemí EU v oblasti kvality silnic. V roce 2018 zaujala Česká republika mezi zeměmi Evropské unie až 23. místo. Její umístění se za posledních 5 let v podstatě nezměnilo, přestože výdaje vynakládané na opravy a údržbu silniční infrastruktury </w:t>
      </w:r>
      <w:r w:rsidR="00445EA4">
        <w:rPr>
          <w:szCs w:val="24"/>
        </w:rPr>
        <w:t xml:space="preserve">v roce 2018 </w:t>
      </w:r>
      <w:r w:rsidRPr="00033D29">
        <w:rPr>
          <w:szCs w:val="24"/>
        </w:rPr>
        <w:t xml:space="preserve">činily </w:t>
      </w:r>
      <w:r w:rsidR="00CF7ED6">
        <w:rPr>
          <w:szCs w:val="24"/>
        </w:rPr>
        <w:t xml:space="preserve">22,35 mld. Kč. </w:t>
      </w:r>
      <w:r w:rsidRPr="00853D15">
        <w:rPr>
          <w:szCs w:val="24"/>
        </w:rPr>
        <w:t xml:space="preserve">Za </w:t>
      </w:r>
      <w:r w:rsidR="00445EA4">
        <w:rPr>
          <w:szCs w:val="24"/>
        </w:rPr>
        <w:t>posledních 5 let</w:t>
      </w:r>
      <w:r w:rsidRPr="00853D15">
        <w:rPr>
          <w:szCs w:val="24"/>
        </w:rPr>
        <w:t xml:space="preserve"> se zvýšily o </w:t>
      </w:r>
      <w:r w:rsidR="00CF7ED6">
        <w:rPr>
          <w:szCs w:val="24"/>
        </w:rPr>
        <w:t xml:space="preserve">6,18 </w:t>
      </w:r>
      <w:r w:rsidRPr="00CF7ED6">
        <w:rPr>
          <w:szCs w:val="24"/>
        </w:rPr>
        <w:t>mld.</w:t>
      </w:r>
      <w:r w:rsidRPr="00853D15">
        <w:rPr>
          <w:szCs w:val="24"/>
        </w:rPr>
        <w:t xml:space="preserve"> Kč a mezi evropskými zeměmi rozhodně nepatřily k nejnižším.</w:t>
      </w:r>
    </w:p>
    <w:p w14:paraId="4C640038" w14:textId="4A3252D1" w:rsidR="00BB7C79" w:rsidRDefault="000509E3" w:rsidP="00D3507E">
      <w:pPr>
        <w:pStyle w:val="Tituleknadgrafy10-99"/>
      </w:pPr>
      <w:r w:rsidRPr="004E1C4B">
        <w:lastRenderedPageBreak/>
        <w:t>Graf č. </w:t>
      </w:r>
      <w:r w:rsidRPr="004E1C4B">
        <w:fldChar w:fldCharType="begin"/>
      </w:r>
      <w:r w:rsidRPr="004E1C4B">
        <w:instrText xml:space="preserve"> SEQ Graf_č. \* ARABIC </w:instrText>
      </w:r>
      <w:r w:rsidRPr="004E1C4B">
        <w:fldChar w:fldCharType="separate"/>
      </w:r>
      <w:r w:rsidR="009849B2">
        <w:t>15</w:t>
      </w:r>
      <w:r w:rsidRPr="004E1C4B">
        <w:fldChar w:fldCharType="end"/>
      </w:r>
      <w:r w:rsidRPr="004E1C4B">
        <w:t xml:space="preserve"> </w:t>
      </w:r>
      <w:r w:rsidR="00BB7C79" w:rsidRPr="004E1C4B">
        <w:t>–</w:t>
      </w:r>
      <w:r w:rsidR="00001875">
        <w:tab/>
      </w:r>
      <w:r w:rsidR="00BB7C79">
        <w:t>Kvalita silnic v zemích EU v roce 2018</w:t>
      </w:r>
    </w:p>
    <w:p w14:paraId="33693F4F" w14:textId="48FFFFBF" w:rsidR="00BB7C79" w:rsidRDefault="004E1C4B" w:rsidP="00F57589">
      <w:pPr>
        <w:keepNext/>
        <w:spacing w:before="0" w:after="0"/>
        <w:rPr>
          <w:szCs w:val="24"/>
        </w:rPr>
      </w:pPr>
      <w:r>
        <w:rPr>
          <w:noProof/>
          <w:lang w:eastAsia="cs-CZ"/>
        </w:rPr>
        <mc:AlternateContent>
          <mc:Choice Requires="wps">
            <w:drawing>
              <wp:anchor distT="0" distB="0" distL="114300" distR="114300" simplePos="0" relativeHeight="251655680" behindDoc="0" locked="0" layoutInCell="1" allowOverlap="1" wp14:anchorId="0B41FE49" wp14:editId="73197A07">
                <wp:simplePos x="0" y="0"/>
                <wp:positionH relativeFrom="column">
                  <wp:posOffset>4676775</wp:posOffset>
                </wp:positionH>
                <wp:positionV relativeFrom="paragraph">
                  <wp:posOffset>204470</wp:posOffset>
                </wp:positionV>
                <wp:extent cx="257175" cy="171449"/>
                <wp:effectExtent l="0" t="0" r="9525" b="635"/>
                <wp:wrapNone/>
                <wp:docPr id="51" name="Šipka dolů 2"/>
                <wp:cNvGraphicFramePr/>
                <a:graphic xmlns:a="http://schemas.openxmlformats.org/drawingml/2006/main">
                  <a:graphicData uri="http://schemas.microsoft.com/office/word/2010/wordprocessingShape">
                    <wps:wsp>
                      <wps:cNvSpPr/>
                      <wps:spPr>
                        <a:xfrm>
                          <a:off x="0" y="0"/>
                          <a:ext cx="257175" cy="171449"/>
                        </a:xfrm>
                        <a:prstGeom prst="downArrow">
                          <a:avLst/>
                        </a:prstGeom>
                        <a:solidFill>
                          <a:srgbClr val="C3C5C6"/>
                        </a:solidFill>
                        <a:ln>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shapetype w14:anchorId="738CB3F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 o:spid="_x0000_s1026" type="#_x0000_t67" style="position:absolute;margin-left:368.25pt;margin-top:16.1pt;width:20.25pt;height:13.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MVWHAIAAHQEAAAOAAAAZHJzL2Uyb0RvYy54bWysVFuO0zAU/UdiD5b/aZIynULVdIQ6Gn4Q&#10;M2JgAa4fjYXja9mmaVkNO2AVsy+u7TQDA+IDkQ/Hj3vPuefkOuurY2/IQfqgwba0mdWUSMtBaLtv&#10;6aePNy9eURIis4IZsLKlJxno1eb5s/XgVnIOHRghPUEQG1aDa2kXo1tVVeCd7FmYgZMWDxX4nkVc&#10;+n0lPBsQvTfVvK4vqwG8cB64DAF3r8sh3WR8pSSPt0oFGYlpKdYW8+jzuEtjtVmz1d4z12k+lsH+&#10;oYqeaYukE9Q1i4x88fo3qF5zDwFUnHHoK1BKc5k1oJqmfqLmvmNOZi1oTnCTTeH/wfL3hztPtGjp&#10;oqHEsh6/0cM37T4zIsA8fCfzZNHgwgoj792dH1cBp0nvUfk+vVEJOWZbT5Ot8hgJx835YtksF5Rw&#10;PGqWzcXF64RZPSY7H+JbCT1Jk5YKGOwb72HIjrLDuxBL/DkuEQYwWtxoY/LC73db48mB4Wfevtwu&#10;tpcjxS9hxqZgCymtIKadKqkrevIsnoxMccZ+kAqtSQpyJbkp5cTDOJc2NuWoY0IW+kWNz5k9tXHK&#10;yHIzYEJWyD9hjwDnyAJyxi5VjvEpVeaenpLrvxVWkqeMzAw2Tsm9tuD/BGBQ1chc4s8mFWuSSzsQ&#10;J2wcvPnxFgdlYGgpN9pR0oH/+nTPR7OFcgWZ5RjR0pgpEha2dvZnvIbp7vy8zuSPP4vNDwAAAP//&#10;AwBQSwMEFAAGAAgAAAAhAKiYZZzdAAAACQEAAA8AAABkcnMvZG93bnJldi54bWxMj81OhDAUhfcm&#10;vkNzTdwYp1jCoMhlYkh4gEE37Dr08hNoS2hnwLe3rnR5c7+c8538tOuZ3Wh1ozUIL4cIGJnWqtH0&#10;CF+f1fMrMOelUXK2hhC+ycGpuL/LZabsZs50q33PQohxmUQYvF8yzl07kJbuYBcy4dfZVUsfzrXn&#10;apVbCNczF1F05FqOJjQMcqFyoHaqrxqh6Z+Wcpviqe7Oe7eLJqmqskF8fNg/3oF52v0fDL/6QR2K&#10;4HSxV6McmxHS+JgEFCEWAlgA0jQN4y4IyZsAXuT8/4LiBwAA//8DAFBLAQItABQABgAIAAAAIQC2&#10;gziS/gAAAOEBAAATAAAAAAAAAAAAAAAAAAAAAABbQ29udGVudF9UeXBlc10ueG1sUEsBAi0AFAAG&#10;AAgAAAAhADj9If/WAAAAlAEAAAsAAAAAAAAAAAAAAAAALwEAAF9yZWxzLy5yZWxzUEsBAi0AFAAG&#10;AAgAAAAhAKm0xVYcAgAAdAQAAA4AAAAAAAAAAAAAAAAALgIAAGRycy9lMm9Eb2MueG1sUEsBAi0A&#10;FAAGAAgAAAAhAKiYZZzdAAAACQEAAA8AAAAAAAAAAAAAAAAAdgQAAGRycy9kb3ducmV2LnhtbFBL&#10;BQYAAAAABAAEAPMAAACABQAAAAA=&#10;" adj="10800" fillcolor="#c3c5c6" stroked="f" strokeweight="2pt"/>
            </w:pict>
          </mc:Fallback>
        </mc:AlternateContent>
      </w:r>
      <w:r>
        <w:rPr>
          <w:noProof/>
          <w:lang w:eastAsia="cs-CZ"/>
        </w:rPr>
        <w:drawing>
          <wp:inline distT="0" distB="0" distL="0" distR="0" wp14:anchorId="712D039B" wp14:editId="336B4F63">
            <wp:extent cx="5760000" cy="1980000"/>
            <wp:effectExtent l="0" t="0" r="0" b="127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67AE80CE" w14:textId="77777777" w:rsidR="00BB7C79" w:rsidRPr="00EA0EE4" w:rsidRDefault="00BB7C79" w:rsidP="002C4F38">
      <w:pPr>
        <w:pStyle w:val="Poznazdroj"/>
      </w:pPr>
      <w:r w:rsidRPr="00651443">
        <w:rPr>
          <w:b/>
          <w:color w:val="000000" w:themeColor="text1"/>
        </w:rPr>
        <w:t>Zdroj:</w:t>
      </w:r>
      <w:r w:rsidRPr="00AC5237">
        <w:t xml:space="preserve"> </w:t>
      </w:r>
      <w:r w:rsidRPr="00651443">
        <w:rPr>
          <w:i/>
        </w:rPr>
        <w:t>The Global Competitiveness Report 2018</w:t>
      </w:r>
      <w:r w:rsidRPr="00EA0EE4">
        <w:t>.</w:t>
      </w:r>
    </w:p>
    <w:p w14:paraId="2C904723" w14:textId="2D614D09" w:rsidR="00BB7C79" w:rsidRDefault="00BB7C79" w:rsidP="00BB7C79">
      <w:pPr>
        <w:spacing w:before="240"/>
        <w:rPr>
          <w:szCs w:val="24"/>
        </w:rPr>
      </w:pPr>
      <w:r>
        <w:rPr>
          <w:szCs w:val="24"/>
        </w:rPr>
        <w:t xml:space="preserve">Na neuspokojivý stav českých silnic má významný vliv silniční nákladní doprava, </w:t>
      </w:r>
      <w:r w:rsidRPr="00EB15A3">
        <w:rPr>
          <w:szCs w:val="24"/>
        </w:rPr>
        <w:t>která v roce 2018 meziročně vzrostla o 19,8</w:t>
      </w:r>
      <w:r>
        <w:rPr>
          <w:szCs w:val="24"/>
        </w:rPr>
        <w:t xml:space="preserve"> mil. tun. Železniční nákladní </w:t>
      </w:r>
      <w:r w:rsidR="00D13641">
        <w:rPr>
          <w:szCs w:val="24"/>
        </w:rPr>
        <w:t xml:space="preserve">doprava </w:t>
      </w:r>
      <w:r>
        <w:rPr>
          <w:szCs w:val="24"/>
        </w:rPr>
        <w:t xml:space="preserve">meziročně vzrostla pouze o </w:t>
      </w:r>
      <w:r w:rsidR="00EB15A3">
        <w:rPr>
          <w:szCs w:val="24"/>
        </w:rPr>
        <w:t>2,8</w:t>
      </w:r>
      <w:r>
        <w:rPr>
          <w:szCs w:val="24"/>
        </w:rPr>
        <w:t xml:space="preserve"> mil. tun. </w:t>
      </w:r>
      <w:r w:rsidRPr="00A17E48">
        <w:rPr>
          <w:szCs w:val="24"/>
        </w:rPr>
        <w:t xml:space="preserve">Ani v roce </w:t>
      </w:r>
      <w:r w:rsidRPr="00D43C09">
        <w:rPr>
          <w:szCs w:val="24"/>
        </w:rPr>
        <w:t>2018 t</w:t>
      </w:r>
      <w:r w:rsidRPr="00A17E48">
        <w:rPr>
          <w:szCs w:val="24"/>
        </w:rPr>
        <w:t xml:space="preserve">ak nedošlo k přesunu alespoň části nákladní dopravy ze silnic na železnici, jak si v návaznosti na </w:t>
      </w:r>
      <w:r w:rsidRPr="00A17E48">
        <w:rPr>
          <w:i/>
          <w:szCs w:val="24"/>
        </w:rPr>
        <w:t>Bílou knihu</w:t>
      </w:r>
      <w:r w:rsidRPr="00A17E48">
        <w:rPr>
          <w:rStyle w:val="Znakapoznpodarou"/>
          <w:szCs w:val="24"/>
        </w:rPr>
        <w:footnoteReference w:id="45"/>
      </w:r>
      <w:r w:rsidRPr="00A17E48">
        <w:rPr>
          <w:szCs w:val="24"/>
        </w:rPr>
        <w:t xml:space="preserve"> stanovila již předchozí vláda a</w:t>
      </w:r>
      <w:r w:rsidR="00894162">
        <w:rPr>
          <w:szCs w:val="24"/>
        </w:rPr>
        <w:t> </w:t>
      </w:r>
      <w:r w:rsidRPr="00A17E48">
        <w:rPr>
          <w:szCs w:val="24"/>
        </w:rPr>
        <w:t>současná vláda se k</w:t>
      </w:r>
      <w:r w:rsidR="00894162">
        <w:rPr>
          <w:szCs w:val="24"/>
        </w:rPr>
        <w:t> tomuto záměru</w:t>
      </w:r>
      <w:r w:rsidRPr="00A17E48">
        <w:rPr>
          <w:szCs w:val="24"/>
        </w:rPr>
        <w:t xml:space="preserve"> ve svém programovém prohlášení</w:t>
      </w:r>
      <w:r w:rsidRPr="00A17E48">
        <w:rPr>
          <w:rStyle w:val="Znakapoznpodarou"/>
          <w:szCs w:val="24"/>
        </w:rPr>
        <w:footnoteReference w:id="46"/>
      </w:r>
      <w:r w:rsidRPr="00A17E48">
        <w:rPr>
          <w:szCs w:val="24"/>
        </w:rPr>
        <w:t xml:space="preserve"> připojila</w:t>
      </w:r>
      <w:r w:rsidRPr="00033D29">
        <w:rPr>
          <w:szCs w:val="24"/>
        </w:rPr>
        <w:t xml:space="preserve">. </w:t>
      </w:r>
      <w:r w:rsidR="006F7234">
        <w:rPr>
          <w:b/>
          <w:szCs w:val="24"/>
        </w:rPr>
        <w:t>Z</w:t>
      </w:r>
      <w:r w:rsidRPr="00033D29">
        <w:rPr>
          <w:b/>
          <w:szCs w:val="24"/>
        </w:rPr>
        <w:t> následující</w:t>
      </w:r>
      <w:r w:rsidR="006F7234">
        <w:rPr>
          <w:b/>
          <w:szCs w:val="24"/>
        </w:rPr>
        <w:t>ho</w:t>
      </w:r>
      <w:r w:rsidRPr="00033D29">
        <w:rPr>
          <w:b/>
          <w:szCs w:val="24"/>
        </w:rPr>
        <w:t xml:space="preserve"> grafu je patrné, že se tento závazek vládě nedaří plnit, protože se podíl silniční nákladní </w:t>
      </w:r>
      <w:r w:rsidR="00EE05A2">
        <w:rPr>
          <w:b/>
          <w:szCs w:val="24"/>
        </w:rPr>
        <w:t>dopravy</w:t>
      </w:r>
      <w:r w:rsidRPr="00033D29">
        <w:rPr>
          <w:b/>
          <w:szCs w:val="24"/>
        </w:rPr>
        <w:t xml:space="preserve"> na celkové nákladní </w:t>
      </w:r>
      <w:r w:rsidR="00EE05A2">
        <w:rPr>
          <w:b/>
          <w:szCs w:val="24"/>
        </w:rPr>
        <w:t>dopravě</w:t>
      </w:r>
      <w:r w:rsidRPr="00033D29">
        <w:rPr>
          <w:b/>
          <w:szCs w:val="24"/>
        </w:rPr>
        <w:t xml:space="preserve"> dlouhodobě zvyšuje.</w:t>
      </w:r>
    </w:p>
    <w:p w14:paraId="3605DD8F" w14:textId="53546AD3" w:rsidR="00BB7C79" w:rsidRPr="00AE7838"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16</w:t>
      </w:r>
      <w:r w:rsidRPr="00C95133">
        <w:fldChar w:fldCharType="end"/>
      </w:r>
      <w:r>
        <w:t xml:space="preserve"> –</w:t>
      </w:r>
      <w:r w:rsidR="00001875">
        <w:tab/>
      </w:r>
      <w:r w:rsidR="00BB7C79" w:rsidRPr="00AE7838">
        <w:t>Přeprava zboží na území České republiky</w:t>
      </w:r>
      <w:r w:rsidR="00BB7C79">
        <w:t xml:space="preserve"> </w:t>
      </w:r>
      <w:r w:rsidR="00BB7C79" w:rsidRPr="00AE7838">
        <w:t>v letech 2014–</w:t>
      </w:r>
      <w:r w:rsidR="00BB7C79" w:rsidRPr="003C20A5">
        <w:t>2018</w:t>
      </w:r>
      <w:r w:rsidR="00BB7C79" w:rsidRPr="00AE7838">
        <w:t xml:space="preserve"> (</w:t>
      </w:r>
      <w:r w:rsidR="00445EA4">
        <w:t xml:space="preserve">v </w:t>
      </w:r>
      <w:r w:rsidR="00BB7C79" w:rsidRPr="00AE7838">
        <w:t>mil. tun</w:t>
      </w:r>
      <w:r w:rsidR="00BB7C79">
        <w:t>, v %</w:t>
      </w:r>
      <w:r w:rsidR="00BB7C79" w:rsidRPr="00AE7838">
        <w:t>)</w:t>
      </w:r>
    </w:p>
    <w:p w14:paraId="1A119A9B" w14:textId="085230AF" w:rsidR="00BB7C79" w:rsidRDefault="00EE05A2" w:rsidP="00BB7C79">
      <w:pPr>
        <w:spacing w:before="0" w:after="0"/>
        <w:rPr>
          <w:bCs/>
          <w:szCs w:val="24"/>
        </w:rPr>
      </w:pPr>
      <w:r>
        <w:rPr>
          <w:noProof/>
          <w:lang w:eastAsia="cs-CZ"/>
        </w:rPr>
        <w:drawing>
          <wp:inline distT="0" distB="0" distL="0" distR="0" wp14:anchorId="54225ACD" wp14:editId="36D151B9">
            <wp:extent cx="5760000" cy="31320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3064F61D" w14:textId="2DBD3731" w:rsidR="00BB7C79" w:rsidRPr="00EA0EE4" w:rsidRDefault="00BB7C79" w:rsidP="002C4F38">
      <w:pPr>
        <w:pStyle w:val="Poznazdroj"/>
      </w:pPr>
      <w:r w:rsidRPr="00651443">
        <w:rPr>
          <w:b/>
        </w:rPr>
        <w:t>Zdroj:</w:t>
      </w:r>
      <w:r w:rsidR="00EB15A3">
        <w:t xml:space="preserve"> </w:t>
      </w:r>
      <w:r w:rsidR="00FF09E2" w:rsidRPr="00EA0EE4">
        <w:t>r</w:t>
      </w:r>
      <w:r w:rsidR="00EB15A3" w:rsidRPr="00EA0EE4">
        <w:t>očenky dopravy</w:t>
      </w:r>
      <w:r w:rsidR="00886A2A" w:rsidRPr="00EA0EE4">
        <w:t xml:space="preserve"> ČR</w:t>
      </w:r>
      <w:r w:rsidRPr="00EA0EE4">
        <w:t>.</w:t>
      </w:r>
    </w:p>
    <w:p w14:paraId="41B45CF0" w14:textId="5EC29521" w:rsidR="00C476A7" w:rsidRPr="00C476A7" w:rsidRDefault="00C476A7" w:rsidP="00C476A7">
      <w:r>
        <w:lastRenderedPageBreak/>
        <w:t>Z KA č. 18/34</w:t>
      </w:r>
      <w:r w:rsidR="00507EB3">
        <w:rPr>
          <w:rStyle w:val="Znakapoznpodarou"/>
        </w:rPr>
        <w:footnoteReference w:id="47"/>
      </w:r>
      <w:r>
        <w:t xml:space="preserve"> navíc vyplynulo, že </w:t>
      </w:r>
      <w:r w:rsidR="00507EB3">
        <w:t>Ministerstvo dopravy</w:t>
      </w:r>
      <w:r>
        <w:t xml:space="preserve"> neřídilo implementaci vah pro vysokorychlostní kontrolní vážení na strategické úrovni, ačkoliv se jedná o nástroj bezpečnosti silničního provozu a proti poškozování vozovek přetíženými vozidly. Do konce roku 2018 Ředitelství silnic a dálnic nezprovoznilo </w:t>
      </w:r>
      <w:r w:rsidR="00507EB3">
        <w:t xml:space="preserve">na dálniční síti ČR </w:t>
      </w:r>
      <w:r>
        <w:t>ani jedno takové zařízení.</w:t>
      </w:r>
    </w:p>
    <w:p w14:paraId="2C428D27" w14:textId="4FE80589" w:rsidR="00BB7C79" w:rsidRPr="009C5667" w:rsidRDefault="00BB7C79" w:rsidP="00D30A77">
      <w:pPr>
        <w:pStyle w:val="ramecek"/>
      </w:pPr>
      <w:r w:rsidRPr="00CA2096">
        <w:t>Pomalé tempo výstavby nové dopravní infrastruktury, na které NKÚ opakovaně upozorňuje ve svých stanoviscích a kontrolních závěrech (např. KA č. 17/05</w:t>
      </w:r>
      <w:r w:rsidRPr="00CA2096">
        <w:rPr>
          <w:rStyle w:val="Znakapoznpodarou"/>
        </w:rPr>
        <w:footnoteReference w:id="48"/>
      </w:r>
      <w:r w:rsidRPr="00CA2096">
        <w:t>)</w:t>
      </w:r>
      <w:r>
        <w:t xml:space="preserve">, </w:t>
      </w:r>
      <w:r w:rsidRPr="00CA2096">
        <w:t>rostoucí intenzit</w:t>
      </w:r>
      <w:r>
        <w:t>a dopravy a zhoršování stavu stávajících komunikací mohou negativně ovlivnit konkurenceschopnost české ekonomiky.</w:t>
      </w:r>
    </w:p>
    <w:p w14:paraId="46583DC2" w14:textId="77777777" w:rsidR="00085B30" w:rsidRDefault="00085B30">
      <w:pPr>
        <w:spacing w:before="0" w:after="0" w:line="240" w:lineRule="auto"/>
        <w:jc w:val="left"/>
        <w:rPr>
          <w:b/>
        </w:rPr>
      </w:pPr>
      <w:r>
        <w:br w:type="page"/>
      </w:r>
    </w:p>
    <w:p w14:paraId="024F845B" w14:textId="14AA67CB" w:rsidR="007A79EA" w:rsidRDefault="000C2CB2" w:rsidP="008971F5">
      <w:pPr>
        <w:pStyle w:val="Nadpis3"/>
      </w:pPr>
      <w:bookmarkStart w:id="20" w:name="_Toc17208272"/>
      <w:bookmarkStart w:id="21" w:name="_Toc482272323"/>
      <w:r>
        <w:lastRenderedPageBreak/>
        <w:t>Energetika</w:t>
      </w:r>
      <w:bookmarkEnd w:id="20"/>
    </w:p>
    <w:p w14:paraId="782508AF" w14:textId="172481A2" w:rsidR="007F655D" w:rsidRPr="004F676E" w:rsidRDefault="007F655D" w:rsidP="007F655D">
      <w:r>
        <w:t xml:space="preserve">ČR má problematiku energetiky upravenu ve </w:t>
      </w:r>
      <w:r w:rsidRPr="00345CBE">
        <w:rPr>
          <w:i/>
        </w:rPr>
        <w:t>Státní energetick</w:t>
      </w:r>
      <w:r>
        <w:rPr>
          <w:i/>
        </w:rPr>
        <w:t>é koncepci</w:t>
      </w:r>
      <w:r>
        <w:t>, která byla v roce 2015 aktualizována. Na tuto koncepci navázal ve</w:t>
      </w:r>
      <w:r w:rsidR="00592913">
        <w:t xml:space="preserve"> </w:t>
      </w:r>
      <w:r>
        <w:t xml:space="preserve">stejném roce </w:t>
      </w:r>
      <w:r w:rsidRPr="00D55327">
        <w:rPr>
          <w:i/>
        </w:rPr>
        <w:t>Národní akční plán rozvoje jaderné energetiky v České republice</w:t>
      </w:r>
      <w:r>
        <w:t>.</w:t>
      </w:r>
      <w:r w:rsidRPr="002966AF">
        <w:t xml:space="preserve"> </w:t>
      </w:r>
      <w:r>
        <w:t>Na základě těchto dokumentů by snahou ČR mělo být zajištění</w:t>
      </w:r>
      <w:r w:rsidRPr="00704374">
        <w:t xml:space="preserve"> spolehliv</w:t>
      </w:r>
      <w:r>
        <w:t>ého</w:t>
      </w:r>
      <w:r w:rsidRPr="00704374">
        <w:t>, bezpečn</w:t>
      </w:r>
      <w:r>
        <w:t>ého</w:t>
      </w:r>
      <w:r w:rsidRPr="00704374">
        <w:t xml:space="preserve"> a k životnímu prostředí </w:t>
      </w:r>
      <w:r>
        <w:t>ohleduplného dodávání</w:t>
      </w:r>
      <w:r w:rsidRPr="00704374">
        <w:t xml:space="preserve"> energie</w:t>
      </w:r>
      <w:r>
        <w:t>.</w:t>
      </w:r>
    </w:p>
    <w:p w14:paraId="3FCB1FC1" w14:textId="0CC98036" w:rsidR="007F655D" w:rsidRDefault="007F655D" w:rsidP="007F655D">
      <w:r>
        <w:t xml:space="preserve">ČR je energeticky soběstačná, neboť vyprodukuje více elektrické energie, než sama spotřebuje. V </w:t>
      </w:r>
      <w:r w:rsidRPr="007A1FDA">
        <w:t>roce 2018 činila</w:t>
      </w:r>
      <w:r>
        <w:t xml:space="preserve"> výroba elektřiny (netto) 81,9</w:t>
      </w:r>
      <w:r w:rsidR="004A07D6">
        <w:t xml:space="preserve"> </w:t>
      </w:r>
      <w:r>
        <w:t xml:space="preserve">TWh, přičemž tuzemská spotřeba </w:t>
      </w:r>
      <w:r w:rsidR="00D87144">
        <w:t xml:space="preserve">(netto) </w:t>
      </w:r>
      <w:r>
        <w:t>byla 62,2</w:t>
      </w:r>
      <w:r w:rsidR="004A07D6">
        <w:t xml:space="preserve"> </w:t>
      </w:r>
      <w:r>
        <w:t>TWh. Zmíněná spotřeba v </w:t>
      </w:r>
      <w:r w:rsidRPr="007A1FDA">
        <w:t>roce 2018 byla</w:t>
      </w:r>
      <w:r>
        <w:t xml:space="preserve"> nejvyšší v historii ČR. S tím souvisí také </w:t>
      </w:r>
      <w:r w:rsidR="00040CA1">
        <w:t xml:space="preserve">rostoucí </w:t>
      </w:r>
      <w:r>
        <w:t xml:space="preserve">podíl tuzemské spotřeby elektřiny na celkové výrobě, který v roce 2014 činil 73 % a v roce </w:t>
      </w:r>
      <w:r w:rsidRPr="007A1FDA">
        <w:t>2018 již</w:t>
      </w:r>
      <w:r>
        <w:t xml:space="preserve"> 76 %. K produkci elektrické energie jsou v ČR z více než poloviny využívány fosilní zdroje, jak je patrné z následujícího grafu.</w:t>
      </w:r>
    </w:p>
    <w:p w14:paraId="6E8E0474" w14:textId="4DF633B6" w:rsidR="007F655D"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17</w:t>
      </w:r>
      <w:r w:rsidRPr="00C95133">
        <w:fldChar w:fldCharType="end"/>
      </w:r>
      <w:r>
        <w:t xml:space="preserve"> </w:t>
      </w:r>
      <w:r w:rsidR="007F655D">
        <w:t>–</w:t>
      </w:r>
      <w:r w:rsidR="00001875">
        <w:tab/>
      </w:r>
      <w:r w:rsidR="007F655D" w:rsidRPr="00345CBE">
        <w:t xml:space="preserve">Zdroje </w:t>
      </w:r>
      <w:r w:rsidR="007F655D">
        <w:t xml:space="preserve">elektrické </w:t>
      </w:r>
      <w:r w:rsidR="007F655D" w:rsidRPr="00345CBE">
        <w:t xml:space="preserve">energie v ČR v </w:t>
      </w:r>
      <w:r w:rsidR="007F655D" w:rsidRPr="007A1FDA">
        <w:t>letech 2014–2018</w:t>
      </w:r>
      <w:r w:rsidR="00806A33">
        <w:t xml:space="preserve"> </w:t>
      </w:r>
      <w:r w:rsidR="007F655D" w:rsidRPr="00345CBE">
        <w:t>(v %)</w:t>
      </w:r>
    </w:p>
    <w:p w14:paraId="594DD212" w14:textId="77777777" w:rsidR="007F655D" w:rsidRDefault="007F655D" w:rsidP="007F655D">
      <w:pPr>
        <w:spacing w:before="0" w:after="0" w:line="240" w:lineRule="auto"/>
      </w:pPr>
      <w:r>
        <w:rPr>
          <w:noProof/>
          <w:lang w:eastAsia="cs-CZ"/>
        </w:rPr>
        <w:drawing>
          <wp:inline distT="0" distB="0" distL="0" distR="0" wp14:anchorId="054C72AD" wp14:editId="04B4923C">
            <wp:extent cx="5759450" cy="2286000"/>
            <wp:effectExtent l="0" t="0" r="0"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1980E72A" w14:textId="77777777" w:rsidR="007F655D" w:rsidRPr="00EA0EE4" w:rsidRDefault="007F655D" w:rsidP="002C4F38">
      <w:pPr>
        <w:pStyle w:val="Poznazdroj"/>
      </w:pPr>
      <w:r w:rsidRPr="00DB3E97">
        <w:rPr>
          <w:b/>
        </w:rPr>
        <w:t>Zdroj:</w:t>
      </w:r>
      <w:r>
        <w:t xml:space="preserve"> </w:t>
      </w:r>
      <w:r w:rsidRPr="00EA0EE4">
        <w:t>OTE, a.s.</w:t>
      </w:r>
    </w:p>
    <w:p w14:paraId="0130FBF2" w14:textId="56084747" w:rsidR="007F655D" w:rsidRDefault="007F655D" w:rsidP="007F655D">
      <w:pPr>
        <w:spacing w:before="240"/>
      </w:pPr>
      <w:r>
        <w:t>Výroba elektřiny tepelnými elektrárnami je v</w:t>
      </w:r>
      <w:r w:rsidR="00D87144">
        <w:t xml:space="preserve"> </w:t>
      </w:r>
      <w:r>
        <w:t>ČR historicky d</w:t>
      </w:r>
      <w:r w:rsidR="00D87144">
        <w:t>ána</w:t>
      </w:r>
      <w:r>
        <w:t xml:space="preserve"> díky nerostnému bohatství a</w:t>
      </w:r>
      <w:r w:rsidR="00431C25">
        <w:t> </w:t>
      </w:r>
      <w:r>
        <w:t xml:space="preserve">zeměpisné poloze. V současné době </w:t>
      </w:r>
      <w:r w:rsidR="00D87144">
        <w:t xml:space="preserve">se však </w:t>
      </w:r>
      <w:r w:rsidR="00DB3E97">
        <w:t>blíží</w:t>
      </w:r>
      <w:r>
        <w:t xml:space="preserve"> kon</w:t>
      </w:r>
      <w:r w:rsidR="00DB3E97">
        <w:t>e</w:t>
      </w:r>
      <w:r>
        <w:t xml:space="preserve">c produkčního období některých elektráren a hledají se alternativní zdroje výroby. Jednou z možností jsou kromě jaderné energie také obnovitelné zdroje energie, jejichž podíl se zvýšil se snahou chránit životní prostředí (poskytování dotací). Podle </w:t>
      </w:r>
      <w:r w:rsidRPr="0008576E">
        <w:rPr>
          <w:i/>
        </w:rPr>
        <w:t>Zprávy o stavu systému podpory obnovitelných zdrojů energie v letech 2016 a 2017</w:t>
      </w:r>
      <w:r w:rsidRPr="00DB3E97">
        <w:rPr>
          <w:rStyle w:val="Znakapoznpodarou"/>
        </w:rPr>
        <w:footnoteReference w:id="49"/>
      </w:r>
      <w:r>
        <w:t xml:space="preserve"> je v rámci Evropy vyplácena v ČR nejvyšší podpora na jednotku vyprodukované elektrické energie z dotovaných obnovitelných zdrojů. V roce </w:t>
      </w:r>
      <w:r w:rsidRPr="00040CA1">
        <w:t>2017</w:t>
      </w:r>
      <w:r>
        <w:t xml:space="preserve"> činila průměrná výše dotace (vážený průměr) v ČR 198,3 €/MWh a vyrobilo se </w:t>
      </w:r>
      <w:r w:rsidR="00D87144">
        <w:t xml:space="preserve">těmito zdroji </w:t>
      </w:r>
      <w:r>
        <w:t xml:space="preserve">8,2 TWh elektrické energie, zatímco průměr sledovaných 25 zemí byl 96,3 €/MWh. Například </w:t>
      </w:r>
      <w:r>
        <w:lastRenderedPageBreak/>
        <w:t>v Německu činila podpora 131,5 €/MWh při celkové produkci 187,4 TWh a v Rakousku 74,8</w:t>
      </w:r>
      <w:r w:rsidR="00C67B35">
        <w:t> </w:t>
      </w:r>
      <w:r>
        <w:t>€/MWh při výrobě 10,5</w:t>
      </w:r>
      <w:r w:rsidR="00D87144">
        <w:t xml:space="preserve"> </w:t>
      </w:r>
      <w:r>
        <w:t>TWh. Rakousko (</w:t>
      </w:r>
      <w:r w:rsidR="00D87144">
        <w:t>stejně jako</w:t>
      </w:r>
      <w:r>
        <w:t xml:space="preserve"> další zem</w:t>
      </w:r>
      <w:r w:rsidR="00D87144">
        <w:t>ě</w:t>
      </w:r>
      <w:r>
        <w:t xml:space="preserve">) </w:t>
      </w:r>
      <w:r w:rsidR="00D87144">
        <w:t xml:space="preserve">disponuje </w:t>
      </w:r>
      <w:r>
        <w:t>ještě obnovitelnými zdroji, které nejsou státem podporov</w:t>
      </w:r>
      <w:r w:rsidR="00D87144">
        <w:t>ány</w:t>
      </w:r>
      <w:r>
        <w:t xml:space="preserve"> a do této </w:t>
      </w:r>
      <w:r w:rsidRPr="001C1DCB">
        <w:rPr>
          <w:i/>
        </w:rPr>
        <w:t>Zprávy</w:t>
      </w:r>
      <w:r>
        <w:t xml:space="preserve"> zahrnut</w:t>
      </w:r>
      <w:r w:rsidR="00D87144">
        <w:t>y</w:t>
      </w:r>
      <w:r>
        <w:t>.</w:t>
      </w:r>
    </w:p>
    <w:p w14:paraId="4F3E238B" w14:textId="7D65C46E" w:rsidR="007F655D"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18</w:t>
      </w:r>
      <w:r w:rsidRPr="00C95133">
        <w:fldChar w:fldCharType="end"/>
      </w:r>
      <w:r>
        <w:t xml:space="preserve"> </w:t>
      </w:r>
      <w:r w:rsidR="007F655D">
        <w:t>–</w:t>
      </w:r>
      <w:r w:rsidR="00001875">
        <w:tab/>
      </w:r>
      <w:r w:rsidR="007F655D">
        <w:t xml:space="preserve">Podpora výroby elektřiny z obnovitelných zdrojů ve vybraných evropských zemích za rok </w:t>
      </w:r>
      <w:r w:rsidR="007F655D" w:rsidRPr="00040CA1">
        <w:t>2017</w:t>
      </w:r>
    </w:p>
    <w:p w14:paraId="1DE660EB" w14:textId="77777777" w:rsidR="007F655D" w:rsidRDefault="007F655D" w:rsidP="007F655D">
      <w:pPr>
        <w:spacing w:before="0" w:after="0" w:line="240" w:lineRule="auto"/>
      </w:pPr>
      <w:r>
        <w:rPr>
          <w:noProof/>
          <w:lang w:eastAsia="cs-CZ"/>
        </w:rPr>
        <w:drawing>
          <wp:inline distT="0" distB="0" distL="0" distR="0" wp14:anchorId="5CEB2E7C" wp14:editId="04ADC70E">
            <wp:extent cx="5759450" cy="2600325"/>
            <wp:effectExtent l="0" t="0" r="0" b="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2A20D903" w14:textId="0E2D8460" w:rsidR="007F655D" w:rsidRPr="00EA0EE4" w:rsidRDefault="007F655D" w:rsidP="002C4F38">
      <w:pPr>
        <w:pStyle w:val="Poznazdroj"/>
      </w:pPr>
      <w:r w:rsidRPr="00DB3E97">
        <w:rPr>
          <w:b/>
        </w:rPr>
        <w:t>Zdroj:</w:t>
      </w:r>
      <w:r w:rsidR="00E84F8D">
        <w:t xml:space="preserve"> </w:t>
      </w:r>
      <w:r w:rsidRPr="00DB3E97">
        <w:rPr>
          <w:i/>
        </w:rPr>
        <w:t>Status Review of Renewable Support Schemes in Europe for 2016 and 2017</w:t>
      </w:r>
      <w:r w:rsidRPr="00EA0EE4">
        <w:t>.</w:t>
      </w:r>
    </w:p>
    <w:p w14:paraId="74359EDB" w14:textId="4DCD3E08" w:rsidR="006A4713" w:rsidRDefault="007F655D" w:rsidP="009E69AD">
      <w:pPr>
        <w:spacing w:before="240"/>
        <w:rPr>
          <w:b/>
        </w:rPr>
      </w:pPr>
      <w:r>
        <w:rPr>
          <w:b/>
        </w:rPr>
        <w:t>Přestože je výroba elektřiny z obnovitelných zdrojů v ČR při porovnání s dalšími evropskými státy</w:t>
      </w:r>
      <w:r w:rsidRPr="001367C5">
        <w:rPr>
          <w:b/>
        </w:rPr>
        <w:t xml:space="preserve"> </w:t>
      </w:r>
      <w:r>
        <w:rPr>
          <w:b/>
        </w:rPr>
        <w:t xml:space="preserve">nejvíce dotována, vyprodukuje se z ní mnohem méně elektrické energie než ve většině </w:t>
      </w:r>
      <w:r w:rsidRPr="00E60DF1">
        <w:rPr>
          <w:b/>
        </w:rPr>
        <w:t>evropských zemí.</w:t>
      </w:r>
      <w:r>
        <w:rPr>
          <w:b/>
        </w:rPr>
        <w:t xml:space="preserve"> Tato skutečnost je výrazně ovlivněna geografickou polohou ČR.</w:t>
      </w:r>
      <w:r w:rsidR="006A4713" w:rsidRPr="006A4713">
        <w:t xml:space="preserve"> NKÚ již v kontrolním závěru z KA č. 14/06</w:t>
      </w:r>
      <w:r w:rsidR="006A4713" w:rsidRPr="006A4713">
        <w:rPr>
          <w:rStyle w:val="Znakapoznpodarou"/>
        </w:rPr>
        <w:footnoteReference w:id="50"/>
      </w:r>
      <w:r w:rsidR="006A4713" w:rsidRPr="006A4713">
        <w:t xml:space="preserve"> uvedl, že poskytování podpory obnovitelných zdrojů energie bylo nehospodárné a provozní podpora výroby elektřiny z těchto zdrojů nebyla úměrná vyrobenému množství. Základní příčinou nehospodárnosti bylo uplatnění principu plošné podpory, při které byly podporovány i nejdražší obnovitelné zdroje energie (fotovoltaické elektrárny).</w:t>
      </w:r>
    </w:p>
    <w:p w14:paraId="1E393397" w14:textId="77777777" w:rsidR="007F655D" w:rsidRDefault="007F655D" w:rsidP="007F655D">
      <w:r>
        <w:t>Do popředí se tak dostala varianta zvýšení jaderné výroby a výstavby dalších jaderných bloků. Mezi zeměmi provozujícími jaderné elektrárny dosahuje ČR mírně nadprůměrného podílu jaderné výroby na celkové produkci elektrické energie. Pokud by se podařilo ČR naplnit cíle strategických dokumentů a dosáhnout cca 50% podílu, zařadila by se na přední místa.</w:t>
      </w:r>
    </w:p>
    <w:p w14:paraId="137CF02A" w14:textId="19D543CE" w:rsidR="007F655D" w:rsidRDefault="000509E3" w:rsidP="00D3507E">
      <w:pPr>
        <w:pStyle w:val="Tituleknadgrafy10-99"/>
      </w:pPr>
      <w:r w:rsidRPr="00C95133">
        <w:lastRenderedPageBreak/>
        <w:t>Graf č. </w:t>
      </w:r>
      <w:r w:rsidRPr="00C95133">
        <w:fldChar w:fldCharType="begin"/>
      </w:r>
      <w:r w:rsidRPr="00C95133">
        <w:instrText xml:space="preserve"> SEQ Graf_č. \* ARABIC </w:instrText>
      </w:r>
      <w:r w:rsidRPr="00C95133">
        <w:fldChar w:fldCharType="separate"/>
      </w:r>
      <w:r w:rsidR="009849B2">
        <w:t>19</w:t>
      </w:r>
      <w:r w:rsidRPr="00C95133">
        <w:fldChar w:fldCharType="end"/>
      </w:r>
      <w:r>
        <w:t xml:space="preserve"> </w:t>
      </w:r>
      <w:r w:rsidR="007F655D">
        <w:t>–</w:t>
      </w:r>
      <w:r w:rsidR="00001875">
        <w:tab/>
      </w:r>
      <w:r w:rsidR="007F655D" w:rsidRPr="00AB024F">
        <w:t xml:space="preserve">Výroba elektrické energie (netto) ve vybraných evropských zemích podle jednotlivých zdrojů za rok </w:t>
      </w:r>
      <w:r w:rsidR="007F655D">
        <w:t>2018</w:t>
      </w:r>
      <w:r w:rsidR="00F57589">
        <w:t xml:space="preserve"> </w:t>
      </w:r>
      <w:r w:rsidR="007F655D">
        <w:t>(v %)</w:t>
      </w:r>
    </w:p>
    <w:p w14:paraId="3B163999" w14:textId="77777777" w:rsidR="007F655D" w:rsidRDefault="007F655D" w:rsidP="007F655D">
      <w:pPr>
        <w:spacing w:before="0" w:after="0" w:line="240" w:lineRule="auto"/>
      </w:pPr>
      <w:r>
        <w:rPr>
          <w:noProof/>
          <w:lang w:eastAsia="cs-CZ"/>
        </w:rPr>
        <w:drawing>
          <wp:inline distT="0" distB="0" distL="0" distR="0" wp14:anchorId="090EF8AE" wp14:editId="2547AB65">
            <wp:extent cx="5760000" cy="3609525"/>
            <wp:effectExtent l="0" t="0" r="0" b="0"/>
            <wp:docPr id="36" name="Graf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5EAC8137" w14:textId="77777777" w:rsidR="007F655D" w:rsidRPr="00EA0EE4" w:rsidRDefault="007F655D" w:rsidP="002C4F38">
      <w:pPr>
        <w:pStyle w:val="Poznazdroj"/>
      </w:pPr>
      <w:r w:rsidRPr="00DB3E97">
        <w:rPr>
          <w:b/>
        </w:rPr>
        <w:t>Zdroj:</w:t>
      </w:r>
      <w:r w:rsidRPr="00165EC1">
        <w:t xml:space="preserve"> </w:t>
      </w:r>
      <w:r w:rsidRPr="00EA0EE4">
        <w:t>Eurostat.</w:t>
      </w:r>
    </w:p>
    <w:p w14:paraId="1A6A1E94" w14:textId="77777777" w:rsidR="00D30A77" w:rsidRDefault="007F655D" w:rsidP="007F655D">
      <w:r>
        <w:t xml:space="preserve">Obnova energetického mixu (náhrada fosilních zdrojů nejméně z jedné třetiny) je pro ČR neodkladnou investicí, která přesáhne několik set miliard korun. </w:t>
      </w:r>
    </w:p>
    <w:p w14:paraId="1AE604A2" w14:textId="619159EC" w:rsidR="007F655D" w:rsidRDefault="007F655D" w:rsidP="00D30A77">
      <w:pPr>
        <w:pStyle w:val="ramecek"/>
      </w:pPr>
      <w:r w:rsidRPr="000F7518">
        <w:t>Vláda ČR přijala v roce 2015 opatření k omezení fosilních zdrojů se záměrem upřednostnit jadernou energii</w:t>
      </w:r>
      <w:r w:rsidRPr="000F7518">
        <w:rPr>
          <w:rStyle w:val="Znakapoznpodarou"/>
        </w:rPr>
        <w:footnoteReference w:id="51"/>
      </w:r>
      <w:r w:rsidRPr="000F7518">
        <w:t>, ale d</w:t>
      </w:r>
      <w:r>
        <w:t>o</w:t>
      </w:r>
      <w:r w:rsidR="00D87144">
        <w:t xml:space="preserve"> </w:t>
      </w:r>
      <w:r w:rsidRPr="000F7518">
        <w:t>konce roku 2018 nepadl jasný návrh, který by nastavil směr v</w:t>
      </w:r>
      <w:r w:rsidR="000D7973">
        <w:t> </w:t>
      </w:r>
      <w:r w:rsidRPr="000F7518">
        <w:t>této</w:t>
      </w:r>
      <w:r w:rsidR="000D7973">
        <w:t xml:space="preserve"> </w:t>
      </w:r>
      <w:r w:rsidRPr="00E27A5D">
        <w:t>oblasti</w:t>
      </w:r>
      <w:r>
        <w:t xml:space="preserve"> a zajistil potřebu příslušných finančních prostředků</w:t>
      </w:r>
      <w:r w:rsidRPr="00E27A5D">
        <w:t xml:space="preserve">. Životnost </w:t>
      </w:r>
      <w:r>
        <w:t>některých tepelných</w:t>
      </w:r>
      <w:r w:rsidRPr="00E27A5D">
        <w:t xml:space="preserve"> elektráren se blíží </w:t>
      </w:r>
      <w:r>
        <w:t xml:space="preserve">ke </w:t>
      </w:r>
      <w:r w:rsidRPr="00E27A5D">
        <w:t xml:space="preserve">konci a s každým dalším rokem, </w:t>
      </w:r>
      <w:r w:rsidR="008772B4">
        <w:t>o který</w:t>
      </w:r>
      <w:r w:rsidRPr="00E27A5D">
        <w:t xml:space="preserve"> bude </w:t>
      </w:r>
      <w:r>
        <w:t>rozhodnutí o </w:t>
      </w:r>
      <w:r w:rsidR="008772B4">
        <w:t>do</w:t>
      </w:r>
      <w:r w:rsidRPr="00E27A5D">
        <w:t xml:space="preserve">stavbě či </w:t>
      </w:r>
      <w:r w:rsidRPr="000F7518">
        <w:t xml:space="preserve">rekonstrukci jaderné soustavy odloženo, dochází ke </w:t>
      </w:r>
      <w:r w:rsidR="008772B4">
        <w:t>zkracování</w:t>
      </w:r>
      <w:r w:rsidRPr="000F7518">
        <w:t xml:space="preserve"> času potřebného k realizaci</w:t>
      </w:r>
      <w:r w:rsidRPr="00D30A77">
        <w:t xml:space="preserve">. </w:t>
      </w:r>
      <w:r w:rsidR="00D30A77" w:rsidRPr="00D30A77">
        <w:t>Pokud by</w:t>
      </w:r>
      <w:r w:rsidRPr="00D30A77">
        <w:t xml:space="preserve"> v</w:t>
      </w:r>
      <w:r w:rsidRPr="0011023F">
        <w:t xml:space="preserve"> současné době byla ukončena činnost </w:t>
      </w:r>
      <w:r>
        <w:t>tepelných</w:t>
      </w:r>
      <w:r w:rsidRPr="0011023F">
        <w:t xml:space="preserve"> elektráren, </w:t>
      </w:r>
      <w:r>
        <w:t>chyběla by produkce cca 28</w:t>
      </w:r>
      <w:r w:rsidR="008772B4">
        <w:t xml:space="preserve"> </w:t>
      </w:r>
      <w:r>
        <w:t>T</w:t>
      </w:r>
      <w:r w:rsidRPr="0011023F">
        <w:t>Wh</w:t>
      </w:r>
      <w:r>
        <w:t xml:space="preserve"> k</w:t>
      </w:r>
      <w:r w:rsidRPr="0011023F">
        <w:t xml:space="preserve"> uspokojen</w:t>
      </w:r>
      <w:r>
        <w:t>í</w:t>
      </w:r>
      <w:r w:rsidRPr="0011023F">
        <w:t xml:space="preserve"> domácí (netto) spotřeb</w:t>
      </w:r>
      <w:r>
        <w:t>y.</w:t>
      </w:r>
      <w:r w:rsidRPr="007A7BC0">
        <w:t xml:space="preserve"> Vzniká tak riziko nedostupnosti elektrické energie a </w:t>
      </w:r>
      <w:r w:rsidR="00C3442D">
        <w:t>ztráty energetické soběstačnosti, případně i</w:t>
      </w:r>
      <w:r w:rsidR="008772B4">
        <w:t> </w:t>
      </w:r>
      <w:r w:rsidR="00C3442D">
        <w:t xml:space="preserve">riziko </w:t>
      </w:r>
      <w:r w:rsidRPr="007A7BC0">
        <w:t>energetické závislosti ČR</w:t>
      </w:r>
      <w:r w:rsidR="00E401E3">
        <w:t xml:space="preserve"> na jiných státech</w:t>
      </w:r>
      <w:r w:rsidRPr="007A7BC0">
        <w:t>.</w:t>
      </w:r>
    </w:p>
    <w:p w14:paraId="3523AE46" w14:textId="77777777" w:rsidR="00085B30" w:rsidRDefault="00085B30">
      <w:pPr>
        <w:spacing w:before="0" w:after="0" w:line="240" w:lineRule="auto"/>
        <w:jc w:val="left"/>
        <w:rPr>
          <w:b/>
        </w:rPr>
      </w:pPr>
      <w:r>
        <w:br w:type="page"/>
      </w:r>
    </w:p>
    <w:p w14:paraId="11524E1D" w14:textId="109C1154" w:rsidR="007A79EA" w:rsidRPr="007A79EA" w:rsidRDefault="00853EDC" w:rsidP="008971F5">
      <w:pPr>
        <w:pStyle w:val="Nadpis3"/>
      </w:pPr>
      <w:bookmarkStart w:id="22" w:name="_Toc17208273"/>
      <w:r>
        <w:lastRenderedPageBreak/>
        <w:t>Délka soudního řízení</w:t>
      </w:r>
      <w:bookmarkEnd w:id="22"/>
    </w:p>
    <w:p w14:paraId="770CB172" w14:textId="270DCE70" w:rsidR="00941D3C" w:rsidRDefault="00941D3C" w:rsidP="00F57589">
      <w:pPr>
        <w:rPr>
          <w:b/>
          <w:szCs w:val="24"/>
        </w:rPr>
      </w:pPr>
      <w:r>
        <w:rPr>
          <w:szCs w:val="24"/>
        </w:rPr>
        <w:t>Jedním z faktorů, který ovlivňuje fungování justice, je délka soudního řízení. P</w:t>
      </w:r>
      <w:r w:rsidRPr="00E21400">
        <w:rPr>
          <w:szCs w:val="24"/>
        </w:rPr>
        <w:t xml:space="preserve">rávní předpisy nestanovují </w:t>
      </w:r>
      <w:r>
        <w:rPr>
          <w:szCs w:val="24"/>
        </w:rPr>
        <w:t xml:space="preserve">přesnou </w:t>
      </w:r>
      <w:r w:rsidRPr="00E21400">
        <w:rPr>
          <w:szCs w:val="24"/>
        </w:rPr>
        <w:t>lhůtu</w:t>
      </w:r>
      <w:r>
        <w:rPr>
          <w:szCs w:val="24"/>
        </w:rPr>
        <w:t xml:space="preserve"> u většiny rozhodnutí v trestním, správním a občanskoprávním řízení</w:t>
      </w:r>
      <w:r w:rsidRPr="00E21400">
        <w:rPr>
          <w:szCs w:val="24"/>
        </w:rPr>
        <w:t>, ve které musí soud o dané věci rozhodnout</w:t>
      </w:r>
      <w:r>
        <w:rPr>
          <w:szCs w:val="24"/>
        </w:rPr>
        <w:t xml:space="preserve">. Právo na spravedlivé soudní řízení, které </w:t>
      </w:r>
      <w:r w:rsidR="008772B4">
        <w:rPr>
          <w:szCs w:val="24"/>
        </w:rPr>
        <w:t>s</w:t>
      </w:r>
      <w:r>
        <w:rPr>
          <w:szCs w:val="24"/>
        </w:rPr>
        <w:t xml:space="preserve">e </w:t>
      </w:r>
      <w:r w:rsidR="008772B4">
        <w:rPr>
          <w:szCs w:val="24"/>
        </w:rPr>
        <w:t>uskuteční</w:t>
      </w:r>
      <w:r>
        <w:rPr>
          <w:szCs w:val="24"/>
        </w:rPr>
        <w:t xml:space="preserve"> v přiměřené lhůtě </w:t>
      </w:r>
      <w:r w:rsidR="008772B4">
        <w:rPr>
          <w:szCs w:val="24"/>
        </w:rPr>
        <w:t xml:space="preserve">před </w:t>
      </w:r>
      <w:r w:rsidRPr="00830270">
        <w:rPr>
          <w:szCs w:val="24"/>
        </w:rPr>
        <w:t>nezávislým a nestranným soudem</w:t>
      </w:r>
      <w:r>
        <w:rPr>
          <w:szCs w:val="24"/>
        </w:rPr>
        <w:t>, je jedním z</w:t>
      </w:r>
      <w:r w:rsidR="00BA4997">
        <w:rPr>
          <w:szCs w:val="24"/>
        </w:rPr>
        <w:t>e</w:t>
      </w:r>
      <w:r>
        <w:rPr>
          <w:szCs w:val="24"/>
        </w:rPr>
        <w:t xml:space="preserve"> základních pilířů právních řádů všech demokratických států. Soudní řízení se dělí podle druhu právní věci, o které soud rozhoduje. Následující tabulka ukazuje poč</w:t>
      </w:r>
      <w:r w:rsidR="008772B4">
        <w:rPr>
          <w:szCs w:val="24"/>
        </w:rPr>
        <w:t>ty</w:t>
      </w:r>
      <w:r>
        <w:rPr>
          <w:szCs w:val="24"/>
        </w:rPr>
        <w:t xml:space="preserve"> případů jednotlivých soudních řízení a podíl nevyřízených případů.</w:t>
      </w:r>
    </w:p>
    <w:p w14:paraId="3D00641E" w14:textId="3924A42C" w:rsidR="00941D3C" w:rsidRDefault="00EB0332" w:rsidP="00C21ED0">
      <w:pPr>
        <w:pStyle w:val="Tituleknadtabulkou"/>
      </w:pPr>
      <w:r>
        <w:t xml:space="preserve">Tabulka č. </w:t>
      </w:r>
      <w:r>
        <w:fldChar w:fldCharType="begin"/>
      </w:r>
      <w:r>
        <w:instrText xml:space="preserve"> SEQ Tabulka_č._ \* ARABIC </w:instrText>
      </w:r>
      <w:r>
        <w:fldChar w:fldCharType="separate"/>
      </w:r>
      <w:r w:rsidR="009849B2">
        <w:t>5</w:t>
      </w:r>
      <w:r>
        <w:fldChar w:fldCharType="end"/>
      </w:r>
      <w:r>
        <w:t xml:space="preserve"> </w:t>
      </w:r>
      <w:r w:rsidR="00941D3C" w:rsidRPr="00C21818">
        <w:t>–</w:t>
      </w:r>
      <w:r>
        <w:tab/>
      </w:r>
      <w:r w:rsidR="00941D3C" w:rsidRPr="008B4122">
        <w:t>Případy jednotlivých</w:t>
      </w:r>
      <w:r w:rsidR="00941D3C">
        <w:t xml:space="preserve"> </w:t>
      </w:r>
      <w:r w:rsidR="00941D3C" w:rsidRPr="00C21818">
        <w:t>soudních řízení</w:t>
      </w:r>
      <w:r w:rsidR="00941D3C">
        <w:t xml:space="preserve"> v roce 2018</w:t>
      </w:r>
    </w:p>
    <w:tbl>
      <w:tblPr>
        <w:tblW w:w="9133" w:type="dxa"/>
        <w:tblInd w:w="70" w:type="dxa"/>
        <w:tblCellMar>
          <w:left w:w="70" w:type="dxa"/>
          <w:right w:w="70" w:type="dxa"/>
        </w:tblCellMar>
        <w:tblLook w:val="04A0" w:firstRow="1" w:lastRow="0" w:firstColumn="1" w:lastColumn="0" w:noHBand="0" w:noVBand="1"/>
      </w:tblPr>
      <w:tblGrid>
        <w:gridCol w:w="3256"/>
        <w:gridCol w:w="1417"/>
        <w:gridCol w:w="1484"/>
        <w:gridCol w:w="1559"/>
        <w:gridCol w:w="1417"/>
      </w:tblGrid>
      <w:tr w:rsidR="00941D3C" w:rsidRPr="00454EED" w14:paraId="7B184FAB" w14:textId="77777777" w:rsidTr="000B2BE1">
        <w:trPr>
          <w:trHeight w:val="466"/>
        </w:trPr>
        <w:tc>
          <w:tcPr>
            <w:tcW w:w="3256" w:type="dxa"/>
            <w:tcBorders>
              <w:top w:val="single" w:sz="4" w:space="0" w:color="auto"/>
              <w:left w:val="single" w:sz="4" w:space="0" w:color="auto"/>
              <w:bottom w:val="single" w:sz="4" w:space="0" w:color="auto"/>
              <w:right w:val="single" w:sz="4" w:space="0" w:color="auto"/>
            </w:tcBorders>
            <w:shd w:val="clear" w:color="000000" w:fill="E5F1FF"/>
            <w:noWrap/>
            <w:vAlign w:val="center"/>
            <w:hideMark/>
          </w:tcPr>
          <w:p w14:paraId="530D968F" w14:textId="77777777" w:rsidR="00941D3C" w:rsidRPr="00454EED" w:rsidRDefault="00941D3C" w:rsidP="000B2BE1">
            <w:pPr>
              <w:spacing w:before="0" w:after="0" w:line="240" w:lineRule="auto"/>
              <w:jc w:val="center"/>
              <w:rPr>
                <w:rFonts w:eastAsia="Times New Roman" w:cs="Calibri"/>
                <w:b/>
                <w:bCs/>
                <w:sz w:val="20"/>
                <w:szCs w:val="20"/>
                <w:lang w:eastAsia="cs-CZ"/>
              </w:rPr>
            </w:pPr>
            <w:r w:rsidRPr="00454EED">
              <w:rPr>
                <w:rFonts w:eastAsia="Times New Roman" w:cs="Calibri"/>
                <w:b/>
                <w:bCs/>
                <w:sz w:val="20"/>
                <w:szCs w:val="20"/>
                <w:lang w:eastAsia="cs-CZ"/>
              </w:rPr>
              <w:t>Soudní řízení</w:t>
            </w:r>
          </w:p>
        </w:tc>
        <w:tc>
          <w:tcPr>
            <w:tcW w:w="1417" w:type="dxa"/>
            <w:tcBorders>
              <w:top w:val="single" w:sz="4" w:space="0" w:color="auto"/>
              <w:left w:val="nil"/>
              <w:bottom w:val="single" w:sz="4" w:space="0" w:color="auto"/>
              <w:right w:val="single" w:sz="4" w:space="0" w:color="auto"/>
            </w:tcBorders>
            <w:shd w:val="clear" w:color="000000" w:fill="E5F1FF"/>
            <w:vAlign w:val="center"/>
            <w:hideMark/>
          </w:tcPr>
          <w:p w14:paraId="4B55C69D" w14:textId="77777777" w:rsidR="00941D3C" w:rsidRPr="00454EED" w:rsidRDefault="00941D3C" w:rsidP="00941D3C">
            <w:pPr>
              <w:spacing w:before="0" w:after="0" w:line="240" w:lineRule="auto"/>
              <w:jc w:val="center"/>
              <w:rPr>
                <w:rFonts w:eastAsia="Times New Roman" w:cs="Calibri"/>
                <w:b/>
                <w:bCs/>
                <w:sz w:val="20"/>
                <w:szCs w:val="20"/>
                <w:lang w:eastAsia="cs-CZ"/>
              </w:rPr>
            </w:pPr>
            <w:r w:rsidRPr="00454EED">
              <w:rPr>
                <w:rFonts w:eastAsia="Times New Roman" w:cs="Calibri"/>
                <w:b/>
                <w:bCs/>
                <w:sz w:val="20"/>
                <w:szCs w:val="20"/>
                <w:lang w:eastAsia="cs-CZ"/>
              </w:rPr>
              <w:t>Správní</w:t>
            </w:r>
          </w:p>
        </w:tc>
        <w:tc>
          <w:tcPr>
            <w:tcW w:w="1484" w:type="dxa"/>
            <w:tcBorders>
              <w:top w:val="single" w:sz="4" w:space="0" w:color="auto"/>
              <w:left w:val="nil"/>
              <w:bottom w:val="single" w:sz="4" w:space="0" w:color="auto"/>
              <w:right w:val="single" w:sz="4" w:space="0" w:color="auto"/>
            </w:tcBorders>
            <w:shd w:val="clear" w:color="000000" w:fill="E5F1FF"/>
            <w:vAlign w:val="center"/>
            <w:hideMark/>
          </w:tcPr>
          <w:p w14:paraId="34B146A2" w14:textId="77777777" w:rsidR="00941D3C" w:rsidRPr="00454EED" w:rsidRDefault="00941D3C" w:rsidP="00941D3C">
            <w:pPr>
              <w:spacing w:before="0" w:after="0" w:line="240" w:lineRule="auto"/>
              <w:jc w:val="center"/>
              <w:rPr>
                <w:rFonts w:eastAsia="Times New Roman" w:cs="Calibri"/>
                <w:b/>
                <w:bCs/>
                <w:sz w:val="20"/>
                <w:szCs w:val="20"/>
                <w:lang w:eastAsia="cs-CZ"/>
              </w:rPr>
            </w:pPr>
            <w:r w:rsidRPr="00454EED">
              <w:rPr>
                <w:rFonts w:eastAsia="Times New Roman" w:cs="Calibri"/>
                <w:b/>
                <w:bCs/>
                <w:sz w:val="20"/>
                <w:szCs w:val="20"/>
                <w:lang w:eastAsia="cs-CZ"/>
              </w:rPr>
              <w:t>Občanskoprávní a obchodní</w:t>
            </w:r>
          </w:p>
        </w:tc>
        <w:tc>
          <w:tcPr>
            <w:tcW w:w="1559" w:type="dxa"/>
            <w:tcBorders>
              <w:top w:val="single" w:sz="4" w:space="0" w:color="auto"/>
              <w:left w:val="nil"/>
              <w:bottom w:val="single" w:sz="4" w:space="0" w:color="auto"/>
              <w:right w:val="single" w:sz="4" w:space="0" w:color="auto"/>
            </w:tcBorders>
            <w:shd w:val="clear" w:color="000000" w:fill="E5F1FF"/>
            <w:noWrap/>
            <w:vAlign w:val="center"/>
            <w:hideMark/>
          </w:tcPr>
          <w:p w14:paraId="0FEF8747" w14:textId="77777777" w:rsidR="00941D3C" w:rsidRPr="00454EED" w:rsidRDefault="00941D3C" w:rsidP="00941D3C">
            <w:pPr>
              <w:spacing w:before="0" w:after="0" w:line="240" w:lineRule="auto"/>
              <w:jc w:val="center"/>
              <w:rPr>
                <w:rFonts w:eastAsia="Times New Roman" w:cs="Calibri"/>
                <w:b/>
                <w:bCs/>
                <w:sz w:val="20"/>
                <w:szCs w:val="20"/>
                <w:lang w:eastAsia="cs-CZ"/>
              </w:rPr>
            </w:pPr>
            <w:r w:rsidRPr="00454EED">
              <w:rPr>
                <w:rFonts w:eastAsia="Times New Roman" w:cs="Calibri"/>
                <w:b/>
                <w:bCs/>
                <w:sz w:val="20"/>
                <w:szCs w:val="20"/>
                <w:lang w:eastAsia="cs-CZ"/>
              </w:rPr>
              <w:t>Opatrovnické</w:t>
            </w:r>
          </w:p>
        </w:tc>
        <w:tc>
          <w:tcPr>
            <w:tcW w:w="1417" w:type="dxa"/>
            <w:tcBorders>
              <w:top w:val="single" w:sz="4" w:space="0" w:color="auto"/>
              <w:left w:val="nil"/>
              <w:bottom w:val="single" w:sz="4" w:space="0" w:color="auto"/>
              <w:right w:val="single" w:sz="4" w:space="0" w:color="auto"/>
            </w:tcBorders>
            <w:shd w:val="clear" w:color="000000" w:fill="E5F1FF"/>
            <w:vAlign w:val="center"/>
            <w:hideMark/>
          </w:tcPr>
          <w:p w14:paraId="73255AC6" w14:textId="77777777" w:rsidR="00941D3C" w:rsidRPr="00454EED" w:rsidRDefault="00941D3C" w:rsidP="00941D3C">
            <w:pPr>
              <w:spacing w:before="0" w:after="0" w:line="240" w:lineRule="auto"/>
              <w:jc w:val="center"/>
              <w:rPr>
                <w:rFonts w:eastAsia="Times New Roman" w:cs="Calibri"/>
                <w:b/>
                <w:bCs/>
                <w:sz w:val="20"/>
                <w:szCs w:val="20"/>
                <w:lang w:eastAsia="cs-CZ"/>
              </w:rPr>
            </w:pPr>
            <w:r w:rsidRPr="00454EED">
              <w:rPr>
                <w:rFonts w:eastAsia="Times New Roman" w:cs="Calibri"/>
                <w:b/>
                <w:bCs/>
                <w:sz w:val="20"/>
                <w:szCs w:val="20"/>
                <w:lang w:eastAsia="cs-CZ"/>
              </w:rPr>
              <w:t>Trestní</w:t>
            </w:r>
            <w:r>
              <w:rPr>
                <w:rFonts w:eastAsia="Times New Roman" w:cs="Calibri"/>
                <w:b/>
                <w:bCs/>
                <w:sz w:val="20"/>
                <w:szCs w:val="20"/>
                <w:lang w:eastAsia="cs-CZ"/>
              </w:rPr>
              <w:t>*</w:t>
            </w:r>
          </w:p>
        </w:tc>
      </w:tr>
      <w:tr w:rsidR="00941D3C" w:rsidRPr="00454EED" w14:paraId="4D6EA924" w14:textId="77777777" w:rsidTr="00941D3C">
        <w:trPr>
          <w:trHeight w:val="251"/>
        </w:trPr>
        <w:tc>
          <w:tcPr>
            <w:tcW w:w="3256" w:type="dxa"/>
            <w:tcBorders>
              <w:top w:val="nil"/>
              <w:left w:val="single" w:sz="4" w:space="0" w:color="auto"/>
              <w:bottom w:val="single" w:sz="4" w:space="0" w:color="auto"/>
              <w:right w:val="single" w:sz="4" w:space="0" w:color="auto"/>
            </w:tcBorders>
            <w:shd w:val="clear" w:color="000000" w:fill="FFFFFF"/>
            <w:vAlign w:val="center"/>
            <w:hideMark/>
          </w:tcPr>
          <w:p w14:paraId="6EB54921" w14:textId="77777777" w:rsidR="00941D3C" w:rsidRPr="00454EED" w:rsidRDefault="00941D3C" w:rsidP="00941D3C">
            <w:pPr>
              <w:spacing w:before="0" w:after="0" w:line="240" w:lineRule="auto"/>
              <w:rPr>
                <w:rFonts w:eastAsia="Times New Roman" w:cs="Calibri"/>
                <w:sz w:val="20"/>
                <w:szCs w:val="20"/>
                <w:lang w:eastAsia="cs-CZ"/>
              </w:rPr>
            </w:pPr>
            <w:r w:rsidRPr="00454EED">
              <w:rPr>
                <w:rFonts w:eastAsia="Times New Roman" w:cs="Calibri"/>
                <w:sz w:val="20"/>
                <w:szCs w:val="20"/>
                <w:lang w:eastAsia="cs-CZ"/>
              </w:rPr>
              <w:t>Celkové množství případů</w:t>
            </w:r>
            <w:r>
              <w:rPr>
                <w:rFonts w:eastAsia="Times New Roman" w:cs="Calibri"/>
                <w:sz w:val="20"/>
                <w:szCs w:val="20"/>
                <w:lang w:eastAsia="cs-CZ"/>
              </w:rPr>
              <w:t xml:space="preserve"> v roce 2018</w:t>
            </w:r>
          </w:p>
        </w:tc>
        <w:tc>
          <w:tcPr>
            <w:tcW w:w="1417" w:type="dxa"/>
            <w:tcBorders>
              <w:top w:val="nil"/>
              <w:left w:val="nil"/>
              <w:bottom w:val="single" w:sz="4" w:space="0" w:color="auto"/>
              <w:right w:val="single" w:sz="4" w:space="0" w:color="auto"/>
            </w:tcBorders>
            <w:shd w:val="clear" w:color="000000" w:fill="FFFFFF"/>
            <w:noWrap/>
            <w:vAlign w:val="center"/>
            <w:hideMark/>
          </w:tcPr>
          <w:p w14:paraId="3BC37A7D"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22 242</w:t>
            </w:r>
          </w:p>
        </w:tc>
        <w:tc>
          <w:tcPr>
            <w:tcW w:w="1484" w:type="dxa"/>
            <w:tcBorders>
              <w:top w:val="nil"/>
              <w:left w:val="nil"/>
              <w:bottom w:val="single" w:sz="4" w:space="0" w:color="auto"/>
              <w:right w:val="single" w:sz="4" w:space="0" w:color="auto"/>
            </w:tcBorders>
            <w:shd w:val="clear" w:color="000000" w:fill="FFFFFF"/>
            <w:noWrap/>
            <w:vAlign w:val="center"/>
            <w:hideMark/>
          </w:tcPr>
          <w:p w14:paraId="553EDEDB"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532 132</w:t>
            </w:r>
          </w:p>
        </w:tc>
        <w:tc>
          <w:tcPr>
            <w:tcW w:w="1559" w:type="dxa"/>
            <w:tcBorders>
              <w:top w:val="nil"/>
              <w:left w:val="nil"/>
              <w:bottom w:val="single" w:sz="4" w:space="0" w:color="auto"/>
              <w:right w:val="single" w:sz="4" w:space="0" w:color="auto"/>
            </w:tcBorders>
            <w:shd w:val="clear" w:color="000000" w:fill="FFFFFF"/>
            <w:noWrap/>
            <w:vAlign w:val="center"/>
            <w:hideMark/>
          </w:tcPr>
          <w:p w14:paraId="67F86267"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186 641</w:t>
            </w:r>
          </w:p>
        </w:tc>
        <w:tc>
          <w:tcPr>
            <w:tcW w:w="1417" w:type="dxa"/>
            <w:tcBorders>
              <w:top w:val="nil"/>
              <w:left w:val="nil"/>
              <w:bottom w:val="single" w:sz="4" w:space="0" w:color="auto"/>
              <w:right w:val="single" w:sz="4" w:space="0" w:color="auto"/>
            </w:tcBorders>
            <w:shd w:val="clear" w:color="000000" w:fill="FFFFFF"/>
            <w:noWrap/>
            <w:vAlign w:val="center"/>
            <w:hideMark/>
          </w:tcPr>
          <w:p w14:paraId="3EE40A5F"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88 066</w:t>
            </w:r>
          </w:p>
        </w:tc>
      </w:tr>
      <w:tr w:rsidR="00941D3C" w:rsidRPr="00454EED" w14:paraId="16B9C9AF" w14:textId="77777777" w:rsidTr="00941D3C">
        <w:trPr>
          <w:trHeight w:val="268"/>
        </w:trPr>
        <w:tc>
          <w:tcPr>
            <w:tcW w:w="3256" w:type="dxa"/>
            <w:tcBorders>
              <w:top w:val="nil"/>
              <w:left w:val="single" w:sz="4" w:space="0" w:color="auto"/>
              <w:bottom w:val="single" w:sz="4" w:space="0" w:color="auto"/>
              <w:right w:val="single" w:sz="4" w:space="0" w:color="auto"/>
            </w:tcBorders>
            <w:shd w:val="clear" w:color="000000" w:fill="FFFFFF"/>
            <w:vAlign w:val="center"/>
            <w:hideMark/>
          </w:tcPr>
          <w:p w14:paraId="295BA09F" w14:textId="77777777" w:rsidR="00941D3C" w:rsidRPr="00454EED" w:rsidRDefault="00941D3C" w:rsidP="00941D3C">
            <w:pPr>
              <w:spacing w:before="0" w:after="0" w:line="240" w:lineRule="auto"/>
              <w:rPr>
                <w:rFonts w:eastAsia="Times New Roman" w:cs="Calibri"/>
                <w:sz w:val="20"/>
                <w:szCs w:val="20"/>
                <w:lang w:eastAsia="cs-CZ"/>
              </w:rPr>
            </w:pPr>
            <w:r w:rsidRPr="00454EED">
              <w:rPr>
                <w:rFonts w:eastAsia="Times New Roman" w:cs="Calibri"/>
                <w:sz w:val="20"/>
                <w:szCs w:val="20"/>
                <w:lang w:eastAsia="cs-CZ"/>
              </w:rPr>
              <w:t xml:space="preserve">Meziroční </w:t>
            </w:r>
            <w:r>
              <w:rPr>
                <w:rFonts w:eastAsia="Times New Roman" w:cs="Calibri"/>
                <w:sz w:val="20"/>
                <w:szCs w:val="20"/>
                <w:lang w:eastAsia="cs-CZ"/>
              </w:rPr>
              <w:t xml:space="preserve">absolutní </w:t>
            </w:r>
            <w:r w:rsidRPr="00454EED">
              <w:rPr>
                <w:rFonts w:eastAsia="Times New Roman" w:cs="Calibri"/>
                <w:sz w:val="20"/>
                <w:szCs w:val="20"/>
                <w:lang w:eastAsia="cs-CZ"/>
              </w:rPr>
              <w:t xml:space="preserve">změna </w:t>
            </w:r>
          </w:p>
        </w:tc>
        <w:tc>
          <w:tcPr>
            <w:tcW w:w="1417" w:type="dxa"/>
            <w:tcBorders>
              <w:top w:val="nil"/>
              <w:left w:val="nil"/>
              <w:bottom w:val="single" w:sz="4" w:space="0" w:color="auto"/>
              <w:right w:val="single" w:sz="4" w:space="0" w:color="auto"/>
            </w:tcBorders>
            <w:shd w:val="clear" w:color="000000" w:fill="FFFFFF"/>
            <w:noWrap/>
            <w:vAlign w:val="center"/>
            <w:hideMark/>
          </w:tcPr>
          <w:p w14:paraId="3B2DC5BC"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1 016</w:t>
            </w:r>
          </w:p>
        </w:tc>
        <w:tc>
          <w:tcPr>
            <w:tcW w:w="1484" w:type="dxa"/>
            <w:tcBorders>
              <w:top w:val="nil"/>
              <w:left w:val="nil"/>
              <w:bottom w:val="single" w:sz="4" w:space="0" w:color="auto"/>
              <w:right w:val="single" w:sz="4" w:space="0" w:color="auto"/>
            </w:tcBorders>
            <w:shd w:val="clear" w:color="000000" w:fill="FFFFFF"/>
            <w:noWrap/>
            <w:vAlign w:val="center"/>
            <w:hideMark/>
          </w:tcPr>
          <w:p w14:paraId="66078C32"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6 252</w:t>
            </w:r>
          </w:p>
        </w:tc>
        <w:tc>
          <w:tcPr>
            <w:tcW w:w="1559" w:type="dxa"/>
            <w:tcBorders>
              <w:top w:val="nil"/>
              <w:left w:val="nil"/>
              <w:bottom w:val="single" w:sz="4" w:space="0" w:color="auto"/>
              <w:right w:val="single" w:sz="4" w:space="0" w:color="auto"/>
            </w:tcBorders>
            <w:shd w:val="clear" w:color="000000" w:fill="FFFFFF"/>
            <w:noWrap/>
            <w:vAlign w:val="center"/>
            <w:hideMark/>
          </w:tcPr>
          <w:p w14:paraId="4A9A3E45" w14:textId="77777777" w:rsidR="00941D3C" w:rsidRPr="00454EED" w:rsidRDefault="00941D3C" w:rsidP="00941D3C">
            <w:pPr>
              <w:spacing w:before="0" w:after="0" w:line="240" w:lineRule="auto"/>
              <w:jc w:val="right"/>
              <w:rPr>
                <w:rFonts w:eastAsia="Times New Roman" w:cs="Calibri"/>
                <w:sz w:val="20"/>
                <w:szCs w:val="20"/>
                <w:lang w:eastAsia="cs-CZ"/>
              </w:rPr>
            </w:pPr>
            <w:r w:rsidRPr="00454EED">
              <w:rPr>
                <w:rFonts w:eastAsia="Times New Roman" w:cs="Calibri"/>
                <w:sz w:val="20"/>
                <w:szCs w:val="20"/>
                <w:lang w:eastAsia="cs-CZ"/>
              </w:rPr>
              <w:t>5 932</w:t>
            </w:r>
          </w:p>
        </w:tc>
        <w:tc>
          <w:tcPr>
            <w:tcW w:w="1417" w:type="dxa"/>
            <w:tcBorders>
              <w:top w:val="nil"/>
              <w:left w:val="nil"/>
              <w:bottom w:val="single" w:sz="4" w:space="0" w:color="auto"/>
              <w:right w:val="single" w:sz="4" w:space="0" w:color="auto"/>
            </w:tcBorders>
            <w:shd w:val="clear" w:color="000000" w:fill="FFFFFF"/>
            <w:noWrap/>
            <w:vAlign w:val="center"/>
            <w:hideMark/>
          </w:tcPr>
          <w:p w14:paraId="1A53AA52" w14:textId="77777777" w:rsidR="00941D3C" w:rsidRPr="000E7A06" w:rsidRDefault="00941D3C" w:rsidP="00941D3C">
            <w:pPr>
              <w:spacing w:before="0" w:after="0" w:line="240" w:lineRule="auto"/>
              <w:jc w:val="right"/>
              <w:rPr>
                <w:rFonts w:eastAsia="Times New Roman" w:cs="Calibri"/>
                <w:color w:val="FF0000"/>
                <w:sz w:val="20"/>
                <w:szCs w:val="20"/>
                <w:lang w:eastAsia="cs-CZ"/>
              </w:rPr>
            </w:pPr>
            <w:r w:rsidRPr="000E7A06">
              <w:rPr>
                <w:color w:val="FF0000"/>
                <w:sz w:val="20"/>
                <w:szCs w:val="20"/>
              </w:rPr>
              <w:t>–</w:t>
            </w:r>
            <w:r w:rsidRPr="000E7A06">
              <w:rPr>
                <w:rFonts w:eastAsia="Times New Roman" w:cs="Calibri"/>
                <w:color w:val="FF0000"/>
                <w:sz w:val="20"/>
                <w:szCs w:val="20"/>
                <w:lang w:eastAsia="cs-CZ"/>
              </w:rPr>
              <w:t>3 841</w:t>
            </w:r>
          </w:p>
        </w:tc>
      </w:tr>
      <w:tr w:rsidR="00941D3C" w:rsidRPr="00454EED" w14:paraId="31F64B6F" w14:textId="77777777" w:rsidTr="00C21ED0">
        <w:trPr>
          <w:trHeight w:val="268"/>
        </w:trPr>
        <w:tc>
          <w:tcPr>
            <w:tcW w:w="3256" w:type="dxa"/>
            <w:tcBorders>
              <w:top w:val="nil"/>
              <w:left w:val="single" w:sz="4" w:space="0" w:color="auto"/>
              <w:bottom w:val="single" w:sz="4" w:space="0" w:color="auto"/>
              <w:right w:val="single" w:sz="4" w:space="0" w:color="auto"/>
            </w:tcBorders>
            <w:shd w:val="clear" w:color="000000" w:fill="FFFFFF"/>
            <w:vAlign w:val="center"/>
          </w:tcPr>
          <w:p w14:paraId="707AF365" w14:textId="77777777" w:rsidR="00941D3C" w:rsidRPr="00454EED" w:rsidRDefault="00941D3C" w:rsidP="00941D3C">
            <w:pPr>
              <w:spacing w:before="0" w:after="0" w:line="240" w:lineRule="auto"/>
              <w:rPr>
                <w:rFonts w:eastAsia="Times New Roman" w:cs="Calibri"/>
                <w:sz w:val="20"/>
                <w:szCs w:val="20"/>
                <w:lang w:eastAsia="cs-CZ"/>
              </w:rPr>
            </w:pPr>
            <w:r>
              <w:rPr>
                <w:rFonts w:eastAsia="Times New Roman" w:cs="Calibri"/>
                <w:sz w:val="20"/>
                <w:szCs w:val="20"/>
                <w:lang w:eastAsia="cs-CZ"/>
              </w:rPr>
              <w:t>Meziroční procentuální změna</w:t>
            </w:r>
          </w:p>
        </w:tc>
        <w:tc>
          <w:tcPr>
            <w:tcW w:w="1417" w:type="dxa"/>
            <w:tcBorders>
              <w:top w:val="nil"/>
              <w:left w:val="nil"/>
              <w:bottom w:val="single" w:sz="4" w:space="0" w:color="auto"/>
              <w:right w:val="single" w:sz="4" w:space="0" w:color="auto"/>
            </w:tcBorders>
            <w:shd w:val="clear" w:color="000000" w:fill="FFFFFF"/>
            <w:noWrap/>
            <w:vAlign w:val="center"/>
          </w:tcPr>
          <w:p w14:paraId="37D86C11" w14:textId="1B0F72B6" w:rsidR="00941D3C" w:rsidRPr="00454EED" w:rsidRDefault="00941D3C" w:rsidP="00C21ED0">
            <w:pPr>
              <w:spacing w:before="0" w:after="0" w:line="240" w:lineRule="auto"/>
              <w:ind w:left="357"/>
              <w:jc w:val="right"/>
              <w:rPr>
                <w:rFonts w:eastAsia="Times New Roman" w:cs="Calibri"/>
                <w:sz w:val="20"/>
                <w:szCs w:val="20"/>
                <w:lang w:eastAsia="cs-CZ"/>
              </w:rPr>
            </w:pPr>
            <w:r>
              <w:rPr>
                <w:rFonts w:eastAsia="Times New Roman" w:cs="Calibri"/>
                <w:sz w:val="20"/>
                <w:szCs w:val="20"/>
                <w:lang w:eastAsia="cs-CZ"/>
              </w:rPr>
              <w:t>4,79</w:t>
            </w:r>
            <w:r w:rsidR="000621DD">
              <w:rPr>
                <w:rFonts w:eastAsia="Times New Roman" w:cs="Calibri"/>
                <w:sz w:val="20"/>
                <w:szCs w:val="20"/>
                <w:lang w:eastAsia="cs-CZ"/>
              </w:rPr>
              <w:t> </w:t>
            </w:r>
            <w:r>
              <w:rPr>
                <w:rFonts w:eastAsia="Times New Roman" w:cs="Calibri"/>
                <w:sz w:val="20"/>
                <w:szCs w:val="20"/>
                <w:lang w:eastAsia="cs-CZ"/>
              </w:rPr>
              <w:t>%</w:t>
            </w:r>
          </w:p>
        </w:tc>
        <w:tc>
          <w:tcPr>
            <w:tcW w:w="1484" w:type="dxa"/>
            <w:tcBorders>
              <w:top w:val="nil"/>
              <w:left w:val="nil"/>
              <w:bottom w:val="single" w:sz="4" w:space="0" w:color="auto"/>
              <w:right w:val="single" w:sz="4" w:space="0" w:color="auto"/>
            </w:tcBorders>
            <w:shd w:val="clear" w:color="000000" w:fill="FFFFFF"/>
            <w:noWrap/>
            <w:vAlign w:val="center"/>
          </w:tcPr>
          <w:p w14:paraId="04B6A41E" w14:textId="66D1E7BA" w:rsidR="00941D3C" w:rsidRPr="00454EED" w:rsidRDefault="00941D3C" w:rsidP="00C21ED0">
            <w:pPr>
              <w:spacing w:before="0" w:after="0" w:line="240" w:lineRule="auto"/>
              <w:ind w:left="357"/>
              <w:jc w:val="right"/>
              <w:rPr>
                <w:rFonts w:eastAsia="Times New Roman" w:cs="Calibri"/>
                <w:sz w:val="20"/>
                <w:szCs w:val="20"/>
                <w:lang w:eastAsia="cs-CZ"/>
              </w:rPr>
            </w:pPr>
            <w:r>
              <w:rPr>
                <w:rFonts w:eastAsia="Times New Roman" w:cs="Calibri"/>
                <w:sz w:val="20"/>
                <w:szCs w:val="20"/>
                <w:lang w:eastAsia="cs-CZ"/>
              </w:rPr>
              <w:t>1,19</w:t>
            </w:r>
            <w:r w:rsidR="000621DD">
              <w:rPr>
                <w:rFonts w:eastAsia="Times New Roman" w:cs="Calibri"/>
                <w:sz w:val="20"/>
                <w:szCs w:val="20"/>
                <w:lang w:eastAsia="cs-CZ"/>
              </w:rPr>
              <w:t> </w:t>
            </w:r>
            <w:r>
              <w:rPr>
                <w:rFonts w:eastAsia="Times New Roman" w:cs="Calibri"/>
                <w:sz w:val="20"/>
                <w:szCs w:val="20"/>
                <w:lang w:eastAsia="cs-CZ"/>
              </w:rPr>
              <w:t>%</w:t>
            </w:r>
          </w:p>
        </w:tc>
        <w:tc>
          <w:tcPr>
            <w:tcW w:w="1559" w:type="dxa"/>
            <w:tcBorders>
              <w:top w:val="nil"/>
              <w:left w:val="nil"/>
              <w:bottom w:val="single" w:sz="4" w:space="0" w:color="auto"/>
              <w:right w:val="single" w:sz="4" w:space="0" w:color="auto"/>
            </w:tcBorders>
            <w:shd w:val="clear" w:color="000000" w:fill="FFFFFF"/>
            <w:noWrap/>
            <w:vAlign w:val="center"/>
          </w:tcPr>
          <w:p w14:paraId="6DC2C180" w14:textId="6F0B4780" w:rsidR="00941D3C" w:rsidRPr="00454EED" w:rsidRDefault="00941D3C" w:rsidP="00C21ED0">
            <w:pPr>
              <w:spacing w:before="0" w:after="0" w:line="240" w:lineRule="auto"/>
              <w:ind w:left="357"/>
              <w:jc w:val="right"/>
              <w:rPr>
                <w:rFonts w:eastAsia="Times New Roman" w:cs="Calibri"/>
                <w:sz w:val="20"/>
                <w:szCs w:val="20"/>
                <w:lang w:eastAsia="cs-CZ"/>
              </w:rPr>
            </w:pPr>
            <w:r>
              <w:rPr>
                <w:rFonts w:eastAsia="Times New Roman" w:cs="Calibri"/>
                <w:sz w:val="20"/>
                <w:szCs w:val="20"/>
                <w:lang w:eastAsia="cs-CZ"/>
              </w:rPr>
              <w:t>3,28</w:t>
            </w:r>
            <w:r w:rsidR="000621DD">
              <w:rPr>
                <w:rFonts w:eastAsia="Times New Roman" w:cs="Calibri"/>
                <w:sz w:val="20"/>
                <w:szCs w:val="20"/>
                <w:lang w:eastAsia="cs-CZ"/>
              </w:rPr>
              <w:t> </w:t>
            </w:r>
            <w:r>
              <w:rPr>
                <w:rFonts w:eastAsia="Times New Roman" w:cs="Calibri"/>
                <w:sz w:val="20"/>
                <w:szCs w:val="20"/>
                <w:lang w:eastAsia="cs-CZ"/>
              </w:rPr>
              <w:t>%</w:t>
            </w:r>
          </w:p>
        </w:tc>
        <w:tc>
          <w:tcPr>
            <w:tcW w:w="1417" w:type="dxa"/>
            <w:tcBorders>
              <w:top w:val="nil"/>
              <w:left w:val="nil"/>
              <w:bottom w:val="single" w:sz="4" w:space="0" w:color="auto"/>
              <w:right w:val="single" w:sz="4" w:space="0" w:color="auto"/>
            </w:tcBorders>
            <w:shd w:val="clear" w:color="000000" w:fill="FFFFFF"/>
            <w:noWrap/>
            <w:vAlign w:val="center"/>
          </w:tcPr>
          <w:p w14:paraId="63864AF4" w14:textId="10C7DA2A" w:rsidR="00941D3C" w:rsidRPr="000E7A06" w:rsidRDefault="00941D3C" w:rsidP="00C21ED0">
            <w:pPr>
              <w:spacing w:before="0" w:after="0" w:line="240" w:lineRule="auto"/>
              <w:ind w:left="357"/>
              <w:jc w:val="right"/>
              <w:rPr>
                <w:rFonts w:eastAsia="Times New Roman" w:cs="Calibri"/>
                <w:color w:val="FF0000"/>
                <w:sz w:val="20"/>
                <w:szCs w:val="20"/>
                <w:lang w:eastAsia="cs-CZ"/>
              </w:rPr>
            </w:pPr>
            <w:r w:rsidRPr="000E7A06">
              <w:rPr>
                <w:color w:val="FF0000"/>
                <w:sz w:val="20"/>
                <w:szCs w:val="20"/>
              </w:rPr>
              <w:t>–</w:t>
            </w:r>
            <w:r w:rsidRPr="000E7A06">
              <w:rPr>
                <w:rFonts w:eastAsia="Times New Roman" w:cs="Calibri"/>
                <w:color w:val="FF0000"/>
                <w:sz w:val="20"/>
                <w:szCs w:val="20"/>
                <w:lang w:eastAsia="cs-CZ"/>
              </w:rPr>
              <w:t>4,18</w:t>
            </w:r>
            <w:r w:rsidR="000621DD">
              <w:rPr>
                <w:rFonts w:eastAsia="Times New Roman" w:cs="Calibri"/>
                <w:color w:val="FF0000"/>
                <w:sz w:val="20"/>
                <w:szCs w:val="20"/>
                <w:lang w:eastAsia="cs-CZ"/>
              </w:rPr>
              <w:t> </w:t>
            </w:r>
            <w:r w:rsidRPr="000E7A06">
              <w:rPr>
                <w:rFonts w:eastAsia="Times New Roman" w:cs="Calibri"/>
                <w:color w:val="FF0000"/>
                <w:sz w:val="20"/>
                <w:szCs w:val="20"/>
                <w:lang w:eastAsia="cs-CZ"/>
              </w:rPr>
              <w:t>%</w:t>
            </w:r>
          </w:p>
        </w:tc>
      </w:tr>
      <w:tr w:rsidR="00941D3C" w:rsidRPr="00454EED" w14:paraId="2FC8EE19" w14:textId="77777777" w:rsidTr="00C21ED0">
        <w:trPr>
          <w:trHeight w:val="432"/>
        </w:trPr>
        <w:tc>
          <w:tcPr>
            <w:tcW w:w="3256" w:type="dxa"/>
            <w:tcBorders>
              <w:top w:val="nil"/>
              <w:left w:val="single" w:sz="4" w:space="0" w:color="auto"/>
              <w:bottom w:val="single" w:sz="4" w:space="0" w:color="auto"/>
              <w:right w:val="single" w:sz="4" w:space="0" w:color="auto"/>
            </w:tcBorders>
            <w:shd w:val="clear" w:color="000000" w:fill="F2C6C9"/>
            <w:vAlign w:val="center"/>
            <w:hideMark/>
          </w:tcPr>
          <w:p w14:paraId="50B89E2A" w14:textId="77777777" w:rsidR="00941D3C" w:rsidRPr="00454EED" w:rsidRDefault="00941D3C" w:rsidP="00C21ED0">
            <w:pPr>
              <w:spacing w:before="0" w:after="0" w:line="240" w:lineRule="auto"/>
              <w:jc w:val="left"/>
              <w:rPr>
                <w:rFonts w:eastAsia="Times New Roman" w:cs="Calibri"/>
                <w:b/>
                <w:bCs/>
                <w:sz w:val="20"/>
                <w:szCs w:val="20"/>
                <w:lang w:eastAsia="cs-CZ"/>
              </w:rPr>
            </w:pPr>
            <w:r w:rsidRPr="00454EED">
              <w:rPr>
                <w:rFonts w:eastAsia="Times New Roman" w:cs="Calibri"/>
                <w:b/>
                <w:bCs/>
                <w:sz w:val="20"/>
                <w:szCs w:val="20"/>
                <w:lang w:eastAsia="cs-CZ"/>
              </w:rPr>
              <w:t>Podíl nevyřízených případů na celkovém množství</w:t>
            </w:r>
            <w:r>
              <w:rPr>
                <w:rFonts w:eastAsia="Times New Roman" w:cs="Calibri"/>
                <w:b/>
                <w:bCs/>
                <w:sz w:val="20"/>
                <w:szCs w:val="20"/>
                <w:lang w:eastAsia="cs-CZ"/>
              </w:rPr>
              <w:t xml:space="preserve"> v roce 2018</w:t>
            </w:r>
          </w:p>
        </w:tc>
        <w:tc>
          <w:tcPr>
            <w:tcW w:w="1417" w:type="dxa"/>
            <w:tcBorders>
              <w:top w:val="nil"/>
              <w:left w:val="nil"/>
              <w:bottom w:val="single" w:sz="4" w:space="0" w:color="auto"/>
              <w:right w:val="single" w:sz="4" w:space="0" w:color="auto"/>
            </w:tcBorders>
            <w:shd w:val="clear" w:color="000000" w:fill="F2C6C9"/>
            <w:noWrap/>
            <w:vAlign w:val="center"/>
            <w:hideMark/>
          </w:tcPr>
          <w:p w14:paraId="55989DFA" w14:textId="3165C1EB" w:rsidR="00941D3C" w:rsidRPr="00454EED" w:rsidRDefault="00941D3C" w:rsidP="00C21ED0">
            <w:pPr>
              <w:spacing w:before="0" w:after="0" w:line="240" w:lineRule="auto"/>
              <w:ind w:left="357"/>
              <w:jc w:val="right"/>
              <w:rPr>
                <w:rFonts w:eastAsia="Times New Roman" w:cs="Calibri"/>
                <w:b/>
                <w:bCs/>
                <w:sz w:val="20"/>
                <w:szCs w:val="20"/>
                <w:lang w:eastAsia="cs-CZ"/>
              </w:rPr>
            </w:pPr>
            <w:r w:rsidRPr="00454EED">
              <w:rPr>
                <w:rFonts w:eastAsia="Times New Roman" w:cs="Calibri"/>
                <w:b/>
                <w:bCs/>
                <w:sz w:val="20"/>
                <w:szCs w:val="20"/>
                <w:lang w:eastAsia="cs-CZ"/>
              </w:rPr>
              <w:t>53</w:t>
            </w:r>
            <w:r w:rsidR="000621DD">
              <w:rPr>
                <w:rFonts w:eastAsia="Times New Roman" w:cs="Calibri"/>
                <w:b/>
                <w:bCs/>
                <w:sz w:val="20"/>
                <w:szCs w:val="20"/>
                <w:lang w:eastAsia="cs-CZ"/>
              </w:rPr>
              <w:t> </w:t>
            </w:r>
            <w:r w:rsidRPr="00454EED">
              <w:rPr>
                <w:rFonts w:eastAsia="Times New Roman" w:cs="Calibri"/>
                <w:b/>
                <w:bCs/>
                <w:sz w:val="20"/>
                <w:szCs w:val="20"/>
                <w:lang w:eastAsia="cs-CZ"/>
              </w:rPr>
              <w:t>%</w:t>
            </w:r>
          </w:p>
        </w:tc>
        <w:tc>
          <w:tcPr>
            <w:tcW w:w="1484" w:type="dxa"/>
            <w:tcBorders>
              <w:top w:val="nil"/>
              <w:left w:val="nil"/>
              <w:bottom w:val="single" w:sz="4" w:space="0" w:color="auto"/>
              <w:right w:val="single" w:sz="4" w:space="0" w:color="auto"/>
            </w:tcBorders>
            <w:shd w:val="clear" w:color="000000" w:fill="F2C6C9"/>
            <w:noWrap/>
            <w:vAlign w:val="center"/>
            <w:hideMark/>
          </w:tcPr>
          <w:p w14:paraId="5AF16F2A" w14:textId="32787053" w:rsidR="00941D3C" w:rsidRPr="00454EED" w:rsidRDefault="00941D3C" w:rsidP="00C21ED0">
            <w:pPr>
              <w:spacing w:before="0" w:after="0" w:line="240" w:lineRule="auto"/>
              <w:ind w:left="357"/>
              <w:jc w:val="right"/>
              <w:rPr>
                <w:rFonts w:eastAsia="Times New Roman" w:cs="Calibri"/>
                <w:b/>
                <w:bCs/>
                <w:sz w:val="20"/>
                <w:szCs w:val="20"/>
                <w:lang w:eastAsia="cs-CZ"/>
              </w:rPr>
            </w:pPr>
            <w:r w:rsidRPr="00454EED">
              <w:rPr>
                <w:rFonts w:eastAsia="Times New Roman" w:cs="Calibri"/>
                <w:b/>
                <w:bCs/>
                <w:sz w:val="20"/>
                <w:szCs w:val="20"/>
                <w:lang w:eastAsia="cs-CZ"/>
              </w:rPr>
              <w:t>29</w:t>
            </w:r>
            <w:r w:rsidR="000621DD">
              <w:rPr>
                <w:rFonts w:eastAsia="Times New Roman" w:cs="Calibri"/>
                <w:b/>
                <w:bCs/>
                <w:sz w:val="20"/>
                <w:szCs w:val="20"/>
                <w:lang w:eastAsia="cs-CZ"/>
              </w:rPr>
              <w:t> </w:t>
            </w:r>
            <w:r w:rsidRPr="00454EED">
              <w:rPr>
                <w:rFonts w:eastAsia="Times New Roman" w:cs="Calibri"/>
                <w:b/>
                <w:bCs/>
                <w:sz w:val="20"/>
                <w:szCs w:val="20"/>
                <w:lang w:eastAsia="cs-CZ"/>
              </w:rPr>
              <w:t>%</w:t>
            </w:r>
          </w:p>
        </w:tc>
        <w:tc>
          <w:tcPr>
            <w:tcW w:w="1559" w:type="dxa"/>
            <w:tcBorders>
              <w:top w:val="nil"/>
              <w:left w:val="nil"/>
              <w:bottom w:val="single" w:sz="4" w:space="0" w:color="auto"/>
              <w:right w:val="single" w:sz="4" w:space="0" w:color="auto"/>
            </w:tcBorders>
            <w:shd w:val="clear" w:color="000000" w:fill="F2C6C9"/>
            <w:noWrap/>
            <w:vAlign w:val="center"/>
            <w:hideMark/>
          </w:tcPr>
          <w:p w14:paraId="7B4274F2" w14:textId="6303BD27" w:rsidR="00941D3C" w:rsidRPr="00454EED" w:rsidRDefault="00941D3C" w:rsidP="00C21ED0">
            <w:pPr>
              <w:spacing w:before="0" w:after="0" w:line="240" w:lineRule="auto"/>
              <w:ind w:left="357"/>
              <w:jc w:val="right"/>
              <w:rPr>
                <w:rFonts w:eastAsia="Times New Roman" w:cs="Calibri"/>
                <w:b/>
                <w:bCs/>
                <w:sz w:val="20"/>
                <w:szCs w:val="20"/>
                <w:lang w:eastAsia="cs-CZ"/>
              </w:rPr>
            </w:pPr>
            <w:r w:rsidRPr="00454EED">
              <w:rPr>
                <w:rFonts w:eastAsia="Times New Roman" w:cs="Calibri"/>
                <w:b/>
                <w:bCs/>
                <w:sz w:val="20"/>
                <w:szCs w:val="20"/>
                <w:lang w:eastAsia="cs-CZ"/>
              </w:rPr>
              <w:t>22</w:t>
            </w:r>
            <w:r w:rsidR="000621DD">
              <w:rPr>
                <w:rFonts w:eastAsia="Times New Roman" w:cs="Calibri"/>
                <w:b/>
                <w:bCs/>
                <w:sz w:val="20"/>
                <w:szCs w:val="20"/>
                <w:lang w:eastAsia="cs-CZ"/>
              </w:rPr>
              <w:t> </w:t>
            </w:r>
            <w:r w:rsidRPr="00454EED">
              <w:rPr>
                <w:rFonts w:eastAsia="Times New Roman" w:cs="Calibri"/>
                <w:b/>
                <w:bCs/>
                <w:sz w:val="20"/>
                <w:szCs w:val="20"/>
                <w:lang w:eastAsia="cs-CZ"/>
              </w:rPr>
              <w:t>%</w:t>
            </w:r>
          </w:p>
        </w:tc>
        <w:tc>
          <w:tcPr>
            <w:tcW w:w="1417" w:type="dxa"/>
            <w:tcBorders>
              <w:top w:val="nil"/>
              <w:left w:val="nil"/>
              <w:bottom w:val="single" w:sz="4" w:space="0" w:color="auto"/>
              <w:right w:val="single" w:sz="4" w:space="0" w:color="auto"/>
            </w:tcBorders>
            <w:shd w:val="clear" w:color="000000" w:fill="F2C6C9"/>
            <w:noWrap/>
            <w:vAlign w:val="center"/>
            <w:hideMark/>
          </w:tcPr>
          <w:p w14:paraId="3F8D6E30" w14:textId="46229341" w:rsidR="00941D3C" w:rsidRPr="00454EED" w:rsidRDefault="00941D3C" w:rsidP="00C21ED0">
            <w:pPr>
              <w:spacing w:before="0" w:after="0" w:line="240" w:lineRule="auto"/>
              <w:ind w:left="357"/>
              <w:jc w:val="right"/>
              <w:rPr>
                <w:rFonts w:eastAsia="Times New Roman" w:cs="Calibri"/>
                <w:b/>
                <w:bCs/>
                <w:sz w:val="20"/>
                <w:szCs w:val="20"/>
                <w:lang w:eastAsia="cs-CZ"/>
              </w:rPr>
            </w:pPr>
            <w:r w:rsidRPr="00454EED">
              <w:rPr>
                <w:rFonts w:eastAsia="Times New Roman" w:cs="Calibri"/>
                <w:b/>
                <w:bCs/>
                <w:sz w:val="20"/>
                <w:szCs w:val="20"/>
                <w:lang w:eastAsia="cs-CZ"/>
              </w:rPr>
              <w:t>15</w:t>
            </w:r>
            <w:r w:rsidR="000621DD">
              <w:rPr>
                <w:rFonts w:eastAsia="Times New Roman" w:cs="Calibri"/>
                <w:b/>
                <w:bCs/>
                <w:sz w:val="20"/>
                <w:szCs w:val="20"/>
                <w:lang w:eastAsia="cs-CZ"/>
              </w:rPr>
              <w:t> </w:t>
            </w:r>
            <w:r w:rsidRPr="00454EED">
              <w:rPr>
                <w:rFonts w:eastAsia="Times New Roman" w:cs="Calibri"/>
                <w:b/>
                <w:bCs/>
                <w:sz w:val="20"/>
                <w:szCs w:val="20"/>
                <w:lang w:eastAsia="cs-CZ"/>
              </w:rPr>
              <w:t>%</w:t>
            </w:r>
          </w:p>
        </w:tc>
      </w:tr>
      <w:tr w:rsidR="00941D3C" w:rsidRPr="00454EED" w14:paraId="50A0B0A3" w14:textId="77777777" w:rsidTr="00C21ED0">
        <w:trPr>
          <w:trHeight w:val="340"/>
        </w:trPr>
        <w:tc>
          <w:tcPr>
            <w:tcW w:w="3256" w:type="dxa"/>
            <w:tcBorders>
              <w:top w:val="nil"/>
              <w:left w:val="single" w:sz="4" w:space="0" w:color="auto"/>
              <w:bottom w:val="single" w:sz="4" w:space="0" w:color="auto"/>
              <w:right w:val="single" w:sz="4" w:space="0" w:color="auto"/>
            </w:tcBorders>
            <w:shd w:val="clear" w:color="000000" w:fill="F2F2F2"/>
            <w:vAlign w:val="center"/>
            <w:hideMark/>
          </w:tcPr>
          <w:p w14:paraId="4A62F392" w14:textId="77777777" w:rsidR="00941D3C" w:rsidRPr="00454EED" w:rsidRDefault="00941D3C" w:rsidP="00941D3C">
            <w:pPr>
              <w:spacing w:before="0" w:after="0" w:line="240" w:lineRule="auto"/>
              <w:rPr>
                <w:rFonts w:eastAsia="Times New Roman" w:cs="Calibri"/>
                <w:i/>
                <w:iCs/>
                <w:sz w:val="20"/>
                <w:szCs w:val="20"/>
                <w:lang w:eastAsia="cs-CZ"/>
              </w:rPr>
            </w:pPr>
            <w:r>
              <w:rPr>
                <w:rFonts w:eastAsia="Times New Roman" w:cs="Calibri"/>
                <w:i/>
                <w:iCs/>
                <w:sz w:val="20"/>
                <w:szCs w:val="20"/>
                <w:lang w:eastAsia="cs-CZ"/>
              </w:rPr>
              <w:t>z toho</w:t>
            </w:r>
            <w:r w:rsidRPr="00454EED">
              <w:rPr>
                <w:rFonts w:eastAsia="Times New Roman" w:cs="Calibri"/>
                <w:i/>
                <w:iCs/>
                <w:sz w:val="20"/>
                <w:szCs w:val="20"/>
                <w:lang w:eastAsia="cs-CZ"/>
              </w:rPr>
              <w:t xml:space="preserve">: </w:t>
            </w:r>
            <w:r>
              <w:rPr>
                <w:rFonts w:eastAsia="Times New Roman" w:cs="Calibri"/>
                <w:i/>
                <w:iCs/>
                <w:sz w:val="20"/>
                <w:szCs w:val="20"/>
                <w:lang w:eastAsia="cs-CZ"/>
              </w:rPr>
              <w:t>nevyřízeno přes 1 rok a více</w:t>
            </w:r>
          </w:p>
        </w:tc>
        <w:tc>
          <w:tcPr>
            <w:tcW w:w="1417" w:type="dxa"/>
            <w:tcBorders>
              <w:top w:val="nil"/>
              <w:left w:val="nil"/>
              <w:bottom w:val="single" w:sz="4" w:space="0" w:color="auto"/>
              <w:right w:val="single" w:sz="4" w:space="0" w:color="auto"/>
            </w:tcBorders>
            <w:shd w:val="clear" w:color="auto" w:fill="F2F2F2"/>
            <w:noWrap/>
            <w:vAlign w:val="center"/>
            <w:hideMark/>
          </w:tcPr>
          <w:p w14:paraId="5127149C" w14:textId="49E37BD8" w:rsidR="00941D3C" w:rsidRPr="00454EED" w:rsidRDefault="00941D3C" w:rsidP="00C21ED0">
            <w:pPr>
              <w:spacing w:before="0" w:after="0" w:line="240" w:lineRule="auto"/>
              <w:ind w:left="357"/>
              <w:jc w:val="right"/>
              <w:rPr>
                <w:rFonts w:eastAsia="Times New Roman" w:cs="Calibri"/>
                <w:i/>
                <w:iCs/>
                <w:sz w:val="20"/>
                <w:szCs w:val="20"/>
                <w:lang w:eastAsia="cs-CZ"/>
              </w:rPr>
            </w:pPr>
            <w:r w:rsidRPr="00454EED">
              <w:rPr>
                <w:rFonts w:eastAsia="Times New Roman" w:cs="Calibri"/>
                <w:i/>
                <w:iCs/>
                <w:sz w:val="20"/>
                <w:szCs w:val="20"/>
                <w:lang w:eastAsia="cs-CZ"/>
              </w:rPr>
              <w:t>42</w:t>
            </w:r>
            <w:r w:rsidR="000621DD">
              <w:rPr>
                <w:rFonts w:eastAsia="Times New Roman" w:cs="Calibri"/>
                <w:i/>
                <w:iCs/>
                <w:sz w:val="20"/>
                <w:szCs w:val="20"/>
                <w:lang w:eastAsia="cs-CZ"/>
              </w:rPr>
              <w:t> </w:t>
            </w:r>
            <w:r w:rsidRPr="00454EED">
              <w:rPr>
                <w:rFonts w:eastAsia="Times New Roman" w:cs="Calibri"/>
                <w:i/>
                <w:iCs/>
                <w:sz w:val="20"/>
                <w:szCs w:val="20"/>
                <w:lang w:eastAsia="cs-CZ"/>
              </w:rPr>
              <w:t>%</w:t>
            </w:r>
          </w:p>
        </w:tc>
        <w:tc>
          <w:tcPr>
            <w:tcW w:w="1484" w:type="dxa"/>
            <w:tcBorders>
              <w:top w:val="nil"/>
              <w:left w:val="nil"/>
              <w:bottom w:val="single" w:sz="4" w:space="0" w:color="auto"/>
              <w:right w:val="single" w:sz="4" w:space="0" w:color="auto"/>
            </w:tcBorders>
            <w:shd w:val="clear" w:color="auto" w:fill="F2F2F2"/>
            <w:noWrap/>
            <w:vAlign w:val="center"/>
            <w:hideMark/>
          </w:tcPr>
          <w:p w14:paraId="634E8614" w14:textId="707F9429" w:rsidR="00941D3C" w:rsidRPr="00454EED" w:rsidRDefault="00941D3C" w:rsidP="00C21ED0">
            <w:pPr>
              <w:spacing w:before="0" w:after="0" w:line="240" w:lineRule="auto"/>
              <w:ind w:left="357"/>
              <w:jc w:val="right"/>
              <w:rPr>
                <w:rFonts w:eastAsia="Times New Roman" w:cs="Calibri"/>
                <w:i/>
                <w:iCs/>
                <w:sz w:val="20"/>
                <w:szCs w:val="20"/>
                <w:lang w:eastAsia="cs-CZ"/>
              </w:rPr>
            </w:pPr>
            <w:r w:rsidRPr="00454EED">
              <w:rPr>
                <w:rFonts w:eastAsia="Times New Roman" w:cs="Calibri"/>
                <w:i/>
                <w:iCs/>
                <w:sz w:val="20"/>
                <w:szCs w:val="20"/>
                <w:lang w:eastAsia="cs-CZ"/>
              </w:rPr>
              <w:t>33</w:t>
            </w:r>
            <w:r w:rsidR="000621DD">
              <w:rPr>
                <w:rFonts w:eastAsia="Times New Roman" w:cs="Calibri"/>
                <w:i/>
                <w:iCs/>
                <w:sz w:val="20"/>
                <w:szCs w:val="20"/>
                <w:lang w:eastAsia="cs-CZ"/>
              </w:rPr>
              <w:t> </w:t>
            </w:r>
            <w:r w:rsidRPr="00454EED">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F2F2F2"/>
            <w:noWrap/>
            <w:vAlign w:val="center"/>
            <w:hideMark/>
          </w:tcPr>
          <w:p w14:paraId="567A8C33" w14:textId="56604609" w:rsidR="00941D3C" w:rsidRPr="00454EED" w:rsidRDefault="00941D3C" w:rsidP="00C21ED0">
            <w:pPr>
              <w:spacing w:before="0" w:after="0" w:line="240" w:lineRule="auto"/>
              <w:ind w:left="357"/>
              <w:jc w:val="right"/>
              <w:rPr>
                <w:rFonts w:eastAsia="Times New Roman" w:cs="Calibri"/>
                <w:i/>
                <w:iCs/>
                <w:sz w:val="20"/>
                <w:szCs w:val="20"/>
                <w:lang w:eastAsia="cs-CZ"/>
              </w:rPr>
            </w:pPr>
            <w:r>
              <w:rPr>
                <w:rFonts w:eastAsia="Times New Roman" w:cs="Calibri"/>
                <w:i/>
                <w:iCs/>
                <w:sz w:val="20"/>
                <w:szCs w:val="20"/>
                <w:lang w:eastAsia="cs-CZ"/>
              </w:rPr>
              <w:t>8</w:t>
            </w:r>
            <w:r w:rsidR="000621DD">
              <w:rPr>
                <w:rFonts w:eastAsia="Times New Roman" w:cs="Calibri"/>
                <w:i/>
                <w:iCs/>
                <w:sz w:val="20"/>
                <w:szCs w:val="20"/>
                <w:lang w:eastAsia="cs-CZ"/>
              </w:rPr>
              <w:t> </w:t>
            </w:r>
            <w:r w:rsidRPr="00454EED">
              <w:rPr>
                <w:rFonts w:eastAsia="Times New Roman" w:cs="Calibri"/>
                <w:i/>
                <w:iCs/>
                <w:sz w:val="20"/>
                <w:szCs w:val="20"/>
                <w:lang w:eastAsia="cs-CZ"/>
              </w:rPr>
              <w:t>%</w:t>
            </w:r>
          </w:p>
        </w:tc>
        <w:tc>
          <w:tcPr>
            <w:tcW w:w="1417" w:type="dxa"/>
            <w:tcBorders>
              <w:top w:val="nil"/>
              <w:left w:val="nil"/>
              <w:bottom w:val="single" w:sz="4" w:space="0" w:color="auto"/>
              <w:right w:val="single" w:sz="4" w:space="0" w:color="auto"/>
            </w:tcBorders>
            <w:shd w:val="clear" w:color="auto" w:fill="F2F2F2"/>
            <w:noWrap/>
            <w:vAlign w:val="center"/>
            <w:hideMark/>
          </w:tcPr>
          <w:p w14:paraId="36615FB0" w14:textId="7A7469B5" w:rsidR="00941D3C" w:rsidRPr="00454EED" w:rsidRDefault="00941D3C" w:rsidP="00C21ED0">
            <w:pPr>
              <w:spacing w:before="0" w:after="0" w:line="240" w:lineRule="auto"/>
              <w:ind w:left="357"/>
              <w:jc w:val="right"/>
              <w:rPr>
                <w:rFonts w:eastAsia="Times New Roman" w:cs="Calibri"/>
                <w:i/>
                <w:iCs/>
                <w:sz w:val="20"/>
                <w:szCs w:val="20"/>
                <w:lang w:eastAsia="cs-CZ"/>
              </w:rPr>
            </w:pPr>
            <w:r w:rsidRPr="00454EED">
              <w:rPr>
                <w:rFonts w:eastAsia="Times New Roman" w:cs="Calibri"/>
                <w:i/>
                <w:iCs/>
                <w:sz w:val="20"/>
                <w:szCs w:val="20"/>
                <w:lang w:eastAsia="cs-CZ"/>
              </w:rPr>
              <w:t>20</w:t>
            </w:r>
            <w:r w:rsidR="000621DD">
              <w:rPr>
                <w:rFonts w:eastAsia="Times New Roman" w:cs="Calibri"/>
                <w:i/>
                <w:iCs/>
                <w:sz w:val="20"/>
                <w:szCs w:val="20"/>
                <w:lang w:eastAsia="cs-CZ"/>
              </w:rPr>
              <w:t> </w:t>
            </w:r>
            <w:r w:rsidRPr="00454EED">
              <w:rPr>
                <w:rFonts w:eastAsia="Times New Roman" w:cs="Calibri"/>
                <w:i/>
                <w:iCs/>
                <w:sz w:val="20"/>
                <w:szCs w:val="20"/>
                <w:lang w:eastAsia="cs-CZ"/>
              </w:rPr>
              <w:t>%</w:t>
            </w:r>
          </w:p>
        </w:tc>
      </w:tr>
    </w:tbl>
    <w:p w14:paraId="3FA544EA" w14:textId="6098289F" w:rsidR="00941D3C" w:rsidRPr="00EA0EE4" w:rsidRDefault="00941D3C" w:rsidP="002C4F38">
      <w:pPr>
        <w:pStyle w:val="Poznazdroj"/>
      </w:pPr>
      <w:r w:rsidRPr="00C21ED0">
        <w:rPr>
          <w:b/>
        </w:rPr>
        <w:t>Zdroj:</w:t>
      </w:r>
      <w:r w:rsidRPr="00165EC1">
        <w:t xml:space="preserve"> </w:t>
      </w:r>
      <w:r w:rsidRPr="00E24BAD">
        <w:t>České soudnictví: Výroční statistická zpráva za rok 2017</w:t>
      </w:r>
      <w:r w:rsidRPr="00EA0EE4">
        <w:t xml:space="preserve">, </w:t>
      </w:r>
      <w:r w:rsidR="0067614E" w:rsidRPr="0067614E">
        <w:t>Justice.cz (E-služby → statistiky → statistické údaje z oblasti justice → výkazy soudů a státních zastupitelství → rok 2018)</w:t>
      </w:r>
      <w:r w:rsidRPr="00EA0EE4">
        <w:t>.</w:t>
      </w:r>
    </w:p>
    <w:p w14:paraId="0809F2FF" w14:textId="77777777" w:rsidR="000411A2" w:rsidRPr="00EA0EE4" w:rsidRDefault="000411A2" w:rsidP="00277808">
      <w:pPr>
        <w:pStyle w:val="Poznazdroj"/>
      </w:pPr>
      <w:r w:rsidRPr="00EA0EE4">
        <w:t xml:space="preserve">* Od podání obžaloby. </w:t>
      </w:r>
    </w:p>
    <w:p w14:paraId="4251ADD5" w14:textId="77777777" w:rsidR="00941D3C" w:rsidRPr="00165EC1" w:rsidRDefault="00941D3C" w:rsidP="00A0559F">
      <w:pPr>
        <w:pStyle w:val="Poznazdroj"/>
      </w:pPr>
      <w:r w:rsidRPr="00C21ED0">
        <w:rPr>
          <w:b/>
        </w:rPr>
        <w:t>Pozn.:</w:t>
      </w:r>
      <w:r w:rsidRPr="00165EC1">
        <w:t xml:space="preserve"> Do výpočtu byly zahrnuty prvoinstanční soudy na okresní a krajské úrovni. </w:t>
      </w:r>
    </w:p>
    <w:p w14:paraId="121A3463" w14:textId="22FA315D" w:rsidR="00941D3C" w:rsidRDefault="00941D3C" w:rsidP="00941D3C">
      <w:pPr>
        <w:rPr>
          <w:szCs w:val="24"/>
        </w:rPr>
      </w:pPr>
      <w:r w:rsidRPr="000B6697">
        <w:rPr>
          <w:szCs w:val="24"/>
        </w:rPr>
        <w:t>V absolutním vyjádření vyk</w:t>
      </w:r>
      <w:r>
        <w:rPr>
          <w:szCs w:val="24"/>
        </w:rPr>
        <w:t xml:space="preserve">ázalo </w:t>
      </w:r>
      <w:r w:rsidRPr="000B6697">
        <w:rPr>
          <w:szCs w:val="24"/>
        </w:rPr>
        <w:t xml:space="preserve">nejvyšší meziroční </w:t>
      </w:r>
      <w:r>
        <w:rPr>
          <w:szCs w:val="24"/>
        </w:rPr>
        <w:t>ná</w:t>
      </w:r>
      <w:r w:rsidRPr="000B6697">
        <w:rPr>
          <w:szCs w:val="24"/>
        </w:rPr>
        <w:t>růst případů občanskoprávní a</w:t>
      </w:r>
      <w:r w:rsidR="000411A2">
        <w:rPr>
          <w:szCs w:val="24"/>
        </w:rPr>
        <w:t> </w:t>
      </w:r>
      <w:r w:rsidRPr="000B6697">
        <w:rPr>
          <w:szCs w:val="24"/>
        </w:rPr>
        <w:t>obchodní řízení. Vyjádří-li se však meziroční změna v procentech, nejv</w:t>
      </w:r>
      <w:r>
        <w:rPr>
          <w:szCs w:val="24"/>
        </w:rPr>
        <w:t>yššího</w:t>
      </w:r>
      <w:r w:rsidRPr="000B6697">
        <w:rPr>
          <w:szCs w:val="24"/>
        </w:rPr>
        <w:t xml:space="preserve"> </w:t>
      </w:r>
      <w:r>
        <w:rPr>
          <w:szCs w:val="24"/>
        </w:rPr>
        <w:t>ná</w:t>
      </w:r>
      <w:r w:rsidRPr="000B6697">
        <w:rPr>
          <w:szCs w:val="24"/>
        </w:rPr>
        <w:t>růst</w:t>
      </w:r>
      <w:r>
        <w:rPr>
          <w:szCs w:val="24"/>
        </w:rPr>
        <w:t>u</w:t>
      </w:r>
      <w:r w:rsidRPr="000B6697">
        <w:rPr>
          <w:szCs w:val="24"/>
        </w:rPr>
        <w:t xml:space="preserve"> dos</w:t>
      </w:r>
      <w:r>
        <w:rPr>
          <w:szCs w:val="24"/>
        </w:rPr>
        <w:t>áhlo</w:t>
      </w:r>
      <w:r w:rsidRPr="000B6697">
        <w:rPr>
          <w:szCs w:val="24"/>
        </w:rPr>
        <w:t xml:space="preserve"> správní řízení</w:t>
      </w:r>
      <w:r>
        <w:rPr>
          <w:szCs w:val="24"/>
        </w:rPr>
        <w:t xml:space="preserve">, které současně vykázalo i nejvyšší podíl nevyřízených případů na celkovém množství. </w:t>
      </w:r>
      <w:r w:rsidRPr="000B6697">
        <w:rPr>
          <w:szCs w:val="24"/>
        </w:rPr>
        <w:t>V trestním řízení</w:t>
      </w:r>
      <w:r>
        <w:rPr>
          <w:szCs w:val="24"/>
        </w:rPr>
        <w:t xml:space="preserve"> naopak</w:t>
      </w:r>
      <w:r w:rsidRPr="000B6697">
        <w:rPr>
          <w:szCs w:val="24"/>
        </w:rPr>
        <w:t xml:space="preserve"> klesl počet řešených případů</w:t>
      </w:r>
      <w:r>
        <w:rPr>
          <w:szCs w:val="24"/>
        </w:rPr>
        <w:t>, a to</w:t>
      </w:r>
      <w:r w:rsidRPr="000B6697">
        <w:rPr>
          <w:szCs w:val="24"/>
        </w:rPr>
        <w:t xml:space="preserve"> </w:t>
      </w:r>
      <w:r>
        <w:rPr>
          <w:szCs w:val="24"/>
        </w:rPr>
        <w:t>v souvislosti se</w:t>
      </w:r>
      <w:r w:rsidRPr="000B6697">
        <w:rPr>
          <w:szCs w:val="24"/>
        </w:rPr>
        <w:t xml:space="preserve"> snižující se kriminalit</w:t>
      </w:r>
      <w:r>
        <w:rPr>
          <w:szCs w:val="24"/>
        </w:rPr>
        <w:t>ou</w:t>
      </w:r>
      <w:r w:rsidRPr="000B6697">
        <w:rPr>
          <w:szCs w:val="24"/>
        </w:rPr>
        <w:t xml:space="preserve"> na území ČR. Počet případů a personální obsazení soudů jsou obecně hlavními faktory, které ovlivňují délku soudního řízení.</w:t>
      </w:r>
    </w:p>
    <w:p w14:paraId="12588665" w14:textId="7EAA8DE6" w:rsidR="00941D3C" w:rsidRPr="00F57589"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20</w:t>
      </w:r>
      <w:r w:rsidRPr="00C95133">
        <w:fldChar w:fldCharType="end"/>
      </w:r>
      <w:r>
        <w:t xml:space="preserve"> </w:t>
      </w:r>
      <w:r w:rsidR="00941D3C" w:rsidRPr="00F57589">
        <w:t>–</w:t>
      </w:r>
      <w:r w:rsidR="00001875">
        <w:tab/>
      </w:r>
      <w:r w:rsidR="00941D3C" w:rsidRPr="00F57589">
        <w:t>Průměrná délka soudního řízení v letech 2014–2018 (ve dnech)</w:t>
      </w:r>
    </w:p>
    <w:p w14:paraId="69288EA8" w14:textId="1E9633CC" w:rsidR="00941D3C" w:rsidRPr="00165EC1" w:rsidRDefault="00941D3C" w:rsidP="002C4F38">
      <w:pPr>
        <w:pStyle w:val="Poznazdroj"/>
      </w:pPr>
      <w:r>
        <w:rPr>
          <w:noProof/>
          <w:lang w:eastAsia="cs-CZ"/>
        </w:rPr>
        <w:drawing>
          <wp:inline distT="0" distB="0" distL="0" distR="0" wp14:anchorId="3D73835F" wp14:editId="49870ABF">
            <wp:extent cx="5759450" cy="1885950"/>
            <wp:effectExtent l="0" t="0" r="0" b="0"/>
            <wp:docPr id="41" name="Graf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06330089" w14:textId="4C0A9CFA" w:rsidR="001532B1" w:rsidRPr="001532B1" w:rsidRDefault="001532B1" w:rsidP="001532B1">
      <w:pPr>
        <w:spacing w:before="0" w:after="0"/>
        <w:rPr>
          <w:sz w:val="20"/>
          <w:szCs w:val="20"/>
        </w:rPr>
      </w:pPr>
      <w:r w:rsidRPr="00C21ED0">
        <w:rPr>
          <w:b/>
          <w:sz w:val="20"/>
          <w:szCs w:val="20"/>
        </w:rPr>
        <w:t>Zdroj:</w:t>
      </w:r>
      <w:r w:rsidRPr="001532B1">
        <w:rPr>
          <w:sz w:val="20"/>
          <w:szCs w:val="20"/>
        </w:rPr>
        <w:t xml:space="preserve"> Justice.cz (E-služby → statistiky → statistické údaje z oblasti justice → přehledy statistických listů).</w:t>
      </w:r>
    </w:p>
    <w:p w14:paraId="792E542E" w14:textId="23CABEED" w:rsidR="001532B1" w:rsidRPr="001532B1" w:rsidRDefault="001532B1" w:rsidP="001532B1">
      <w:pPr>
        <w:spacing w:before="0" w:after="0"/>
        <w:rPr>
          <w:sz w:val="20"/>
          <w:szCs w:val="20"/>
        </w:rPr>
      </w:pPr>
      <w:r w:rsidRPr="00C21ED0">
        <w:rPr>
          <w:b/>
          <w:sz w:val="20"/>
          <w:szCs w:val="20"/>
        </w:rPr>
        <w:t>Pozn.:</w:t>
      </w:r>
      <w:r w:rsidRPr="001532B1">
        <w:rPr>
          <w:sz w:val="20"/>
          <w:szCs w:val="20"/>
        </w:rPr>
        <w:t xml:space="preserve"> Jedná se o délku soudního řízení ode dne nápadu do dne právní moci</w:t>
      </w:r>
      <w:r>
        <w:rPr>
          <w:sz w:val="20"/>
          <w:szCs w:val="20"/>
        </w:rPr>
        <w:t>.</w:t>
      </w:r>
    </w:p>
    <w:p w14:paraId="4C6644D4" w14:textId="7FFE47C9" w:rsidR="00941D3C" w:rsidRDefault="00941D3C" w:rsidP="00941D3C">
      <w:pPr>
        <w:rPr>
          <w:szCs w:val="24"/>
        </w:rPr>
      </w:pPr>
      <w:r>
        <w:rPr>
          <w:szCs w:val="24"/>
        </w:rPr>
        <w:t>N</w:t>
      </w:r>
      <w:r w:rsidRPr="00B511FE">
        <w:rPr>
          <w:szCs w:val="24"/>
        </w:rPr>
        <w:t>ejdelší průměrnou délku soudního řízení</w:t>
      </w:r>
      <w:r>
        <w:rPr>
          <w:szCs w:val="24"/>
        </w:rPr>
        <w:t xml:space="preserve"> vykazuje s</w:t>
      </w:r>
      <w:r w:rsidRPr="00B511FE">
        <w:rPr>
          <w:szCs w:val="24"/>
        </w:rPr>
        <w:t>právní řízení</w:t>
      </w:r>
      <w:r>
        <w:rPr>
          <w:szCs w:val="24"/>
        </w:rPr>
        <w:t>, a to i přes skutečnost, že od roku 2014 jeho průměrná délka klesla o 69 dní. Naopak nejkratší dobu trvá trestní řízení,</w:t>
      </w:r>
      <w:r w:rsidRPr="00B511FE">
        <w:rPr>
          <w:szCs w:val="24"/>
        </w:rPr>
        <w:t xml:space="preserve"> avšak v posledních letech se jeho délka mírně prodlužuje. </w:t>
      </w:r>
      <w:r>
        <w:rPr>
          <w:szCs w:val="24"/>
        </w:rPr>
        <w:t>Jedním z d</w:t>
      </w:r>
      <w:r w:rsidRPr="00B511FE">
        <w:rPr>
          <w:szCs w:val="24"/>
        </w:rPr>
        <w:t>ůvod</w:t>
      </w:r>
      <w:r>
        <w:rPr>
          <w:szCs w:val="24"/>
        </w:rPr>
        <w:t>ů</w:t>
      </w:r>
      <w:r w:rsidRPr="00B511FE">
        <w:rPr>
          <w:szCs w:val="24"/>
        </w:rPr>
        <w:t xml:space="preserve"> je</w:t>
      </w:r>
      <w:r>
        <w:rPr>
          <w:szCs w:val="24"/>
        </w:rPr>
        <w:t xml:space="preserve"> </w:t>
      </w:r>
      <w:r w:rsidRPr="00B511FE">
        <w:rPr>
          <w:szCs w:val="24"/>
        </w:rPr>
        <w:t xml:space="preserve">omezení </w:t>
      </w:r>
      <w:r w:rsidRPr="00B511FE">
        <w:rPr>
          <w:szCs w:val="24"/>
        </w:rPr>
        <w:lastRenderedPageBreak/>
        <w:t xml:space="preserve">nadměrného užívání zkráceného přípravného řízení </w:t>
      </w:r>
      <w:r>
        <w:rPr>
          <w:szCs w:val="24"/>
        </w:rPr>
        <w:t>na základě rozhodnutí Nejvyššího soudu ČR</w:t>
      </w:r>
      <w:r w:rsidR="00E24BAD">
        <w:rPr>
          <w:szCs w:val="24"/>
        </w:rPr>
        <w:t>. Využívání tohoto zkráceného řízení</w:t>
      </w:r>
      <w:r w:rsidRPr="00B511FE">
        <w:rPr>
          <w:szCs w:val="24"/>
        </w:rPr>
        <w:t xml:space="preserve"> se oproti roku 2014 snížilo o více </w:t>
      </w:r>
      <w:r>
        <w:rPr>
          <w:szCs w:val="24"/>
        </w:rPr>
        <w:t xml:space="preserve">než </w:t>
      </w:r>
      <w:r w:rsidRPr="00B511FE">
        <w:rPr>
          <w:szCs w:val="24"/>
        </w:rPr>
        <w:t>40 %.</w:t>
      </w:r>
    </w:p>
    <w:p w14:paraId="0A6B4A77" w14:textId="61F7825D" w:rsidR="00941D3C" w:rsidRPr="00B13B9E" w:rsidRDefault="00941D3C" w:rsidP="00941D3C">
      <w:pPr>
        <w:rPr>
          <w:szCs w:val="24"/>
        </w:rPr>
      </w:pPr>
      <w:r>
        <w:rPr>
          <w:szCs w:val="24"/>
        </w:rPr>
        <w:t>Výkonnost soudních systémů členských států EU je porovnávána ve zprávě zveřejněné Komisí pro efektivitu justice Rady Evropy</w:t>
      </w:r>
      <w:r>
        <w:rPr>
          <w:rStyle w:val="Znakapoznpodarou"/>
          <w:szCs w:val="24"/>
        </w:rPr>
        <w:footnoteReference w:id="52"/>
      </w:r>
      <w:r>
        <w:rPr>
          <w:szCs w:val="24"/>
        </w:rPr>
        <w:t xml:space="preserve">. V této zprávě jsou soudní systémy porovnávány mj. na základě dvou ukazatelů, a to podle podílu vyřízených věcí (tzv. </w:t>
      </w:r>
      <w:r w:rsidR="00E73914">
        <w:rPr>
          <w:szCs w:val="24"/>
        </w:rPr>
        <w:t>c</w:t>
      </w:r>
      <w:r w:rsidRPr="00C21ED0">
        <w:rPr>
          <w:szCs w:val="24"/>
        </w:rPr>
        <w:t>learance rate</w:t>
      </w:r>
      <w:r>
        <w:rPr>
          <w:szCs w:val="24"/>
        </w:rPr>
        <w:t>)</w:t>
      </w:r>
      <w:r>
        <w:rPr>
          <w:rStyle w:val="Znakapoznpodarou"/>
          <w:szCs w:val="24"/>
        </w:rPr>
        <w:footnoteReference w:id="53"/>
      </w:r>
      <w:r>
        <w:rPr>
          <w:szCs w:val="24"/>
        </w:rPr>
        <w:t xml:space="preserve"> a</w:t>
      </w:r>
      <w:r w:rsidR="00263A61">
        <w:rPr>
          <w:szCs w:val="24"/>
        </w:rPr>
        <w:t> </w:t>
      </w:r>
      <w:r>
        <w:rPr>
          <w:szCs w:val="24"/>
        </w:rPr>
        <w:t xml:space="preserve">délky soudního řízení (tzv. </w:t>
      </w:r>
      <w:r w:rsidR="00E73914">
        <w:rPr>
          <w:szCs w:val="24"/>
        </w:rPr>
        <w:t>d</w:t>
      </w:r>
      <w:r w:rsidRPr="00C21ED0">
        <w:rPr>
          <w:szCs w:val="24"/>
        </w:rPr>
        <w:t>isposition time</w:t>
      </w:r>
      <w:r>
        <w:rPr>
          <w:szCs w:val="24"/>
        </w:rPr>
        <w:t>)</w:t>
      </w:r>
      <w:r>
        <w:rPr>
          <w:rStyle w:val="Znakapoznpodarou"/>
          <w:szCs w:val="24"/>
        </w:rPr>
        <w:footnoteReference w:id="54"/>
      </w:r>
      <w:r>
        <w:rPr>
          <w:szCs w:val="24"/>
        </w:rPr>
        <w:t xml:space="preserve">. </w:t>
      </w:r>
    </w:p>
    <w:p w14:paraId="51147BB7" w14:textId="34918C96" w:rsidR="00941D3C"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21</w:t>
      </w:r>
      <w:r w:rsidRPr="00C95133">
        <w:fldChar w:fldCharType="end"/>
      </w:r>
      <w:r>
        <w:t xml:space="preserve"> </w:t>
      </w:r>
      <w:r w:rsidR="00941D3C">
        <w:t>–</w:t>
      </w:r>
      <w:r w:rsidR="00001875">
        <w:tab/>
      </w:r>
      <w:r w:rsidR="00941D3C">
        <w:t>Porovnání výkonnosti české justice s EU (v %, ve dnech)</w:t>
      </w:r>
    </w:p>
    <w:p w14:paraId="38DEFC3C" w14:textId="3B79F97F" w:rsidR="00633D5E" w:rsidRDefault="0045656C" w:rsidP="002C4F38">
      <w:pPr>
        <w:pStyle w:val="Poznazdroj"/>
        <w:rPr>
          <w:szCs w:val="24"/>
        </w:rPr>
      </w:pPr>
      <w:r>
        <w:rPr>
          <w:noProof/>
          <w:lang w:eastAsia="cs-CZ"/>
        </w:rPr>
        <w:drawing>
          <wp:inline distT="0" distB="0" distL="0" distR="0" wp14:anchorId="5165552D" wp14:editId="5CB41F0C">
            <wp:extent cx="5760000" cy="2052000"/>
            <wp:effectExtent l="0" t="0" r="0" b="5715"/>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0CD93065" w14:textId="2A51E693" w:rsidR="00633D5E" w:rsidRPr="00633D5E" w:rsidRDefault="00633D5E" w:rsidP="00633D5E">
      <w:pPr>
        <w:spacing w:before="0" w:after="0"/>
        <w:rPr>
          <w:b/>
          <w:sz w:val="20"/>
          <w:szCs w:val="20"/>
        </w:rPr>
      </w:pPr>
      <w:r w:rsidRPr="00C21ED0">
        <w:rPr>
          <w:b/>
          <w:sz w:val="20"/>
          <w:szCs w:val="20"/>
        </w:rPr>
        <w:t>Zdroj:</w:t>
      </w:r>
      <w:r w:rsidRPr="00633D5E">
        <w:rPr>
          <w:sz w:val="20"/>
          <w:szCs w:val="20"/>
        </w:rPr>
        <w:t xml:space="preserve"> publikace </w:t>
      </w:r>
      <w:r w:rsidRPr="00C21ED0">
        <w:rPr>
          <w:i/>
          <w:sz w:val="20"/>
          <w:szCs w:val="20"/>
        </w:rPr>
        <w:t>Efficiency and quality of justice</w:t>
      </w:r>
      <w:r>
        <w:rPr>
          <w:sz w:val="20"/>
          <w:szCs w:val="20"/>
        </w:rPr>
        <w:t>.</w:t>
      </w:r>
    </w:p>
    <w:p w14:paraId="3188993E" w14:textId="5C3BD400" w:rsidR="00633D5E" w:rsidRPr="00633D5E" w:rsidRDefault="00633D5E" w:rsidP="00633D5E">
      <w:pPr>
        <w:spacing w:before="0" w:after="0"/>
        <w:rPr>
          <w:sz w:val="20"/>
          <w:szCs w:val="20"/>
        </w:rPr>
      </w:pPr>
      <w:r w:rsidRPr="00C21ED0">
        <w:rPr>
          <w:b/>
          <w:sz w:val="20"/>
          <w:szCs w:val="20"/>
        </w:rPr>
        <w:t>Pozn.:</w:t>
      </w:r>
      <w:r w:rsidRPr="00633D5E">
        <w:rPr>
          <w:sz w:val="20"/>
          <w:szCs w:val="20"/>
        </w:rPr>
        <w:t xml:space="preserve"> Medián a průměr EU byly vypočítány na základě dostupných dat členských států EU.</w:t>
      </w:r>
    </w:p>
    <w:p w14:paraId="12AD383C" w14:textId="39CB086A" w:rsidR="00941D3C" w:rsidRPr="000A4F43" w:rsidRDefault="00941D3C" w:rsidP="00941D3C">
      <w:pPr>
        <w:spacing w:after="0"/>
        <w:rPr>
          <w:b/>
          <w:szCs w:val="24"/>
        </w:rPr>
      </w:pPr>
      <w:r>
        <w:rPr>
          <w:szCs w:val="24"/>
        </w:rPr>
        <w:t xml:space="preserve">Z mezinárodního </w:t>
      </w:r>
      <w:r w:rsidR="00E24BAD">
        <w:rPr>
          <w:szCs w:val="24"/>
        </w:rPr>
        <w:t>po</w:t>
      </w:r>
      <w:r>
        <w:rPr>
          <w:szCs w:val="24"/>
        </w:rPr>
        <w:t xml:space="preserve">rovnání vyplynulo, že česká justice převýšila průměr i medián (prostřední hodnotu) zemí EU v rychlosti vyřizování případů s výjimkou správního řízení, v němž počet příchozích případů převýšil počet vyřešených o 20 procent. </w:t>
      </w:r>
      <w:r w:rsidRPr="000A4F43">
        <w:rPr>
          <w:b/>
          <w:szCs w:val="24"/>
        </w:rPr>
        <w:t>Počet případů správní</w:t>
      </w:r>
      <w:r>
        <w:rPr>
          <w:b/>
          <w:szCs w:val="24"/>
        </w:rPr>
        <w:t xml:space="preserve">ho řízení </w:t>
      </w:r>
      <w:r w:rsidRPr="000A4F43">
        <w:rPr>
          <w:b/>
          <w:szCs w:val="24"/>
        </w:rPr>
        <w:t>k vyřešení se tak neustále zvyšuje.</w:t>
      </w:r>
    </w:p>
    <w:p w14:paraId="1A530CB9" w14:textId="34230455" w:rsidR="00941D3C" w:rsidRDefault="00941D3C" w:rsidP="00941D3C">
      <w:pPr>
        <w:spacing w:after="0"/>
        <w:rPr>
          <w:szCs w:val="24"/>
        </w:rPr>
      </w:pPr>
      <w:r>
        <w:rPr>
          <w:szCs w:val="24"/>
        </w:rPr>
        <w:t xml:space="preserve">Délka soudního řízení (měřená ukazatelem </w:t>
      </w:r>
      <w:r w:rsidR="00E73914">
        <w:rPr>
          <w:szCs w:val="24"/>
        </w:rPr>
        <w:t>d</w:t>
      </w:r>
      <w:r w:rsidRPr="00C21ED0">
        <w:rPr>
          <w:szCs w:val="24"/>
        </w:rPr>
        <w:t>isposition time</w:t>
      </w:r>
      <w:r>
        <w:rPr>
          <w:szCs w:val="24"/>
        </w:rPr>
        <w:t>) je dle zprávy v jednotlivých soudních řízeních v ČR kratší, než činil průměr EU. K průměru EU se nejvíce ČR blíží ve správním řízení. Průměr EU však značně zhoršují malé ostrovní státy Kypr (1</w:t>
      </w:r>
      <w:r w:rsidR="00DE43BF">
        <w:rPr>
          <w:szCs w:val="24"/>
        </w:rPr>
        <w:t xml:space="preserve"> </w:t>
      </w:r>
      <w:r>
        <w:rPr>
          <w:szCs w:val="24"/>
        </w:rPr>
        <w:t>582 dní) a Malta (1</w:t>
      </w:r>
      <w:r w:rsidR="00DE43BF">
        <w:rPr>
          <w:szCs w:val="24"/>
        </w:rPr>
        <w:t xml:space="preserve"> </w:t>
      </w:r>
      <w:r>
        <w:rPr>
          <w:szCs w:val="24"/>
        </w:rPr>
        <w:t xml:space="preserve">464 dní). </w:t>
      </w:r>
      <w:r w:rsidR="00586C77">
        <w:rPr>
          <w:szCs w:val="24"/>
        </w:rPr>
        <w:t>Z</w:t>
      </w:r>
      <w:r>
        <w:rPr>
          <w:szCs w:val="24"/>
        </w:rPr>
        <w:t xml:space="preserve">e srovnání jednotlivých zemí vyplývá, že ČR zaostává v rychlosti vyřizování agendy správního řízení za většinou zemí EU. </w:t>
      </w:r>
      <w:r w:rsidR="00586C77">
        <w:rPr>
          <w:szCs w:val="24"/>
        </w:rPr>
        <w:t>Pokud k porovnání použijeme medián, který by měl částečně eliminovat extrémní hodnoty, ukáže se, že m</w:t>
      </w:r>
      <w:r>
        <w:rPr>
          <w:szCs w:val="24"/>
        </w:rPr>
        <w:t xml:space="preserve">edián ve výši 312 dní překročila </w:t>
      </w:r>
      <w:r w:rsidR="00586C77">
        <w:rPr>
          <w:szCs w:val="24"/>
        </w:rPr>
        <w:t>Česká republika</w:t>
      </w:r>
      <w:r>
        <w:rPr>
          <w:szCs w:val="24"/>
        </w:rPr>
        <w:t xml:space="preserve"> o 109 dní. </w:t>
      </w:r>
    </w:p>
    <w:p w14:paraId="7F1BCE26" w14:textId="1DCE7524" w:rsidR="00941D3C" w:rsidRPr="0011395C" w:rsidRDefault="002E53CA" w:rsidP="00941D3C">
      <w:pPr>
        <w:spacing w:after="0"/>
        <w:rPr>
          <w:szCs w:val="24"/>
        </w:rPr>
      </w:pPr>
      <w:r>
        <w:rPr>
          <w:rFonts w:cs="Calibri"/>
          <w:szCs w:val="24"/>
        </w:rPr>
        <w:t>Ze</w:t>
      </w:r>
      <w:r w:rsidR="00941D3C">
        <w:rPr>
          <w:rFonts w:cs="Calibri"/>
          <w:szCs w:val="24"/>
        </w:rPr>
        <w:t xml:space="preserve"> statistik uveden</w:t>
      </w:r>
      <w:r>
        <w:rPr>
          <w:rFonts w:cs="Calibri"/>
          <w:szCs w:val="24"/>
        </w:rPr>
        <w:t>ých</w:t>
      </w:r>
      <w:r w:rsidR="00941D3C">
        <w:rPr>
          <w:rFonts w:cs="Calibri"/>
          <w:szCs w:val="24"/>
        </w:rPr>
        <w:t xml:space="preserve"> </w:t>
      </w:r>
      <w:r>
        <w:rPr>
          <w:rFonts w:cs="Calibri"/>
          <w:szCs w:val="24"/>
        </w:rPr>
        <w:t xml:space="preserve">v publikaci </w:t>
      </w:r>
      <w:r w:rsidRPr="0045656C">
        <w:rPr>
          <w:i/>
        </w:rPr>
        <w:t>Efficiency and quality of justice</w:t>
      </w:r>
      <w:r>
        <w:rPr>
          <w:rFonts w:cs="Calibri"/>
          <w:szCs w:val="24"/>
        </w:rPr>
        <w:t xml:space="preserve"> </w:t>
      </w:r>
      <w:r w:rsidR="00941D3C">
        <w:rPr>
          <w:rFonts w:cs="Calibri"/>
          <w:szCs w:val="24"/>
        </w:rPr>
        <w:t>vyplývá, že ČR</w:t>
      </w:r>
      <w:r w:rsidR="00941D3C" w:rsidRPr="0011395C">
        <w:rPr>
          <w:bCs/>
          <w:szCs w:val="24"/>
        </w:rPr>
        <w:t xml:space="preserve"> zkracuje délku </w:t>
      </w:r>
      <w:r w:rsidR="00941D3C">
        <w:rPr>
          <w:bCs/>
          <w:szCs w:val="24"/>
        </w:rPr>
        <w:t>občanskoprávního</w:t>
      </w:r>
      <w:r w:rsidR="00941D3C" w:rsidRPr="0011395C">
        <w:rPr>
          <w:bCs/>
          <w:szCs w:val="24"/>
        </w:rPr>
        <w:t xml:space="preserve"> řízení. K vyřešení sporu dochází za méně než 200 dní. Počet vyřízených případů je vyšší než počet nově příchozích.</w:t>
      </w:r>
      <w:r w:rsidR="00941D3C">
        <w:rPr>
          <w:szCs w:val="24"/>
        </w:rPr>
        <w:t xml:space="preserve"> </w:t>
      </w:r>
      <w:r w:rsidR="00941D3C" w:rsidRPr="0011395C">
        <w:rPr>
          <w:szCs w:val="24"/>
        </w:rPr>
        <w:t xml:space="preserve">Výjimku tvoří správní řízení, kde se </w:t>
      </w:r>
      <w:r w:rsidR="00941D3C" w:rsidRPr="0011395C">
        <w:rPr>
          <w:szCs w:val="24"/>
        </w:rPr>
        <w:lastRenderedPageBreak/>
        <w:t xml:space="preserve">případy kumulují. </w:t>
      </w:r>
      <w:r w:rsidR="00941D3C" w:rsidRPr="0011395C">
        <w:rPr>
          <w:b/>
          <w:szCs w:val="24"/>
        </w:rPr>
        <w:t xml:space="preserve">Nepřiměřená </w:t>
      </w:r>
      <w:r w:rsidR="00941D3C" w:rsidRPr="0011395C">
        <w:rPr>
          <w:rFonts w:cstheme="minorHAnsi"/>
          <w:b/>
          <w:szCs w:val="24"/>
          <w:lang w:eastAsia="cs-CZ"/>
        </w:rPr>
        <w:t>délka trvání soudního řízení</w:t>
      </w:r>
      <w:r w:rsidR="00941D3C" w:rsidRPr="0011395C">
        <w:rPr>
          <w:b/>
          <w:szCs w:val="24"/>
        </w:rPr>
        <w:t xml:space="preserve"> přispívá k </w:t>
      </w:r>
      <w:r w:rsidR="00941D3C" w:rsidRPr="0011395C">
        <w:rPr>
          <w:rFonts w:cstheme="minorHAnsi"/>
          <w:b/>
          <w:szCs w:val="24"/>
          <w:lang w:eastAsia="cs-CZ"/>
        </w:rPr>
        <w:t xml:space="preserve">zahlcení české justice stížnostmi občanů </w:t>
      </w:r>
      <w:r>
        <w:rPr>
          <w:rFonts w:cstheme="minorHAnsi"/>
          <w:b/>
          <w:szCs w:val="24"/>
          <w:lang w:eastAsia="cs-CZ"/>
        </w:rPr>
        <w:t>n</w:t>
      </w:r>
      <w:r w:rsidR="00941D3C" w:rsidRPr="0011395C">
        <w:rPr>
          <w:rFonts w:cstheme="minorHAnsi"/>
          <w:b/>
          <w:szCs w:val="24"/>
          <w:lang w:eastAsia="cs-CZ"/>
        </w:rPr>
        <w:t xml:space="preserve">a nesprávný výkon veřejné moci a </w:t>
      </w:r>
      <w:r w:rsidR="00941D3C">
        <w:rPr>
          <w:rFonts w:cstheme="minorHAnsi"/>
          <w:b/>
          <w:szCs w:val="24"/>
          <w:lang w:eastAsia="cs-CZ"/>
        </w:rPr>
        <w:t xml:space="preserve">vzniká </w:t>
      </w:r>
      <w:r w:rsidR="00941D3C" w:rsidRPr="0011395C">
        <w:rPr>
          <w:rFonts w:cstheme="minorHAnsi"/>
          <w:b/>
          <w:szCs w:val="24"/>
          <w:lang w:eastAsia="cs-CZ"/>
        </w:rPr>
        <w:t>povinnost státu vyplácet v opodstatněných případech odškodnění</w:t>
      </w:r>
      <w:r w:rsidR="00941D3C" w:rsidRPr="0045656C">
        <w:rPr>
          <w:rFonts w:cstheme="minorHAnsi"/>
          <w:b/>
          <w:szCs w:val="24"/>
          <w:lang w:eastAsia="cs-CZ"/>
        </w:rPr>
        <w:t xml:space="preserve">. </w:t>
      </w:r>
    </w:p>
    <w:p w14:paraId="68C089CE" w14:textId="6919359C" w:rsidR="00941D3C" w:rsidRPr="00E24BAD" w:rsidRDefault="00941D3C" w:rsidP="00941D3C">
      <w:pPr>
        <w:spacing w:after="0"/>
        <w:rPr>
          <w:szCs w:val="24"/>
        </w:rPr>
      </w:pPr>
      <w:r w:rsidRPr="0011395C">
        <w:rPr>
          <w:rFonts w:cs="Calibri"/>
          <w:b/>
          <w:szCs w:val="24"/>
        </w:rPr>
        <w:t>ČR zároveň vede ve statistikách v aktivitě nově přijatých a schvalovaných předpisů v rámci probíhající reformy justice, což ovlivní délku soudních řízení v budoucnu.</w:t>
      </w:r>
      <w:r>
        <w:rPr>
          <w:rFonts w:cs="Calibri"/>
          <w:szCs w:val="24"/>
        </w:rPr>
        <w:t xml:space="preserve"> </w:t>
      </w:r>
      <w:r w:rsidRPr="0011395C">
        <w:rPr>
          <w:rFonts w:cs="Calibri"/>
          <w:szCs w:val="24"/>
        </w:rPr>
        <w:t xml:space="preserve">Např. </w:t>
      </w:r>
      <w:r>
        <w:rPr>
          <w:szCs w:val="24"/>
        </w:rPr>
        <w:t>v</w:t>
      </w:r>
      <w:r w:rsidRPr="00C462A0">
        <w:rPr>
          <w:szCs w:val="24"/>
        </w:rPr>
        <w:t> říjnu 201</w:t>
      </w:r>
      <w:r>
        <w:rPr>
          <w:szCs w:val="24"/>
        </w:rPr>
        <w:t>8</w:t>
      </w:r>
      <w:r w:rsidRPr="00C462A0">
        <w:rPr>
          <w:szCs w:val="24"/>
        </w:rPr>
        <w:t xml:space="preserve"> byla schválena novela insolvenčního zákona, která upravila pravidla pro </w:t>
      </w:r>
      <w:r>
        <w:rPr>
          <w:szCs w:val="24"/>
        </w:rPr>
        <w:t xml:space="preserve">osoby </w:t>
      </w:r>
      <w:r w:rsidRPr="00C462A0">
        <w:rPr>
          <w:szCs w:val="24"/>
        </w:rPr>
        <w:t xml:space="preserve">vstupující do </w:t>
      </w:r>
      <w:r w:rsidR="00E24BAD">
        <w:rPr>
          <w:szCs w:val="24"/>
        </w:rPr>
        <w:t xml:space="preserve">procesu </w:t>
      </w:r>
      <w:r w:rsidRPr="00C462A0">
        <w:rPr>
          <w:szCs w:val="24"/>
        </w:rPr>
        <w:t>oddlužení</w:t>
      </w:r>
      <w:r>
        <w:rPr>
          <w:szCs w:val="24"/>
        </w:rPr>
        <w:t xml:space="preserve">. Možnost oddlužení se nově týká širšího okruhu osob, což může dle vyjádření soudů </w:t>
      </w:r>
      <w:r w:rsidR="00E24BAD">
        <w:rPr>
          <w:szCs w:val="24"/>
        </w:rPr>
        <w:t xml:space="preserve">vést k </w:t>
      </w:r>
      <w:r>
        <w:rPr>
          <w:szCs w:val="24"/>
        </w:rPr>
        <w:t>nárůst</w:t>
      </w:r>
      <w:r w:rsidR="00E24BAD">
        <w:rPr>
          <w:szCs w:val="24"/>
        </w:rPr>
        <w:t>u</w:t>
      </w:r>
      <w:r>
        <w:rPr>
          <w:szCs w:val="24"/>
        </w:rPr>
        <w:t xml:space="preserve"> předmětné agendy až o polovinu. </w:t>
      </w:r>
      <w:r w:rsidRPr="00114CEC">
        <w:rPr>
          <w:szCs w:val="24"/>
        </w:rPr>
        <w:t>V současné době re</w:t>
      </w:r>
      <w:r w:rsidR="00E24BAD">
        <w:rPr>
          <w:szCs w:val="24"/>
        </w:rPr>
        <w:t>s</w:t>
      </w:r>
      <w:r w:rsidRPr="00114CEC">
        <w:rPr>
          <w:szCs w:val="24"/>
        </w:rPr>
        <w:t xml:space="preserve">ort Ministerstva spravedlnosti připravuje nový </w:t>
      </w:r>
      <w:r w:rsidR="00E24BAD" w:rsidRPr="0045656C">
        <w:rPr>
          <w:szCs w:val="24"/>
        </w:rPr>
        <w:t>t</w:t>
      </w:r>
      <w:r w:rsidRPr="0045656C">
        <w:rPr>
          <w:szCs w:val="24"/>
        </w:rPr>
        <w:t>restní řád</w:t>
      </w:r>
      <w:r w:rsidRPr="00E24BAD">
        <w:rPr>
          <w:szCs w:val="24"/>
        </w:rPr>
        <w:t xml:space="preserve"> a nový </w:t>
      </w:r>
      <w:r w:rsidR="00E24BAD" w:rsidRPr="0045656C">
        <w:rPr>
          <w:szCs w:val="24"/>
        </w:rPr>
        <w:t>o</w:t>
      </w:r>
      <w:r w:rsidRPr="0045656C">
        <w:rPr>
          <w:szCs w:val="24"/>
        </w:rPr>
        <w:t>bčanský soudní řád</w:t>
      </w:r>
      <w:r w:rsidRPr="00E24BAD">
        <w:rPr>
          <w:szCs w:val="24"/>
        </w:rPr>
        <w:t>.</w:t>
      </w:r>
    </w:p>
    <w:p w14:paraId="0C7656D9" w14:textId="77777777" w:rsidR="00085B30" w:rsidRDefault="00085B30">
      <w:pPr>
        <w:spacing w:before="0" w:after="0" w:line="240" w:lineRule="auto"/>
        <w:jc w:val="left"/>
        <w:rPr>
          <w:b/>
        </w:rPr>
      </w:pPr>
      <w:r>
        <w:br w:type="page"/>
      </w:r>
    </w:p>
    <w:p w14:paraId="3B0D52A1" w14:textId="1796BA50" w:rsidR="007A79EA" w:rsidRPr="007A79EA" w:rsidRDefault="007A79EA" w:rsidP="008971F5">
      <w:pPr>
        <w:pStyle w:val="Nadpis3"/>
      </w:pPr>
      <w:bookmarkStart w:id="23" w:name="_Toc17208274"/>
      <w:r w:rsidRPr="007A79EA">
        <w:lastRenderedPageBreak/>
        <w:t>Výzkum, vývoj a inovace</w:t>
      </w:r>
      <w:bookmarkEnd w:id="23"/>
    </w:p>
    <w:p w14:paraId="1C19B162" w14:textId="4F876A64" w:rsidR="00941D3C" w:rsidRDefault="00941D3C" w:rsidP="0045656C">
      <w:pPr>
        <w:spacing w:before="0"/>
      </w:pPr>
      <w:r>
        <w:t>V roce 2018 činily výdaje na výzkum, vývoj a inovace (dále také „VaVaI“) včetně výdajů krytých příjmy z EU a FM EHP/Norsk</w:t>
      </w:r>
      <w:r w:rsidR="00E24BAD">
        <w:t>a</w:t>
      </w:r>
      <w:r>
        <w:t xml:space="preserve"> celkem 42,3 mld. Kč. Výdaje pouze z národních zdrojů dosáhly 33,4 mld. Kč. Prostředky k podpoře VaVaI byly v roce 2018 poskytnuty prostřednictvím 17 kapitol státního rozpočtu, do institucionální podpory směřovalo 17,1 mld. Kč a do účelové 16,3 mld. Kč.</w:t>
      </w:r>
    </w:p>
    <w:p w14:paraId="20B6C1C3" w14:textId="67F24C60" w:rsidR="00941D3C" w:rsidRDefault="00941D3C" w:rsidP="00D3507E">
      <w:pPr>
        <w:pStyle w:val="Tituleknadgrafy10-99"/>
      </w:pPr>
      <w:r>
        <w:t>Graf č. </w:t>
      </w:r>
      <w:r>
        <w:fldChar w:fldCharType="begin"/>
      </w:r>
      <w:r>
        <w:instrText xml:space="preserve"> SEQ Graf_č. \* ARABIC </w:instrText>
      </w:r>
      <w:r>
        <w:fldChar w:fldCharType="separate"/>
      </w:r>
      <w:r w:rsidR="009849B2">
        <w:t>22</w:t>
      </w:r>
      <w:r>
        <w:fldChar w:fldCharType="end"/>
      </w:r>
      <w:r>
        <w:t> –</w:t>
      </w:r>
      <w:r w:rsidR="00001875">
        <w:tab/>
      </w:r>
      <w:r>
        <w:t>Výdaje státního rozpočtu na VaVaI v letech 2014–2018 (v mld. Kč)</w:t>
      </w:r>
    </w:p>
    <w:p w14:paraId="1E34226B" w14:textId="4EDDFB2F" w:rsidR="00941D3C" w:rsidRDefault="00D94AF6" w:rsidP="00941D3C">
      <w:pPr>
        <w:spacing w:before="0" w:after="0" w:line="240" w:lineRule="auto"/>
      </w:pPr>
      <w:r>
        <w:rPr>
          <w:noProof/>
          <w:lang w:eastAsia="cs-CZ"/>
        </w:rPr>
        <w:drawing>
          <wp:inline distT="0" distB="0" distL="0" distR="0" wp14:anchorId="34FA0D9F" wp14:editId="43A568B4">
            <wp:extent cx="5759450" cy="1352550"/>
            <wp:effectExtent l="0" t="0" r="0" b="0"/>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51192EC6" w14:textId="77777777" w:rsidR="00941D3C" w:rsidRPr="00165EC1" w:rsidRDefault="00941D3C" w:rsidP="002C4F38">
      <w:pPr>
        <w:pStyle w:val="Poznazdroj"/>
      </w:pPr>
      <w:r w:rsidRPr="0045656C">
        <w:rPr>
          <w:b/>
        </w:rPr>
        <w:t>Zdroj:</w:t>
      </w:r>
      <w:r>
        <w:t xml:space="preserve"> </w:t>
      </w:r>
      <w:r w:rsidRPr="00165EC1">
        <w:t>informační portál MONITOR.</w:t>
      </w:r>
    </w:p>
    <w:p w14:paraId="4E243BD8" w14:textId="4466CF5B" w:rsidR="00941D3C" w:rsidRDefault="00941D3C" w:rsidP="00941D3C">
      <w:r>
        <w:t xml:space="preserve">Za posledních pět let bylo poskytnuto na podporu VaVaI ze státního rozpočtu celkem 190,7 mld. Kč, z toho přes 40 mld. Kč bylo </w:t>
      </w:r>
      <w:r w:rsidRPr="005C6313">
        <w:t>vynaloženo na výstavbu nových výzkumných center</w:t>
      </w:r>
      <w:r>
        <w:t>. Dle i</w:t>
      </w:r>
      <w:r w:rsidRPr="0002562A">
        <w:t>nformační</w:t>
      </w:r>
      <w:r>
        <w:t>ho</w:t>
      </w:r>
      <w:r w:rsidRPr="0002562A">
        <w:t xml:space="preserve"> systém</w:t>
      </w:r>
      <w:r>
        <w:t>u</w:t>
      </w:r>
      <w:r w:rsidRPr="0002562A">
        <w:t xml:space="preserve"> výzkumu, experimentálního vývoje a inovací</w:t>
      </w:r>
      <w:r>
        <w:t xml:space="preserve"> bylo uplatněno za stejné období přes </w:t>
      </w:r>
      <w:r w:rsidR="009D73B2">
        <w:t>229</w:t>
      </w:r>
      <w:r>
        <w:t xml:space="preserve"> tisíc publikačních a přes </w:t>
      </w:r>
      <w:r w:rsidR="009D73B2">
        <w:t>72</w:t>
      </w:r>
      <w:r>
        <w:t xml:space="preserve"> tisíc nepublikačních výsledků.</w:t>
      </w:r>
    </w:p>
    <w:p w14:paraId="5F18A61B" w14:textId="3900609D" w:rsidR="00941D3C" w:rsidRDefault="00941D3C" w:rsidP="00D3507E">
      <w:pPr>
        <w:pStyle w:val="Tituleknadgrafy10-99"/>
      </w:pPr>
      <w:r>
        <w:t>Graf č. </w:t>
      </w:r>
      <w:r>
        <w:fldChar w:fldCharType="begin"/>
      </w:r>
      <w:r>
        <w:instrText xml:space="preserve"> SEQ Graf_č. \* ARABIC </w:instrText>
      </w:r>
      <w:r>
        <w:fldChar w:fldCharType="separate"/>
      </w:r>
      <w:r w:rsidR="009849B2">
        <w:t>23</w:t>
      </w:r>
      <w:r>
        <w:fldChar w:fldCharType="end"/>
      </w:r>
      <w:r>
        <w:t> –</w:t>
      </w:r>
      <w:r w:rsidR="00001875">
        <w:tab/>
      </w:r>
      <w:r>
        <w:t>Výdaje a výsledky v oblasti VaVaI v souhrnné výši za roky 2014 až 2018</w:t>
      </w:r>
    </w:p>
    <w:p w14:paraId="4FA95571" w14:textId="6554D9E7" w:rsidR="00941D3C" w:rsidRDefault="00D94AF6" w:rsidP="00941D3C">
      <w:pPr>
        <w:spacing w:before="0" w:after="0" w:line="240" w:lineRule="auto"/>
      </w:pPr>
      <w:r>
        <w:rPr>
          <w:noProof/>
          <w:lang w:eastAsia="cs-CZ"/>
        </w:rPr>
        <w:drawing>
          <wp:inline distT="0" distB="0" distL="0" distR="0" wp14:anchorId="03385E85" wp14:editId="7D93AE56">
            <wp:extent cx="5759450" cy="2143125"/>
            <wp:effectExtent l="0" t="0" r="0" b="0"/>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135A134B" w14:textId="7E165D56" w:rsidR="006C5B77" w:rsidRPr="006C5B77" w:rsidRDefault="006C5B77" w:rsidP="006C5B77">
      <w:pPr>
        <w:spacing w:before="0" w:after="0"/>
        <w:ind w:left="567" w:hanging="567"/>
        <w:rPr>
          <w:sz w:val="20"/>
          <w:szCs w:val="20"/>
        </w:rPr>
      </w:pPr>
      <w:r w:rsidRPr="006C5B77">
        <w:rPr>
          <w:b/>
          <w:sz w:val="20"/>
          <w:szCs w:val="20"/>
        </w:rPr>
        <w:t>Zdroj:</w:t>
      </w:r>
      <w:r w:rsidRPr="006C5B77">
        <w:rPr>
          <w:sz w:val="20"/>
          <w:szCs w:val="20"/>
        </w:rPr>
        <w:t xml:space="preserve"> </w:t>
      </w:r>
      <w:r w:rsidRPr="006C5B77">
        <w:rPr>
          <w:sz w:val="20"/>
          <w:szCs w:val="20"/>
        </w:rPr>
        <w:tab/>
        <w:t>informační portál MONITOR, informační systém výzkumu, experimentálního vývoje a inovací.</w:t>
      </w:r>
    </w:p>
    <w:p w14:paraId="198F2601" w14:textId="68494EE7" w:rsidR="006C5B77" w:rsidRPr="006C5B77" w:rsidRDefault="006C5B77" w:rsidP="006C5B77">
      <w:pPr>
        <w:spacing w:before="0" w:after="0"/>
        <w:ind w:left="567" w:hanging="567"/>
        <w:rPr>
          <w:sz w:val="20"/>
          <w:szCs w:val="20"/>
        </w:rPr>
      </w:pPr>
      <w:r w:rsidRPr="006C5B77">
        <w:rPr>
          <w:b/>
          <w:sz w:val="20"/>
          <w:szCs w:val="20"/>
        </w:rPr>
        <w:t>Pozn.:</w:t>
      </w:r>
      <w:r w:rsidRPr="006C5B77">
        <w:rPr>
          <w:sz w:val="20"/>
          <w:szCs w:val="20"/>
        </w:rPr>
        <w:t xml:space="preserve"> </w:t>
      </w:r>
      <w:r w:rsidRPr="006C5B77">
        <w:rPr>
          <w:sz w:val="20"/>
          <w:szCs w:val="20"/>
        </w:rPr>
        <w:tab/>
        <w:t>Graf obsahuje údaje za státní rozpočet. Byly do něho vybrány kapitoly s ročními výdaji na VaVaI vyššími než 1 mld. Kč. Kapitoly s ročními výdaji na</w:t>
      </w:r>
      <w:r w:rsidR="00E73914">
        <w:rPr>
          <w:sz w:val="20"/>
          <w:szCs w:val="20"/>
        </w:rPr>
        <w:t xml:space="preserve"> </w:t>
      </w:r>
      <w:r w:rsidRPr="006C5B77">
        <w:rPr>
          <w:sz w:val="20"/>
          <w:szCs w:val="20"/>
        </w:rPr>
        <w:t>VaVaI nižšími než 1 mld. Kč jsou zahrnuty v</w:t>
      </w:r>
      <w:r w:rsidR="0099155A">
        <w:rPr>
          <w:sz w:val="20"/>
          <w:szCs w:val="20"/>
        </w:rPr>
        <w:t>e sloupečku</w:t>
      </w:r>
      <w:r w:rsidRPr="006C5B77">
        <w:rPr>
          <w:sz w:val="20"/>
          <w:szCs w:val="20"/>
        </w:rPr>
        <w:t xml:space="preserve"> „Ostatní kapitoly</w:t>
      </w:r>
      <w:r w:rsidR="00D94AF6">
        <w:rPr>
          <w:sz w:val="20"/>
          <w:szCs w:val="20"/>
        </w:rPr>
        <w:t xml:space="preserve"> státního rozpočtu</w:t>
      </w:r>
      <w:r w:rsidRPr="006C5B77">
        <w:rPr>
          <w:sz w:val="20"/>
          <w:szCs w:val="20"/>
        </w:rPr>
        <w:t>“. Počet výsledků z informačního systému byl generován k 10. 7. 2019 dle roku uplatnění výsledku.</w:t>
      </w:r>
    </w:p>
    <w:p w14:paraId="3E18394A" w14:textId="427D16AE" w:rsidR="00941D3C" w:rsidRDefault="00941D3C" w:rsidP="00941D3C">
      <w:r>
        <w:t>Podle souhrnného inovačního indexu</w:t>
      </w:r>
      <w:r>
        <w:rPr>
          <w:rStyle w:val="Znakapoznpodarou"/>
        </w:rPr>
        <w:footnoteReference w:id="55"/>
      </w:r>
      <w:r>
        <w:t xml:space="preserve"> se ČR nedaří držet </w:t>
      </w:r>
      <w:r w:rsidRPr="00A26BB1">
        <w:t>tempo s</w:t>
      </w:r>
      <w:r>
        <w:t xml:space="preserve"> růstem inovační výkonnosti</w:t>
      </w:r>
      <w:r w:rsidRPr="00A26BB1">
        <w:t xml:space="preserve"> EU</w:t>
      </w:r>
      <w:r>
        <w:t xml:space="preserve"> a nadále se řadí do skupiny mírných inovátorů, což je druhá nejhorší </w:t>
      </w:r>
      <w:r>
        <w:lastRenderedPageBreak/>
        <w:t xml:space="preserve">výkonnostní skupina z </w:t>
      </w:r>
      <w:r w:rsidR="0099155A">
        <w:t xml:space="preserve">celkových </w:t>
      </w:r>
      <w:r>
        <w:t>čtyř.</w:t>
      </w:r>
      <w:r w:rsidRPr="00454C72">
        <w:t xml:space="preserve"> </w:t>
      </w:r>
      <w:r>
        <w:t xml:space="preserve">Následující graf znázorňuje rozdělení souhrnného inovačního indexu ČR do jednotlivých dimenzí </w:t>
      </w:r>
      <w:r w:rsidR="0099155A">
        <w:t xml:space="preserve">a </w:t>
      </w:r>
      <w:r>
        <w:t>porovnání s evropským průměrem.</w:t>
      </w:r>
    </w:p>
    <w:p w14:paraId="425AAEA3" w14:textId="182E84CF" w:rsidR="00941D3C" w:rsidRDefault="00382D82" w:rsidP="00D94AF6">
      <w:pPr>
        <w:pStyle w:val="Tituleknadgrafy10-99"/>
        <w:jc w:val="both"/>
      </w:pPr>
      <w:r>
        <w:drawing>
          <wp:anchor distT="0" distB="0" distL="114300" distR="114300" simplePos="0" relativeHeight="251675136" behindDoc="0" locked="0" layoutInCell="1" allowOverlap="1" wp14:anchorId="536FBE5B" wp14:editId="2BF90E13">
            <wp:simplePos x="0" y="0"/>
            <wp:positionH relativeFrom="margin">
              <wp:posOffset>0</wp:posOffset>
            </wp:positionH>
            <wp:positionV relativeFrom="paragraph">
              <wp:posOffset>353060</wp:posOffset>
            </wp:positionV>
            <wp:extent cx="5829300" cy="1872000"/>
            <wp:effectExtent l="0" t="0" r="0" b="0"/>
            <wp:wrapNone/>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14:sizeRelV relativeFrom="margin">
              <wp14:pctHeight>0</wp14:pctHeight>
            </wp14:sizeRelV>
          </wp:anchor>
        </w:drawing>
      </w:r>
      <w:r w:rsidR="00941D3C">
        <w:t>Graf č. </w:t>
      </w:r>
      <w:r w:rsidR="00941D3C">
        <w:fldChar w:fldCharType="begin"/>
      </w:r>
      <w:r w:rsidR="00941D3C">
        <w:instrText xml:space="preserve"> SEQ Graf_č. \* ARABIC </w:instrText>
      </w:r>
      <w:r w:rsidR="00941D3C">
        <w:fldChar w:fldCharType="separate"/>
      </w:r>
      <w:r w:rsidR="009849B2">
        <w:t>24</w:t>
      </w:r>
      <w:r w:rsidR="00941D3C">
        <w:fldChar w:fldCharType="end"/>
      </w:r>
      <w:r w:rsidR="00941D3C">
        <w:t> –</w:t>
      </w:r>
      <w:r w:rsidR="00001875">
        <w:tab/>
      </w:r>
      <w:r w:rsidR="00941D3C">
        <w:t xml:space="preserve">Porovnání inovační výkonnosti ČR s průměrem EU dle jednotlivých </w:t>
      </w:r>
      <w:r w:rsidR="0099155A">
        <w:t>oblastí</w:t>
      </w:r>
      <w:r w:rsidR="00941D3C">
        <w:t xml:space="preserve"> souhrnného inovačního indexu za rok 2018 (v %)</w:t>
      </w:r>
    </w:p>
    <w:p w14:paraId="60FE9E0B" w14:textId="0BAC2EA9" w:rsidR="00382D82" w:rsidRDefault="004F67C3" w:rsidP="00D3507E">
      <w:pPr>
        <w:pStyle w:val="Tituleknadgrafy10-99"/>
      </w:pPr>
      <w:r>
        <mc:AlternateContent>
          <mc:Choice Requires="wps">
            <w:drawing>
              <wp:anchor distT="0" distB="0" distL="114300" distR="114300" simplePos="0" relativeHeight="251677184" behindDoc="0" locked="0" layoutInCell="1" allowOverlap="1" wp14:anchorId="78A6C47E" wp14:editId="0C9DC6DF">
                <wp:simplePos x="0" y="0"/>
                <wp:positionH relativeFrom="column">
                  <wp:posOffset>271780</wp:posOffset>
                </wp:positionH>
                <wp:positionV relativeFrom="paragraph">
                  <wp:posOffset>43180</wp:posOffset>
                </wp:positionV>
                <wp:extent cx="1256991" cy="257175"/>
                <wp:effectExtent l="0" t="0" r="0" b="0"/>
                <wp:wrapNone/>
                <wp:docPr id="32" name="TextovéPole 3"/>
                <wp:cNvGraphicFramePr/>
                <a:graphic xmlns:a="http://schemas.openxmlformats.org/drawingml/2006/main">
                  <a:graphicData uri="http://schemas.microsoft.com/office/word/2010/wordprocessingShape">
                    <wps:wsp>
                      <wps:cNvSpPr txBox="1"/>
                      <wps:spPr>
                        <a:xfrm>
                          <a:off x="0" y="0"/>
                          <a:ext cx="1256991"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281DE2BD" w14:textId="092C13B9" w:rsidR="009E69AD" w:rsidRDefault="009E69AD" w:rsidP="00382D82">
                            <w:pPr>
                              <w:pStyle w:val="Normlnweb"/>
                              <w:spacing w:before="0"/>
                            </w:pPr>
                            <w:r>
                              <w:rPr>
                                <w:rFonts w:asciiTheme="minorHAnsi" w:hAnsi="Calibri" w:cstheme="minorBidi"/>
                                <w:b/>
                                <w:bCs/>
                                <w:color w:val="BD2A33"/>
                                <w:sz w:val="18"/>
                                <w:szCs w:val="18"/>
                              </w:rPr>
                              <w:t>Průměr EU = 100</w:t>
                            </w:r>
                          </w:p>
                        </w:txbxContent>
                      </wps:txbx>
                      <wps:bodyPr wrap="square" rtlCol="0" anchor="t">
                        <a:noAutofit/>
                      </wps:bodyPr>
                    </wps:wsp>
                  </a:graphicData>
                </a:graphic>
                <wp14:sizeRelV relativeFrom="margin">
                  <wp14:pctHeight>0</wp14:pctHeight>
                </wp14:sizeRelV>
              </wp:anchor>
            </w:drawing>
          </mc:Choice>
          <mc:Fallback>
            <w:pict>
              <v:shape w14:anchorId="78A6C47E" id="TextovéPole 3" o:spid="_x0000_s1033" type="#_x0000_t202" style="position:absolute;left:0;text-align:left;margin-left:21.4pt;margin-top:3.4pt;width:99pt;height:20.2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PkEAIAAF0EAAAOAAAAZHJzL2Uyb0RvYy54bWysVMGO0zAQvSPxD5bvNG1W2aVR0xXsarkg&#10;WLHLB7iOnVjYHmO7TfpJfAc/xthpUwSnRVycxJ73Zt6bcTa3o9HkIHxQYBu6WiwpEZZDq2zX0K/P&#10;D2/eUhIisy3TYEVDjyLQ2+3rV5vB1aKEHnQrPEESG+rBNbSP0dVFEXgvDAsLcMLioQRvWMRP3xWt&#10;ZwOyG12Uy+V1MYBvnQcuQsDd++mQbjO/lILHz1IGEYluKNYW8+rzuktrsd2wuvPM9YqfymD/UIVh&#10;ymLSmeqeRUb2Xv1FZRT3EEDGBQdTgJSKi6wB1ayWf6h56pkTWQuaE9xsU/h/tPzT4dET1Tb0qqTE&#10;MoM9ehZjhMPPH4+gBblKFg0u1Bj55DA2ju9hxFaf9wNuJuWj9CY9URPBczT7OBuMhIQnUFldr9cr&#10;SjieldXN6qZKNMUF7XyIHwQYkl4a6rGB2Vd2+BjiFHoOScksPCitcxO1JUND11VZIb1xqCjYLmPn&#10;IMyjLaZLcqay81s8apHItP0iJHqRq08bgftud6c9mQYGJxpVnccmkyEgBUos4oXYEyShRZ7TF+Jn&#10;UM4PNs54oyz4LDzfIpEEHBjOf/stNw0Ll1P82YrJgORFHHdjnobcl7Szg/aIXR/wiqCj3/fMC0p8&#10;1Hcw3ShmeQ/oz9QmC+/2EaTKrbrAT4lwhnOzT/ctXZLfv3PU5a+w/QUAAP//AwBQSwMEFAAGAAgA&#10;AAAhABCMFPHaAAAABwEAAA8AAABkcnMvZG93bnJldi54bWxMjs1OwzAQhO9IvIO1SNyoTQgthDgV&#10;AnEFUSgSt228TSLidRS7TXh7lhOc9mdGM1+5nn2vjjTGLrCFy4UBRVwH13Fj4f3t6eIGVEzIDvvA&#10;ZOGbIqyr05MSCxcmfqXjJjVKQjgWaKFNaSi0jnVLHuMiDMSi7cPoMck5NtqNOEm473VmzFJ77Fga&#10;WhzooaX6a3PwFrbP+8+P3Lw0j/56mMJsNPtbbe352Xx/ByrRnP7M8Isv6FAJ0y4c2EXVW8gzIU8W&#10;ljJEznIjy07+qyvQVan/81c/AAAA//8DAFBLAQItABQABgAIAAAAIQC2gziS/gAAAOEBAAATAAAA&#10;AAAAAAAAAAAAAAAAAABbQ29udGVudF9UeXBlc10ueG1sUEsBAi0AFAAGAAgAAAAhADj9If/WAAAA&#10;lAEAAAsAAAAAAAAAAAAAAAAALwEAAF9yZWxzLy5yZWxzUEsBAi0AFAAGAAgAAAAhACUQY+QQAgAA&#10;XQQAAA4AAAAAAAAAAAAAAAAALgIAAGRycy9lMm9Eb2MueG1sUEsBAi0AFAAGAAgAAAAhABCMFPHa&#10;AAAABwEAAA8AAAAAAAAAAAAAAAAAagQAAGRycy9kb3ducmV2LnhtbFBLBQYAAAAABAAEAPMAAABx&#10;BQAAAAA=&#10;" filled="f" stroked="f">
                <v:textbox>
                  <w:txbxContent>
                    <w:p w14:paraId="281DE2BD" w14:textId="092C13B9" w:rsidR="009E69AD" w:rsidRDefault="009E69AD" w:rsidP="00382D82">
                      <w:pPr>
                        <w:pStyle w:val="Normlnweb"/>
                        <w:spacing w:before="0"/>
                      </w:pPr>
                      <w:r>
                        <w:rPr>
                          <w:rFonts w:asciiTheme="minorHAnsi" w:hAnsi="Calibri" w:cstheme="minorBidi"/>
                          <w:b/>
                          <w:bCs/>
                          <w:color w:val="BD2A33"/>
                          <w:sz w:val="18"/>
                          <w:szCs w:val="18"/>
                        </w:rPr>
                        <w:t>Průměr EU = 100</w:t>
                      </w:r>
                    </w:p>
                  </w:txbxContent>
                </v:textbox>
              </v:shape>
            </w:pict>
          </mc:Fallback>
        </mc:AlternateContent>
      </w:r>
    </w:p>
    <w:p w14:paraId="603F8B4D" w14:textId="11750D4F" w:rsidR="00382D82" w:rsidRDefault="00382D82" w:rsidP="00D3507E">
      <w:pPr>
        <w:pStyle w:val="Tituleknadgrafy10-99"/>
      </w:pPr>
    </w:p>
    <w:p w14:paraId="3CB02802" w14:textId="1D395E86" w:rsidR="00382D82" w:rsidRDefault="00382D82" w:rsidP="00D3507E">
      <w:pPr>
        <w:pStyle w:val="Tituleknadgrafy10-99"/>
      </w:pPr>
    </w:p>
    <w:p w14:paraId="33903A03" w14:textId="5E0F4A8F" w:rsidR="00382D82" w:rsidRDefault="00382D82" w:rsidP="00D3507E">
      <w:pPr>
        <w:pStyle w:val="Tituleknadgrafy10-99"/>
      </w:pPr>
    </w:p>
    <w:p w14:paraId="254C9B3B" w14:textId="58590499" w:rsidR="00382D82" w:rsidRDefault="00382D82" w:rsidP="00D3507E">
      <w:pPr>
        <w:pStyle w:val="Tituleknadgrafy10-99"/>
      </w:pPr>
    </w:p>
    <w:p w14:paraId="7AC1039C" w14:textId="245F1D41" w:rsidR="00382D82" w:rsidRDefault="00382D82" w:rsidP="00D3507E">
      <w:pPr>
        <w:pStyle w:val="Tituleknadgrafy10-99"/>
      </w:pPr>
    </w:p>
    <w:p w14:paraId="188E198C" w14:textId="79FAD52B" w:rsidR="00382D82" w:rsidRDefault="00382D82" w:rsidP="00D3507E">
      <w:pPr>
        <w:pStyle w:val="Tituleknadgrafy10-99"/>
      </w:pPr>
    </w:p>
    <w:p w14:paraId="3522F82B" w14:textId="4B4F0B22" w:rsidR="00382D82" w:rsidRDefault="00382D82" w:rsidP="00D3507E">
      <w:pPr>
        <w:pStyle w:val="Tituleknadgrafy10-99"/>
      </w:pPr>
    </w:p>
    <w:p w14:paraId="326AE7C0" w14:textId="29D60DB5" w:rsidR="00382D82" w:rsidRDefault="00382D82" w:rsidP="00D3507E">
      <w:pPr>
        <w:pStyle w:val="Tituleknadgrafy10-99"/>
      </w:pPr>
    </w:p>
    <w:p w14:paraId="0EA27714" w14:textId="349AB3AF" w:rsidR="00382D82" w:rsidRDefault="00382D82" w:rsidP="00D3507E">
      <w:pPr>
        <w:pStyle w:val="Tituleknadgrafy10-99"/>
      </w:pPr>
    </w:p>
    <w:p w14:paraId="601C791D" w14:textId="68E996B6" w:rsidR="00941D3C" w:rsidRPr="00165EC1" w:rsidRDefault="00941D3C" w:rsidP="002C4F38">
      <w:pPr>
        <w:pStyle w:val="Poznazdroj"/>
      </w:pPr>
      <w:r w:rsidRPr="00D94AF6">
        <w:rPr>
          <w:b/>
        </w:rPr>
        <w:t>Zdroj:</w:t>
      </w:r>
      <w:r>
        <w:t xml:space="preserve"> </w:t>
      </w:r>
      <w:r w:rsidRPr="00165EC1">
        <w:t>Evropská komise (European Innovation Scoreboard).</w:t>
      </w:r>
    </w:p>
    <w:p w14:paraId="3F5F4858" w14:textId="567F9EEC" w:rsidR="00941D3C" w:rsidRDefault="00941D3C" w:rsidP="00941D3C">
      <w:r>
        <w:t xml:space="preserve">V porovnání s evropským průměrem </w:t>
      </w:r>
      <w:r w:rsidR="0099155A">
        <w:t xml:space="preserve">ztrácí </w:t>
      </w:r>
      <w:r>
        <w:t>ČR nejvíce v oblasti financování a podpory</w:t>
      </w:r>
      <w:r w:rsidR="0099155A">
        <w:t>.</w:t>
      </w:r>
      <w:r>
        <w:t xml:space="preserve"> </w:t>
      </w:r>
      <w:r w:rsidR="0099155A">
        <w:t>Tato oblast</w:t>
      </w:r>
      <w:r>
        <w:t xml:space="preserve"> obsahuje mj. ukazatel investic rizikového kapitálu</w:t>
      </w:r>
      <w:r>
        <w:rPr>
          <w:rStyle w:val="Znakapoznpodarou"/>
        </w:rPr>
        <w:footnoteReference w:id="56"/>
      </w:r>
      <w:r>
        <w:t>, ve kterém ČR v roce 2018 dosáhla pouze 5 % evropského průměru. ČR zaostává také v oblasti duševního vlastnictví, zejména v ukazateli přihl</w:t>
      </w:r>
      <w:r w:rsidR="0099155A">
        <w:t>ašování</w:t>
      </w:r>
      <w:r>
        <w:t xml:space="preserve"> patentů, kd</w:t>
      </w:r>
      <w:r w:rsidR="0099155A">
        <w:t>e</w:t>
      </w:r>
      <w:r>
        <w:t xml:space="preserve"> v roce 2018 dosáhla 23 % evropského průměru. V</w:t>
      </w:r>
      <w:r w:rsidR="0099155A">
        <w:t> </w:t>
      </w:r>
      <w:r>
        <w:t>oblasti atraktivních výzkumných systémů ČR rovněž ztrácí, neboť ukazatel světové citovanosti publikací dosáhl jen 44 % průměru EU. Přestože je ČR spoluautorem značného množství publikačních výstupů, jejich využití je dle ukazatele světové citovanosti publikací podprůměrné. Nejlepšího výsledku bylo dosaženo v sektoru dopadu na zaměstnanost, kdy ČR převýšila průměr EU zejména v ukazateli z</w:t>
      </w:r>
      <w:r w:rsidRPr="00454C72">
        <w:t>aměstnanost</w:t>
      </w:r>
      <w:r>
        <w:t>i</w:t>
      </w:r>
      <w:r w:rsidRPr="00454C72">
        <w:t xml:space="preserve"> </w:t>
      </w:r>
      <w:r w:rsidR="0099155A">
        <w:t xml:space="preserve">v </w:t>
      </w:r>
      <w:r w:rsidRPr="00454C72">
        <w:t>rychle rostoucích podni</w:t>
      </w:r>
      <w:r w:rsidR="0099155A">
        <w:t>cích</w:t>
      </w:r>
      <w:r>
        <w:t xml:space="preserve"> (o 45 % více než průměr EU).</w:t>
      </w:r>
    </w:p>
    <w:p w14:paraId="16AE5C52" w14:textId="77777777" w:rsidR="000C3B02" w:rsidRDefault="00941D3C" w:rsidP="000C3B02">
      <w:pPr>
        <w:pStyle w:val="ramecek"/>
      </w:pPr>
      <w:r>
        <w:t xml:space="preserve">ČR se dlouhodobě řadí do skupiny mírných inovátorů ztrácejících na průměr EU zejména v ochraně duševního vlastnictví a investicích rizikového kapitálu, které představují vyšší přidanou hodnotu v ekonomice. </w:t>
      </w:r>
    </w:p>
    <w:p w14:paraId="456726A5" w14:textId="65EBA51C" w:rsidR="00941D3C" w:rsidRDefault="00941D3C" w:rsidP="00941D3C">
      <w:pPr>
        <w:rPr>
          <w:b/>
        </w:rPr>
      </w:pPr>
      <w:r>
        <w:rPr>
          <w:b/>
        </w:rPr>
        <w:t>Právě činnosti s vyšší přidanou hodnotou ČR poslední roky chybí, a proto by se mělo na tyto oblasti aplikovaného výzkumu poskytování podpory zaměřit.</w:t>
      </w:r>
      <w:r>
        <w:t xml:space="preserve"> </w:t>
      </w:r>
      <w:r w:rsidRPr="006742F8">
        <w:rPr>
          <w:b/>
        </w:rPr>
        <w:t xml:space="preserve">Především by podpora </w:t>
      </w:r>
      <w:r w:rsidR="0099155A" w:rsidRPr="006742F8">
        <w:rPr>
          <w:b/>
        </w:rPr>
        <w:t xml:space="preserve">měla </w:t>
      </w:r>
      <w:r w:rsidRPr="006742F8">
        <w:rPr>
          <w:b/>
        </w:rPr>
        <w:t>cílit na</w:t>
      </w:r>
      <w:r w:rsidR="0099155A">
        <w:rPr>
          <w:b/>
        </w:rPr>
        <w:t xml:space="preserve"> </w:t>
      </w:r>
      <w:r w:rsidRPr="006742F8">
        <w:rPr>
          <w:b/>
        </w:rPr>
        <w:t xml:space="preserve">projekty, které </w:t>
      </w:r>
      <w:r w:rsidR="0099155A">
        <w:rPr>
          <w:b/>
        </w:rPr>
        <w:t>budou</w:t>
      </w:r>
      <w:r w:rsidRPr="006742F8">
        <w:rPr>
          <w:b/>
        </w:rPr>
        <w:t xml:space="preserve"> schopny výrazně ovlivnit prostředí ČR. </w:t>
      </w:r>
      <w:r>
        <w:rPr>
          <w:b/>
        </w:rPr>
        <w:t>Pokračovat by se mělo</w:t>
      </w:r>
      <w:r w:rsidRPr="006742F8">
        <w:rPr>
          <w:b/>
        </w:rPr>
        <w:t xml:space="preserve"> </w:t>
      </w:r>
      <w:r>
        <w:rPr>
          <w:b/>
        </w:rPr>
        <w:t xml:space="preserve">také </w:t>
      </w:r>
      <w:r w:rsidRPr="006742F8">
        <w:rPr>
          <w:b/>
        </w:rPr>
        <w:t>ve využívání potenciálu výzkumných center intenzivnějším propojením veřejného a soukromého sektoru, aby se zajistila</w:t>
      </w:r>
      <w:r w:rsidR="0099155A">
        <w:rPr>
          <w:b/>
        </w:rPr>
        <w:t xml:space="preserve"> </w:t>
      </w:r>
      <w:r w:rsidRPr="006742F8">
        <w:rPr>
          <w:b/>
        </w:rPr>
        <w:t>vyšší využitelnost výsledků v praxi.</w:t>
      </w:r>
    </w:p>
    <w:p w14:paraId="0FC027E5" w14:textId="7BE28206" w:rsidR="00DA170B" w:rsidRDefault="00941D3C" w:rsidP="009E69AD">
      <w:r>
        <w:t>K</w:t>
      </w:r>
      <w:r w:rsidR="00DA170B">
        <w:t xml:space="preserve"> lepším výsledkům v </w:t>
      </w:r>
      <w:r>
        <w:t xml:space="preserve">oblasti VaVaI by měla přispět </w:t>
      </w:r>
      <w:r w:rsidRPr="006742F8">
        <w:rPr>
          <w:i/>
        </w:rPr>
        <w:t>Inovační strategie České republiky 2019–2030</w:t>
      </w:r>
      <w:r>
        <w:t xml:space="preserve">, kterou vláda prostřednictvím Rady pro výzkum, vývoj a inovace schválila dne 23. ledna 2019. Po dosažení cílů vytyčených ve </w:t>
      </w:r>
      <w:r w:rsidRPr="006742F8">
        <w:rPr>
          <w:i/>
        </w:rPr>
        <w:t>Strategii</w:t>
      </w:r>
      <w:r>
        <w:t xml:space="preserve"> by se měla ČR dle Rady zařadit mezi nejinovativnější země Evropy.</w:t>
      </w:r>
      <w:r w:rsidR="00DA170B">
        <w:br w:type="page"/>
      </w:r>
    </w:p>
    <w:p w14:paraId="21C438E3" w14:textId="56865B33" w:rsidR="007A79EA" w:rsidRPr="007A79EA" w:rsidRDefault="00B246DA" w:rsidP="008971F5">
      <w:pPr>
        <w:pStyle w:val="Nadpis3"/>
      </w:pPr>
      <w:bookmarkStart w:id="24" w:name="_Toc17208275"/>
      <w:r>
        <w:lastRenderedPageBreak/>
        <w:t>Výdaje</w:t>
      </w:r>
      <w:r w:rsidR="000C2CB2">
        <w:t xml:space="preserve"> na léky</w:t>
      </w:r>
      <w:bookmarkEnd w:id="24"/>
    </w:p>
    <w:p w14:paraId="48B7B8A2" w14:textId="0DBB65C9" w:rsidR="00230352" w:rsidRPr="009816E8" w:rsidRDefault="00230352" w:rsidP="00230352">
      <w:pPr>
        <w:rPr>
          <w:b/>
        </w:rPr>
      </w:pPr>
      <w:r w:rsidRPr="008B2BDE">
        <w:t>Česká republika dlouhodobě řeší udržitelnost financování a zlepšení systému zdravotní péče</w:t>
      </w:r>
      <w:r>
        <w:t>, které přitom v mezinárodním srovnání patří k méně finančně náročným a dosahuje kvalitní úrovně</w:t>
      </w:r>
      <w:r w:rsidRPr="008B2BDE">
        <w:t xml:space="preserve">. </w:t>
      </w:r>
      <w:r>
        <w:t>Omezené veřejné</w:t>
      </w:r>
      <w:r w:rsidRPr="008B2BDE">
        <w:t xml:space="preserve"> zdroj</w:t>
      </w:r>
      <w:r>
        <w:t>e plynoucí do zdravotn</w:t>
      </w:r>
      <w:r w:rsidRPr="008B2BDE">
        <w:t>ic</w:t>
      </w:r>
      <w:r w:rsidR="004F67C3">
        <w:t>tví</w:t>
      </w:r>
      <w:r w:rsidRPr="008B2BDE">
        <w:t xml:space="preserve"> </w:t>
      </w:r>
      <w:r>
        <w:t>ne</w:t>
      </w:r>
      <w:r w:rsidRPr="008B2BDE">
        <w:t>zajišťuj</w:t>
      </w:r>
      <w:r>
        <w:t>í</w:t>
      </w:r>
      <w:r w:rsidRPr="008B2BDE">
        <w:t xml:space="preserve"> </w:t>
      </w:r>
      <w:r>
        <w:t xml:space="preserve">v dostatečné míře požadované zkvalitňování </w:t>
      </w:r>
      <w:r w:rsidRPr="008B2BDE">
        <w:t xml:space="preserve">zdravotní péče. </w:t>
      </w:r>
      <w:r>
        <w:rPr>
          <w:b/>
        </w:rPr>
        <w:t>V této souvislosti nemá být</w:t>
      </w:r>
      <w:r w:rsidRPr="009816E8">
        <w:rPr>
          <w:b/>
        </w:rPr>
        <w:t xml:space="preserve"> hospodaření s veřejnými zdroji ve zdravotnictví pouze otázkou dalšího navyšování výdajů, </w:t>
      </w:r>
      <w:r w:rsidR="004F67C3">
        <w:rPr>
          <w:b/>
        </w:rPr>
        <w:t xml:space="preserve">důležité je </w:t>
      </w:r>
      <w:r w:rsidRPr="009816E8">
        <w:rPr>
          <w:b/>
        </w:rPr>
        <w:t>i</w:t>
      </w:r>
      <w:r w:rsidR="004F67C3">
        <w:rPr>
          <w:b/>
        </w:rPr>
        <w:t> </w:t>
      </w:r>
      <w:r>
        <w:rPr>
          <w:b/>
        </w:rPr>
        <w:t>zv</w:t>
      </w:r>
      <w:r w:rsidR="004F67C3">
        <w:rPr>
          <w:b/>
        </w:rPr>
        <w:t>y</w:t>
      </w:r>
      <w:r>
        <w:rPr>
          <w:b/>
        </w:rPr>
        <w:t>š</w:t>
      </w:r>
      <w:r w:rsidR="004F67C3">
        <w:rPr>
          <w:b/>
        </w:rPr>
        <w:t>ování</w:t>
      </w:r>
      <w:r w:rsidRPr="009816E8">
        <w:rPr>
          <w:b/>
        </w:rPr>
        <w:t xml:space="preserve"> efektivit</w:t>
      </w:r>
      <w:r>
        <w:rPr>
          <w:b/>
        </w:rPr>
        <w:t xml:space="preserve">y vynaložených </w:t>
      </w:r>
      <w:r w:rsidR="004F67C3">
        <w:rPr>
          <w:b/>
        </w:rPr>
        <w:t>prostředků</w:t>
      </w:r>
      <w:r>
        <w:rPr>
          <w:b/>
        </w:rPr>
        <w:t>.</w:t>
      </w:r>
    </w:p>
    <w:p w14:paraId="4B32FA44" w14:textId="6890AF6A" w:rsidR="00230352" w:rsidRPr="000D2436" w:rsidRDefault="00230352" w:rsidP="00230352">
      <w:r w:rsidRPr="00001D2D">
        <w:t>Ve struktuře výdajů na zdravotní péči mají nezastupitelnou roli výdaje na</w:t>
      </w:r>
      <w:r>
        <w:t xml:space="preserve"> léky</w:t>
      </w:r>
      <w:r w:rsidR="004F67C3">
        <w:t>.</w:t>
      </w:r>
      <w:r w:rsidRPr="00001D2D">
        <w:t xml:space="preserve"> </w:t>
      </w:r>
      <w:r w:rsidR="004F67C3">
        <w:t>Tyto výdaje</w:t>
      </w:r>
      <w:r w:rsidRPr="00001D2D">
        <w:t xml:space="preserve"> </w:t>
      </w:r>
      <w:r w:rsidRPr="000D2436">
        <w:t>za rok 2017</w:t>
      </w:r>
      <w:r w:rsidRPr="00001D2D">
        <w:t xml:space="preserve"> dosáhly celkové výše 82,9 mld. Kč (</w:t>
      </w:r>
      <w:r w:rsidR="004F67C3">
        <w:t>jejich</w:t>
      </w:r>
      <w:r w:rsidRPr="00001D2D">
        <w:t xml:space="preserve"> podíl na celkových výdajích</w:t>
      </w:r>
      <w:r w:rsidR="004F67C3">
        <w:t xml:space="preserve"> činil </w:t>
      </w:r>
      <w:r w:rsidR="004F67C3" w:rsidRPr="00001D2D">
        <w:t>21,4</w:t>
      </w:r>
      <w:r w:rsidR="004F67C3">
        <w:t> </w:t>
      </w:r>
      <w:r w:rsidR="004F67C3" w:rsidRPr="00001D2D">
        <w:t>%</w:t>
      </w:r>
      <w:r w:rsidRPr="00001D2D">
        <w:t xml:space="preserve">). Z časového hlediska </w:t>
      </w:r>
      <w:r>
        <w:t>mají výdaje na léky</w:t>
      </w:r>
      <w:r w:rsidRPr="00001D2D">
        <w:t xml:space="preserve"> rostoucí tendenci, která je významně ovlivněn</w:t>
      </w:r>
      <w:r>
        <w:t>a</w:t>
      </w:r>
      <w:r w:rsidRPr="00001D2D">
        <w:t xml:space="preserve"> i</w:t>
      </w:r>
      <w:r w:rsidR="00F11098">
        <w:t> </w:t>
      </w:r>
      <w:r w:rsidRPr="00001D2D">
        <w:t xml:space="preserve">novým přístupem k inovativní léčbě </w:t>
      </w:r>
      <w:r w:rsidR="001A10E9">
        <w:t>spojené</w:t>
      </w:r>
      <w:r>
        <w:t xml:space="preserve"> s rozvojem </w:t>
      </w:r>
      <w:r w:rsidRPr="00001D2D">
        <w:t>specializovan</w:t>
      </w:r>
      <w:r>
        <w:t>ých center a</w:t>
      </w:r>
      <w:r w:rsidR="00F11098">
        <w:t xml:space="preserve"> </w:t>
      </w:r>
      <w:r>
        <w:t>větš</w:t>
      </w:r>
      <w:r w:rsidR="001A10E9">
        <w:t>ím</w:t>
      </w:r>
      <w:r w:rsidR="00F11098">
        <w:t xml:space="preserve"> </w:t>
      </w:r>
      <w:r w:rsidRPr="00001D2D">
        <w:t>využí</w:t>
      </w:r>
      <w:r>
        <w:t>vání</w:t>
      </w:r>
      <w:r w:rsidR="001A10E9">
        <w:t>m</w:t>
      </w:r>
      <w:r w:rsidRPr="00001D2D">
        <w:t xml:space="preserve"> centrových léků</w:t>
      </w:r>
      <w:r>
        <w:rPr>
          <w:rStyle w:val="Znakapoznpodarou"/>
        </w:rPr>
        <w:footnoteReference w:id="57"/>
      </w:r>
      <w:r w:rsidRPr="00001D2D">
        <w:t xml:space="preserve">. </w:t>
      </w:r>
      <w:r>
        <w:t>Právě centrové léky s vyšší pořizovací cenou se podíl</w:t>
      </w:r>
      <w:r w:rsidR="00F11098">
        <w:t>ejí</w:t>
      </w:r>
      <w:r>
        <w:t xml:space="preserve"> největší měrou na vyšším růstu výdajů. Jenom v porovnání s rokem 2013 se výdaje na centrové léky zvýšily o </w:t>
      </w:r>
      <w:r w:rsidRPr="000D2436">
        <w:t>63,7 %.</w:t>
      </w:r>
    </w:p>
    <w:p w14:paraId="7DB7CD41" w14:textId="6471BC7D" w:rsidR="00230352" w:rsidRPr="00513E85" w:rsidRDefault="000509E3" w:rsidP="00D3507E">
      <w:pPr>
        <w:pStyle w:val="Tituleknadgrafy10-99"/>
      </w:pPr>
      <w:r w:rsidRPr="000D2436">
        <w:t>Graf č. </w:t>
      </w:r>
      <w:r w:rsidRPr="000D2436">
        <w:fldChar w:fldCharType="begin"/>
      </w:r>
      <w:r w:rsidRPr="000D2436">
        <w:instrText xml:space="preserve"> SEQ Graf_č. \* ARABIC </w:instrText>
      </w:r>
      <w:r w:rsidRPr="000D2436">
        <w:fldChar w:fldCharType="separate"/>
      </w:r>
      <w:r w:rsidR="009849B2">
        <w:t>25</w:t>
      </w:r>
      <w:r w:rsidRPr="000D2436">
        <w:fldChar w:fldCharType="end"/>
      </w:r>
      <w:r w:rsidRPr="000D2436">
        <w:t xml:space="preserve"> </w:t>
      </w:r>
      <w:r w:rsidR="00230352" w:rsidRPr="000D2436">
        <w:t>–</w:t>
      </w:r>
      <w:r w:rsidR="00001875">
        <w:tab/>
      </w:r>
      <w:r w:rsidR="00230352" w:rsidRPr="00513E85">
        <w:t>Celkové výdaje na lé</w:t>
      </w:r>
      <w:r w:rsidR="00230352">
        <w:t>ky</w:t>
      </w:r>
      <w:r w:rsidR="00230352" w:rsidRPr="00513E85">
        <w:t xml:space="preserve"> a jejich financování z veřejného pojištění s vyčíslením výdajů na centrové léky</w:t>
      </w:r>
      <w:r w:rsidR="00230352">
        <w:t xml:space="preserve"> </w:t>
      </w:r>
      <w:r w:rsidR="00230352" w:rsidRPr="00A6125F">
        <w:t>(v mld. Kč)</w:t>
      </w:r>
    </w:p>
    <w:p w14:paraId="0F4A2C8E" w14:textId="77777777" w:rsidR="00230352" w:rsidRDefault="00230352" w:rsidP="00230352">
      <w:pPr>
        <w:spacing w:before="0" w:after="0"/>
      </w:pPr>
      <w:r>
        <w:rPr>
          <w:noProof/>
          <w:lang w:eastAsia="cs-CZ"/>
        </w:rPr>
        <w:drawing>
          <wp:inline distT="0" distB="0" distL="0" distR="0" wp14:anchorId="607F796F" wp14:editId="1BE3216F">
            <wp:extent cx="5772150" cy="1466850"/>
            <wp:effectExtent l="0" t="0" r="0" b="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2B9BF377" w14:textId="4A15DFB3" w:rsidR="00230352" w:rsidRPr="00165EC1" w:rsidRDefault="00230352" w:rsidP="002C4F38">
      <w:pPr>
        <w:pStyle w:val="Poznazdroj"/>
      </w:pPr>
      <w:r w:rsidRPr="00AA1560">
        <w:rPr>
          <w:b/>
        </w:rPr>
        <w:t>Zdroj:</w:t>
      </w:r>
      <w:r>
        <w:t xml:space="preserve"> </w:t>
      </w:r>
      <w:r w:rsidR="000D2436" w:rsidRPr="00165EC1">
        <w:t xml:space="preserve">Český statistický úřad – </w:t>
      </w:r>
      <w:r w:rsidRPr="00AA1560">
        <w:rPr>
          <w:i/>
        </w:rPr>
        <w:t>Výsledky zdravotnickýc</w:t>
      </w:r>
      <w:r w:rsidR="000D2436" w:rsidRPr="00AA1560">
        <w:rPr>
          <w:i/>
        </w:rPr>
        <w:t>h účtů ČR v letech 2010 až 2017</w:t>
      </w:r>
      <w:r w:rsidRPr="00165EC1">
        <w:t>.</w:t>
      </w:r>
    </w:p>
    <w:p w14:paraId="1C112AD6" w14:textId="3E23E408" w:rsidR="000C3B02" w:rsidRDefault="00230352" w:rsidP="00230352">
      <w:r w:rsidRPr="009816E8">
        <w:t xml:space="preserve">Problematika </w:t>
      </w:r>
      <w:r>
        <w:t>účeln</w:t>
      </w:r>
      <w:r w:rsidR="00F11098">
        <w:t>osti</w:t>
      </w:r>
      <w:r>
        <w:t xml:space="preserve"> a hospodárn</w:t>
      </w:r>
      <w:r w:rsidR="00F11098">
        <w:t>osti</w:t>
      </w:r>
      <w:r>
        <w:t xml:space="preserve"> </w:t>
      </w:r>
      <w:r w:rsidRPr="009816E8">
        <w:t>vyna</w:t>
      </w:r>
      <w:r w:rsidR="00F11098">
        <w:t>kládání</w:t>
      </w:r>
      <w:r w:rsidRPr="009816E8">
        <w:t xml:space="preserve"> výdajů v oblasti pořizování léčiv byl</w:t>
      </w:r>
      <w:r>
        <w:t>a</w:t>
      </w:r>
      <w:r w:rsidRPr="009816E8">
        <w:t xml:space="preserve"> ze strany NKÚ </w:t>
      </w:r>
      <w:r>
        <w:t>prověřena</w:t>
      </w:r>
      <w:r w:rsidRPr="009816E8">
        <w:t xml:space="preserve"> KA č. 17/19</w:t>
      </w:r>
      <w:r>
        <w:rPr>
          <w:rStyle w:val="Znakapoznpodarou"/>
        </w:rPr>
        <w:footnoteReference w:id="58"/>
      </w:r>
      <w:r w:rsidR="000C3B02">
        <w:t>.</w:t>
      </w:r>
      <w:r w:rsidRPr="009816E8">
        <w:t xml:space="preserve"> </w:t>
      </w:r>
    </w:p>
    <w:p w14:paraId="1214EF93" w14:textId="4CFA218C" w:rsidR="000C3B02" w:rsidRDefault="000C3B02" w:rsidP="000C3B02">
      <w:pPr>
        <w:pStyle w:val="ramecek"/>
      </w:pPr>
      <w:r>
        <w:t>Bylo zjištěno</w:t>
      </w:r>
      <w:r w:rsidR="00230352">
        <w:t>, že</w:t>
      </w:r>
      <w:r w:rsidR="00230352" w:rsidRPr="009816E8">
        <w:t xml:space="preserve"> </w:t>
      </w:r>
      <w:r w:rsidR="00230352">
        <w:t>u vybraných</w:t>
      </w:r>
      <w:r w:rsidR="00230352" w:rsidRPr="009816E8">
        <w:t xml:space="preserve"> kontrolovaných fakultních nemocnic </w:t>
      </w:r>
      <w:r w:rsidR="00230352" w:rsidRPr="00616B0C">
        <w:t>existuj</w:t>
      </w:r>
      <w:r w:rsidR="00B64DD4">
        <w:t>í</w:t>
      </w:r>
      <w:r w:rsidR="00230352" w:rsidRPr="00616B0C">
        <w:t xml:space="preserve"> vysok</w:t>
      </w:r>
      <w:r w:rsidR="00B64DD4">
        <w:t>é</w:t>
      </w:r>
      <w:r w:rsidR="00230352" w:rsidRPr="00616B0C">
        <w:t xml:space="preserve"> rozdíl</w:t>
      </w:r>
      <w:r w:rsidR="00B64DD4">
        <w:t>y</w:t>
      </w:r>
      <w:r w:rsidR="00230352" w:rsidRPr="00616B0C">
        <w:t xml:space="preserve"> pořizovacích cen léčiv spojen</w:t>
      </w:r>
      <w:r w:rsidR="00B64DD4">
        <w:t>é</w:t>
      </w:r>
      <w:r w:rsidR="00230352" w:rsidRPr="00616B0C">
        <w:t xml:space="preserve"> s nízk</w:t>
      </w:r>
      <w:r w:rsidR="00230352">
        <w:t>ým</w:t>
      </w:r>
      <w:r w:rsidR="00230352" w:rsidRPr="00616B0C">
        <w:t xml:space="preserve"> uplatňování</w:t>
      </w:r>
      <w:r w:rsidR="00230352">
        <w:t>m</w:t>
      </w:r>
      <w:r w:rsidR="00230352" w:rsidRPr="00616B0C">
        <w:t xml:space="preserve"> zadávacího řízení dle zákona o</w:t>
      </w:r>
      <w:r w:rsidR="00165EC1">
        <w:t> </w:t>
      </w:r>
      <w:r w:rsidR="00230352" w:rsidRPr="00616B0C">
        <w:t>z</w:t>
      </w:r>
      <w:r w:rsidR="00230352">
        <w:t>a</w:t>
      </w:r>
      <w:r w:rsidR="00230352" w:rsidRPr="00616B0C">
        <w:t>dávání veřejných zakázek</w:t>
      </w:r>
      <w:r w:rsidR="00230352" w:rsidRPr="000C3B02">
        <w:rPr>
          <w:rStyle w:val="Znakapoznpodarou"/>
        </w:rPr>
        <w:footnoteReference w:id="59"/>
      </w:r>
      <w:r w:rsidR="00230352" w:rsidRPr="00616B0C">
        <w:t>.</w:t>
      </w:r>
      <w:r w:rsidR="00230352" w:rsidRPr="009816E8">
        <w:t xml:space="preserve"> </w:t>
      </w:r>
    </w:p>
    <w:p w14:paraId="18D7F8B2" w14:textId="53CD864F" w:rsidR="00230352" w:rsidRDefault="00230352" w:rsidP="00230352">
      <w:r>
        <w:t xml:space="preserve">Ve většině případů se pořizování léčiv realizovalo prostřednictvím výjimky s využitím přímého zadání dodavatelům. </w:t>
      </w:r>
      <w:r w:rsidRPr="00A95A6B">
        <w:t>U vybraných kontrolovaných druhů léčiv</w:t>
      </w:r>
      <w:r>
        <w:t xml:space="preserve"> (včetně centrových léků)</w:t>
      </w:r>
      <w:r w:rsidRPr="00A95A6B">
        <w:t xml:space="preserve"> bylo zadávací řízení využito pouze v rozmezí od 0 % do </w:t>
      </w:r>
      <w:r w:rsidRPr="00A6125F">
        <w:t>30</w:t>
      </w:r>
      <w:r>
        <w:t xml:space="preserve"> </w:t>
      </w:r>
      <w:r w:rsidRPr="00A95A6B">
        <w:t>% a největší rozdíly v jednotkové ceně dosáhl</w:t>
      </w:r>
      <w:r>
        <w:t>y</w:t>
      </w:r>
      <w:r w:rsidRPr="00A95A6B">
        <w:t xml:space="preserve"> od desítek až </w:t>
      </w:r>
      <w:r>
        <w:t xml:space="preserve">ke stovkám </w:t>
      </w:r>
      <w:r w:rsidRPr="00A95A6B">
        <w:t xml:space="preserve">procent. </w:t>
      </w:r>
      <w:r>
        <w:t>Oblast přijímání, vykazování a</w:t>
      </w:r>
      <w:r w:rsidR="00165EC1">
        <w:t> </w:t>
      </w:r>
      <w:r>
        <w:t>nakládání s bonusy od dodavatelů nebyla transparentní.</w:t>
      </w:r>
    </w:p>
    <w:p w14:paraId="306C7DB0" w14:textId="018D8DA1" w:rsidR="00230352" w:rsidRPr="000C3B02" w:rsidRDefault="00230352" w:rsidP="00230352">
      <w:pPr>
        <w:rPr>
          <w:b/>
        </w:rPr>
      </w:pPr>
      <w:r w:rsidRPr="000C3B02">
        <w:rPr>
          <w:b/>
        </w:rPr>
        <w:lastRenderedPageBreak/>
        <w:t>Důležitým krokem, který v průběhu roku 2018 začalo Ministerstvo zdravotnictví plně podporovat, je zavedení systému centrálních nákupů léčiv a zdravotn</w:t>
      </w:r>
      <w:r w:rsidR="00F11098">
        <w:rPr>
          <w:b/>
        </w:rPr>
        <w:t>ického</w:t>
      </w:r>
      <w:r w:rsidRPr="000C3B02">
        <w:rPr>
          <w:b/>
        </w:rPr>
        <w:t xml:space="preserve"> materiálu</w:t>
      </w:r>
      <w:r w:rsidR="00F11098">
        <w:rPr>
          <w:b/>
        </w:rPr>
        <w:t>;</w:t>
      </w:r>
      <w:r w:rsidRPr="000C3B02">
        <w:rPr>
          <w:b/>
        </w:rPr>
        <w:t xml:space="preserve"> </w:t>
      </w:r>
      <w:r w:rsidR="00F11098">
        <w:rPr>
          <w:b/>
        </w:rPr>
        <w:t>dále se Ministerstvo zdravotnictví spolu</w:t>
      </w:r>
      <w:r w:rsidRPr="000C3B02">
        <w:rPr>
          <w:b/>
        </w:rPr>
        <w:t xml:space="preserve"> se zástupci farmaceutických společností podílelo na vytvoř</w:t>
      </w:r>
      <w:r w:rsidR="001A10E9">
        <w:rPr>
          <w:b/>
        </w:rPr>
        <w:t>ení databáze reálných cen léčiv. Tyto kroky</w:t>
      </w:r>
      <w:r w:rsidRPr="000C3B02">
        <w:rPr>
          <w:b/>
        </w:rPr>
        <w:t xml:space="preserve"> mohou v konečném důsledku pomoc</w:t>
      </w:r>
      <w:r w:rsidR="00F11098">
        <w:rPr>
          <w:b/>
        </w:rPr>
        <w:t>i</w:t>
      </w:r>
      <w:r w:rsidRPr="000C3B02">
        <w:rPr>
          <w:b/>
        </w:rPr>
        <w:t xml:space="preserve"> sn</w:t>
      </w:r>
      <w:r w:rsidR="00F11098">
        <w:rPr>
          <w:b/>
        </w:rPr>
        <w:t>ížit</w:t>
      </w:r>
      <w:r w:rsidRPr="000C3B02">
        <w:rPr>
          <w:b/>
        </w:rPr>
        <w:t xml:space="preserve"> výdaje na nákup léčivých přípravků zdravotnickými zařízeními.</w:t>
      </w:r>
    </w:p>
    <w:p w14:paraId="4D1E852E" w14:textId="10134F33" w:rsidR="00230352" w:rsidRDefault="00230352" w:rsidP="00230352">
      <w:r>
        <w:t>Z pravidelně hodnocených ukazatelů uveřejňovaných Státním ú</w:t>
      </w:r>
      <w:r w:rsidR="00B63EFB">
        <w:t>stavem</w:t>
      </w:r>
      <w:r>
        <w:t xml:space="preserve"> pro kontrolu léčiv lze vysledovat, že v ČR vzrostla postupně celková distribuce léčiv včetně jejich výdeje v</w:t>
      </w:r>
      <w:r w:rsidR="00165EC1">
        <w:t> </w:t>
      </w:r>
      <w:r>
        <w:t>lékárnách. Ve srovnání s rokem 2010 (6 084 mil.) počet definovaných denních dávek</w:t>
      </w:r>
      <w:r>
        <w:rPr>
          <w:rStyle w:val="Znakapoznpodarou"/>
        </w:rPr>
        <w:footnoteReference w:id="60"/>
      </w:r>
      <w:r>
        <w:t xml:space="preserve"> v roce 2018 dosáhl </w:t>
      </w:r>
      <w:r w:rsidRPr="00D46DBB">
        <w:t>6 722 mil</w:t>
      </w:r>
      <w:r>
        <w:t>.</w:t>
      </w:r>
      <w:r w:rsidR="00F11098">
        <w:t>,</w:t>
      </w:r>
      <w:r>
        <w:t xml:space="preserve"> a </w:t>
      </w:r>
      <w:r w:rsidRPr="00CB011A">
        <w:t xml:space="preserve">vzrostl </w:t>
      </w:r>
      <w:r w:rsidRPr="00A6125F">
        <w:t>tak o 10,5 %.</w:t>
      </w:r>
      <w:r>
        <w:t xml:space="preserve"> </w:t>
      </w:r>
    </w:p>
    <w:p w14:paraId="26E8110D" w14:textId="14B4DCCD" w:rsidR="00230352"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26</w:t>
      </w:r>
      <w:r w:rsidRPr="00C95133">
        <w:fldChar w:fldCharType="end"/>
      </w:r>
      <w:r w:rsidR="00230352" w:rsidRPr="00762E5A">
        <w:t xml:space="preserve"> –</w:t>
      </w:r>
      <w:r w:rsidR="00001875">
        <w:tab/>
      </w:r>
      <w:r w:rsidR="00230352">
        <w:t>Celkové dodávky</w:t>
      </w:r>
      <w:r w:rsidR="00230352" w:rsidRPr="00762E5A">
        <w:t xml:space="preserve"> léčiv </w:t>
      </w:r>
      <w:r w:rsidR="00230352">
        <w:t xml:space="preserve">a výdeje z lékáren </w:t>
      </w:r>
      <w:r w:rsidR="00230352" w:rsidRPr="00762E5A">
        <w:t>podle definované denní dávky</w:t>
      </w:r>
      <w:r w:rsidR="00230352">
        <w:t xml:space="preserve"> (v mil.)</w:t>
      </w:r>
    </w:p>
    <w:p w14:paraId="1408F56A" w14:textId="53A8E7BC" w:rsidR="00230352" w:rsidRPr="00D73BD4" w:rsidRDefault="00FB3E86" w:rsidP="00D3507E">
      <w:pPr>
        <w:spacing w:before="0" w:after="0"/>
      </w:pPr>
      <w:r>
        <w:rPr>
          <w:noProof/>
          <w:lang w:eastAsia="cs-CZ"/>
        </w:rPr>
        <w:drawing>
          <wp:inline distT="0" distB="0" distL="0" distR="0" wp14:anchorId="4FC66454" wp14:editId="738654EF">
            <wp:extent cx="5759450" cy="1692000"/>
            <wp:effectExtent l="0" t="0" r="0" b="381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14:paraId="6AD0EA4F" w14:textId="029DCF52" w:rsidR="00D3507E" w:rsidRPr="00D3507E" w:rsidRDefault="00D3507E" w:rsidP="003F32FC">
      <w:pPr>
        <w:spacing w:before="0" w:after="0"/>
        <w:rPr>
          <w:sz w:val="20"/>
          <w:szCs w:val="20"/>
        </w:rPr>
      </w:pPr>
      <w:r w:rsidRPr="00AA1560">
        <w:rPr>
          <w:b/>
          <w:sz w:val="20"/>
          <w:szCs w:val="20"/>
        </w:rPr>
        <w:t>Zdroj:</w:t>
      </w:r>
      <w:r w:rsidRPr="00D3507E">
        <w:rPr>
          <w:sz w:val="20"/>
          <w:szCs w:val="20"/>
        </w:rPr>
        <w:t xml:space="preserve"> </w:t>
      </w:r>
      <w:r w:rsidR="00AA1560">
        <w:rPr>
          <w:sz w:val="20"/>
          <w:szCs w:val="20"/>
        </w:rPr>
        <w:t>Státní ústav pro kontrolu léčiv –</w:t>
      </w:r>
      <w:r w:rsidRPr="00D3507E">
        <w:rPr>
          <w:sz w:val="20"/>
          <w:szCs w:val="20"/>
        </w:rPr>
        <w:t xml:space="preserve"> </w:t>
      </w:r>
      <w:r w:rsidRPr="00AA1560">
        <w:rPr>
          <w:i/>
          <w:sz w:val="20"/>
          <w:szCs w:val="20"/>
        </w:rPr>
        <w:t>Hodnocení distribuovaných a vydaných léčivých přípravků za rok 2018</w:t>
      </w:r>
      <w:r>
        <w:rPr>
          <w:sz w:val="20"/>
          <w:szCs w:val="20"/>
        </w:rPr>
        <w:t>.</w:t>
      </w:r>
    </w:p>
    <w:p w14:paraId="7AAACB6E" w14:textId="0EEFD49B" w:rsidR="00D3507E" w:rsidRPr="00D3507E" w:rsidRDefault="00D3507E" w:rsidP="00D3507E">
      <w:pPr>
        <w:spacing w:before="0" w:after="0"/>
        <w:ind w:left="284" w:hanging="284"/>
        <w:rPr>
          <w:sz w:val="20"/>
          <w:szCs w:val="20"/>
        </w:rPr>
      </w:pPr>
      <w:r w:rsidRPr="00D3507E">
        <w:rPr>
          <w:sz w:val="20"/>
          <w:szCs w:val="20"/>
        </w:rPr>
        <w:t xml:space="preserve">* </w:t>
      </w:r>
      <w:r w:rsidRPr="00D3507E">
        <w:rPr>
          <w:sz w:val="20"/>
          <w:szCs w:val="20"/>
        </w:rPr>
        <w:tab/>
        <w:t>Údaje zahrnují pouze přípravky vydávané na základě lékařského předpisu nebo vydané v rámci kategorie bez lékařského předpisu s omezením; údaj za rok 2018 nebyl k datu redakční uzávěrky k</w:t>
      </w:r>
      <w:r>
        <w:rPr>
          <w:sz w:val="20"/>
          <w:szCs w:val="20"/>
        </w:rPr>
        <w:t> </w:t>
      </w:r>
      <w:r w:rsidRPr="00D3507E">
        <w:rPr>
          <w:sz w:val="20"/>
          <w:szCs w:val="20"/>
        </w:rPr>
        <w:t>dispozici</w:t>
      </w:r>
      <w:r>
        <w:rPr>
          <w:sz w:val="20"/>
          <w:szCs w:val="20"/>
        </w:rPr>
        <w:t>.</w:t>
      </w:r>
    </w:p>
    <w:p w14:paraId="547120AB" w14:textId="56380FE3" w:rsidR="00230352" w:rsidRDefault="00230352" w:rsidP="003F32FC">
      <w:r w:rsidRPr="000C3B02">
        <w:rPr>
          <w:b/>
        </w:rPr>
        <w:t>Klíčovou roli k zajištění větší transparentnosti a efektivnosti vyna</w:t>
      </w:r>
      <w:r w:rsidR="00F11098">
        <w:rPr>
          <w:b/>
        </w:rPr>
        <w:t>kládání</w:t>
      </w:r>
      <w:r w:rsidRPr="000C3B02">
        <w:rPr>
          <w:b/>
        </w:rPr>
        <w:t xml:space="preserve"> výdajů na léčiva má přinést novela zákona o léčivech</w:t>
      </w:r>
      <w:r w:rsidRPr="000C3B02">
        <w:rPr>
          <w:rStyle w:val="Znakapoznpodarou"/>
          <w:b/>
        </w:rPr>
        <w:footnoteReference w:id="61"/>
      </w:r>
      <w:r w:rsidRPr="000C3B02">
        <w:rPr>
          <w:b/>
        </w:rPr>
        <w:t>, která upřesňuje celý elektronický systém a</w:t>
      </w:r>
      <w:r w:rsidR="00D73BD4">
        <w:rPr>
          <w:b/>
        </w:rPr>
        <w:t> </w:t>
      </w:r>
      <w:r w:rsidRPr="000C3B02">
        <w:rPr>
          <w:b/>
        </w:rPr>
        <w:t xml:space="preserve">stanovuje podmínky využívání centrální databáze lékového záznamu pacienta na základě povinnosti </w:t>
      </w:r>
      <w:r w:rsidR="00842196">
        <w:rPr>
          <w:b/>
        </w:rPr>
        <w:t>používat</w:t>
      </w:r>
      <w:r w:rsidRPr="000C3B02">
        <w:rPr>
          <w:b/>
        </w:rPr>
        <w:t xml:space="preserve"> elektronické recepty.</w:t>
      </w:r>
      <w:r w:rsidRPr="005C4989">
        <w:t xml:space="preserve"> </w:t>
      </w:r>
      <w:r>
        <w:t>Jak vyplývá ze samotné důvodové zprávy k novele, d</w:t>
      </w:r>
      <w:r w:rsidRPr="005C4989">
        <w:t xml:space="preserve">osavadní praxe ukazuje, </w:t>
      </w:r>
      <w:r w:rsidRPr="00DE3054">
        <w:t xml:space="preserve">že dochází k předepisování </w:t>
      </w:r>
      <w:r>
        <w:t xml:space="preserve">i </w:t>
      </w:r>
      <w:r w:rsidRPr="00DE3054">
        <w:t>lé</w:t>
      </w:r>
      <w:r>
        <w:t>čiv</w:t>
      </w:r>
      <w:r w:rsidRPr="00DE3054">
        <w:t>, kter</w:t>
      </w:r>
      <w:r w:rsidR="00F11098">
        <w:t>á</w:t>
      </w:r>
      <w:r w:rsidRPr="00DE3054">
        <w:t xml:space="preserve"> se navzájem užívat nesmějí, resp. dochází k dublování preskripce, neboť lékař má přehled pouze o</w:t>
      </w:r>
      <w:r w:rsidR="00F11098">
        <w:t> </w:t>
      </w:r>
      <w:r>
        <w:t>léčivech, kter</w:t>
      </w:r>
      <w:r w:rsidR="00F11098">
        <w:t>á</w:t>
      </w:r>
      <w:r>
        <w:t xml:space="preserve"> sám předepsal.</w:t>
      </w:r>
    </w:p>
    <w:p w14:paraId="20680145" w14:textId="69E401FD" w:rsidR="00085B30" w:rsidRDefault="00230352" w:rsidP="003F32FC">
      <w:pPr>
        <w:spacing w:before="80"/>
        <w:rPr>
          <w:b/>
        </w:rPr>
      </w:pPr>
      <w:r>
        <w:rPr>
          <w:b/>
        </w:rPr>
        <w:t>Oblast</w:t>
      </w:r>
      <w:r w:rsidRPr="00CE3838">
        <w:rPr>
          <w:b/>
        </w:rPr>
        <w:t xml:space="preserve"> zdravotnictví je financován</w:t>
      </w:r>
      <w:r>
        <w:rPr>
          <w:b/>
        </w:rPr>
        <w:t>a</w:t>
      </w:r>
      <w:r w:rsidRPr="00CE3838">
        <w:rPr>
          <w:b/>
        </w:rPr>
        <w:t xml:space="preserve"> </w:t>
      </w:r>
      <w:r w:rsidR="00842196" w:rsidRPr="00CE3838">
        <w:rPr>
          <w:b/>
        </w:rPr>
        <w:t xml:space="preserve">převážně </w:t>
      </w:r>
      <w:r w:rsidR="00842196">
        <w:rPr>
          <w:b/>
        </w:rPr>
        <w:t xml:space="preserve">z </w:t>
      </w:r>
      <w:r w:rsidRPr="00CE3838">
        <w:rPr>
          <w:b/>
        </w:rPr>
        <w:t>odvod</w:t>
      </w:r>
      <w:r w:rsidR="00842196">
        <w:rPr>
          <w:b/>
        </w:rPr>
        <w:t>ů</w:t>
      </w:r>
      <w:r w:rsidRPr="00CE3838">
        <w:rPr>
          <w:b/>
        </w:rPr>
        <w:t xml:space="preserve"> </w:t>
      </w:r>
      <w:r>
        <w:rPr>
          <w:b/>
        </w:rPr>
        <w:t xml:space="preserve">na </w:t>
      </w:r>
      <w:r w:rsidRPr="00CE3838">
        <w:rPr>
          <w:b/>
        </w:rPr>
        <w:t xml:space="preserve">zdravotní pojištění, které jsou </w:t>
      </w:r>
      <w:r w:rsidRPr="008F19EF">
        <w:rPr>
          <w:b/>
          <w:spacing w:val="-1"/>
        </w:rPr>
        <w:t>citlivé na pokles ekonomiky. Zároveň v současných demografických podmínkách, kdy</w:t>
      </w:r>
      <w:r w:rsidRPr="00CE3838">
        <w:rPr>
          <w:b/>
        </w:rPr>
        <w:t xml:space="preserve"> trvale roste podíl ekonomicky neaktivního obyvatelstva, se riziko </w:t>
      </w:r>
      <w:r w:rsidR="00842196">
        <w:rPr>
          <w:b/>
        </w:rPr>
        <w:t>po</w:t>
      </w:r>
      <w:r w:rsidRPr="00CE3838">
        <w:rPr>
          <w:b/>
        </w:rPr>
        <w:t>kles</w:t>
      </w:r>
      <w:r w:rsidR="00842196">
        <w:rPr>
          <w:b/>
        </w:rPr>
        <w:t>u</w:t>
      </w:r>
      <w:r w:rsidRPr="00CE3838">
        <w:rPr>
          <w:b/>
        </w:rPr>
        <w:t xml:space="preserve"> příjmů z pojistného zvyšuje. </w:t>
      </w:r>
      <w:r>
        <w:rPr>
          <w:b/>
        </w:rPr>
        <w:t>Plnohodnotné zavedení</w:t>
      </w:r>
      <w:r w:rsidRPr="00A34800">
        <w:rPr>
          <w:b/>
        </w:rPr>
        <w:t xml:space="preserve"> </w:t>
      </w:r>
      <w:r>
        <w:rPr>
          <w:b/>
        </w:rPr>
        <w:t xml:space="preserve">a fungování systému </w:t>
      </w:r>
      <w:r w:rsidRPr="00A34800">
        <w:rPr>
          <w:b/>
        </w:rPr>
        <w:t>elektronick</w:t>
      </w:r>
      <w:r>
        <w:rPr>
          <w:b/>
        </w:rPr>
        <w:t xml:space="preserve">ých receptů </w:t>
      </w:r>
      <w:r w:rsidR="00842196">
        <w:rPr>
          <w:b/>
        </w:rPr>
        <w:t>a</w:t>
      </w:r>
      <w:r>
        <w:rPr>
          <w:b/>
        </w:rPr>
        <w:t xml:space="preserve"> využívání centrálních nákupů léčiv a zdravotn</w:t>
      </w:r>
      <w:r w:rsidR="00842196">
        <w:rPr>
          <w:b/>
        </w:rPr>
        <w:t>ického</w:t>
      </w:r>
      <w:r>
        <w:rPr>
          <w:b/>
        </w:rPr>
        <w:t xml:space="preserve"> materiálu</w:t>
      </w:r>
      <w:r w:rsidR="00842196">
        <w:rPr>
          <w:b/>
        </w:rPr>
        <w:t xml:space="preserve"> jsou jedny </w:t>
      </w:r>
      <w:r>
        <w:rPr>
          <w:b/>
        </w:rPr>
        <w:t>z</w:t>
      </w:r>
      <w:r w:rsidR="00F11098">
        <w:rPr>
          <w:b/>
        </w:rPr>
        <w:t> </w:t>
      </w:r>
      <w:r w:rsidRPr="00A34800">
        <w:rPr>
          <w:b/>
        </w:rPr>
        <w:t>důležit</w:t>
      </w:r>
      <w:r>
        <w:rPr>
          <w:b/>
        </w:rPr>
        <w:t>ých nástrojů ke snížení nákladů a efektivnímu využívání finančních zdrojů v systému zdravotnictví.</w:t>
      </w:r>
    </w:p>
    <w:p w14:paraId="109BC4F2" w14:textId="3403511D" w:rsidR="007A79EA" w:rsidRPr="007A79EA" w:rsidRDefault="000C2CB2" w:rsidP="008971F5">
      <w:pPr>
        <w:pStyle w:val="Nadpis3"/>
      </w:pPr>
      <w:bookmarkStart w:id="25" w:name="_Toc17208276"/>
      <w:r>
        <w:lastRenderedPageBreak/>
        <w:t>Ochrana zemědělské půdy</w:t>
      </w:r>
      <w:bookmarkEnd w:id="25"/>
    </w:p>
    <w:p w14:paraId="1B53E049" w14:textId="4DB56FA9" w:rsidR="000C3B02" w:rsidRDefault="00230352" w:rsidP="00230352">
      <w:r w:rsidRPr="00392049">
        <w:t>Hospodaření na zemědělské půdě je v podmínkách ČR postaven</w:t>
      </w:r>
      <w:r w:rsidR="008971F5">
        <w:t>o</w:t>
      </w:r>
      <w:r w:rsidRPr="00392049">
        <w:t xml:space="preserve"> </w:t>
      </w:r>
      <w:r>
        <w:t xml:space="preserve">ve </w:t>
      </w:r>
      <w:r w:rsidRPr="00392049">
        <w:t xml:space="preserve">větší míře na intenzivním zemědělství. </w:t>
      </w:r>
      <w:r w:rsidRPr="001854FD">
        <w:t>Kvůli</w:t>
      </w:r>
      <w:r w:rsidR="001B23F2">
        <w:t xml:space="preserve"> </w:t>
      </w:r>
      <w:r w:rsidRPr="001854FD">
        <w:t>dříve uplatňovanému způsobu</w:t>
      </w:r>
      <w:r w:rsidRPr="00392049">
        <w:t xml:space="preserve"> hospodaření převládají velké půdní bloky s omezeným počtem ochranných a krajinných prvků. </w:t>
      </w:r>
      <w:r>
        <w:t>V</w:t>
      </w:r>
      <w:r w:rsidRPr="00392049">
        <w:t xml:space="preserve">yužívání zemědělské půdy postupně ovlivnila i převzatá </w:t>
      </w:r>
      <w:r w:rsidR="008971F5">
        <w:t>s</w:t>
      </w:r>
      <w:r w:rsidRPr="00392049">
        <w:t xml:space="preserve">polečná zemědělská politika </w:t>
      </w:r>
      <w:r>
        <w:t xml:space="preserve">a další opatření </w:t>
      </w:r>
      <w:r w:rsidRPr="00392049">
        <w:t xml:space="preserve">EU, která přispěla ke změně struktury pěstovaných plodin a k poklesu živočišné výroby (např. </w:t>
      </w:r>
      <w:r>
        <w:t xml:space="preserve">kvůli </w:t>
      </w:r>
      <w:r w:rsidRPr="00392049">
        <w:t>podpo</w:t>
      </w:r>
      <w:r>
        <w:t>ře</w:t>
      </w:r>
      <w:r w:rsidRPr="00392049">
        <w:t xml:space="preserve"> využití produkce zemědělských plodin jako obnovitelného zdroje energie). </w:t>
      </w:r>
      <w:r>
        <w:t>N</w:t>
      </w:r>
      <w:r w:rsidRPr="00392049">
        <w:t>a stavu zemědělsk</w:t>
      </w:r>
      <w:r>
        <w:t>é</w:t>
      </w:r>
      <w:r w:rsidRPr="00392049">
        <w:t xml:space="preserve"> půd</w:t>
      </w:r>
      <w:r>
        <w:t>y</w:t>
      </w:r>
      <w:r w:rsidRPr="00392049">
        <w:t xml:space="preserve"> </w:t>
      </w:r>
      <w:r>
        <w:t xml:space="preserve">se </w:t>
      </w:r>
      <w:r w:rsidRPr="00392049">
        <w:t>projevily i klimatické změny, kdy do</w:t>
      </w:r>
      <w:r>
        <w:t>chází</w:t>
      </w:r>
      <w:r w:rsidRPr="00392049">
        <w:t xml:space="preserve"> k většímu výskytu případů vodní </w:t>
      </w:r>
      <w:r w:rsidR="008971F5">
        <w:t xml:space="preserve">i </w:t>
      </w:r>
      <w:r w:rsidRPr="00392049">
        <w:t xml:space="preserve">větrné eroze. </w:t>
      </w:r>
    </w:p>
    <w:p w14:paraId="46027CBF" w14:textId="7444B1D8" w:rsidR="00230352" w:rsidRPr="000C3B02" w:rsidRDefault="00230352" w:rsidP="000C3B02">
      <w:pPr>
        <w:pStyle w:val="ramecek"/>
      </w:pPr>
      <w:r w:rsidRPr="000C3B02">
        <w:t xml:space="preserve">Z pravidelného sledování stavu zemědělské půdy vyplývá, že vodní erozí </w:t>
      </w:r>
      <w:r w:rsidR="00444465">
        <w:t>je ohrožena již</w:t>
      </w:r>
      <w:r w:rsidRPr="000C3B02">
        <w:t xml:space="preserve"> více než polovi</w:t>
      </w:r>
      <w:r w:rsidR="00444465">
        <w:t xml:space="preserve">na </w:t>
      </w:r>
      <w:r w:rsidRPr="000C3B02">
        <w:t>výměry zemědělské půdy a současně se zvětšuje i rozloha ploch ohrožených větrnou erozí, což je mj. násled</w:t>
      </w:r>
      <w:r w:rsidR="00211C1F">
        <w:t>e</w:t>
      </w:r>
      <w:r w:rsidRPr="000C3B02">
        <w:t xml:space="preserve">k zvoleného způsobu hospodaření nebo </w:t>
      </w:r>
      <w:r w:rsidR="00211C1F">
        <w:t>nedostatečné</w:t>
      </w:r>
      <w:r w:rsidRPr="000C3B02">
        <w:t xml:space="preserve"> údržby současných a nově vytvářených liniových prvků v krajině.</w:t>
      </w:r>
    </w:p>
    <w:p w14:paraId="68789123" w14:textId="5F6B2B03" w:rsidR="00230352" w:rsidRPr="007032BD" w:rsidRDefault="00CC5BD1" w:rsidP="00D3507E">
      <w:pPr>
        <w:pStyle w:val="Tituleknadgrafy10-99"/>
      </w:pPr>
      <w:r>
        <w:drawing>
          <wp:anchor distT="0" distB="0" distL="114300" distR="114300" simplePos="0" relativeHeight="251680256" behindDoc="0" locked="0" layoutInCell="1" allowOverlap="1" wp14:anchorId="3D4C64F8" wp14:editId="2FF59F03">
            <wp:simplePos x="0" y="0"/>
            <wp:positionH relativeFrom="column">
              <wp:posOffset>-4445</wp:posOffset>
            </wp:positionH>
            <wp:positionV relativeFrom="paragraph">
              <wp:posOffset>257810</wp:posOffset>
            </wp:positionV>
            <wp:extent cx="3059430" cy="1524000"/>
            <wp:effectExtent l="0" t="0" r="7620" b="0"/>
            <wp:wrapThrough wrapText="bothSides">
              <wp:wrapPolygon edited="0">
                <wp:start x="0" y="0"/>
                <wp:lineTo x="0" y="21330"/>
                <wp:lineTo x="21519" y="21330"/>
                <wp:lineTo x="21519" y="0"/>
                <wp:lineTo x="0" y="0"/>
              </wp:wrapPolygon>
            </wp:wrapThrough>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14:sizeRelV relativeFrom="margin">
              <wp14:pctHeight>0</wp14:pctHeight>
            </wp14:sizeRelV>
          </wp:anchor>
        </w:drawing>
      </w:r>
      <w:r w:rsidR="000509E3" w:rsidRPr="00C95133">
        <w:t>Graf č. </w:t>
      </w:r>
      <w:r w:rsidR="000509E3" w:rsidRPr="00C95133">
        <w:fldChar w:fldCharType="begin"/>
      </w:r>
      <w:r w:rsidR="000509E3" w:rsidRPr="00C95133">
        <w:instrText xml:space="preserve"> SEQ Graf_č. \* ARABIC </w:instrText>
      </w:r>
      <w:r w:rsidR="000509E3" w:rsidRPr="00C95133">
        <w:fldChar w:fldCharType="separate"/>
      </w:r>
      <w:r w:rsidR="009849B2">
        <w:t>27</w:t>
      </w:r>
      <w:r w:rsidR="000509E3" w:rsidRPr="00C95133">
        <w:fldChar w:fldCharType="end"/>
      </w:r>
      <w:r w:rsidR="000509E3">
        <w:t xml:space="preserve"> </w:t>
      </w:r>
      <w:r w:rsidR="00230352" w:rsidRPr="004948B0">
        <w:t>–</w:t>
      </w:r>
      <w:r w:rsidR="00001875">
        <w:tab/>
      </w:r>
      <w:r w:rsidR="00230352" w:rsidRPr="004948B0">
        <w:t xml:space="preserve">Ohroženost zemědělské půdy vodní a </w:t>
      </w:r>
      <w:r w:rsidR="00230352">
        <w:t xml:space="preserve">větrnou </w:t>
      </w:r>
      <w:r w:rsidR="00230352" w:rsidRPr="004948B0">
        <w:t>eroz</w:t>
      </w:r>
      <w:r w:rsidR="00230352" w:rsidRPr="007032BD">
        <w:t>í</w:t>
      </w:r>
      <w:r w:rsidR="00B63EFB">
        <w:t xml:space="preserve"> (v </w:t>
      </w:r>
      <w:r w:rsidR="00B63EFB">
        <w:rPr>
          <w:rFonts w:cs="Calibri"/>
        </w:rPr>
        <w:t>%</w:t>
      </w:r>
      <w:r w:rsidR="00B63EFB">
        <w:t>)</w:t>
      </w:r>
    </w:p>
    <w:p w14:paraId="7464DF2D" w14:textId="21E27B7F" w:rsidR="00230352" w:rsidRDefault="00CC5BD1" w:rsidP="00230352">
      <w:pPr>
        <w:rPr>
          <w:b/>
          <w:sz w:val="20"/>
        </w:rPr>
      </w:pPr>
      <w:r>
        <w:rPr>
          <w:noProof/>
          <w:lang w:eastAsia="cs-CZ"/>
        </w:rPr>
        <w:drawing>
          <wp:anchor distT="0" distB="0" distL="114300" distR="114300" simplePos="0" relativeHeight="251690496" behindDoc="0" locked="0" layoutInCell="1" allowOverlap="1" wp14:anchorId="035C49FE" wp14:editId="6A01BF35">
            <wp:simplePos x="0" y="0"/>
            <wp:positionH relativeFrom="column">
              <wp:posOffset>-323215</wp:posOffset>
            </wp:positionH>
            <wp:positionV relativeFrom="paragraph">
              <wp:posOffset>81280</wp:posOffset>
            </wp:positionV>
            <wp:extent cx="3000375" cy="1533525"/>
            <wp:effectExtent l="0" t="0" r="0" b="0"/>
            <wp:wrapNone/>
            <wp:docPr id="57" name="Graf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14:sizeRelH relativeFrom="margin">
              <wp14:pctWidth>0</wp14:pctWidth>
            </wp14:sizeRelH>
            <wp14:sizeRelV relativeFrom="margin">
              <wp14:pctHeight>0</wp14:pctHeight>
            </wp14:sizeRelV>
          </wp:anchor>
        </w:drawing>
      </w:r>
      <w:r w:rsidRPr="00CC5BD1">
        <w:rPr>
          <w:noProof/>
          <w:lang w:eastAsia="cs-CZ"/>
        </w:rPr>
        <mc:AlternateContent>
          <mc:Choice Requires="wps">
            <w:drawing>
              <wp:anchor distT="0" distB="0" distL="114300" distR="114300" simplePos="0" relativeHeight="251688448" behindDoc="0" locked="0" layoutInCell="1" allowOverlap="1" wp14:anchorId="0BC85D9B" wp14:editId="01773F31">
                <wp:simplePos x="0" y="0"/>
                <wp:positionH relativeFrom="column">
                  <wp:posOffset>-2799715</wp:posOffset>
                </wp:positionH>
                <wp:positionV relativeFrom="paragraph">
                  <wp:posOffset>478155</wp:posOffset>
                </wp:positionV>
                <wp:extent cx="1028700" cy="704215"/>
                <wp:effectExtent l="0" t="0" r="0" b="0"/>
                <wp:wrapThrough wrapText="bothSides">
                  <wp:wrapPolygon edited="0">
                    <wp:start x="0" y="0"/>
                    <wp:lineTo x="0" y="21600"/>
                    <wp:lineTo x="21600" y="21600"/>
                    <wp:lineTo x="21600" y="0"/>
                  </wp:wrapPolygon>
                </wp:wrapThrough>
                <wp:docPr id="52" name="TextovéPole 1"/>
                <wp:cNvGraphicFramePr/>
                <a:graphic xmlns:a="http://schemas.openxmlformats.org/drawingml/2006/main">
                  <a:graphicData uri="http://schemas.microsoft.com/office/word/2010/wordprocessingShape">
                    <wps:wsp>
                      <wps:cNvSpPr txBox="1"/>
                      <wps:spPr>
                        <a:xfrm>
                          <a:off x="0" y="0"/>
                          <a:ext cx="1028700" cy="704215"/>
                        </a:xfrm>
                        <a:prstGeom prst="rect">
                          <a:avLst/>
                        </a:prstGeom>
                      </wps:spPr>
                      <wps:txbx>
                        <w:txbxContent>
                          <w:p w14:paraId="049A21D1" w14:textId="77777777" w:rsidR="009E69AD" w:rsidRDefault="009E69AD" w:rsidP="00CC5BD1">
                            <w:pPr>
                              <w:pStyle w:val="Normlnweb"/>
                              <w:spacing w:before="0"/>
                              <w:jc w:val="center"/>
                            </w:pPr>
                            <w:r>
                              <w:rPr>
                                <w:rFonts w:asciiTheme="minorHAnsi" w:hAnsi="Calibri" w:cstheme="minorBidi"/>
                                <w:b/>
                                <w:bCs/>
                                <w:sz w:val="21"/>
                                <w:szCs w:val="21"/>
                              </w:rPr>
                              <w:t>52 %</w:t>
                            </w:r>
                            <w:r>
                              <w:rPr>
                                <w:rFonts w:asciiTheme="minorHAnsi" w:hAnsi="Calibri" w:cstheme="minorBidi"/>
                                <w:b/>
                                <w:bCs/>
                                <w:sz w:val="18"/>
                                <w:szCs w:val="18"/>
                              </w:rPr>
                              <w:t xml:space="preserve"> zemědělské půdy je ohroženo vodní erozí</w:t>
                            </w:r>
                          </w:p>
                        </w:txbxContent>
                      </wps:txbx>
                      <wps:bodyPr wrap="square" rtlCol="0"/>
                    </wps:wsp>
                  </a:graphicData>
                </a:graphic>
              </wp:anchor>
            </w:drawing>
          </mc:Choice>
          <mc:Fallback>
            <w:pict>
              <v:shape w14:anchorId="0BC85D9B" id="TextovéPole 1" o:spid="_x0000_s1034" type="#_x0000_t202" style="position:absolute;left:0;text-align:left;margin-left:-220.45pt;margin-top:37.65pt;width:81pt;height:55.45pt;z-index:251688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tjQEAAPUCAAAOAAAAZHJzL2Uyb0RvYy54bWysUttO4zAQfV+Jf7D8TpNG3BQ1RQLEvqxY&#10;JOADXGfcRIo9Zmya9JP4jv2xHbu0IHhDvPgyl+NzznhxOdlBbIBCj66R81kpBTiNbe/WjXx6vD2+&#10;kCJE5Vo1oINGbiHIy+XRr8Xoa6iww6EFEgziQj36RnYx+roogu7AqjBDD46TBsmqyFdaFy2pkdHt&#10;UFRleVaMSK0n1BACR292SbnM+MaAjn+NCRDF0EjmFvNKeV2ltVguVL0m5btev9FQ32BhVe/40QPU&#10;jYpKvFD/Bcr2mjCgiTONtkBjeg1ZA6uZl5/UPHTKQ9bC5gR/sCn8HKy+29yT6NtGnlZSOGV5Ro8w&#10;Rdz8e73HAcQ8WTT6UHPlg+faOF3hxKPexwMHk/LJkE07axKcZ7O3B4MZUOjUVFYX5yWnNOfOy5Nq&#10;fppgivduTyH+BrQiHRpJPMDsq9r8CXFXui/hvsRr9346xWk1ZSlne24rbLdMeeT5NjI8vygCKSgO&#10;15i/Q8JLjextJvH2D9LwPt5z1ftvXf4HAAD//wMAUEsDBBQABgAIAAAAIQCOM9Sl4AAAAAwBAAAP&#10;AAAAZHJzL2Rvd25yZXYueG1sTI9NT8MwDIbvSPyHyEjcuoTSbV1pOiEQV9DGh8Qta7y2onGqJlvL&#10;v8ec4Gj70evnLbez68UZx9B50nCzUCCQam87ajS8vT4lOYgQDVnTe0IN3xhgW11elKawfqIdnvex&#10;ERxCoTAa2hiHQspQt+hMWPgBiW9HPzoTeRwbaUczcbjrZarUSjrTEX9ozYAPLdZf+5PT8P58/PzI&#10;1Evz6JbD5GclyW2k1tdX8/0diIhz/IPhV5/VoWKngz+RDaLXkGSZ2jCrYb28BcFEkq5z3hyYzVcp&#10;yKqU/0tUPwAAAP//AwBQSwECLQAUAAYACAAAACEAtoM4kv4AAADhAQAAEwAAAAAAAAAAAAAAAAAA&#10;AAAAW0NvbnRlbnRfVHlwZXNdLnhtbFBLAQItABQABgAIAAAAIQA4/SH/1gAAAJQBAAALAAAAAAAA&#10;AAAAAAAAAC8BAABfcmVscy8ucmVsc1BLAQItABQABgAIAAAAIQAueT/tjQEAAPUCAAAOAAAAAAAA&#10;AAAAAAAAAC4CAABkcnMvZTJvRG9jLnhtbFBLAQItABQABgAIAAAAIQCOM9Sl4AAAAAwBAAAPAAAA&#10;AAAAAAAAAAAAAOcDAABkcnMvZG93bnJldi54bWxQSwUGAAAAAAQABADzAAAA9AQAAAAA&#10;" filled="f" stroked="f">
                <v:textbox>
                  <w:txbxContent>
                    <w:p w14:paraId="049A21D1" w14:textId="77777777" w:rsidR="009E69AD" w:rsidRDefault="009E69AD" w:rsidP="00CC5BD1">
                      <w:pPr>
                        <w:pStyle w:val="Normlnweb"/>
                        <w:spacing w:before="0"/>
                        <w:jc w:val="center"/>
                      </w:pPr>
                      <w:r>
                        <w:rPr>
                          <w:rFonts w:asciiTheme="minorHAnsi" w:hAnsi="Calibri" w:cstheme="minorBidi"/>
                          <w:b/>
                          <w:bCs/>
                          <w:sz w:val="21"/>
                          <w:szCs w:val="21"/>
                        </w:rPr>
                        <w:t>52 %</w:t>
                      </w:r>
                      <w:r>
                        <w:rPr>
                          <w:rFonts w:asciiTheme="minorHAnsi" w:hAnsi="Calibri" w:cstheme="minorBidi"/>
                          <w:b/>
                          <w:bCs/>
                          <w:sz w:val="18"/>
                          <w:szCs w:val="18"/>
                        </w:rPr>
                        <w:t xml:space="preserve"> zemědělské půdy je ohroženo vodní erozí</w:t>
                      </w:r>
                    </w:p>
                  </w:txbxContent>
                </v:textbox>
                <w10:wrap type="through"/>
              </v:shape>
            </w:pict>
          </mc:Fallback>
        </mc:AlternateContent>
      </w:r>
    </w:p>
    <w:p w14:paraId="5CD2BE07" w14:textId="13DF2AC3" w:rsidR="00230352" w:rsidRDefault="00230352" w:rsidP="00230352">
      <w:pPr>
        <w:rPr>
          <w:b/>
          <w:sz w:val="20"/>
        </w:rPr>
      </w:pPr>
    </w:p>
    <w:p w14:paraId="1BD0F5FA" w14:textId="77777777" w:rsidR="00230352" w:rsidRDefault="00230352" w:rsidP="00230352">
      <w:pPr>
        <w:rPr>
          <w:b/>
          <w:sz w:val="20"/>
        </w:rPr>
      </w:pPr>
    </w:p>
    <w:p w14:paraId="3A792CB8" w14:textId="77777777" w:rsidR="00230352" w:rsidRDefault="00230352" w:rsidP="00230352">
      <w:pPr>
        <w:rPr>
          <w:b/>
          <w:sz w:val="20"/>
        </w:rPr>
      </w:pPr>
    </w:p>
    <w:p w14:paraId="55B571D3" w14:textId="77777777" w:rsidR="00230352" w:rsidRDefault="00230352" w:rsidP="00230352">
      <w:pPr>
        <w:spacing w:before="0" w:after="0"/>
        <w:rPr>
          <w:b/>
          <w:sz w:val="20"/>
        </w:rPr>
      </w:pPr>
    </w:p>
    <w:p w14:paraId="2CDC8378" w14:textId="77777777" w:rsidR="00230352" w:rsidRDefault="00230352" w:rsidP="00230352">
      <w:pPr>
        <w:rPr>
          <w:b/>
          <w:sz w:val="20"/>
        </w:rPr>
      </w:pPr>
    </w:p>
    <w:p w14:paraId="22AC67F0" w14:textId="77777777" w:rsidR="00230352" w:rsidRPr="00EA0EE4" w:rsidRDefault="00230352" w:rsidP="002C4F38">
      <w:pPr>
        <w:pStyle w:val="Poznazdroj"/>
      </w:pPr>
      <w:r w:rsidRPr="00E1051E">
        <w:rPr>
          <w:b/>
        </w:rPr>
        <w:t>Zdroj:</w:t>
      </w:r>
      <w:r w:rsidRPr="003D5C2B">
        <w:t xml:space="preserve"> </w:t>
      </w:r>
      <w:r w:rsidRPr="00EA0EE4">
        <w:t>Výzkumný ústav meliorací a ochrany půdy, v. v. i.</w:t>
      </w:r>
    </w:p>
    <w:p w14:paraId="4B1C37C1" w14:textId="54D2E645" w:rsidR="00230352" w:rsidRDefault="00230352" w:rsidP="00230352">
      <w:pPr>
        <w:rPr>
          <w:szCs w:val="24"/>
        </w:rPr>
      </w:pPr>
      <w:r w:rsidRPr="000C3B02">
        <w:rPr>
          <w:b/>
          <w:noProof/>
          <w:szCs w:val="24"/>
          <w:lang w:eastAsia="cs-CZ"/>
        </w:rPr>
        <w:t>Ačkoliv jsou nastavena opatření ke</w:t>
      </w:r>
      <w:r w:rsidR="003F32FC">
        <w:rPr>
          <w:b/>
          <w:noProof/>
          <w:szCs w:val="24"/>
          <w:lang w:eastAsia="cs-CZ"/>
        </w:rPr>
        <w:t xml:space="preserve"> </w:t>
      </w:r>
      <w:r w:rsidRPr="000C3B02">
        <w:rPr>
          <w:b/>
          <w:noProof/>
          <w:szCs w:val="24"/>
          <w:lang w:eastAsia="cs-CZ"/>
        </w:rPr>
        <w:t>zmírnění negativního projevu vodní a větrné eroze</w:t>
      </w:r>
      <w:r w:rsidRPr="000C3B02">
        <w:rPr>
          <w:rStyle w:val="Znakapoznpodarou"/>
          <w:b/>
          <w:noProof/>
          <w:szCs w:val="24"/>
          <w:lang w:eastAsia="cs-CZ"/>
        </w:rPr>
        <w:footnoteReference w:id="62"/>
      </w:r>
      <w:r w:rsidRPr="000C3B02">
        <w:rPr>
          <w:b/>
          <w:noProof/>
          <w:szCs w:val="24"/>
          <w:lang w:eastAsia="cs-CZ"/>
        </w:rPr>
        <w:t>, která mají zajišťovat zemědělské hospodaření ve shodě s ochranou životního prostředí a</w:t>
      </w:r>
      <w:r w:rsidR="00211C1F">
        <w:rPr>
          <w:b/>
          <w:noProof/>
          <w:szCs w:val="24"/>
          <w:lang w:eastAsia="cs-CZ"/>
        </w:rPr>
        <w:t> </w:t>
      </w:r>
      <w:r w:rsidRPr="000C3B02">
        <w:rPr>
          <w:b/>
          <w:noProof/>
          <w:szCs w:val="24"/>
          <w:lang w:eastAsia="cs-CZ"/>
        </w:rPr>
        <w:t xml:space="preserve">podmiňují vyplácení dotací pro zemědělské subjekty, nebyla doposud schválena vyhláška </w:t>
      </w:r>
      <w:r w:rsidRPr="000C3B02">
        <w:rPr>
          <w:b/>
          <w:szCs w:val="24"/>
        </w:rPr>
        <w:t>o</w:t>
      </w:r>
      <w:r w:rsidR="00211C1F">
        <w:rPr>
          <w:b/>
          <w:szCs w:val="24"/>
        </w:rPr>
        <w:t> </w:t>
      </w:r>
      <w:r w:rsidRPr="000C3B02">
        <w:rPr>
          <w:b/>
          <w:szCs w:val="24"/>
        </w:rPr>
        <w:t>ochraně zemědělské půdy před erozí připravovaná již od roku 2017.</w:t>
      </w:r>
      <w:r w:rsidRPr="00190B7B">
        <w:rPr>
          <w:szCs w:val="24"/>
        </w:rPr>
        <w:t xml:space="preserve"> </w:t>
      </w:r>
      <w:r>
        <w:rPr>
          <w:szCs w:val="24"/>
        </w:rPr>
        <w:t xml:space="preserve">Vyhláška má být </w:t>
      </w:r>
      <w:r w:rsidRPr="00190B7B">
        <w:rPr>
          <w:noProof/>
          <w:szCs w:val="24"/>
          <w:lang w:eastAsia="cs-CZ"/>
        </w:rPr>
        <w:t>významným nástrojem k omezení eroze půdy</w:t>
      </w:r>
      <w:r>
        <w:rPr>
          <w:noProof/>
          <w:szCs w:val="24"/>
          <w:lang w:eastAsia="cs-CZ"/>
        </w:rPr>
        <w:t xml:space="preserve"> a</w:t>
      </w:r>
      <w:r>
        <w:rPr>
          <w:szCs w:val="24"/>
        </w:rPr>
        <w:t xml:space="preserve"> komplexněji řešit </w:t>
      </w:r>
      <w:r w:rsidR="00E1051E">
        <w:rPr>
          <w:szCs w:val="24"/>
        </w:rPr>
        <w:t>nadměrnou</w:t>
      </w:r>
      <w:r>
        <w:rPr>
          <w:szCs w:val="24"/>
        </w:rPr>
        <w:t xml:space="preserve"> ztrátu půdy (až desítky tun z hektaru ročně). </w:t>
      </w:r>
      <w:r w:rsidRPr="004F4F07">
        <w:rPr>
          <w:szCs w:val="24"/>
        </w:rPr>
        <w:t>Cílovým stavem mělo být navýšení výměry protierozně chráněné půdy na 60 % z celkové výměry zemědělské půdy.</w:t>
      </w:r>
    </w:p>
    <w:p w14:paraId="1493D197" w14:textId="6EEA8589" w:rsidR="00230352" w:rsidRPr="00947DF3" w:rsidRDefault="00230352" w:rsidP="00E1051E">
      <w:pPr>
        <w:pageBreakBefore/>
        <w:rPr>
          <w:szCs w:val="24"/>
        </w:rPr>
      </w:pPr>
      <w:r>
        <w:rPr>
          <w:szCs w:val="24"/>
        </w:rPr>
        <w:lastRenderedPageBreak/>
        <w:t>E</w:t>
      </w:r>
      <w:r w:rsidRPr="00947DF3">
        <w:rPr>
          <w:szCs w:val="24"/>
        </w:rPr>
        <w:t xml:space="preserve">fektivně podpořit finančními prostředky </w:t>
      </w:r>
      <w:r>
        <w:rPr>
          <w:szCs w:val="24"/>
        </w:rPr>
        <w:t>ochranu zemědělské půdy může</w:t>
      </w:r>
      <w:r w:rsidRPr="00947DF3">
        <w:rPr>
          <w:szCs w:val="24"/>
        </w:rPr>
        <w:t xml:space="preserve"> Ministerstvo zemědělství </w:t>
      </w:r>
      <w:r>
        <w:rPr>
          <w:szCs w:val="24"/>
        </w:rPr>
        <w:t xml:space="preserve">i </w:t>
      </w:r>
      <w:r w:rsidRPr="00947DF3">
        <w:rPr>
          <w:szCs w:val="24"/>
        </w:rPr>
        <w:t xml:space="preserve">v rámci </w:t>
      </w:r>
      <w:r w:rsidRPr="001C5D9B">
        <w:rPr>
          <w:i/>
          <w:szCs w:val="24"/>
        </w:rPr>
        <w:t xml:space="preserve">Programu rozvoje </w:t>
      </w:r>
      <w:r w:rsidRPr="00211C1F">
        <w:rPr>
          <w:i/>
          <w:szCs w:val="24"/>
        </w:rPr>
        <w:t>venkova</w:t>
      </w:r>
      <w:r w:rsidRPr="00E1051E">
        <w:rPr>
          <w:i/>
          <w:szCs w:val="24"/>
        </w:rPr>
        <w:t xml:space="preserve"> </w:t>
      </w:r>
      <w:r w:rsidR="00211C1F" w:rsidRPr="00E1051E">
        <w:rPr>
          <w:i/>
          <w:szCs w:val="24"/>
        </w:rPr>
        <w:t xml:space="preserve">ČR </w:t>
      </w:r>
      <w:r w:rsidRPr="00E1051E">
        <w:rPr>
          <w:i/>
          <w:szCs w:val="24"/>
        </w:rPr>
        <w:t>na období 2014–2020</w:t>
      </w:r>
      <w:r w:rsidRPr="00947DF3">
        <w:rPr>
          <w:szCs w:val="24"/>
        </w:rPr>
        <w:t xml:space="preserve">. </w:t>
      </w:r>
      <w:r>
        <w:rPr>
          <w:szCs w:val="24"/>
        </w:rPr>
        <w:t xml:space="preserve">Nejvyšší kontrolní úřad se v </w:t>
      </w:r>
      <w:r w:rsidRPr="00947DF3">
        <w:rPr>
          <w:noProof/>
          <w:szCs w:val="24"/>
          <w:lang w:eastAsia="cs-CZ"/>
        </w:rPr>
        <w:t>KA č. 17/26</w:t>
      </w:r>
      <w:r w:rsidRPr="00947DF3">
        <w:rPr>
          <w:rStyle w:val="Znakapoznpodarou"/>
          <w:noProof/>
          <w:szCs w:val="24"/>
          <w:lang w:eastAsia="cs-CZ"/>
        </w:rPr>
        <w:footnoteReference w:id="63"/>
      </w:r>
      <w:r w:rsidRPr="00947DF3">
        <w:rPr>
          <w:noProof/>
          <w:szCs w:val="24"/>
          <w:lang w:eastAsia="cs-CZ"/>
        </w:rPr>
        <w:t xml:space="preserve"> zaměřil na vyhodnocení</w:t>
      </w:r>
      <w:r>
        <w:rPr>
          <w:noProof/>
          <w:szCs w:val="24"/>
          <w:lang w:eastAsia="cs-CZ"/>
        </w:rPr>
        <w:t xml:space="preserve"> nastavení</w:t>
      </w:r>
      <w:r w:rsidRPr="00947DF3">
        <w:rPr>
          <w:noProof/>
          <w:szCs w:val="24"/>
          <w:lang w:eastAsia="cs-CZ"/>
        </w:rPr>
        <w:t xml:space="preserve"> opatření </w:t>
      </w:r>
      <w:r w:rsidRPr="00E1051E">
        <w:rPr>
          <w:noProof/>
          <w:szCs w:val="24"/>
          <w:lang w:eastAsia="cs-CZ"/>
        </w:rPr>
        <w:t xml:space="preserve">M16 </w:t>
      </w:r>
      <w:r w:rsidRPr="00947DF3">
        <w:rPr>
          <w:i/>
          <w:noProof/>
          <w:szCs w:val="24"/>
          <w:lang w:eastAsia="cs-CZ"/>
        </w:rPr>
        <w:t>Spolupráce</w:t>
      </w:r>
      <w:r w:rsidR="001A10E9" w:rsidRPr="00E1051E">
        <w:rPr>
          <w:rStyle w:val="Znakapoznpodarou"/>
          <w:noProof/>
          <w:szCs w:val="24"/>
          <w:lang w:eastAsia="cs-CZ"/>
        </w:rPr>
        <w:footnoteReference w:id="64"/>
      </w:r>
      <w:r w:rsidRPr="00211C1F">
        <w:t xml:space="preserve"> </w:t>
      </w:r>
      <w:r w:rsidRPr="00ED3179">
        <w:rPr>
          <w:noProof/>
          <w:szCs w:val="24"/>
          <w:lang w:eastAsia="cs-CZ"/>
        </w:rPr>
        <w:t>z</w:t>
      </w:r>
      <w:r w:rsidR="00E642D1">
        <w:rPr>
          <w:noProof/>
          <w:szCs w:val="24"/>
          <w:lang w:eastAsia="cs-CZ"/>
        </w:rPr>
        <w:t> </w:t>
      </w:r>
      <w:r w:rsidRPr="00ED3179">
        <w:rPr>
          <w:noProof/>
          <w:szCs w:val="24"/>
          <w:lang w:eastAsia="cs-CZ"/>
        </w:rPr>
        <w:t>pohledu účelnosti, hospodárnosti a efektivity</w:t>
      </w:r>
      <w:r>
        <w:rPr>
          <w:noProof/>
          <w:szCs w:val="24"/>
          <w:lang w:eastAsia="cs-CZ"/>
        </w:rPr>
        <w:t xml:space="preserve"> vynaložených finančních prostředků. </w:t>
      </w:r>
      <w:r w:rsidRPr="000C3B02">
        <w:rPr>
          <w:b/>
          <w:noProof/>
          <w:szCs w:val="24"/>
          <w:lang w:eastAsia="cs-CZ"/>
        </w:rPr>
        <w:t>V kontrolním závěru NKÚ také upozornil na skutečnost, že nebyly využity veškeré</w:t>
      </w:r>
      <w:r w:rsidRPr="000C3B02">
        <w:rPr>
          <w:b/>
          <w:szCs w:val="24"/>
        </w:rPr>
        <w:t xml:space="preserve"> </w:t>
      </w:r>
      <w:r w:rsidRPr="000C3B02">
        <w:rPr>
          <w:b/>
          <w:noProof/>
          <w:szCs w:val="24"/>
          <w:lang w:eastAsia="cs-CZ"/>
        </w:rPr>
        <w:t xml:space="preserve">dostupné typy spolupráce, např. pro </w:t>
      </w:r>
      <w:r w:rsidRPr="000C3B02">
        <w:rPr>
          <w:b/>
          <w:szCs w:val="24"/>
        </w:rPr>
        <w:t>oblast zmírnění změny klimatu, ochrany zemědělské krajiny, účinného hospodaření s vodou apod.</w:t>
      </w:r>
      <w:r w:rsidRPr="00947DF3">
        <w:rPr>
          <w:noProof/>
          <w:szCs w:val="24"/>
          <w:lang w:eastAsia="cs-CZ"/>
        </w:rPr>
        <w:t xml:space="preserve"> </w:t>
      </w:r>
      <w:r w:rsidRPr="0058425D">
        <w:rPr>
          <w:szCs w:val="24"/>
        </w:rPr>
        <w:t>Ne</w:t>
      </w:r>
      <w:r w:rsidR="00211C1F">
        <w:rPr>
          <w:szCs w:val="24"/>
        </w:rPr>
        <w:t>využité</w:t>
      </w:r>
      <w:r w:rsidRPr="0058425D">
        <w:rPr>
          <w:szCs w:val="24"/>
        </w:rPr>
        <w:t xml:space="preserve"> typy spolupráce byly přitom věcně zaměřeny na pomoc v oblastech, které M</w:t>
      </w:r>
      <w:r>
        <w:rPr>
          <w:szCs w:val="24"/>
        </w:rPr>
        <w:t>inisterstvo zemědělství o</w:t>
      </w:r>
      <w:r w:rsidRPr="0058425D">
        <w:rPr>
          <w:szCs w:val="24"/>
        </w:rPr>
        <w:t>značilo ve SWOT analýze v</w:t>
      </w:r>
      <w:r w:rsidR="00310BF0">
        <w:rPr>
          <w:szCs w:val="24"/>
        </w:rPr>
        <w:t> </w:t>
      </w:r>
      <w:r w:rsidRPr="0058425D">
        <w:rPr>
          <w:szCs w:val="24"/>
        </w:rPr>
        <w:t xml:space="preserve">programovém dokumentu </w:t>
      </w:r>
      <w:r w:rsidRPr="001C5D9B">
        <w:rPr>
          <w:i/>
          <w:szCs w:val="24"/>
        </w:rPr>
        <w:t xml:space="preserve">Program rozvoje venkova </w:t>
      </w:r>
      <w:r w:rsidR="00211C1F">
        <w:rPr>
          <w:i/>
          <w:szCs w:val="24"/>
        </w:rPr>
        <w:t xml:space="preserve">ČR na období </w:t>
      </w:r>
      <w:r w:rsidRPr="001C5D9B">
        <w:rPr>
          <w:i/>
          <w:szCs w:val="24"/>
        </w:rPr>
        <w:t>2014–2020</w:t>
      </w:r>
      <w:r w:rsidRPr="0058425D">
        <w:rPr>
          <w:szCs w:val="24"/>
        </w:rPr>
        <w:t xml:space="preserve"> za slab</w:t>
      </w:r>
      <w:r w:rsidRPr="00947DF3">
        <w:rPr>
          <w:szCs w:val="24"/>
        </w:rPr>
        <w:t>é stránky a příležitosti</w:t>
      </w:r>
      <w:r>
        <w:rPr>
          <w:szCs w:val="24"/>
        </w:rPr>
        <w:t>.</w:t>
      </w:r>
    </w:p>
    <w:p w14:paraId="1F48EB67" w14:textId="5E5288EA" w:rsidR="001C5D9B" w:rsidRDefault="00230352" w:rsidP="00230352">
      <w:pPr>
        <w:rPr>
          <w:szCs w:val="24"/>
        </w:rPr>
      </w:pPr>
      <w:r w:rsidRPr="00542D68">
        <w:rPr>
          <w:b/>
          <w:szCs w:val="24"/>
        </w:rPr>
        <w:t xml:space="preserve">Klíčovým předpokladem </w:t>
      </w:r>
      <w:r w:rsidR="00310BF0">
        <w:rPr>
          <w:b/>
          <w:szCs w:val="24"/>
        </w:rPr>
        <w:t>pro omezení půdní</w:t>
      </w:r>
      <w:r w:rsidRPr="00542D68">
        <w:rPr>
          <w:b/>
          <w:szCs w:val="24"/>
        </w:rPr>
        <w:t xml:space="preserve"> eroze je</w:t>
      </w:r>
      <w:r w:rsidRPr="000741EA">
        <w:rPr>
          <w:szCs w:val="24"/>
        </w:rPr>
        <w:t xml:space="preserve"> </w:t>
      </w:r>
      <w:r w:rsidRPr="000741EA">
        <w:rPr>
          <w:b/>
          <w:szCs w:val="24"/>
        </w:rPr>
        <w:t xml:space="preserve">dosažení udržitelné kvality zemědělské půdy. </w:t>
      </w:r>
      <w:r w:rsidRPr="000741EA">
        <w:rPr>
          <w:szCs w:val="24"/>
        </w:rPr>
        <w:t>V současných podmínkách, kdy dochází k </w:t>
      </w:r>
      <w:r>
        <w:rPr>
          <w:szCs w:val="24"/>
        </w:rPr>
        <w:t>častějším</w:t>
      </w:r>
      <w:r w:rsidRPr="000741EA">
        <w:rPr>
          <w:szCs w:val="24"/>
        </w:rPr>
        <w:t xml:space="preserve"> teplotním a srážkovým výkyvům</w:t>
      </w:r>
      <w:r>
        <w:rPr>
          <w:szCs w:val="24"/>
        </w:rPr>
        <w:t>,</w:t>
      </w:r>
      <w:r w:rsidRPr="000741EA">
        <w:rPr>
          <w:szCs w:val="24"/>
        </w:rPr>
        <w:t xml:space="preserve"> je nezbytné ve větší míře omezit nevhodné způsoby hospodaření, které ved</w:t>
      </w:r>
      <w:r>
        <w:rPr>
          <w:szCs w:val="24"/>
        </w:rPr>
        <w:t>ou</w:t>
      </w:r>
      <w:r w:rsidRPr="000741EA">
        <w:rPr>
          <w:szCs w:val="24"/>
        </w:rPr>
        <w:t xml:space="preserve"> </w:t>
      </w:r>
      <w:r w:rsidRPr="000741EA">
        <w:rPr>
          <w:noProof/>
          <w:szCs w:val="24"/>
          <w:lang w:eastAsia="cs-CZ"/>
        </w:rPr>
        <w:t>k</w:t>
      </w:r>
      <w:r>
        <w:rPr>
          <w:noProof/>
          <w:szCs w:val="24"/>
          <w:lang w:eastAsia="cs-CZ"/>
        </w:rPr>
        <w:t>e</w:t>
      </w:r>
      <w:r w:rsidR="008F19EF">
        <w:rPr>
          <w:noProof/>
          <w:szCs w:val="24"/>
          <w:lang w:eastAsia="cs-CZ"/>
        </w:rPr>
        <w:t xml:space="preserve"> </w:t>
      </w:r>
      <w:r w:rsidRPr="000741EA">
        <w:rPr>
          <w:noProof/>
          <w:szCs w:val="24"/>
          <w:lang w:eastAsia="cs-CZ"/>
        </w:rPr>
        <w:t>znehodnocení půdy</w:t>
      </w:r>
      <w:r>
        <w:rPr>
          <w:noProof/>
          <w:szCs w:val="24"/>
          <w:lang w:eastAsia="cs-CZ"/>
        </w:rPr>
        <w:t xml:space="preserve"> (např.</w:t>
      </w:r>
      <w:r w:rsidRPr="000741EA">
        <w:rPr>
          <w:noProof/>
          <w:szCs w:val="24"/>
          <w:lang w:eastAsia="cs-CZ"/>
        </w:rPr>
        <w:t xml:space="preserve"> utužování, zvyšování kyselosti, úbyt</w:t>
      </w:r>
      <w:r>
        <w:rPr>
          <w:noProof/>
          <w:szCs w:val="24"/>
          <w:lang w:eastAsia="cs-CZ"/>
        </w:rPr>
        <w:t>ek</w:t>
      </w:r>
      <w:r w:rsidRPr="000741EA">
        <w:rPr>
          <w:noProof/>
          <w:szCs w:val="24"/>
          <w:lang w:eastAsia="cs-CZ"/>
        </w:rPr>
        <w:t xml:space="preserve"> organické hmoty</w:t>
      </w:r>
      <w:r>
        <w:rPr>
          <w:noProof/>
          <w:szCs w:val="24"/>
          <w:lang w:eastAsia="cs-CZ"/>
        </w:rPr>
        <w:t xml:space="preserve"> včetně</w:t>
      </w:r>
      <w:r w:rsidRPr="000741EA">
        <w:rPr>
          <w:noProof/>
          <w:szCs w:val="24"/>
          <w:lang w:eastAsia="cs-CZ"/>
        </w:rPr>
        <w:t xml:space="preserve"> ztrát</w:t>
      </w:r>
      <w:r>
        <w:rPr>
          <w:noProof/>
          <w:szCs w:val="24"/>
          <w:lang w:eastAsia="cs-CZ"/>
        </w:rPr>
        <w:t>y</w:t>
      </w:r>
      <w:r w:rsidRPr="000741EA">
        <w:rPr>
          <w:noProof/>
          <w:szCs w:val="24"/>
          <w:lang w:eastAsia="cs-CZ"/>
        </w:rPr>
        <w:t xml:space="preserve"> živin apod.</w:t>
      </w:r>
      <w:r>
        <w:rPr>
          <w:noProof/>
          <w:szCs w:val="24"/>
          <w:lang w:eastAsia="cs-CZ"/>
        </w:rPr>
        <w:t>).</w:t>
      </w:r>
      <w:r w:rsidRPr="000741EA">
        <w:rPr>
          <w:szCs w:val="24"/>
        </w:rPr>
        <w:t xml:space="preserve"> </w:t>
      </w:r>
    </w:p>
    <w:p w14:paraId="7FB6B7A7" w14:textId="0BE87B33" w:rsidR="001C5D9B" w:rsidRPr="00D51931" w:rsidRDefault="001C5D9B" w:rsidP="00D3507E">
      <w:pPr>
        <w:pStyle w:val="Tituleknadgrafy10-99"/>
      </w:pPr>
      <w:r w:rsidRPr="001C5D9B">
        <w:t>Graf č. </w:t>
      </w:r>
      <w:r w:rsidRPr="001C5D9B">
        <w:fldChar w:fldCharType="begin"/>
      </w:r>
      <w:r w:rsidRPr="001C5D9B">
        <w:instrText xml:space="preserve"> SEQ Graf_č. \* ARABIC </w:instrText>
      </w:r>
      <w:r w:rsidRPr="001C5D9B">
        <w:fldChar w:fldCharType="separate"/>
      </w:r>
      <w:r w:rsidR="009849B2">
        <w:t>28</w:t>
      </w:r>
      <w:r w:rsidRPr="001C5D9B">
        <w:fldChar w:fldCharType="end"/>
      </w:r>
      <w:r>
        <w:t xml:space="preserve"> </w:t>
      </w:r>
      <w:r w:rsidRPr="00D51931">
        <w:t>– Zranitelnost zemědělské půdy okyselováním a utužením (v %)</w:t>
      </w:r>
    </w:p>
    <w:p w14:paraId="1FB07330" w14:textId="56EFAA47" w:rsidR="001C5D9B" w:rsidRDefault="00D02EFE" w:rsidP="00486165">
      <w:pPr>
        <w:spacing w:before="0" w:after="0"/>
        <w:rPr>
          <w:noProof/>
          <w:szCs w:val="24"/>
          <w:lang w:eastAsia="cs-CZ"/>
        </w:rPr>
      </w:pPr>
      <w:r w:rsidRPr="004F29F1">
        <w:rPr>
          <w:noProof/>
          <w:lang w:eastAsia="cs-CZ"/>
        </w:rPr>
        <mc:AlternateContent>
          <mc:Choice Requires="wps">
            <w:drawing>
              <wp:anchor distT="0" distB="0" distL="114300" distR="114300" simplePos="0" relativeHeight="251651584" behindDoc="0" locked="0" layoutInCell="1" allowOverlap="1" wp14:anchorId="07367AA4" wp14:editId="2BAE22F7">
                <wp:simplePos x="0" y="0"/>
                <wp:positionH relativeFrom="column">
                  <wp:posOffset>481330</wp:posOffset>
                </wp:positionH>
                <wp:positionV relativeFrom="paragraph">
                  <wp:posOffset>587375</wp:posOffset>
                </wp:positionV>
                <wp:extent cx="942975" cy="533400"/>
                <wp:effectExtent l="0" t="0" r="0" b="0"/>
                <wp:wrapNone/>
                <wp:docPr id="201" name="TextovéPole 1"/>
                <wp:cNvGraphicFramePr/>
                <a:graphic xmlns:a="http://schemas.openxmlformats.org/drawingml/2006/main">
                  <a:graphicData uri="http://schemas.microsoft.com/office/word/2010/wordprocessingShape">
                    <wps:wsp>
                      <wps:cNvSpPr txBox="1"/>
                      <wps:spPr>
                        <a:xfrm>
                          <a:off x="0" y="0"/>
                          <a:ext cx="942975" cy="533400"/>
                        </a:xfrm>
                        <a:prstGeom prst="rect">
                          <a:avLst/>
                        </a:prstGeom>
                      </wps:spPr>
                      <wps:txbx>
                        <w:txbxContent>
                          <w:p w14:paraId="33B4F098" w14:textId="4775A6BF" w:rsidR="009E69AD" w:rsidRDefault="009E69AD" w:rsidP="001C5D9B">
                            <w:pPr>
                              <w:pStyle w:val="Normlnweb"/>
                              <w:spacing w:before="0"/>
                              <w:jc w:val="center"/>
                            </w:pPr>
                            <w:r w:rsidRPr="00D51931">
                              <w:rPr>
                                <w:rFonts w:asciiTheme="minorHAnsi" w:hAnsi="Calibri" w:cstheme="minorBidi"/>
                                <w:b/>
                                <w:bCs/>
                                <w:sz w:val="22"/>
                                <w:szCs w:val="21"/>
                              </w:rPr>
                              <w:t>Okyselování</w:t>
                            </w:r>
                            <w:r>
                              <w:rPr>
                                <w:rFonts w:asciiTheme="minorHAnsi" w:hAnsi="Calibri" w:cstheme="minorBidi"/>
                                <w:b/>
                                <w:bCs/>
                                <w:sz w:val="18"/>
                                <w:szCs w:val="18"/>
                              </w:rPr>
                              <w:t xml:space="preserve"> </w:t>
                            </w:r>
                            <w:r w:rsidRPr="00D51931">
                              <w:rPr>
                                <w:rFonts w:asciiTheme="minorHAnsi" w:hAnsi="Calibri" w:cstheme="minorBidi"/>
                                <w:bCs/>
                                <w:sz w:val="18"/>
                                <w:szCs w:val="18"/>
                              </w:rPr>
                              <w:t>zemědělské půdy</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7367AA4" id="_x0000_s1035" type="#_x0000_t202" style="position:absolute;left:0;text-align:left;margin-left:37.9pt;margin-top:46.25pt;width:74.25pt;height:4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7vnAEAAA8DAAAOAAAAZHJzL2Uyb0RvYy54bWysUttuEzEQfUfiHyy/k92kLW1X2VRABS8I&#10;KrV8gOMdZy2tPWbsZDefxHfwY4ydSxG8VX3xZWZ85pwzXt5NbhA7oGjRt3I+q6UAr7GzftPKH0+f&#10;391IEZPynRrQQyv3EOXd6u2b5RgaWGCPQwckGMTHZgyt7FMKTVVF3YNTcYYBPCcNklOJr7SpOlIj&#10;o7uhWtT1+2pE6gKhhhg5en9IylXBNwZ0+m5MhCSGVjK3VFYq6zqv1Wqpmg2p0Ft9pKFewMIp67np&#10;GepeJSW2ZP+DclYTRjRpptFVaIzVUDSwmnn9j5rHXgUoWticGM42xdeD1d92DyRs10ruL4VXjof0&#10;BFPC3e9fDziAmGePxhAbLn0MXJymjzjxrE/xyMEsfTLk8s6iBOfZ7f3ZYQYUmoO3l4vb6yspNKeu&#10;Li4u6zKB6vlxoJi+ADqRD60kHmDxVe2+xsREuPRUwpdM69A+n9K0noqU6xO1NXZ7ZjzyfFsZf24V&#10;gRSUhk9YvkNm6/HDNqGxBTyjHN4cwdn10vP4Q/JY/76Xqud/vPoDAAD//wMAUEsDBBQABgAIAAAA&#10;IQBhRsca3gAAAAkBAAAPAAAAZHJzL2Rvd25yZXYueG1sTI/NTsMwEITvSLyDtUjcqE1o+pPGqRCI&#10;K6gFKvXmxtskIl5HsduEt+/2BMfRjGa+ydeja8UZ+9B40vA4USCQSm8bqjR8fb49LECEaMia1hNq&#10;+MUA6+L2JjeZ9QNt8LyNleASCpnRUMfYZVKGskZnwsR3SOwdfe9MZNlX0vZm4HLXykSpmXSmIV6o&#10;TYcvNZY/25PT8P1+3O+m6qN6dWk3+FFJckup9f3d+LwCEXGMf2G44jM6FMx08CeyQbQa5imTRw3L&#10;JAXBfpJMn0AcODifpSCLXP5/UFwAAAD//wMAUEsBAi0AFAAGAAgAAAAhALaDOJL+AAAA4QEAABMA&#10;AAAAAAAAAAAAAAAAAAAAAFtDb250ZW50X1R5cGVzXS54bWxQSwECLQAUAAYACAAAACEAOP0h/9YA&#10;AACUAQAACwAAAAAAAAAAAAAAAAAvAQAAX3JlbHMvLnJlbHNQSwECLQAUAAYACAAAACEAQBMe75wB&#10;AAAPAwAADgAAAAAAAAAAAAAAAAAuAgAAZHJzL2Uyb0RvYy54bWxQSwECLQAUAAYACAAAACEAYUbH&#10;Gt4AAAAJAQAADwAAAAAAAAAAAAAAAAD2AwAAZHJzL2Rvd25yZXYueG1sUEsFBgAAAAAEAAQA8wAA&#10;AAEFAAAAAA==&#10;" filled="f" stroked="f">
                <v:textbox>
                  <w:txbxContent>
                    <w:p w14:paraId="33B4F098" w14:textId="4775A6BF" w:rsidR="009E69AD" w:rsidRDefault="009E69AD" w:rsidP="001C5D9B">
                      <w:pPr>
                        <w:pStyle w:val="Normlnweb"/>
                        <w:spacing w:before="0"/>
                        <w:jc w:val="center"/>
                      </w:pPr>
                      <w:r w:rsidRPr="00D51931">
                        <w:rPr>
                          <w:rFonts w:asciiTheme="minorHAnsi" w:hAnsi="Calibri" w:cstheme="minorBidi"/>
                          <w:b/>
                          <w:bCs/>
                          <w:sz w:val="22"/>
                          <w:szCs w:val="21"/>
                        </w:rPr>
                        <w:t>Okyselování</w:t>
                      </w:r>
                      <w:r>
                        <w:rPr>
                          <w:rFonts w:asciiTheme="minorHAnsi" w:hAnsi="Calibri" w:cstheme="minorBidi"/>
                          <w:b/>
                          <w:bCs/>
                          <w:sz w:val="18"/>
                          <w:szCs w:val="18"/>
                        </w:rPr>
                        <w:t xml:space="preserve"> </w:t>
                      </w:r>
                      <w:r w:rsidRPr="00D51931">
                        <w:rPr>
                          <w:rFonts w:asciiTheme="minorHAnsi" w:hAnsi="Calibri" w:cstheme="minorBidi"/>
                          <w:bCs/>
                          <w:sz w:val="18"/>
                          <w:szCs w:val="18"/>
                        </w:rPr>
                        <w:t>zemědělské půdy</w:t>
                      </w:r>
                    </w:p>
                  </w:txbxContent>
                </v:textbox>
              </v:shape>
            </w:pict>
          </mc:Fallback>
        </mc:AlternateContent>
      </w:r>
      <w:r>
        <w:rPr>
          <w:noProof/>
          <w:lang w:eastAsia="cs-CZ"/>
        </w:rPr>
        <w:drawing>
          <wp:inline distT="0" distB="0" distL="0" distR="0" wp14:anchorId="62F4CAE3" wp14:editId="3A67D8B5">
            <wp:extent cx="3239770" cy="1511935"/>
            <wp:effectExtent l="0" t="0" r="0" b="0"/>
            <wp:docPr id="64" name="Graf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r w:rsidR="00B74CF2" w:rsidRPr="004F29F1">
        <w:rPr>
          <w:noProof/>
          <w:lang w:eastAsia="cs-CZ"/>
        </w:rPr>
        <mc:AlternateContent>
          <mc:Choice Requires="wps">
            <w:drawing>
              <wp:anchor distT="0" distB="0" distL="114300" distR="114300" simplePos="0" relativeHeight="251654656" behindDoc="0" locked="0" layoutInCell="1" allowOverlap="1" wp14:anchorId="59C6F543" wp14:editId="35796130">
                <wp:simplePos x="0" y="0"/>
                <wp:positionH relativeFrom="column">
                  <wp:posOffset>4129405</wp:posOffset>
                </wp:positionH>
                <wp:positionV relativeFrom="paragraph">
                  <wp:posOffset>520065</wp:posOffset>
                </wp:positionV>
                <wp:extent cx="895350" cy="552450"/>
                <wp:effectExtent l="0" t="0" r="0" b="0"/>
                <wp:wrapNone/>
                <wp:docPr id="202" name="TextovéPole 1"/>
                <wp:cNvGraphicFramePr/>
                <a:graphic xmlns:a="http://schemas.openxmlformats.org/drawingml/2006/main">
                  <a:graphicData uri="http://schemas.microsoft.com/office/word/2010/wordprocessingShape">
                    <wps:wsp>
                      <wps:cNvSpPr txBox="1"/>
                      <wps:spPr>
                        <a:xfrm>
                          <a:off x="0" y="0"/>
                          <a:ext cx="895350" cy="552450"/>
                        </a:xfrm>
                        <a:prstGeom prst="rect">
                          <a:avLst/>
                        </a:prstGeom>
                      </wps:spPr>
                      <wps:txbx>
                        <w:txbxContent>
                          <w:p w14:paraId="7B061733" w14:textId="77777777" w:rsidR="009E69AD" w:rsidRPr="0090328B" w:rsidRDefault="009E69AD" w:rsidP="001C5D9B">
                            <w:pPr>
                              <w:pStyle w:val="Normlnweb"/>
                              <w:spacing w:before="0"/>
                              <w:jc w:val="center"/>
                            </w:pPr>
                            <w:r w:rsidRPr="00D51931">
                              <w:rPr>
                                <w:rFonts w:asciiTheme="minorHAnsi" w:hAnsi="Calibri" w:cstheme="minorBidi"/>
                                <w:b/>
                                <w:bCs/>
                                <w:sz w:val="22"/>
                                <w:szCs w:val="21"/>
                              </w:rPr>
                              <w:t>Utužení</w:t>
                            </w:r>
                            <w:r>
                              <w:rPr>
                                <w:rFonts w:asciiTheme="minorHAnsi" w:hAnsi="Calibri" w:cstheme="minorBidi"/>
                                <w:b/>
                                <w:bCs/>
                                <w:sz w:val="18"/>
                                <w:szCs w:val="18"/>
                              </w:rPr>
                              <w:t xml:space="preserve"> </w:t>
                            </w:r>
                            <w:r w:rsidRPr="00D51931">
                              <w:rPr>
                                <w:rFonts w:asciiTheme="minorHAnsi" w:hAnsi="Calibri" w:cstheme="minorBidi"/>
                                <w:bCs/>
                                <w:sz w:val="18"/>
                                <w:szCs w:val="18"/>
                              </w:rPr>
                              <w:t xml:space="preserve">zemědělské půdy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9C6F543" id="_x0000_s1036" type="#_x0000_t202" style="position:absolute;left:0;text-align:left;margin-left:325.15pt;margin-top:40.95pt;width:70.5pt;height:4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A7mgEAAA8DAAAOAAAAZHJzL2Uyb0RvYy54bWysUktu2zAQ3RfIHQjuY8lKXTiC5SAftJug&#10;DZDkADRFWgREDjOkLflIOUcv1iH9SZHsgmz4mc/je2+4uBptz7YKgwHX8Omk5Ew5Ca1x64Y/P/08&#10;n3MWonCt6MGphu9U4FfLs2+Lwdeqgg76ViEjEBfqwTe8i9HXRRFkp6wIE/DKUVIDWhHpiuuiRTEQ&#10;uu2Lqix/FANg6xGkCoGid/skX2Z8rZWMf7QOKrK+4cQt5hXzukprsVyIeo3Cd0YeaIhPsLDCOHr0&#10;BHUnomAbNB+grJEIAXScSLAFaG2kyhpIzbR8p+axE15lLWRO8CebwtfByt/bB2SmbXhVVpw5YWlI&#10;T2qMsP37+gC9YtPk0eBDTaWPnorjeAMjzfoYDxRM0keNNu0kilGe3N6dHCZAJik4v5xdzCgjKTWb&#10;Vd/pTOjFW7PHEH8psCwdGo40wOyr2N6HuC89llBforV/Pp3iuBqzlPmR2graHTEeaL4NDy8bgYoz&#10;jP0t5O+Q2Dq43kTQJoMnlH3PAZxcz/QOPySN9f97rnr7x8t/AAAA//8DAFBLAwQUAAYACAAAACEA&#10;UR1TiN4AAAAKAQAADwAAAGRycy9kb3ducmV2LnhtbEyPTU/DMAyG70j8h8hI3FhStpW2NJ3Q0K4g&#10;xofELWu8tqJxqiZby7/HnOBo+9Hr5y03s+vFGcfQedKQLBQIpNrbjhoNb6+7mwxEiIas6T2hhm8M&#10;sKkuL0pTWD/RC573sREcQqEwGtoYh0LKULfoTFj4AYlvRz86E3kcG2lHM3G46+WtUql0piP+0JoB&#10;ty3WX/uT0/D+dPz8WKnn5tGth8nPSpLLpdbXV/PDPYiIc/yD4Vef1aFip4M/kQ2i15Cu1ZJRDVmS&#10;g2DgLk94cWAyzXKQVSn/V6h+AAAA//8DAFBLAQItABQABgAIAAAAIQC2gziS/gAAAOEBAAATAAAA&#10;AAAAAAAAAAAAAAAAAABbQ29udGVudF9UeXBlc10ueG1sUEsBAi0AFAAGAAgAAAAhADj9If/WAAAA&#10;lAEAAAsAAAAAAAAAAAAAAAAALwEAAF9yZWxzLy5yZWxzUEsBAi0AFAAGAAgAAAAhAAMEkDuaAQAA&#10;DwMAAA4AAAAAAAAAAAAAAAAALgIAAGRycy9lMm9Eb2MueG1sUEsBAi0AFAAGAAgAAAAhAFEdU4je&#10;AAAACgEAAA8AAAAAAAAAAAAAAAAA9AMAAGRycy9kb3ducmV2LnhtbFBLBQYAAAAABAAEAPMAAAD/&#10;BAAAAAA=&#10;" filled="f" stroked="f">
                <v:textbox>
                  <w:txbxContent>
                    <w:p w14:paraId="7B061733" w14:textId="77777777" w:rsidR="009E69AD" w:rsidRPr="0090328B" w:rsidRDefault="009E69AD" w:rsidP="001C5D9B">
                      <w:pPr>
                        <w:pStyle w:val="Normlnweb"/>
                        <w:spacing w:before="0"/>
                        <w:jc w:val="center"/>
                      </w:pPr>
                      <w:r w:rsidRPr="00D51931">
                        <w:rPr>
                          <w:rFonts w:asciiTheme="minorHAnsi" w:hAnsi="Calibri" w:cstheme="minorBidi"/>
                          <w:b/>
                          <w:bCs/>
                          <w:sz w:val="22"/>
                          <w:szCs w:val="21"/>
                        </w:rPr>
                        <w:t>Utužení</w:t>
                      </w:r>
                      <w:r>
                        <w:rPr>
                          <w:rFonts w:asciiTheme="minorHAnsi" w:hAnsi="Calibri" w:cstheme="minorBidi"/>
                          <w:b/>
                          <w:bCs/>
                          <w:sz w:val="18"/>
                          <w:szCs w:val="18"/>
                        </w:rPr>
                        <w:t xml:space="preserve"> </w:t>
                      </w:r>
                      <w:r w:rsidRPr="00D51931">
                        <w:rPr>
                          <w:rFonts w:asciiTheme="minorHAnsi" w:hAnsi="Calibri" w:cstheme="minorBidi"/>
                          <w:bCs/>
                          <w:sz w:val="18"/>
                          <w:szCs w:val="18"/>
                        </w:rPr>
                        <w:t xml:space="preserve">zemědělské půdy </w:t>
                      </w:r>
                    </w:p>
                  </w:txbxContent>
                </v:textbox>
              </v:shape>
            </w:pict>
          </mc:Fallback>
        </mc:AlternateContent>
      </w:r>
      <w:r w:rsidR="00B74CF2">
        <w:rPr>
          <w:noProof/>
          <w:lang w:eastAsia="cs-CZ"/>
        </w:rPr>
        <w:drawing>
          <wp:inline distT="0" distB="0" distL="0" distR="0" wp14:anchorId="13B0936B" wp14:editId="1CE2A4E9">
            <wp:extent cx="2457450" cy="1590675"/>
            <wp:effectExtent l="0" t="0" r="0" b="0"/>
            <wp:docPr id="72" name="Graf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14:paraId="4F3FB31B" w14:textId="41D59240" w:rsidR="001C5D9B" w:rsidRPr="00EA0EE4" w:rsidRDefault="001C5D9B" w:rsidP="002C4F38">
      <w:pPr>
        <w:pStyle w:val="Poznazdroj"/>
      </w:pPr>
      <w:r w:rsidRPr="00E1051E">
        <w:rPr>
          <w:b/>
        </w:rPr>
        <w:t>Zdroj:</w:t>
      </w:r>
      <w:r w:rsidRPr="003D5C2B">
        <w:t xml:space="preserve"> </w:t>
      </w:r>
      <w:r w:rsidRPr="00EA0EE4">
        <w:t>Výzkumný ústav meliorací a ochrany půdy, v. v. i.</w:t>
      </w:r>
    </w:p>
    <w:p w14:paraId="05DC459B" w14:textId="7E7483C2" w:rsidR="00230352" w:rsidRPr="000C3B02" w:rsidRDefault="00230352" w:rsidP="00230352">
      <w:pPr>
        <w:rPr>
          <w:b/>
          <w:noProof/>
          <w:lang w:eastAsia="cs-CZ"/>
        </w:rPr>
      </w:pPr>
      <w:r w:rsidRPr="00BE57C9">
        <w:rPr>
          <w:b/>
          <w:szCs w:val="24"/>
        </w:rPr>
        <w:t>Zhoršen</w:t>
      </w:r>
      <w:r w:rsidR="00310BF0">
        <w:rPr>
          <w:b/>
          <w:szCs w:val="24"/>
        </w:rPr>
        <w:t>á</w:t>
      </w:r>
      <w:r w:rsidRPr="00BE57C9">
        <w:rPr>
          <w:b/>
          <w:szCs w:val="24"/>
        </w:rPr>
        <w:t xml:space="preserve"> kvalit</w:t>
      </w:r>
      <w:r w:rsidR="00310BF0">
        <w:rPr>
          <w:b/>
          <w:szCs w:val="24"/>
        </w:rPr>
        <w:t>a</w:t>
      </w:r>
      <w:r w:rsidRPr="00BE57C9">
        <w:rPr>
          <w:b/>
          <w:szCs w:val="24"/>
        </w:rPr>
        <w:t xml:space="preserve"> zemědělské půdy </w:t>
      </w:r>
      <w:r w:rsidR="00310BF0">
        <w:rPr>
          <w:b/>
          <w:szCs w:val="24"/>
        </w:rPr>
        <w:t>i</w:t>
      </w:r>
      <w:r w:rsidRPr="00BE57C9">
        <w:rPr>
          <w:b/>
          <w:szCs w:val="24"/>
        </w:rPr>
        <w:t xml:space="preserve"> snaha udržet požadovan</w:t>
      </w:r>
      <w:r w:rsidR="00310BF0">
        <w:rPr>
          <w:b/>
          <w:szCs w:val="24"/>
        </w:rPr>
        <w:t>é</w:t>
      </w:r>
      <w:r w:rsidRPr="00BE57C9">
        <w:rPr>
          <w:b/>
          <w:szCs w:val="24"/>
        </w:rPr>
        <w:t xml:space="preserve"> výnos</w:t>
      </w:r>
      <w:r w:rsidR="00310BF0">
        <w:rPr>
          <w:b/>
          <w:szCs w:val="24"/>
        </w:rPr>
        <w:t>y</w:t>
      </w:r>
      <w:r w:rsidRPr="00BE57C9">
        <w:rPr>
          <w:b/>
          <w:szCs w:val="24"/>
        </w:rPr>
        <w:t xml:space="preserve"> v rostlinné výrobě </w:t>
      </w:r>
      <w:r w:rsidR="00310BF0">
        <w:rPr>
          <w:b/>
          <w:szCs w:val="24"/>
        </w:rPr>
        <w:t xml:space="preserve">úzce souvisí </w:t>
      </w:r>
      <w:r>
        <w:rPr>
          <w:b/>
          <w:szCs w:val="24"/>
        </w:rPr>
        <w:t xml:space="preserve">se </w:t>
      </w:r>
      <w:r w:rsidRPr="00BE57C9">
        <w:rPr>
          <w:b/>
          <w:szCs w:val="24"/>
        </w:rPr>
        <w:t>zvýšen</w:t>
      </w:r>
      <w:r w:rsidR="00310BF0">
        <w:rPr>
          <w:b/>
          <w:szCs w:val="24"/>
        </w:rPr>
        <w:t>ou</w:t>
      </w:r>
      <w:r w:rsidRPr="00BE57C9">
        <w:rPr>
          <w:b/>
          <w:szCs w:val="24"/>
        </w:rPr>
        <w:t xml:space="preserve"> spotřeb</w:t>
      </w:r>
      <w:r w:rsidR="00310BF0">
        <w:rPr>
          <w:b/>
          <w:szCs w:val="24"/>
        </w:rPr>
        <w:t>ou</w:t>
      </w:r>
      <w:r w:rsidRPr="00BE57C9">
        <w:rPr>
          <w:b/>
          <w:szCs w:val="24"/>
        </w:rPr>
        <w:t xml:space="preserve"> průmyslových hnojiv, ochranných prostředků nebo vápenatých hnojiv ke snížení kyselosti půd.</w:t>
      </w:r>
      <w:r>
        <w:rPr>
          <w:szCs w:val="24"/>
        </w:rPr>
        <w:t xml:space="preserve"> Ke zhoršení kvality půdy přispívá i nedostatek kvalitních organických hnojiv, což je způsobeno především dlouhodobým poklesem chovu hospodářských </w:t>
      </w:r>
      <w:r w:rsidRPr="008B3CD4">
        <w:rPr>
          <w:szCs w:val="24"/>
        </w:rPr>
        <w:t>zvířat, což potvrdily i výsledky KA č. 18/08</w:t>
      </w:r>
      <w:r w:rsidRPr="008B3CD4">
        <w:rPr>
          <w:rStyle w:val="Znakapoznpodarou"/>
          <w:szCs w:val="24"/>
        </w:rPr>
        <w:footnoteReference w:id="65"/>
      </w:r>
      <w:r w:rsidRPr="008B3CD4">
        <w:rPr>
          <w:szCs w:val="24"/>
        </w:rPr>
        <w:t xml:space="preserve">. </w:t>
      </w:r>
      <w:r w:rsidRPr="008B3CD4">
        <w:rPr>
          <w:noProof/>
          <w:szCs w:val="24"/>
          <w:lang w:eastAsia="cs-CZ"/>
        </w:rPr>
        <w:t>Stavy hospodářských zvířat (zejména prasat a dojnic) a mír</w:t>
      </w:r>
      <w:r w:rsidR="00615B88">
        <w:rPr>
          <w:noProof/>
          <w:szCs w:val="24"/>
          <w:lang w:eastAsia="cs-CZ"/>
        </w:rPr>
        <w:t>u</w:t>
      </w:r>
      <w:r w:rsidRPr="002A3538">
        <w:rPr>
          <w:noProof/>
          <w:szCs w:val="24"/>
          <w:lang w:eastAsia="cs-CZ"/>
        </w:rPr>
        <w:t xml:space="preserve"> soběstačnosti ČR v živočišné produkci, zejména ve vepřovém mase, se nedaří zvyšovat, přestože se dotace do živočišné výroby od roku 2012 stále zvyšují. ČR ve srovnání s ostatními členskými zeměmi EU vyplácí nadprůměrné dotace</w:t>
      </w:r>
      <w:r>
        <w:rPr>
          <w:noProof/>
          <w:szCs w:val="24"/>
          <w:lang w:eastAsia="cs-CZ"/>
        </w:rPr>
        <w:t xml:space="preserve">, </w:t>
      </w:r>
      <w:r>
        <w:rPr>
          <w:noProof/>
          <w:szCs w:val="24"/>
          <w:lang w:eastAsia="cs-CZ"/>
        </w:rPr>
        <w:lastRenderedPageBreak/>
        <w:t xml:space="preserve">což </w:t>
      </w:r>
      <w:r w:rsidRPr="002A3538">
        <w:rPr>
          <w:noProof/>
          <w:szCs w:val="24"/>
          <w:lang w:eastAsia="cs-CZ"/>
        </w:rPr>
        <w:t xml:space="preserve">vyplývá z analýzy mezinárodních dat ze </w:t>
      </w:r>
      <w:r w:rsidRPr="00E1051E">
        <w:rPr>
          <w:i/>
          <w:noProof/>
          <w:szCs w:val="24"/>
          <w:lang w:eastAsia="cs-CZ"/>
        </w:rPr>
        <w:t>Zemědělské účetní datové sítě</w:t>
      </w:r>
      <w:r w:rsidRPr="002A3538">
        <w:rPr>
          <w:noProof/>
          <w:szCs w:val="24"/>
          <w:lang w:eastAsia="cs-CZ"/>
        </w:rPr>
        <w:t xml:space="preserve"> (FADN). Ministerstvu zemědělství se nedaří naplňovat strategické cíle, které si v sektoru živočišné výroby stanovilo.</w:t>
      </w:r>
      <w:r>
        <w:rPr>
          <w:noProof/>
          <w:szCs w:val="24"/>
          <w:lang w:eastAsia="cs-CZ"/>
        </w:rPr>
        <w:t xml:space="preserve"> Tyto skutečnosti se negativně projevují na spotřebě průmyslových hnojiv, která se sice oproti začá</w:t>
      </w:r>
      <w:r w:rsidR="00C80DCE">
        <w:rPr>
          <w:noProof/>
          <w:szCs w:val="24"/>
          <w:lang w:eastAsia="cs-CZ"/>
        </w:rPr>
        <w:t>tku</w:t>
      </w:r>
      <w:r>
        <w:rPr>
          <w:szCs w:val="24"/>
        </w:rPr>
        <w:t xml:space="preserve"> </w:t>
      </w:r>
      <w:r w:rsidR="00310BF0">
        <w:rPr>
          <w:szCs w:val="24"/>
        </w:rPr>
        <w:t>devadesá</w:t>
      </w:r>
      <w:r>
        <w:rPr>
          <w:szCs w:val="24"/>
        </w:rPr>
        <w:t xml:space="preserve">tých let minulého století snížila, ale od roku 2010 se naopak zvyšuje. </w:t>
      </w:r>
      <w:r w:rsidRPr="000C3B02">
        <w:rPr>
          <w:b/>
          <w:szCs w:val="24"/>
        </w:rPr>
        <w:t>Jen samotná spotřeb</w:t>
      </w:r>
      <w:r w:rsidR="00310BF0">
        <w:rPr>
          <w:b/>
          <w:szCs w:val="24"/>
        </w:rPr>
        <w:t>a</w:t>
      </w:r>
      <w:r w:rsidRPr="000C3B02">
        <w:rPr>
          <w:b/>
          <w:szCs w:val="24"/>
        </w:rPr>
        <w:t xml:space="preserve"> dusíkatých hnojiv dosahuje od roku 2015 hodnot, které byly dosaženy naposledy v </w:t>
      </w:r>
      <w:r w:rsidR="00310BF0">
        <w:rPr>
          <w:b/>
          <w:szCs w:val="24"/>
        </w:rPr>
        <w:t>osmdesátých</w:t>
      </w:r>
      <w:r w:rsidRPr="000C3B02">
        <w:rPr>
          <w:b/>
          <w:szCs w:val="24"/>
        </w:rPr>
        <w:t xml:space="preserve"> letech minulého století.</w:t>
      </w:r>
    </w:p>
    <w:p w14:paraId="6E67042D" w14:textId="06CCA019" w:rsidR="00230352" w:rsidRDefault="000509E3" w:rsidP="00F02865">
      <w:pPr>
        <w:pStyle w:val="Tituleknadgrafy10-99"/>
        <w:jc w:val="both"/>
      </w:pPr>
      <w:r w:rsidRPr="00C95133">
        <w:t>Graf č. </w:t>
      </w:r>
      <w:r w:rsidRPr="00C95133">
        <w:fldChar w:fldCharType="begin"/>
      </w:r>
      <w:r w:rsidRPr="00C95133">
        <w:instrText xml:space="preserve"> SEQ Graf_č. \* ARABIC </w:instrText>
      </w:r>
      <w:r w:rsidRPr="00C95133">
        <w:fldChar w:fldCharType="separate"/>
      </w:r>
      <w:r w:rsidR="009849B2">
        <w:t>29</w:t>
      </w:r>
      <w:r w:rsidRPr="00C95133">
        <w:fldChar w:fldCharType="end"/>
      </w:r>
      <w:r>
        <w:t xml:space="preserve"> </w:t>
      </w:r>
      <w:r w:rsidR="00230352" w:rsidRPr="009429FF">
        <w:t>–</w:t>
      </w:r>
      <w:r w:rsidR="00001875">
        <w:tab/>
      </w:r>
      <w:r w:rsidR="00230352">
        <w:t>P</w:t>
      </w:r>
      <w:r w:rsidR="00230352" w:rsidRPr="009429FF">
        <w:t xml:space="preserve">okles stavu hospodářských zvířat </w:t>
      </w:r>
      <w:r w:rsidR="00230352">
        <w:t>a</w:t>
      </w:r>
      <w:r w:rsidR="00230352" w:rsidRPr="009429FF">
        <w:t xml:space="preserve"> spotřeb</w:t>
      </w:r>
      <w:r w:rsidR="00230352">
        <w:t>a</w:t>
      </w:r>
      <w:r w:rsidR="00230352" w:rsidRPr="009429FF">
        <w:t xml:space="preserve"> průmyslových hnojiv</w:t>
      </w:r>
      <w:r w:rsidR="00F02865">
        <w:t xml:space="preserve"> </w:t>
      </w:r>
      <w:r w:rsidR="00230352">
        <w:t>(</w:t>
      </w:r>
      <w:r w:rsidR="00806A33">
        <w:t xml:space="preserve">v </w:t>
      </w:r>
      <w:r w:rsidR="00230352">
        <w:t xml:space="preserve">tis. kusů, </w:t>
      </w:r>
      <w:r w:rsidR="00806A33">
        <w:t xml:space="preserve">v </w:t>
      </w:r>
      <w:r w:rsidR="00230352">
        <w:t>kg)</w:t>
      </w:r>
    </w:p>
    <w:p w14:paraId="01182D62" w14:textId="2BF18038" w:rsidR="00230352" w:rsidRDefault="00F02865" w:rsidP="00F57589">
      <w:pPr>
        <w:keepNext/>
        <w:spacing w:before="0" w:after="0"/>
        <w:rPr>
          <w:b/>
          <w:noProof/>
          <w:szCs w:val="24"/>
          <w:lang w:eastAsia="cs-CZ"/>
        </w:rPr>
      </w:pPr>
      <w:r>
        <w:rPr>
          <w:noProof/>
          <w:lang w:eastAsia="cs-CZ"/>
        </w:rPr>
        <w:drawing>
          <wp:inline distT="0" distB="0" distL="0" distR="0" wp14:anchorId="6AD0C0CE" wp14:editId="65817E38">
            <wp:extent cx="5760000" cy="162000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1791C5F8" w14:textId="17BF780D" w:rsidR="00230352" w:rsidRPr="00C6657C" w:rsidRDefault="00230352" w:rsidP="002C4F38">
      <w:pPr>
        <w:pStyle w:val="Poznazdroj"/>
        <w:rPr>
          <w:noProof/>
          <w:lang w:eastAsia="cs-CZ"/>
        </w:rPr>
      </w:pPr>
      <w:r w:rsidRPr="00E1051E">
        <w:rPr>
          <w:b/>
          <w:noProof/>
          <w:lang w:eastAsia="cs-CZ"/>
        </w:rPr>
        <w:t>Zdroj:</w:t>
      </w:r>
      <w:r w:rsidRPr="00D80CD8">
        <w:rPr>
          <w:noProof/>
          <w:lang w:eastAsia="cs-CZ"/>
        </w:rPr>
        <w:t xml:space="preserve"> </w:t>
      </w:r>
      <w:r w:rsidRPr="00EA0EE4">
        <w:rPr>
          <w:noProof/>
          <w:lang w:eastAsia="cs-CZ"/>
        </w:rPr>
        <w:t>Č</w:t>
      </w:r>
      <w:r w:rsidR="001C5D9B" w:rsidRPr="00EA0EE4">
        <w:rPr>
          <w:noProof/>
          <w:lang w:eastAsia="cs-CZ"/>
        </w:rPr>
        <w:t xml:space="preserve">eský statistický úřad </w:t>
      </w:r>
      <w:r w:rsidRPr="00C6657C">
        <w:rPr>
          <w:noProof/>
          <w:lang w:eastAsia="cs-CZ"/>
        </w:rPr>
        <w:t xml:space="preserve">– </w:t>
      </w:r>
      <w:r w:rsidR="00310BF0">
        <w:rPr>
          <w:noProof/>
          <w:lang w:eastAsia="cs-CZ"/>
        </w:rPr>
        <w:t>v</w:t>
      </w:r>
      <w:r w:rsidRPr="00C6657C">
        <w:rPr>
          <w:noProof/>
          <w:lang w:eastAsia="cs-CZ"/>
        </w:rPr>
        <w:t xml:space="preserve">ybrané ukazatele zemědělství </w:t>
      </w:r>
      <w:r w:rsidRPr="00C6657C">
        <w:rPr>
          <w:noProof/>
          <w:szCs w:val="20"/>
          <w:lang w:eastAsia="cs-CZ"/>
        </w:rPr>
        <w:t>v České republice.</w:t>
      </w:r>
    </w:p>
    <w:p w14:paraId="4E648BDE" w14:textId="0C399741" w:rsidR="00230352" w:rsidRDefault="00230352" w:rsidP="009E69AD">
      <w:pPr>
        <w:spacing w:before="240" w:after="0"/>
      </w:pPr>
      <w:r>
        <w:rPr>
          <w:b/>
          <w:noProof/>
          <w:lang w:eastAsia="cs-CZ"/>
        </w:rPr>
        <w:t>V důsledku klimatických změn je z</w:t>
      </w:r>
      <w:r w:rsidRPr="005B3840">
        <w:rPr>
          <w:b/>
          <w:noProof/>
          <w:lang w:eastAsia="cs-CZ"/>
        </w:rPr>
        <w:t xml:space="preserve">emědělská půda v České republice </w:t>
      </w:r>
      <w:r>
        <w:rPr>
          <w:b/>
          <w:noProof/>
          <w:lang w:eastAsia="cs-CZ"/>
        </w:rPr>
        <w:t>v posledních letech</w:t>
      </w:r>
      <w:r w:rsidRPr="005B3840">
        <w:rPr>
          <w:b/>
          <w:noProof/>
          <w:lang w:eastAsia="cs-CZ"/>
        </w:rPr>
        <w:t xml:space="preserve"> extrémně zatížen</w:t>
      </w:r>
      <w:r w:rsidR="00310BF0">
        <w:rPr>
          <w:b/>
          <w:noProof/>
          <w:lang w:eastAsia="cs-CZ"/>
        </w:rPr>
        <w:t>a</w:t>
      </w:r>
      <w:r w:rsidRPr="005B3840">
        <w:rPr>
          <w:b/>
          <w:noProof/>
          <w:lang w:eastAsia="cs-CZ"/>
        </w:rPr>
        <w:t xml:space="preserve"> erozí, která </w:t>
      </w:r>
      <w:r w:rsidRPr="00592392">
        <w:rPr>
          <w:b/>
          <w:noProof/>
          <w:lang w:eastAsia="cs-CZ"/>
        </w:rPr>
        <w:t>mění kvantitativní a kvalitativní vlastnosti půd</w:t>
      </w:r>
      <w:r>
        <w:rPr>
          <w:b/>
          <w:noProof/>
          <w:lang w:eastAsia="cs-CZ"/>
        </w:rPr>
        <w:t>.</w:t>
      </w:r>
      <w:r w:rsidRPr="00592392">
        <w:rPr>
          <w:b/>
          <w:noProof/>
          <w:lang w:eastAsia="cs-CZ"/>
        </w:rPr>
        <w:t xml:space="preserve"> </w:t>
      </w:r>
      <w:r w:rsidRPr="005B3840">
        <w:rPr>
          <w:b/>
          <w:noProof/>
          <w:lang w:eastAsia="cs-CZ"/>
        </w:rPr>
        <w:t>Zlepšení ochrany zemědělské půdy</w:t>
      </w:r>
      <w:r>
        <w:rPr>
          <w:b/>
          <w:noProof/>
          <w:lang w:eastAsia="cs-CZ"/>
        </w:rPr>
        <w:t xml:space="preserve"> a zastavení její degradace </w:t>
      </w:r>
      <w:r w:rsidRPr="005B3840">
        <w:rPr>
          <w:b/>
          <w:noProof/>
          <w:lang w:eastAsia="cs-CZ"/>
        </w:rPr>
        <w:t>by měl</w:t>
      </w:r>
      <w:r>
        <w:rPr>
          <w:b/>
          <w:noProof/>
          <w:lang w:eastAsia="cs-CZ"/>
        </w:rPr>
        <w:t>o</w:t>
      </w:r>
      <w:r w:rsidRPr="005B3840">
        <w:rPr>
          <w:b/>
          <w:noProof/>
          <w:lang w:eastAsia="cs-CZ"/>
        </w:rPr>
        <w:t xml:space="preserve"> patřit k zásadní</w:t>
      </w:r>
      <w:r>
        <w:rPr>
          <w:b/>
          <w:noProof/>
          <w:lang w:eastAsia="cs-CZ"/>
        </w:rPr>
        <w:t>m</w:t>
      </w:r>
      <w:r w:rsidRPr="005B3840">
        <w:rPr>
          <w:b/>
          <w:noProof/>
          <w:lang w:eastAsia="cs-CZ"/>
        </w:rPr>
        <w:t xml:space="preserve"> cílů</w:t>
      </w:r>
      <w:r>
        <w:rPr>
          <w:b/>
          <w:noProof/>
          <w:lang w:eastAsia="cs-CZ"/>
        </w:rPr>
        <w:t>m</w:t>
      </w:r>
      <w:r w:rsidRPr="005B3840">
        <w:rPr>
          <w:b/>
          <w:noProof/>
          <w:lang w:eastAsia="cs-CZ"/>
        </w:rPr>
        <w:t xml:space="preserve"> všech dotčených subjektů v zemědělském sektoru. Důležitý</w:t>
      </w:r>
      <w:r>
        <w:rPr>
          <w:b/>
          <w:noProof/>
          <w:lang w:eastAsia="cs-CZ"/>
        </w:rPr>
        <w:t>m</w:t>
      </w:r>
      <w:r w:rsidRPr="005B3840">
        <w:rPr>
          <w:b/>
          <w:noProof/>
          <w:lang w:eastAsia="cs-CZ"/>
        </w:rPr>
        <w:t xml:space="preserve"> předpokladem pro </w:t>
      </w:r>
      <w:r>
        <w:rPr>
          <w:b/>
          <w:noProof/>
          <w:lang w:eastAsia="cs-CZ"/>
        </w:rPr>
        <w:t>ochranu zemědělské půdy je</w:t>
      </w:r>
      <w:r w:rsidRPr="005B3840">
        <w:rPr>
          <w:b/>
          <w:noProof/>
          <w:lang w:eastAsia="cs-CZ"/>
        </w:rPr>
        <w:t xml:space="preserve"> důsledné dodržování všech stávajících a nově navrhovaných opatření, kter</w:t>
      </w:r>
      <w:r>
        <w:rPr>
          <w:b/>
          <w:noProof/>
          <w:lang w:eastAsia="cs-CZ"/>
        </w:rPr>
        <w:t>á</w:t>
      </w:r>
      <w:r w:rsidRPr="005B3840">
        <w:rPr>
          <w:b/>
          <w:noProof/>
          <w:lang w:eastAsia="cs-CZ"/>
        </w:rPr>
        <w:t xml:space="preserve"> budou podporovat </w:t>
      </w:r>
      <w:r>
        <w:rPr>
          <w:b/>
          <w:noProof/>
          <w:lang w:eastAsia="cs-CZ"/>
        </w:rPr>
        <w:t xml:space="preserve">správný </w:t>
      </w:r>
      <w:r w:rsidRPr="005B3840">
        <w:rPr>
          <w:b/>
          <w:noProof/>
          <w:lang w:eastAsia="cs-CZ"/>
        </w:rPr>
        <w:t xml:space="preserve">přístup </w:t>
      </w:r>
      <w:r>
        <w:rPr>
          <w:b/>
          <w:noProof/>
          <w:lang w:eastAsia="cs-CZ"/>
        </w:rPr>
        <w:t>k</w:t>
      </w:r>
      <w:r w:rsidRPr="005B3840">
        <w:rPr>
          <w:b/>
          <w:noProof/>
          <w:lang w:eastAsia="cs-CZ"/>
        </w:rPr>
        <w:t xml:space="preserve"> hospodaření </w:t>
      </w:r>
      <w:r>
        <w:rPr>
          <w:b/>
          <w:noProof/>
          <w:lang w:eastAsia="cs-CZ"/>
        </w:rPr>
        <w:t>na</w:t>
      </w:r>
      <w:r w:rsidRPr="005B3840">
        <w:rPr>
          <w:b/>
          <w:noProof/>
          <w:lang w:eastAsia="cs-CZ"/>
        </w:rPr>
        <w:t xml:space="preserve"> zemědělsk</w:t>
      </w:r>
      <w:r>
        <w:rPr>
          <w:b/>
          <w:noProof/>
          <w:lang w:eastAsia="cs-CZ"/>
        </w:rPr>
        <w:t>é</w:t>
      </w:r>
      <w:r w:rsidRPr="005B3840">
        <w:rPr>
          <w:b/>
          <w:noProof/>
          <w:lang w:eastAsia="cs-CZ"/>
        </w:rPr>
        <w:t xml:space="preserve"> půd</w:t>
      </w:r>
      <w:r>
        <w:rPr>
          <w:b/>
          <w:noProof/>
          <w:lang w:eastAsia="cs-CZ"/>
        </w:rPr>
        <w:t xml:space="preserve">ě a budou mít pozitivní dopad na celkovou ochranu životního prostředí. Zlepšení kvality půdy může zásadním způsobem přispět nejen ke zmírnění eroze půdy a zajistit větší odolnost vůči suchu </w:t>
      </w:r>
      <w:r w:rsidR="00310BF0">
        <w:rPr>
          <w:b/>
          <w:noProof/>
          <w:lang w:eastAsia="cs-CZ"/>
        </w:rPr>
        <w:t>či</w:t>
      </w:r>
      <w:r>
        <w:rPr>
          <w:b/>
          <w:noProof/>
          <w:lang w:eastAsia="cs-CZ"/>
        </w:rPr>
        <w:t xml:space="preserve"> vydatným </w:t>
      </w:r>
      <w:r w:rsidR="009836DA">
        <w:rPr>
          <w:b/>
          <w:noProof/>
          <w:lang w:eastAsia="cs-CZ"/>
        </w:rPr>
        <w:t>dešťů</w:t>
      </w:r>
      <w:r w:rsidR="00310BF0">
        <w:rPr>
          <w:b/>
          <w:noProof/>
          <w:lang w:eastAsia="cs-CZ"/>
        </w:rPr>
        <w:t>m</w:t>
      </w:r>
      <w:r>
        <w:rPr>
          <w:b/>
          <w:noProof/>
          <w:lang w:eastAsia="cs-CZ"/>
        </w:rPr>
        <w:t>, ale i zmírnit rozsah následných škod na produkci zemědělských plodin (snížit finanční kompenzaci ze státního rozpočtu) nebo na majetku obcí a</w:t>
      </w:r>
      <w:r w:rsidR="00C6657C">
        <w:rPr>
          <w:b/>
          <w:noProof/>
          <w:lang w:eastAsia="cs-CZ"/>
        </w:rPr>
        <w:t> </w:t>
      </w:r>
      <w:r>
        <w:rPr>
          <w:b/>
          <w:noProof/>
          <w:lang w:eastAsia="cs-CZ"/>
        </w:rPr>
        <w:t>obyvatelstva.</w:t>
      </w:r>
    </w:p>
    <w:p w14:paraId="1CF6F33D" w14:textId="77777777" w:rsidR="00085B30" w:rsidRDefault="00085B30">
      <w:pPr>
        <w:spacing w:before="0" w:after="0" w:line="240" w:lineRule="auto"/>
        <w:jc w:val="left"/>
        <w:rPr>
          <w:b/>
        </w:rPr>
      </w:pPr>
      <w:r>
        <w:br w:type="page"/>
      </w:r>
    </w:p>
    <w:p w14:paraId="38E15A22" w14:textId="40AB6252" w:rsidR="007A79EA" w:rsidRPr="007A79EA" w:rsidRDefault="00B246DA" w:rsidP="008971F5">
      <w:pPr>
        <w:pStyle w:val="Nadpis3"/>
      </w:pPr>
      <w:bookmarkStart w:id="26" w:name="_Toc17208277"/>
      <w:r>
        <w:lastRenderedPageBreak/>
        <w:t>Kvalita ovzduší</w:t>
      </w:r>
      <w:bookmarkEnd w:id="26"/>
    </w:p>
    <w:p w14:paraId="51E769CB" w14:textId="3CCAF917" w:rsidR="00F7164A" w:rsidRDefault="00F7164A" w:rsidP="00F7164A">
      <w:r w:rsidRPr="00DB3DE6">
        <w:t xml:space="preserve">Jednou z nejdůležitějších </w:t>
      </w:r>
      <w:r>
        <w:t>oblastí</w:t>
      </w:r>
      <w:r w:rsidRPr="00DB3DE6">
        <w:t xml:space="preserve"> životního prostředí je ochrana ovzduší, které </w:t>
      </w:r>
      <w:r>
        <w:t>nejvíce působí na lidské zdraví</w:t>
      </w:r>
      <w:r w:rsidRPr="00DB3DE6">
        <w:t>.</w:t>
      </w:r>
      <w:r>
        <w:t xml:space="preserve"> </w:t>
      </w:r>
      <w:r w:rsidRPr="002A4F3A">
        <w:rPr>
          <w:b/>
        </w:rPr>
        <w:t>Ačkoliv se po roce 1990 celkový stav životního prostředí v ČR zlepšil, kvalita ovzduší</w:t>
      </w:r>
      <w:r w:rsidR="008903D1">
        <w:rPr>
          <w:b/>
        </w:rPr>
        <w:t xml:space="preserve"> se</w:t>
      </w:r>
      <w:r>
        <w:rPr>
          <w:b/>
        </w:rPr>
        <w:t xml:space="preserve"> </w:t>
      </w:r>
      <w:r w:rsidRPr="002A4F3A">
        <w:rPr>
          <w:b/>
        </w:rPr>
        <w:t>i přes dlouhodobě sniž</w:t>
      </w:r>
      <w:r w:rsidR="008903D1">
        <w:rPr>
          <w:b/>
        </w:rPr>
        <w:t>ované</w:t>
      </w:r>
      <w:r w:rsidRPr="002A4F3A">
        <w:rPr>
          <w:b/>
        </w:rPr>
        <w:t xml:space="preserve"> množství emisí znečišťujících látek</w:t>
      </w:r>
      <w:r w:rsidRPr="002A4F3A">
        <w:rPr>
          <w:b/>
          <w:vertAlign w:val="superscript"/>
        </w:rPr>
        <w:footnoteReference w:id="66"/>
      </w:r>
      <w:r w:rsidRPr="002A4F3A">
        <w:rPr>
          <w:b/>
        </w:rPr>
        <w:t xml:space="preserve"> </w:t>
      </w:r>
      <w:r>
        <w:rPr>
          <w:b/>
        </w:rPr>
        <w:t>příliš nelepší</w:t>
      </w:r>
      <w:r w:rsidRPr="002A4F3A">
        <w:rPr>
          <w:b/>
        </w:rPr>
        <w:t>.</w:t>
      </w:r>
      <w:r>
        <w:t xml:space="preserve"> </w:t>
      </w:r>
      <w:r w:rsidRPr="002A4F3A">
        <w:rPr>
          <w:b/>
        </w:rPr>
        <w:t xml:space="preserve">Ze </w:t>
      </w:r>
      <w:r w:rsidRPr="00A62DA9">
        <w:rPr>
          <w:b/>
          <w:i/>
        </w:rPr>
        <w:t>Zprávy OECD o hodnocení environmentálního chování ČR</w:t>
      </w:r>
      <w:r w:rsidRPr="002A4F3A">
        <w:rPr>
          <w:rStyle w:val="Znakapoznpodarou"/>
          <w:b/>
        </w:rPr>
        <w:footnoteReference w:id="67"/>
      </w:r>
      <w:r>
        <w:rPr>
          <w:b/>
        </w:rPr>
        <w:t xml:space="preserve"> v této souvislosti </w:t>
      </w:r>
      <w:r w:rsidRPr="002A4F3A">
        <w:rPr>
          <w:b/>
        </w:rPr>
        <w:t>vyplynulo, že v ČR je</w:t>
      </w:r>
      <w:r>
        <w:rPr>
          <w:b/>
        </w:rPr>
        <w:t xml:space="preserve"> </w:t>
      </w:r>
      <w:r w:rsidRPr="002A4F3A">
        <w:rPr>
          <w:b/>
        </w:rPr>
        <w:t>míra úmrtnosti v důsledku znečiště</w:t>
      </w:r>
      <w:r>
        <w:rPr>
          <w:b/>
        </w:rPr>
        <w:t xml:space="preserve">ní vnějšího ovzduší dvojnásobná oproti </w:t>
      </w:r>
      <w:r w:rsidRPr="002A4F3A">
        <w:rPr>
          <w:b/>
        </w:rPr>
        <w:t>průměr</w:t>
      </w:r>
      <w:r>
        <w:rPr>
          <w:b/>
        </w:rPr>
        <w:t>u</w:t>
      </w:r>
      <w:r w:rsidRPr="002A4F3A">
        <w:rPr>
          <w:b/>
        </w:rPr>
        <w:t xml:space="preserve"> OECD.</w:t>
      </w:r>
    </w:p>
    <w:p w14:paraId="35D27141" w14:textId="1EB0E340" w:rsidR="00F7164A" w:rsidRDefault="00F7164A" w:rsidP="00F7164A">
      <w:r w:rsidRPr="00DB3DE6">
        <w:t xml:space="preserve">V současné době má ČR především problémy s překračováním imisních limitů </w:t>
      </w:r>
      <w:r>
        <w:t xml:space="preserve">z hlediska ochrany lidského zdraví. </w:t>
      </w:r>
      <w:r w:rsidRPr="00F94F52">
        <w:rPr>
          <w:b/>
        </w:rPr>
        <w:t>Zatímco v roce 2014 byl překročen imisní limit u minimálně jedné znečišťující látky</w:t>
      </w:r>
      <w:r w:rsidRPr="00F94F52">
        <w:rPr>
          <w:rStyle w:val="Znakapoznpodarou"/>
          <w:b/>
        </w:rPr>
        <w:footnoteReference w:id="68"/>
      </w:r>
      <w:r w:rsidRPr="00F94F52">
        <w:rPr>
          <w:b/>
        </w:rPr>
        <w:t xml:space="preserve"> na </w:t>
      </w:r>
      <w:r>
        <w:rPr>
          <w:b/>
        </w:rPr>
        <w:t xml:space="preserve">13,5 % území ČR, </w:t>
      </w:r>
      <w:r w:rsidRPr="00F94F52">
        <w:rPr>
          <w:b/>
        </w:rPr>
        <w:t xml:space="preserve">v roce </w:t>
      </w:r>
      <w:r w:rsidRPr="00361441">
        <w:rPr>
          <w:b/>
        </w:rPr>
        <w:t>2017</w:t>
      </w:r>
      <w:r w:rsidRPr="00F94F52">
        <w:rPr>
          <w:b/>
        </w:rPr>
        <w:t xml:space="preserve"> už byl </w:t>
      </w:r>
      <w:r>
        <w:rPr>
          <w:b/>
        </w:rPr>
        <w:t xml:space="preserve">překročen </w:t>
      </w:r>
      <w:r w:rsidRPr="00F94F52">
        <w:rPr>
          <w:b/>
        </w:rPr>
        <w:t>na 26,2 % území a</w:t>
      </w:r>
      <w:r w:rsidR="008903D1">
        <w:rPr>
          <w:b/>
        </w:rPr>
        <w:t> </w:t>
      </w:r>
      <w:r w:rsidRPr="00F94F52">
        <w:rPr>
          <w:b/>
        </w:rPr>
        <w:t>týk</w:t>
      </w:r>
      <w:r>
        <w:rPr>
          <w:b/>
        </w:rPr>
        <w:t>al se více než 60 % obyvatel</w:t>
      </w:r>
      <w:r w:rsidRPr="00F94F52">
        <w:rPr>
          <w:b/>
        </w:rPr>
        <w:t xml:space="preserve"> ČR</w:t>
      </w:r>
      <w:r>
        <w:rPr>
          <w:rStyle w:val="Znakapoznpodarou"/>
        </w:rPr>
        <w:footnoteReference w:id="69"/>
      </w:r>
      <w:r w:rsidRPr="00F94F52">
        <w:rPr>
          <w:b/>
        </w:rPr>
        <w:t>.</w:t>
      </w:r>
      <w:r>
        <w:t xml:space="preserve"> </w:t>
      </w:r>
      <w:r w:rsidRPr="00A43E41">
        <w:t>Mezi nejvý</w:t>
      </w:r>
      <w:r>
        <w:t>znamnější znečišťující faktory</w:t>
      </w:r>
      <w:r w:rsidR="008903D1">
        <w:t xml:space="preserve"> pro</w:t>
      </w:r>
      <w:r>
        <w:t xml:space="preserve"> ovzduší</w:t>
      </w:r>
      <w:r w:rsidRPr="00A43E41">
        <w:t xml:space="preserve"> z</w:t>
      </w:r>
      <w:r>
        <w:t> </w:t>
      </w:r>
      <w:r w:rsidRPr="00A43E41">
        <w:t xml:space="preserve">pohledu lidského zdraví </w:t>
      </w:r>
      <w:r>
        <w:t>se</w:t>
      </w:r>
      <w:r w:rsidRPr="00A43E41">
        <w:t xml:space="preserve"> </w:t>
      </w:r>
      <w:r>
        <w:t xml:space="preserve">dlouhodobě řadí prašnost, jejímž </w:t>
      </w:r>
      <w:r w:rsidRPr="00B2358D">
        <w:t xml:space="preserve">dominantním zdrojem </w:t>
      </w:r>
      <w:r>
        <w:t xml:space="preserve">je </w:t>
      </w:r>
      <w:r w:rsidRPr="00B2358D">
        <w:t>vytápění</w:t>
      </w:r>
      <w:r>
        <w:t xml:space="preserve"> </w:t>
      </w:r>
      <w:r w:rsidR="008903D1" w:rsidRPr="00B2358D">
        <w:t>domácno</w:t>
      </w:r>
      <w:r w:rsidR="008903D1">
        <w:t xml:space="preserve">stí </w:t>
      </w:r>
      <w:r>
        <w:t>fosilními</w:t>
      </w:r>
      <w:r w:rsidRPr="00B2358D">
        <w:t xml:space="preserve"> </w:t>
      </w:r>
      <w:r>
        <w:t>palivy. Ke změně tohoto nepříznivého vývoje může přispět</w:t>
      </w:r>
      <w:r w:rsidRPr="00EA3F1C">
        <w:t xml:space="preserve"> </w:t>
      </w:r>
      <w:r>
        <w:t>i</w:t>
      </w:r>
      <w:r w:rsidR="008903D1">
        <w:t> </w:t>
      </w:r>
      <w:r w:rsidRPr="00EA3F1C">
        <w:t>výměna neekologických kotlů díky</w:t>
      </w:r>
      <w:r>
        <w:t xml:space="preserve"> další etapě tzv. kotlíkových dotací</w:t>
      </w:r>
      <w:r w:rsidRPr="00EA3F1C">
        <w:t xml:space="preserve"> a </w:t>
      </w:r>
      <w:r>
        <w:t xml:space="preserve">hlavně </w:t>
      </w:r>
      <w:r w:rsidRPr="00814890">
        <w:t>zákaz</w:t>
      </w:r>
      <w:r w:rsidRPr="00EA3F1C">
        <w:t xml:space="preserve"> provozu nevyhovujících kotlů </w:t>
      </w:r>
      <w:r>
        <w:t>od</w:t>
      </w:r>
      <w:r w:rsidRPr="00EA3F1C">
        <w:t xml:space="preserve"> září </w:t>
      </w:r>
      <w:r>
        <w:t xml:space="preserve">roku </w:t>
      </w:r>
      <w:r w:rsidRPr="00EA3F1C">
        <w:t>2022</w:t>
      </w:r>
      <w:r>
        <w:t>.</w:t>
      </w:r>
      <w:r w:rsidR="00C3442D" w:rsidRPr="00C3442D">
        <w:rPr>
          <w:rFonts w:cstheme="minorHAnsi"/>
        </w:rPr>
        <w:t xml:space="preserve"> </w:t>
      </w:r>
      <w:r w:rsidR="00C3442D">
        <w:rPr>
          <w:rFonts w:cstheme="minorHAnsi"/>
        </w:rPr>
        <w:t>Výsledný efekt bude záviset zejména na míře dodržování tohoto zákazu a jeho vymahatelnosti.</w:t>
      </w:r>
    </w:p>
    <w:p w14:paraId="654FAE1E" w14:textId="351F4EDF" w:rsidR="00F7164A" w:rsidRPr="00B17231" w:rsidRDefault="00F7164A" w:rsidP="00F7164A">
      <w:pPr>
        <w:rPr>
          <w:bCs/>
        </w:rPr>
      </w:pPr>
      <w:r w:rsidRPr="00B17231">
        <w:rPr>
          <w:bCs/>
        </w:rPr>
        <w:t>Na nezlepšující se úroveň kvality ovzduší v ČR upozornil taktéž NKÚ v kontrolní</w:t>
      </w:r>
      <w:r w:rsidR="000508EE">
        <w:rPr>
          <w:bCs/>
        </w:rPr>
        <w:t>m</w:t>
      </w:r>
      <w:r w:rsidRPr="00B17231">
        <w:rPr>
          <w:bCs/>
        </w:rPr>
        <w:t xml:space="preserve"> závěru z KA č.</w:t>
      </w:r>
      <w:r>
        <w:rPr>
          <w:bCs/>
        </w:rPr>
        <w:t> </w:t>
      </w:r>
      <w:r w:rsidRPr="00B17231">
        <w:rPr>
          <w:bCs/>
        </w:rPr>
        <w:t>18/04</w:t>
      </w:r>
      <w:r w:rsidRPr="00B17231">
        <w:rPr>
          <w:bCs/>
          <w:vertAlign w:val="superscript"/>
        </w:rPr>
        <w:footnoteReference w:id="70"/>
      </w:r>
      <w:r w:rsidRPr="00B17231">
        <w:rPr>
          <w:bCs/>
        </w:rPr>
        <w:t>.</w:t>
      </w:r>
      <w:r>
        <w:rPr>
          <w:bCs/>
        </w:rPr>
        <w:t xml:space="preserve"> </w:t>
      </w:r>
      <w:r w:rsidRPr="00032B07">
        <w:rPr>
          <w:b/>
          <w:bCs/>
        </w:rPr>
        <w:t>Některá opatření stanovená ve strategických dokumentech na podporu zlepšování kvality ovzduší nebyla</w:t>
      </w:r>
      <w:r>
        <w:rPr>
          <w:b/>
          <w:bCs/>
        </w:rPr>
        <w:t xml:space="preserve"> dle NKÚ</w:t>
      </w:r>
      <w:r w:rsidRPr="00032B07">
        <w:rPr>
          <w:b/>
          <w:bCs/>
        </w:rPr>
        <w:t xml:space="preserve"> plněna a u dalších opatření nebyly dodrženy stanovené termíny.</w:t>
      </w:r>
      <w:r>
        <w:rPr>
          <w:bCs/>
        </w:rPr>
        <w:t xml:space="preserve"> Týká se to např.</w:t>
      </w:r>
      <w:r w:rsidRPr="00232979">
        <w:rPr>
          <w:bCs/>
        </w:rPr>
        <w:t xml:space="preserve"> snížení podílu fosilních paliv </w:t>
      </w:r>
      <w:r w:rsidR="008903D1">
        <w:rPr>
          <w:bCs/>
        </w:rPr>
        <w:t>na</w:t>
      </w:r>
      <w:r>
        <w:rPr>
          <w:bCs/>
        </w:rPr>
        <w:t xml:space="preserve"> lokálním vytápění domácností nebo </w:t>
      </w:r>
      <w:r w:rsidRPr="00232979">
        <w:rPr>
          <w:bCs/>
        </w:rPr>
        <w:t xml:space="preserve">urychlení obměny </w:t>
      </w:r>
      <w:r>
        <w:rPr>
          <w:bCs/>
        </w:rPr>
        <w:t>vozového parku osobních vozidel.</w:t>
      </w:r>
    </w:p>
    <w:p w14:paraId="3CD79721" w14:textId="7BF212EC" w:rsidR="00F7164A" w:rsidRPr="00D45B65" w:rsidRDefault="00F7164A" w:rsidP="00F7164A">
      <w:r>
        <w:t>Špatná kvalita ovzduší má vliv na mezinárodní hodnocení celkového stavu životního prostředí v ČR, a to např. v rámci tzv. indexu</w:t>
      </w:r>
      <w:r w:rsidRPr="00F67C3A">
        <w:t xml:space="preserve"> EPI</w:t>
      </w:r>
      <w:r w:rsidRPr="00F67C3A">
        <w:rPr>
          <w:vertAlign w:val="superscript"/>
        </w:rPr>
        <w:footnoteReference w:id="71"/>
      </w:r>
      <w:r>
        <w:t xml:space="preserve"> </w:t>
      </w:r>
      <w:r w:rsidRPr="00F67C3A">
        <w:t>(</w:t>
      </w:r>
      <w:r w:rsidR="008903D1">
        <w:t>i</w:t>
      </w:r>
      <w:r w:rsidRPr="00F67C3A">
        <w:t>ndex výkonnosti z hlediska životního prostředí)</w:t>
      </w:r>
      <w:r>
        <w:t xml:space="preserve">, který hodnotí celkovou ohleduplnost států vůči životnímu prostředí. </w:t>
      </w:r>
      <w:r w:rsidRPr="00F94F52">
        <w:rPr>
          <w:b/>
        </w:rPr>
        <w:t>Z</w:t>
      </w:r>
      <w:r>
        <w:rPr>
          <w:b/>
        </w:rPr>
        <w:t> </w:t>
      </w:r>
      <w:r w:rsidRPr="00F94F52">
        <w:rPr>
          <w:b/>
        </w:rPr>
        <w:t>následujícího grafu vyplývá, že ČR obsadila v</w:t>
      </w:r>
      <w:r>
        <w:rPr>
          <w:b/>
        </w:rPr>
        <w:t> </w:t>
      </w:r>
      <w:r w:rsidRPr="00F94F52">
        <w:rPr>
          <w:b/>
        </w:rPr>
        <w:t xml:space="preserve">roce 2018 </w:t>
      </w:r>
      <w:r>
        <w:rPr>
          <w:b/>
        </w:rPr>
        <w:t>ze všech zemí</w:t>
      </w:r>
      <w:r w:rsidR="00622CA8">
        <w:rPr>
          <w:b/>
        </w:rPr>
        <w:t xml:space="preserve"> </w:t>
      </w:r>
      <w:r>
        <w:rPr>
          <w:b/>
        </w:rPr>
        <w:t>EU až</w:t>
      </w:r>
      <w:r w:rsidRPr="00F94F52">
        <w:rPr>
          <w:b/>
        </w:rPr>
        <w:t xml:space="preserve"> 21</w:t>
      </w:r>
      <w:r>
        <w:rPr>
          <w:b/>
        </w:rPr>
        <w:t>. místo.</w:t>
      </w:r>
    </w:p>
    <w:p w14:paraId="35CDABD9" w14:textId="359EB819" w:rsidR="00F7164A" w:rsidRDefault="000509E3" w:rsidP="00D3507E">
      <w:pPr>
        <w:pStyle w:val="Tituleknadgrafy10-99"/>
      </w:pPr>
      <w:r w:rsidRPr="00C95133">
        <w:lastRenderedPageBreak/>
        <w:t>Graf č. </w:t>
      </w:r>
      <w:r w:rsidRPr="00C95133">
        <w:fldChar w:fldCharType="begin"/>
      </w:r>
      <w:r w:rsidRPr="00C95133">
        <w:instrText xml:space="preserve"> SEQ Graf_č. \* ARABIC </w:instrText>
      </w:r>
      <w:r w:rsidRPr="00C95133">
        <w:fldChar w:fldCharType="separate"/>
      </w:r>
      <w:r w:rsidR="009849B2">
        <w:t>30</w:t>
      </w:r>
      <w:r w:rsidRPr="00C95133">
        <w:fldChar w:fldCharType="end"/>
      </w:r>
      <w:r>
        <w:t xml:space="preserve"> </w:t>
      </w:r>
      <w:r w:rsidR="00F7164A">
        <w:t>–</w:t>
      </w:r>
      <w:r w:rsidR="00001875">
        <w:tab/>
      </w:r>
      <w:r w:rsidR="00F7164A" w:rsidRPr="00EC3E08">
        <w:t xml:space="preserve">Pořadí zemí EU podle </w:t>
      </w:r>
      <w:r w:rsidR="00F7164A">
        <w:t>indexu EPI</w:t>
      </w:r>
      <w:r w:rsidR="00F7164A" w:rsidRPr="00EC3E08">
        <w:t xml:space="preserve"> za rok 201</w:t>
      </w:r>
      <w:r w:rsidR="00F7164A">
        <w:t>8</w:t>
      </w:r>
    </w:p>
    <w:p w14:paraId="2E467C06" w14:textId="77777777" w:rsidR="00F7164A" w:rsidRDefault="00F7164A" w:rsidP="002C4F38">
      <w:pPr>
        <w:pStyle w:val="Poznazdroj"/>
      </w:pPr>
      <w:r>
        <w:rPr>
          <w:noProof/>
          <w:lang w:eastAsia="cs-CZ"/>
        </w:rPr>
        <w:drawing>
          <wp:inline distT="0" distB="0" distL="0" distR="0" wp14:anchorId="7FA83F33" wp14:editId="4A631BAC">
            <wp:extent cx="5759450" cy="1914525"/>
            <wp:effectExtent l="0" t="0" r="0" b="0"/>
            <wp:docPr id="59" name="Graf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6110C400" w14:textId="77777777" w:rsidR="00F7164A" w:rsidRPr="00F7164A" w:rsidRDefault="00F7164A" w:rsidP="00277808">
      <w:pPr>
        <w:pStyle w:val="Poznazdroj"/>
      </w:pPr>
      <w:r w:rsidRPr="00F02865">
        <w:rPr>
          <w:b/>
        </w:rPr>
        <w:t>Zdroj:</w:t>
      </w:r>
      <w:r w:rsidRPr="00F7164A">
        <w:t xml:space="preserve"> </w:t>
      </w:r>
      <w:r w:rsidRPr="00486165">
        <w:t>Environmental Performance Index 2018.</w:t>
      </w:r>
    </w:p>
    <w:p w14:paraId="5B3C1B53" w14:textId="77777777" w:rsidR="00F7164A" w:rsidRPr="00F7164A" w:rsidRDefault="00F7164A" w:rsidP="00A0559F">
      <w:pPr>
        <w:pStyle w:val="Poznazdroj"/>
      </w:pPr>
      <w:r w:rsidRPr="00F02865">
        <w:rPr>
          <w:b/>
        </w:rPr>
        <w:t>Pozn.:</w:t>
      </w:r>
      <w:r w:rsidRPr="00486165">
        <w:t xml:space="preserve"> Hodnoty indexu jsou v rozmezí 0–100.</w:t>
      </w:r>
    </w:p>
    <w:p w14:paraId="2BF12B80" w14:textId="77777777" w:rsidR="00F7164A" w:rsidRPr="00A1572D" w:rsidRDefault="00F7164A" w:rsidP="00F7164A">
      <w:r>
        <w:t>Nejhůře byla ČR hodnocena v oblasti kvality ovzduší, kde se v rámci všech zemí EU umístila dokonce až na 23. místě.</w:t>
      </w:r>
    </w:p>
    <w:p w14:paraId="5E1E9A00" w14:textId="75958451" w:rsidR="00F7164A" w:rsidRDefault="00546CF2" w:rsidP="00F7164A">
      <w:r>
        <w:t>D</w:t>
      </w:r>
      <w:r w:rsidR="00F7164A">
        <w:t>ůležitý</w:t>
      </w:r>
      <w:r>
        <w:t>mi</w:t>
      </w:r>
      <w:r w:rsidR="00F7164A">
        <w:t xml:space="preserve"> finanční</w:t>
      </w:r>
      <w:r>
        <w:t>mi</w:t>
      </w:r>
      <w:r w:rsidR="00F7164A">
        <w:t xml:space="preserve"> zdroj</w:t>
      </w:r>
      <w:r>
        <w:t>i</w:t>
      </w:r>
      <w:r w:rsidR="00F7164A">
        <w:t xml:space="preserve"> </w:t>
      </w:r>
      <w:r>
        <w:t>pro</w:t>
      </w:r>
      <w:r w:rsidR="00F7164A">
        <w:t xml:space="preserve"> ochranu ovzduší jsou prostředky ze</w:t>
      </w:r>
      <w:r>
        <w:t xml:space="preserve"> </w:t>
      </w:r>
      <w:r w:rsidR="00F7164A">
        <w:t>státního rozpočtu a</w:t>
      </w:r>
      <w:r>
        <w:t> </w:t>
      </w:r>
      <w:r w:rsidR="00F7164A">
        <w:t>Státního fondu životního prostředí,</w:t>
      </w:r>
      <w:r w:rsidR="00F7164A" w:rsidRPr="001D59A9">
        <w:t xml:space="preserve"> </w:t>
      </w:r>
      <w:r w:rsidR="00F7164A">
        <w:t>jejichž součástí jsou zejména prostředky z EU</w:t>
      </w:r>
      <w:r w:rsidR="00F7164A">
        <w:rPr>
          <w:rStyle w:val="Znakapoznpodarou"/>
        </w:rPr>
        <w:footnoteReference w:id="72"/>
      </w:r>
      <w:r w:rsidR="00F7164A">
        <w:t xml:space="preserve">. Výši výdajů na ochranu ovzduší ovlivňuje zejména připravenost a schopnost ČR čerpat určené finanční prostředky z rozpočtu EU. </w:t>
      </w:r>
    </w:p>
    <w:p w14:paraId="5706DD4C" w14:textId="0627FF4B" w:rsidR="00F7164A" w:rsidRDefault="000509E3" w:rsidP="00F02865">
      <w:pPr>
        <w:pStyle w:val="Tituleknadgrafy10-99"/>
        <w:jc w:val="both"/>
      </w:pPr>
      <w:r w:rsidRPr="00C95133">
        <w:t>Graf č. </w:t>
      </w:r>
      <w:r w:rsidRPr="00C95133">
        <w:fldChar w:fldCharType="begin"/>
      </w:r>
      <w:r w:rsidRPr="00C95133">
        <w:instrText xml:space="preserve"> SEQ Graf_č. \* ARABIC </w:instrText>
      </w:r>
      <w:r w:rsidRPr="00C95133">
        <w:fldChar w:fldCharType="separate"/>
      </w:r>
      <w:r w:rsidR="009849B2">
        <w:t>31</w:t>
      </w:r>
      <w:r w:rsidRPr="00C95133">
        <w:fldChar w:fldCharType="end"/>
      </w:r>
      <w:r>
        <w:t xml:space="preserve"> </w:t>
      </w:r>
      <w:r w:rsidR="00F7164A">
        <w:t>–</w:t>
      </w:r>
      <w:r w:rsidR="00001875">
        <w:tab/>
      </w:r>
      <w:r w:rsidR="00F7164A">
        <w:t xml:space="preserve">Výdaje státního rozpočtu a </w:t>
      </w:r>
      <w:r w:rsidR="0054354C">
        <w:t xml:space="preserve">Státního fondu životního prostředí </w:t>
      </w:r>
      <w:r w:rsidR="00F7164A">
        <w:t>na ochranu ovzduší v letech 2016</w:t>
      </w:r>
      <w:r w:rsidR="00F7164A" w:rsidRPr="00F63EEE">
        <w:t>–</w:t>
      </w:r>
      <w:r w:rsidR="00F7164A">
        <w:t>2018 (v mld. Kč)</w:t>
      </w:r>
    </w:p>
    <w:p w14:paraId="3D648AA5" w14:textId="77777777" w:rsidR="00F7164A" w:rsidRDefault="00F7164A" w:rsidP="003C0C85">
      <w:pPr>
        <w:spacing w:before="0" w:after="0"/>
      </w:pPr>
      <w:r>
        <w:rPr>
          <w:noProof/>
          <w:lang w:eastAsia="cs-CZ"/>
        </w:rPr>
        <w:drawing>
          <wp:inline distT="0" distB="0" distL="0" distR="0" wp14:anchorId="71B1844D" wp14:editId="292CE2B7">
            <wp:extent cx="5759450" cy="1733550"/>
            <wp:effectExtent l="0" t="0" r="0" b="0"/>
            <wp:docPr id="60" name="Graf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14:paraId="5527B435" w14:textId="77777777" w:rsidR="00F7164A" w:rsidRDefault="00F7164A" w:rsidP="002C4F38">
      <w:pPr>
        <w:pStyle w:val="Poznazdroj"/>
      </w:pPr>
      <w:r w:rsidRPr="00F02865">
        <w:rPr>
          <w:b/>
        </w:rPr>
        <w:t>Zdroj:</w:t>
      </w:r>
      <w:r>
        <w:t xml:space="preserve"> </w:t>
      </w:r>
      <w:r w:rsidRPr="00486165">
        <w:t>informační portál MONITOR.</w:t>
      </w:r>
    </w:p>
    <w:p w14:paraId="6F392E0B" w14:textId="7478DF29" w:rsidR="00F7164A" w:rsidRPr="0093271A" w:rsidRDefault="00F7164A" w:rsidP="00F7164A">
      <w:pPr>
        <w:pStyle w:val="ramecek"/>
      </w:pPr>
      <w:r w:rsidRPr="0093271A">
        <w:t xml:space="preserve">Z výše uvedených skutečností vyplývá, že ČR i po necelých </w:t>
      </w:r>
      <w:r w:rsidR="00546CF2">
        <w:t>třiceti</w:t>
      </w:r>
      <w:r w:rsidRPr="0093271A">
        <w:t xml:space="preserve"> letech patří </w:t>
      </w:r>
      <w:r w:rsidR="00546CF2">
        <w:t xml:space="preserve">v Evropě </w:t>
      </w:r>
      <w:r w:rsidRPr="0093271A">
        <w:t>mezi státy s</w:t>
      </w:r>
      <w:r>
        <w:t> </w:t>
      </w:r>
      <w:r w:rsidRPr="0093271A">
        <w:t xml:space="preserve">nejvíce znečištěným ovzduším. </w:t>
      </w:r>
      <w:r>
        <w:t>Tato situace</w:t>
      </w:r>
      <w:r w:rsidRPr="0093271A">
        <w:t xml:space="preserve"> </w:t>
      </w:r>
      <w:r>
        <w:t>je způsobena</w:t>
      </w:r>
      <w:r w:rsidRPr="0093271A">
        <w:t xml:space="preserve"> </w:t>
      </w:r>
      <w:r>
        <w:t xml:space="preserve">zejména </w:t>
      </w:r>
      <w:r w:rsidRPr="0093271A">
        <w:t xml:space="preserve">velkou </w:t>
      </w:r>
      <w:r>
        <w:t xml:space="preserve">energetickou </w:t>
      </w:r>
      <w:r w:rsidRPr="0093271A">
        <w:t>závislost</w:t>
      </w:r>
      <w:r>
        <w:t>í</w:t>
      </w:r>
      <w:r w:rsidRPr="0093271A">
        <w:t xml:space="preserve"> na fosilních palivech</w:t>
      </w:r>
      <w:r>
        <w:t>.</w:t>
      </w:r>
    </w:p>
    <w:p w14:paraId="5195EF27" w14:textId="7C9DF294" w:rsidR="0075425A" w:rsidRDefault="0075425A">
      <w:pPr>
        <w:spacing w:before="0" w:after="0" w:line="240" w:lineRule="auto"/>
        <w:jc w:val="left"/>
        <w:rPr>
          <w:rFonts w:asciiTheme="minorHAnsi" w:hAnsiTheme="minorHAnsi" w:cstheme="minorHAnsi"/>
          <w:b/>
          <w:sz w:val="28"/>
          <w:szCs w:val="28"/>
        </w:rPr>
      </w:pPr>
    </w:p>
    <w:p w14:paraId="64DC6BFA" w14:textId="77777777" w:rsidR="00085B30" w:rsidRDefault="00085B30">
      <w:pPr>
        <w:spacing w:before="0" w:after="0" w:line="240" w:lineRule="auto"/>
        <w:jc w:val="left"/>
        <w:rPr>
          <w:rFonts w:asciiTheme="minorHAnsi" w:hAnsiTheme="minorHAnsi" w:cstheme="minorHAnsi"/>
          <w:b/>
          <w:sz w:val="28"/>
          <w:szCs w:val="28"/>
        </w:rPr>
      </w:pPr>
      <w:r>
        <w:br w:type="page"/>
      </w:r>
    </w:p>
    <w:p w14:paraId="3908D567" w14:textId="54A88205" w:rsidR="00A40247" w:rsidRPr="00EE2BB9" w:rsidRDefault="00A40247" w:rsidP="00EE2BB9">
      <w:pPr>
        <w:pStyle w:val="Nadpis1"/>
        <w:ind w:left="426" w:hanging="426"/>
      </w:pPr>
      <w:bookmarkStart w:id="27" w:name="_Toc17208278"/>
      <w:r w:rsidRPr="00EE2BB9">
        <w:lastRenderedPageBreak/>
        <w:t>Hospodaření dalších složek veřejných rozpočtů</w:t>
      </w:r>
      <w:bookmarkEnd w:id="21"/>
      <w:bookmarkEnd w:id="27"/>
    </w:p>
    <w:p w14:paraId="22EFB2CD" w14:textId="0B2B6AB7" w:rsidR="00A40247" w:rsidRDefault="00996B6B" w:rsidP="008971F5">
      <w:pPr>
        <w:pStyle w:val="Nadpis3"/>
        <w:numPr>
          <w:ilvl w:val="0"/>
          <w:numId w:val="13"/>
        </w:numPr>
      </w:pPr>
      <w:bookmarkStart w:id="28" w:name="_Toc482272324"/>
      <w:bookmarkStart w:id="29" w:name="_Toc17208279"/>
      <w:r>
        <w:t xml:space="preserve">Hospodaření územních </w:t>
      </w:r>
      <w:bookmarkEnd w:id="28"/>
      <w:r>
        <w:t>rozpočtů</w:t>
      </w:r>
      <w:bookmarkEnd w:id="29"/>
    </w:p>
    <w:p w14:paraId="1E25184C" w14:textId="6F3B9056" w:rsidR="00F7164A" w:rsidRDefault="00F7164A" w:rsidP="00F7164A">
      <w:pPr>
        <w:spacing w:after="240"/>
      </w:pPr>
      <w:bookmarkStart w:id="30" w:name="_Toc482272325"/>
      <w:r>
        <w:t>Hospodaření územních rozpočtů skončilo na konci roku 2018 přebytkem 8,8 mld. Kč. Výsledné saldo bylo o 22,2 mld. Kč nižší než v roce 2017, což bylo způsobeno vyšším meziročním zvýšením výdajů oproti příjmům.</w:t>
      </w:r>
    </w:p>
    <w:p w14:paraId="6AF76BA6" w14:textId="4A2E4987" w:rsidR="00F7164A" w:rsidRPr="00390342" w:rsidRDefault="00073991" w:rsidP="00D3507E">
      <w:pPr>
        <w:pStyle w:val="Titulekschma"/>
      </w:pPr>
      <w:r w:rsidRPr="00390342">
        <w:t>Schéma</w:t>
      </w:r>
      <w:r w:rsidR="003E1BF9" w:rsidRPr="00390342">
        <w:t> č. </w:t>
      </w:r>
      <w:r w:rsidR="003E1BF9" w:rsidRPr="00390342">
        <w:fldChar w:fldCharType="begin"/>
      </w:r>
      <w:r w:rsidR="003E1BF9" w:rsidRPr="00390342">
        <w:instrText xml:space="preserve"> SEQ Obrázek_č. \* ARABIC </w:instrText>
      </w:r>
      <w:r w:rsidR="003E1BF9" w:rsidRPr="00390342">
        <w:fldChar w:fldCharType="separate"/>
      </w:r>
      <w:r w:rsidR="009849B2">
        <w:t>4</w:t>
      </w:r>
      <w:r w:rsidR="003E1BF9" w:rsidRPr="00390342">
        <w:fldChar w:fldCharType="end"/>
      </w:r>
      <w:r w:rsidR="003E1BF9" w:rsidRPr="00390342">
        <w:t xml:space="preserve"> </w:t>
      </w:r>
      <w:r w:rsidR="00F7164A" w:rsidRPr="00390342">
        <w:t>–</w:t>
      </w:r>
      <w:r w:rsidR="003C0C85" w:rsidRPr="00390342">
        <w:tab/>
      </w:r>
      <w:r w:rsidR="00F7164A" w:rsidRPr="00390342">
        <w:t>Hospodaření územně samosprávných celků (v mld. Kč)</w:t>
      </w:r>
    </w:p>
    <w:p w14:paraId="7CAD89AD" w14:textId="77777777" w:rsidR="00F7164A" w:rsidRDefault="00F7164A" w:rsidP="00F7164A">
      <w:pPr>
        <w:spacing w:before="0" w:after="0"/>
      </w:pPr>
      <w:r>
        <w:rPr>
          <w:noProof/>
          <w:lang w:eastAsia="cs-CZ"/>
        </w:rPr>
        <w:drawing>
          <wp:inline distT="0" distB="0" distL="0" distR="0" wp14:anchorId="72197AAD" wp14:editId="20B91A1F">
            <wp:extent cx="5648325" cy="1914525"/>
            <wp:effectExtent l="19050" t="0" r="9525" b="9525"/>
            <wp:docPr id="61" name="Diagram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inline>
        </w:drawing>
      </w:r>
    </w:p>
    <w:p w14:paraId="2887B93F" w14:textId="77777777" w:rsidR="00F7164A" w:rsidRPr="00486165" w:rsidRDefault="00F7164A" w:rsidP="002C4F38">
      <w:pPr>
        <w:pStyle w:val="Poznazdroj"/>
      </w:pPr>
      <w:r w:rsidRPr="00F02865">
        <w:rPr>
          <w:b/>
        </w:rPr>
        <w:t>Zdroj:</w:t>
      </w:r>
      <w:r w:rsidRPr="00033169">
        <w:t xml:space="preserve"> </w:t>
      </w:r>
      <w:r w:rsidRPr="00486165">
        <w:t>SZÚ za roky 2014–2017, návrh SZÚ za rok 2018.</w:t>
      </w:r>
    </w:p>
    <w:p w14:paraId="79DA620D" w14:textId="1604811E" w:rsidR="00F7164A" w:rsidRDefault="00F7164A" w:rsidP="00F7164A">
      <w:r>
        <w:rPr>
          <w:b/>
          <w:szCs w:val="24"/>
        </w:rPr>
        <w:t xml:space="preserve">Celkové příjmy územních rozpočtů v roce 2018 meziročně vzrostly o 60,0 mld. Kč </w:t>
      </w:r>
      <w:r w:rsidR="00546CF2">
        <w:rPr>
          <w:b/>
          <w:szCs w:val="24"/>
        </w:rPr>
        <w:br/>
      </w:r>
      <w:r>
        <w:rPr>
          <w:b/>
          <w:szCs w:val="24"/>
        </w:rPr>
        <w:t>na 532,6 mld. Kč.</w:t>
      </w:r>
      <w:r>
        <w:rPr>
          <w:szCs w:val="24"/>
        </w:rPr>
        <w:t xml:space="preserve"> Tento nárůst byl způsoben zejména </w:t>
      </w:r>
      <w:r>
        <w:t xml:space="preserve">zvýšením daňových příjmů </w:t>
      </w:r>
      <w:r w:rsidR="00546CF2">
        <w:br/>
      </w:r>
      <w:r>
        <w:t>(o 24,4 mld. Kč) a přijatých transferů (o 29,7 mld. Kč). Na zvýšení daňových příjmů měla kromě pokračujícího ekonomického růstu vliv</w:t>
      </w:r>
      <w:r>
        <w:rPr>
          <w:szCs w:val="24"/>
        </w:rPr>
        <w:t xml:space="preserve"> novela zákona o rozpočtovém určení daní</w:t>
      </w:r>
      <w:r>
        <w:rPr>
          <w:rStyle w:val="Znakapoznpodarou"/>
          <w:szCs w:val="24"/>
        </w:rPr>
        <w:footnoteReference w:id="73"/>
      </w:r>
      <w:r>
        <w:rPr>
          <w:szCs w:val="24"/>
        </w:rPr>
        <w:t>, která posílila příjmy obecních rozpočtů</w:t>
      </w:r>
      <w:r>
        <w:rPr>
          <w:rStyle w:val="Znakapoznpodarou"/>
          <w:szCs w:val="24"/>
        </w:rPr>
        <w:footnoteReference w:id="74"/>
      </w:r>
      <w:r>
        <w:rPr>
          <w:szCs w:val="24"/>
        </w:rPr>
        <w:t xml:space="preserve">. </w:t>
      </w:r>
      <w:r w:rsidRPr="00530782">
        <w:rPr>
          <w:szCs w:val="24"/>
        </w:rPr>
        <w:t>Přijaté transfery územních rozpočtů v roce 2018 dosáhly 190,7 mld. Kč</w:t>
      </w:r>
      <w:r>
        <w:rPr>
          <w:szCs w:val="24"/>
        </w:rPr>
        <w:t>, což byla nejvyšší částka v historii ČR</w:t>
      </w:r>
      <w:r w:rsidRPr="00530782">
        <w:rPr>
          <w:szCs w:val="24"/>
        </w:rPr>
        <w:t xml:space="preserve">. </w:t>
      </w:r>
      <w:r w:rsidRPr="0074122B">
        <w:rPr>
          <w:b/>
          <w:szCs w:val="24"/>
        </w:rPr>
        <w:t>H</w:t>
      </w:r>
      <w:r w:rsidRPr="0074122B">
        <w:rPr>
          <w:b/>
        </w:rPr>
        <w:t>lavní část celkových transferů tvořily prostředky ze státního rozpočtu</w:t>
      </w:r>
      <w:r w:rsidRPr="0074122B">
        <w:rPr>
          <w:rStyle w:val="Znakapoznpodarou"/>
          <w:b/>
        </w:rPr>
        <w:footnoteReference w:id="75"/>
      </w:r>
      <w:r w:rsidRPr="0074122B">
        <w:rPr>
          <w:b/>
        </w:rPr>
        <w:t xml:space="preserve"> (činily 179,3 mld. Kč), které měly na celkových příjmech územních rozpočtů třetinový podíl.</w:t>
      </w:r>
      <w:r w:rsidRPr="00530782">
        <w:t xml:space="preserve"> </w:t>
      </w:r>
      <w:r>
        <w:t>Z</w:t>
      </w:r>
      <w:r w:rsidRPr="00530782">
        <w:t> těchto transferů získaly kraje</w:t>
      </w:r>
      <w:r>
        <w:t xml:space="preserve"> </w:t>
      </w:r>
      <w:r w:rsidRPr="00530782">
        <w:t>129,8 mld. Kč</w:t>
      </w:r>
      <w:r>
        <w:t xml:space="preserve"> (tj. 72,4 </w:t>
      </w:r>
      <w:r>
        <w:rPr>
          <w:rFonts w:cs="Calibri"/>
        </w:rPr>
        <w:t>%</w:t>
      </w:r>
      <w:r>
        <w:t>), obce 48,5 mld. Kč, dobrovolné svazky obcí 0,8 mld. Kč a regionální rady regionů soudržnosti 0,3 mld. Kč. Vzhledem k nastavení rozpočtového určení daní a vzhledem k tomu, že z krajských rozpočtů jsou hrazeny vysoké přímé náklady na vzdělávání v regionálním školství (z kapitoly Ministerstv</w:t>
      </w:r>
      <w:r w:rsidR="00546CF2">
        <w:t>a</w:t>
      </w:r>
      <w:r>
        <w:t xml:space="preserve"> školství, mládeže a tělovýchovy přijaly kraje transfery ve výši </w:t>
      </w:r>
      <w:r>
        <w:lastRenderedPageBreak/>
        <w:t>103,3 mld. Kč), je míra závislosti krajů na transferech ze státního rozpočtu nesrovnatelně vyšší než v případě obcí.</w:t>
      </w:r>
    </w:p>
    <w:p w14:paraId="69D8738E" w14:textId="308DAA79" w:rsidR="00F7164A" w:rsidRPr="00F02865"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32</w:t>
      </w:r>
      <w:r w:rsidRPr="00C95133">
        <w:fldChar w:fldCharType="end"/>
      </w:r>
      <w:r>
        <w:t xml:space="preserve"> </w:t>
      </w:r>
      <w:r w:rsidR="00F7164A" w:rsidRPr="00EF28A0">
        <w:t>–</w:t>
      </w:r>
      <w:r w:rsidR="00001875">
        <w:tab/>
      </w:r>
      <w:r w:rsidR="00F7164A" w:rsidRPr="00EF28A0">
        <w:t>Podíl transferů ze státního rozpočtu na příjmech krajů a obcí (v %)</w:t>
      </w:r>
    </w:p>
    <w:p w14:paraId="2B895B5D" w14:textId="77777777" w:rsidR="00F7164A" w:rsidRDefault="00F7164A" w:rsidP="00F7164A">
      <w:pPr>
        <w:spacing w:before="0" w:after="0"/>
      </w:pPr>
      <w:r>
        <w:rPr>
          <w:noProof/>
          <w:lang w:eastAsia="cs-CZ"/>
        </w:rPr>
        <w:drawing>
          <wp:inline distT="0" distB="0" distL="0" distR="0" wp14:anchorId="2AB2E4A0" wp14:editId="3A6BECAD">
            <wp:extent cx="5759450" cy="1409700"/>
            <wp:effectExtent l="0" t="0" r="0" b="0"/>
            <wp:docPr id="62" name="Graf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14:paraId="4F82B9AE" w14:textId="77777777" w:rsidR="00F7164A" w:rsidRPr="00B0781C" w:rsidRDefault="00F7164A" w:rsidP="002C4F38">
      <w:pPr>
        <w:pStyle w:val="Poznazdroj"/>
      </w:pPr>
      <w:r w:rsidRPr="00F02865">
        <w:rPr>
          <w:b/>
        </w:rPr>
        <w:t>Zdroj:</w:t>
      </w:r>
      <w:r w:rsidRPr="00B0781C">
        <w:t xml:space="preserve"> </w:t>
      </w:r>
      <w:r w:rsidRPr="00486165">
        <w:t>informační portál MONITOR.</w:t>
      </w:r>
    </w:p>
    <w:p w14:paraId="651A1935" w14:textId="53999E09" w:rsidR="00F7164A" w:rsidRDefault="00F7164A" w:rsidP="00F7164A">
      <w:r>
        <w:t xml:space="preserve">Závislost krajů na transferech ze státního rozpočtu se za 5 let zvýšila přibližně </w:t>
      </w:r>
      <w:r w:rsidR="00C658BD">
        <w:br/>
      </w:r>
      <w:r>
        <w:t>o 2,5 procentního bodu. V roce 2018 tvořily tyto transfery 63,20 % celkových příjmů krajů. Závislost obcí na transferech ze státního rozpočtu v roce 2016 meziročně klesla, což bylo způsobeno zejména výrazným meziročním poklesem přijatých transferů (došlo k ukončení regionálních operačních programů z programového období 2007–2013). I přes daňové úpravy</w:t>
      </w:r>
      <w:r>
        <w:rPr>
          <w:rStyle w:val="Znakapoznpodarou"/>
        </w:rPr>
        <w:footnoteReference w:id="76"/>
      </w:r>
      <w:r>
        <w:t xml:space="preserve">, které od roku 2016 každoročně zvyšují podíl obcí na celostátním daňovém výnosu, se závislost obcí na transferech </w:t>
      </w:r>
      <w:r w:rsidR="00C658BD">
        <w:t xml:space="preserve">ze </w:t>
      </w:r>
      <w:r>
        <w:t xml:space="preserve">státního rozpočtu </w:t>
      </w:r>
      <w:r w:rsidR="00C658BD">
        <w:t>oproti</w:t>
      </w:r>
      <w:r>
        <w:t xml:space="preserve"> roku 2017 zv</w:t>
      </w:r>
      <w:r w:rsidR="00C658BD">
        <w:t>ýšila</w:t>
      </w:r>
      <w:r>
        <w:t>. Při tomto trendu by mohla být míra závislosti obcí na státním rozpočtu již v roce 2020 vyšší než v roce 2015, kdy kulminovala.</w:t>
      </w:r>
    </w:p>
    <w:p w14:paraId="3545EDA8" w14:textId="17D165D3" w:rsidR="00F7164A" w:rsidRDefault="00F7164A" w:rsidP="00F7164A">
      <w:pPr>
        <w:pStyle w:val="ramecek"/>
      </w:pPr>
      <w:r>
        <w:t xml:space="preserve">Na příjmové straně územních rozpočtů klesl </w:t>
      </w:r>
      <w:r w:rsidR="0024417B">
        <w:t xml:space="preserve">meziročně </w:t>
      </w:r>
      <w:r>
        <w:t>podruhé za sebou podíl vlastních příjmů (zejména daňových) a vzrostl podíl transferů ze státního rozpočtu. Došlo tak ke zvýšení míry závislosti hospodaření krajů a obcí na státním rozpočtu. Pokud by tento trend pokračoval i v budoucnu a došlo by ke zhoršení ekonomické situace ČR, dostal by se státní rozpočet pod tlak, který by znesnadňoval dosažení vyrovnaného či kladného salda státního rozpočtu.</w:t>
      </w:r>
    </w:p>
    <w:p w14:paraId="56BB12FB" w14:textId="739293AC" w:rsidR="00F7164A" w:rsidRPr="008514F8" w:rsidRDefault="00F7164A" w:rsidP="00F7164A">
      <w:pPr>
        <w:rPr>
          <w:szCs w:val="24"/>
        </w:rPr>
      </w:pPr>
      <w:r>
        <w:rPr>
          <w:b/>
        </w:rPr>
        <w:t xml:space="preserve">Celkové výdaje </w:t>
      </w:r>
      <w:r>
        <w:rPr>
          <w:b/>
          <w:szCs w:val="24"/>
        </w:rPr>
        <w:t>územních rozpočtů v roce 2018 meziročně vzrostly o 82,1 mld. Kč na 523,8</w:t>
      </w:r>
      <w:r w:rsidR="00C658BD">
        <w:rPr>
          <w:b/>
          <w:szCs w:val="24"/>
        </w:rPr>
        <w:t> </w:t>
      </w:r>
      <w:r>
        <w:rPr>
          <w:b/>
          <w:szCs w:val="24"/>
        </w:rPr>
        <w:t xml:space="preserve">mld. Kč. </w:t>
      </w:r>
      <w:r w:rsidRPr="008514F8">
        <w:rPr>
          <w:szCs w:val="24"/>
        </w:rPr>
        <w:t>Běžné výdaje meziročně vzrostly o 42,</w:t>
      </w:r>
      <w:r>
        <w:rPr>
          <w:szCs w:val="24"/>
        </w:rPr>
        <w:t>2</w:t>
      </w:r>
      <w:r w:rsidRPr="008514F8">
        <w:rPr>
          <w:szCs w:val="24"/>
        </w:rPr>
        <w:t xml:space="preserve"> mld. Kč</w:t>
      </w:r>
      <w:r>
        <w:rPr>
          <w:szCs w:val="24"/>
        </w:rPr>
        <w:t xml:space="preserve"> na 400,2 mld. Kč</w:t>
      </w:r>
      <w:r w:rsidRPr="008514F8">
        <w:rPr>
          <w:szCs w:val="24"/>
        </w:rPr>
        <w:t xml:space="preserve">, kapitálové výdaje o </w:t>
      </w:r>
      <w:r>
        <w:rPr>
          <w:szCs w:val="24"/>
        </w:rPr>
        <w:t>40,0</w:t>
      </w:r>
      <w:r w:rsidRPr="008514F8">
        <w:rPr>
          <w:szCs w:val="24"/>
        </w:rPr>
        <w:t xml:space="preserve"> mld. Kč</w:t>
      </w:r>
      <w:r>
        <w:rPr>
          <w:szCs w:val="24"/>
        </w:rPr>
        <w:t xml:space="preserve"> na 123,6 mld. Kč</w:t>
      </w:r>
      <w:r w:rsidRPr="008514F8">
        <w:rPr>
          <w:szCs w:val="24"/>
        </w:rPr>
        <w:t>.</w:t>
      </w:r>
      <w:r>
        <w:rPr>
          <w:szCs w:val="24"/>
        </w:rPr>
        <w:t xml:space="preserve"> Podíl kapitálových výdajů na celkových se druhý rok po sobě zvýšil (na 23,60 </w:t>
      </w:r>
      <w:r>
        <w:rPr>
          <w:rFonts w:cs="Calibri"/>
          <w:szCs w:val="24"/>
        </w:rPr>
        <w:t>%</w:t>
      </w:r>
      <w:r>
        <w:rPr>
          <w:szCs w:val="24"/>
        </w:rPr>
        <w:t>).</w:t>
      </w:r>
    </w:p>
    <w:p w14:paraId="61D415ED" w14:textId="6F4D0FB2" w:rsidR="00F7164A" w:rsidRDefault="000509E3" w:rsidP="00D3507E">
      <w:pPr>
        <w:pStyle w:val="Tituleknadgrafy10-99"/>
      </w:pPr>
      <w:r w:rsidRPr="00C95133">
        <w:lastRenderedPageBreak/>
        <w:t>Graf č. </w:t>
      </w:r>
      <w:r w:rsidRPr="00C95133">
        <w:fldChar w:fldCharType="begin"/>
      </w:r>
      <w:r w:rsidRPr="00C95133">
        <w:instrText xml:space="preserve"> SEQ Graf_č. \* ARABIC </w:instrText>
      </w:r>
      <w:r w:rsidRPr="00C95133">
        <w:fldChar w:fldCharType="separate"/>
      </w:r>
      <w:r w:rsidR="009849B2">
        <w:t>33</w:t>
      </w:r>
      <w:r w:rsidRPr="00C95133">
        <w:fldChar w:fldCharType="end"/>
      </w:r>
      <w:r w:rsidR="00F7164A" w:rsidRPr="00530782">
        <w:t xml:space="preserve"> –</w:t>
      </w:r>
      <w:r w:rsidR="00001875">
        <w:tab/>
      </w:r>
      <w:r w:rsidR="00F7164A" w:rsidRPr="008C2047">
        <w:t>Podíl kapitálových výdajů na celkových výdajích územních rozpočtů (v mld. Kč, v %)</w:t>
      </w:r>
    </w:p>
    <w:p w14:paraId="205A10C6" w14:textId="77777777" w:rsidR="00F7164A" w:rsidRDefault="00F7164A" w:rsidP="00F7164A">
      <w:pPr>
        <w:spacing w:before="0" w:after="0"/>
        <w:rPr>
          <w:szCs w:val="24"/>
        </w:rPr>
      </w:pPr>
      <w:r>
        <w:rPr>
          <w:noProof/>
          <w:lang w:eastAsia="cs-CZ"/>
        </w:rPr>
        <w:drawing>
          <wp:inline distT="0" distB="0" distL="0" distR="0" wp14:anchorId="2290ED35" wp14:editId="65560B17">
            <wp:extent cx="5759450" cy="1628775"/>
            <wp:effectExtent l="0" t="0" r="0" b="0"/>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14:paraId="3A423015" w14:textId="77777777" w:rsidR="00F7164A" w:rsidRDefault="00F7164A" w:rsidP="002C4F38">
      <w:pPr>
        <w:pStyle w:val="Poznazdroj"/>
        <w:rPr>
          <w:szCs w:val="24"/>
        </w:rPr>
      </w:pPr>
      <w:r w:rsidRPr="00F02865">
        <w:rPr>
          <w:b/>
        </w:rPr>
        <w:t>Zdroj:</w:t>
      </w:r>
      <w:r w:rsidRPr="00181BC0">
        <w:t xml:space="preserve"> </w:t>
      </w:r>
      <w:r w:rsidRPr="00486165">
        <w:t>SZÚ za roky 2014–2017, návrh SZÚ za rok 2018.</w:t>
      </w:r>
    </w:p>
    <w:p w14:paraId="183B594B" w14:textId="366FF484" w:rsidR="00F7164A" w:rsidRDefault="00F7164A" w:rsidP="00F7164A">
      <w:r>
        <w:t>Většinu prostředků ze státního rozpočtu získávají kraje. Tyto prostředky používají na provoz (zabezpečují fungování krajské správy, regionálního školství apod.) formou běžných výdajů a</w:t>
      </w:r>
      <w:r w:rsidR="00C658BD">
        <w:t> </w:t>
      </w:r>
      <w:r>
        <w:t xml:space="preserve">na investiční projekty formou kapitálových výdajů. Právě kapitálové výdaje jsou jedním z důležitých nástrojů, které vytváří hodnoty s potenciálem územního rozvoje regionů. Ze srovnání jednotlivých krajů vyplynulo, že na kapitálové výdaje jednotlivých krajů připadalo za období posledních 5 let průměrně pouze 12,55 </w:t>
      </w:r>
      <w:r>
        <w:rPr>
          <w:rFonts w:cs="Calibri"/>
        </w:rPr>
        <w:t>%</w:t>
      </w:r>
      <w:r>
        <w:t xml:space="preserve"> z jejich celkových vynaložených výdajů (průměr za rok 2018 činil 14,53 </w:t>
      </w:r>
      <w:r>
        <w:rPr>
          <w:rFonts w:cs="Calibri"/>
        </w:rPr>
        <w:t>%)</w:t>
      </w:r>
      <w:r>
        <w:t>.</w:t>
      </w:r>
    </w:p>
    <w:p w14:paraId="6FCE04AD" w14:textId="7A67D581" w:rsidR="00F7164A"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34</w:t>
      </w:r>
      <w:r w:rsidRPr="00C95133">
        <w:fldChar w:fldCharType="end"/>
      </w:r>
      <w:r>
        <w:t xml:space="preserve"> </w:t>
      </w:r>
      <w:r w:rsidR="00F7164A" w:rsidRPr="00F7164A">
        <w:t>–</w:t>
      </w:r>
      <w:r w:rsidR="00001875">
        <w:tab/>
      </w:r>
      <w:r w:rsidR="00F7164A" w:rsidRPr="00F7164A">
        <w:t>Podíl kapitálových výdajů jednotlivých krajů (v %)</w:t>
      </w:r>
    </w:p>
    <w:p w14:paraId="3EE83A75" w14:textId="2EF69AC6" w:rsidR="00F7164A" w:rsidRDefault="00AA183B" w:rsidP="00F7164A">
      <w:pPr>
        <w:spacing w:before="0" w:after="0"/>
        <w:rPr>
          <w:b/>
          <w:szCs w:val="24"/>
        </w:rPr>
      </w:pPr>
      <w:r>
        <w:rPr>
          <w:noProof/>
          <w:lang w:eastAsia="cs-CZ"/>
        </w:rPr>
        <w:drawing>
          <wp:inline distT="0" distB="0" distL="0" distR="0" wp14:anchorId="459C6CD4" wp14:editId="4F53EFEB">
            <wp:extent cx="5760000" cy="27432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14:paraId="6E176CEC" w14:textId="77777777" w:rsidR="00F7164A" w:rsidRDefault="00F7164A" w:rsidP="002C4F38">
      <w:pPr>
        <w:pStyle w:val="Poznazdroj"/>
        <w:rPr>
          <w:szCs w:val="24"/>
        </w:rPr>
      </w:pPr>
      <w:r w:rsidRPr="00F02865">
        <w:rPr>
          <w:b/>
        </w:rPr>
        <w:t>Zdroj:</w:t>
      </w:r>
      <w:r w:rsidRPr="00B0781C">
        <w:t xml:space="preserve"> </w:t>
      </w:r>
      <w:r w:rsidRPr="00486165">
        <w:t>informační portál MONITOR.</w:t>
      </w:r>
    </w:p>
    <w:p w14:paraId="7790EADD" w14:textId="15F65581" w:rsidR="00F7164A" w:rsidRDefault="00F7164A" w:rsidP="00F7164A">
      <w:pPr>
        <w:rPr>
          <w:b/>
          <w:szCs w:val="24"/>
        </w:rPr>
      </w:pPr>
      <w:r>
        <w:t xml:space="preserve">Za krajským průměrem </w:t>
      </w:r>
      <w:r w:rsidR="00633D5E">
        <w:t>ve</w:t>
      </w:r>
      <w:r>
        <w:t xml:space="preserve"> vynakládání kapitálových výdajů zaostávaly nejen v roce 2018, ale i v posledních </w:t>
      </w:r>
      <w:r w:rsidR="00633D5E">
        <w:t>pěti</w:t>
      </w:r>
      <w:r>
        <w:t xml:space="preserve"> letech zejména kraje Ústecký a Jihomoravský. Naopak Jihočeský </w:t>
      </w:r>
      <w:r w:rsidR="00633D5E">
        <w:t xml:space="preserve">kraj </w:t>
      </w:r>
      <w:r>
        <w:t>a</w:t>
      </w:r>
      <w:r w:rsidR="00633D5E">
        <w:t xml:space="preserve"> Kraj </w:t>
      </w:r>
      <w:r>
        <w:t>Vysočina používaly nadprůměrnou část svých celkových výdajů na investiční projekty a</w:t>
      </w:r>
      <w:r w:rsidR="00633D5E">
        <w:t> </w:t>
      </w:r>
      <w:r>
        <w:t xml:space="preserve">přispívaly tímto způsobem více k rozvoji </w:t>
      </w:r>
      <w:r w:rsidR="00F25388">
        <w:t>regionu</w:t>
      </w:r>
      <w:r>
        <w:t>.</w:t>
      </w:r>
    </w:p>
    <w:p w14:paraId="0D8F1D1E" w14:textId="77777777" w:rsidR="00F7164A" w:rsidRDefault="00F7164A" w:rsidP="00F7164A">
      <w:pPr>
        <w:rPr>
          <w:b/>
          <w:szCs w:val="24"/>
        </w:rPr>
      </w:pPr>
    </w:p>
    <w:p w14:paraId="465CD30D" w14:textId="77777777" w:rsidR="00F7164A" w:rsidRDefault="00F7164A" w:rsidP="00F7164A">
      <w:pPr>
        <w:rPr>
          <w:b/>
          <w:szCs w:val="24"/>
        </w:rPr>
      </w:pPr>
    </w:p>
    <w:p w14:paraId="4E117331" w14:textId="77777777" w:rsidR="00085B30" w:rsidRDefault="00085B30">
      <w:pPr>
        <w:spacing w:before="0" w:after="0" w:line="240" w:lineRule="auto"/>
        <w:jc w:val="left"/>
        <w:rPr>
          <w:b/>
        </w:rPr>
      </w:pPr>
      <w:r>
        <w:br w:type="page"/>
      </w:r>
    </w:p>
    <w:p w14:paraId="2B7A64FA" w14:textId="2EE96C1D" w:rsidR="00A40247" w:rsidRDefault="00A40247" w:rsidP="008971F5">
      <w:pPr>
        <w:pStyle w:val="Nadpis3"/>
      </w:pPr>
      <w:bookmarkStart w:id="31" w:name="_Toc17208280"/>
      <w:r>
        <w:lastRenderedPageBreak/>
        <w:t>Hospodaření státních fondů</w:t>
      </w:r>
      <w:bookmarkEnd w:id="30"/>
      <w:bookmarkEnd w:id="31"/>
    </w:p>
    <w:p w14:paraId="7D734C1C" w14:textId="3151A234" w:rsidR="00DE0083" w:rsidRPr="002267CE" w:rsidRDefault="00DE0083" w:rsidP="00DE0083">
      <w:bookmarkStart w:id="32" w:name="_Toc482272326"/>
      <w:r w:rsidRPr="001921B2">
        <w:rPr>
          <w:b/>
        </w:rPr>
        <w:t>Hospodaření státních fondů (dále také „SF“) za rok 2018 skončilo deficitem ve výši 3,18</w:t>
      </w:r>
      <w:r w:rsidR="00633D5E">
        <w:rPr>
          <w:b/>
        </w:rPr>
        <w:t> </w:t>
      </w:r>
      <w:r w:rsidRPr="001921B2">
        <w:rPr>
          <w:b/>
        </w:rPr>
        <w:t xml:space="preserve">mld. </w:t>
      </w:r>
      <w:r w:rsidRPr="004C1178">
        <w:rPr>
          <w:b/>
        </w:rPr>
        <w:t>Kč a meziročně se zhoršilo o 3,59 mld. Kč.</w:t>
      </w:r>
      <w:r>
        <w:t xml:space="preserve"> Meziroční zhoršení salda hospodaření SF způsobil</w:t>
      </w:r>
      <w:r w:rsidRPr="00866B56">
        <w:t xml:space="preserve"> především </w:t>
      </w:r>
      <w:r>
        <w:t>rychlejší růst výdajů oproti příjmům. Nejvýznamnějším zdrojem příjmů SF byly nadále dotace ze státního rozpočtu, které dosáhly v roce 2018 výše 77,97 mld. Kč. Kapitálové výdaje se meziročně snížily o 2,8</w:t>
      </w:r>
      <w:r w:rsidRPr="00807FCF">
        <w:t>3</w:t>
      </w:r>
      <w:r>
        <w:t xml:space="preserve"> mld. Kč a běžné výdaje se zvýšily o 7,96 mld. Kč.</w:t>
      </w:r>
    </w:p>
    <w:p w14:paraId="4B3BD950" w14:textId="3ED7483F" w:rsidR="00DE0083" w:rsidRPr="00375CEB" w:rsidRDefault="000509E3" w:rsidP="00D3507E">
      <w:pPr>
        <w:pStyle w:val="Tituleknadgrafy10-99"/>
      </w:pPr>
      <w:r w:rsidRPr="00C95133">
        <w:t>Graf č. </w:t>
      </w:r>
      <w:r w:rsidRPr="00C95133">
        <w:fldChar w:fldCharType="begin"/>
      </w:r>
      <w:r w:rsidRPr="00C95133">
        <w:instrText xml:space="preserve"> SEQ Graf_č. \* ARABIC </w:instrText>
      </w:r>
      <w:r w:rsidRPr="00C95133">
        <w:fldChar w:fldCharType="separate"/>
      </w:r>
      <w:r w:rsidR="009849B2">
        <w:t>35</w:t>
      </w:r>
      <w:r w:rsidRPr="00C95133">
        <w:fldChar w:fldCharType="end"/>
      </w:r>
      <w:r>
        <w:t xml:space="preserve"> </w:t>
      </w:r>
      <w:r w:rsidR="00DE0083" w:rsidRPr="00375CEB">
        <w:t>–</w:t>
      </w:r>
      <w:r w:rsidR="00001875">
        <w:tab/>
      </w:r>
      <w:r w:rsidR="00DE0083" w:rsidRPr="00375CEB">
        <w:t>Hospodaření státních fondů v letech 2016–2018 (v mld. Kč)</w:t>
      </w:r>
    </w:p>
    <w:p w14:paraId="520CB7BD" w14:textId="77777777" w:rsidR="00DE0083" w:rsidRPr="00486165" w:rsidRDefault="00DE0083" w:rsidP="00DE0083">
      <w:pPr>
        <w:spacing w:before="0" w:after="0"/>
        <w:rPr>
          <w:rStyle w:val="PoznazdrojChar"/>
          <w:b/>
          <w:sz w:val="20"/>
          <w:szCs w:val="20"/>
        </w:rPr>
      </w:pPr>
      <w:r>
        <w:rPr>
          <w:noProof/>
          <w:lang w:eastAsia="cs-CZ"/>
        </w:rPr>
        <w:drawing>
          <wp:inline distT="0" distB="0" distL="0" distR="0" wp14:anchorId="72A7CF9B" wp14:editId="3F088C11">
            <wp:extent cx="5760720" cy="1771650"/>
            <wp:effectExtent l="0" t="0" r="0" b="0"/>
            <wp:docPr id="193" name="Graf 193"/>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r w:rsidRPr="00F25388">
        <w:rPr>
          <w:rStyle w:val="PoznazdrojChar"/>
          <w:b/>
          <w:sz w:val="20"/>
          <w:szCs w:val="20"/>
        </w:rPr>
        <w:t>Zdroj:</w:t>
      </w:r>
      <w:r w:rsidRPr="00DE0083">
        <w:rPr>
          <w:rStyle w:val="PoznazdrojChar"/>
          <w:sz w:val="20"/>
          <w:szCs w:val="20"/>
        </w:rPr>
        <w:t xml:space="preserve"> </w:t>
      </w:r>
      <w:r w:rsidRPr="00486165">
        <w:rPr>
          <w:rStyle w:val="PoznazdrojChar"/>
          <w:sz w:val="20"/>
          <w:szCs w:val="20"/>
        </w:rPr>
        <w:t>informační portál MONITOR.</w:t>
      </w:r>
    </w:p>
    <w:p w14:paraId="4CF1BA28" w14:textId="5D75ABDC" w:rsidR="00DE0083" w:rsidRDefault="00DE0083" w:rsidP="00DE0083">
      <w:r>
        <w:t xml:space="preserve">Všechny státní fondy dosáhly lepšího výsledku hospodaření oproti rozpočtovanému. Výsledné saldo hospodaření SF nejvíce ovlivnily Státní fond dopravní infrastruktury a Státní zemědělský intervenční fond. Tyto dva fondy obdržely 97,93 </w:t>
      </w:r>
      <w:r>
        <w:rPr>
          <w:rFonts w:cs="Calibri"/>
        </w:rPr>
        <w:t>%</w:t>
      </w:r>
      <w:r>
        <w:t xml:space="preserve"> dotací ze státního rozpočtu a</w:t>
      </w:r>
      <w:r w:rsidR="00633D5E">
        <w:t> </w:t>
      </w:r>
      <w:r>
        <w:t>na celkových výdajích státních fondů se podílely z 97,37 %. Hospodaření všech státních fondů za rok 2018 je znázorněno níže.</w:t>
      </w:r>
    </w:p>
    <w:p w14:paraId="707F6AF8" w14:textId="7468DFF1" w:rsidR="00DE0083" w:rsidRPr="000071BA" w:rsidRDefault="00073991" w:rsidP="00F25388">
      <w:pPr>
        <w:pStyle w:val="Titulekschma"/>
        <w:jc w:val="both"/>
      </w:pPr>
      <w:r>
        <w:t xml:space="preserve">Schéma </w:t>
      </w:r>
      <w:r w:rsidR="003E1BF9" w:rsidRPr="003E1BF9">
        <w:t>č. </w:t>
      </w:r>
      <w:r w:rsidR="003E1BF9" w:rsidRPr="003E1BF9">
        <w:fldChar w:fldCharType="begin"/>
      </w:r>
      <w:r w:rsidR="003E1BF9" w:rsidRPr="003E1BF9">
        <w:instrText xml:space="preserve"> SEQ Obrázek_č. \* ARABIC </w:instrText>
      </w:r>
      <w:r w:rsidR="003E1BF9" w:rsidRPr="003E1BF9">
        <w:fldChar w:fldCharType="separate"/>
      </w:r>
      <w:r w:rsidR="009849B2">
        <w:t>5</w:t>
      </w:r>
      <w:r w:rsidR="003E1BF9" w:rsidRPr="003E1BF9">
        <w:fldChar w:fldCharType="end"/>
      </w:r>
      <w:r w:rsidR="003E1BF9">
        <w:t xml:space="preserve"> </w:t>
      </w:r>
      <w:r w:rsidR="00DE0083" w:rsidRPr="00A15149">
        <w:t>–</w:t>
      </w:r>
      <w:r>
        <w:tab/>
      </w:r>
      <w:r w:rsidR="00DE0083">
        <w:t>Plnění p</w:t>
      </w:r>
      <w:r w:rsidR="00DE0083" w:rsidRPr="00A15149">
        <w:t>říjm</w:t>
      </w:r>
      <w:r w:rsidR="00DE0083">
        <w:t>ů</w:t>
      </w:r>
      <w:r w:rsidR="00DE0083" w:rsidRPr="00A15149">
        <w:t xml:space="preserve">, </w:t>
      </w:r>
      <w:r w:rsidR="00DE0083">
        <w:t xml:space="preserve">čerpání výdajů, saldo příjmů a výdajů SF </w:t>
      </w:r>
      <w:r w:rsidR="00DE0083" w:rsidRPr="00A15149">
        <w:t xml:space="preserve">v roce 2018 </w:t>
      </w:r>
      <w:r w:rsidR="00633D5E">
        <w:br/>
      </w:r>
      <w:r w:rsidR="00DE0083" w:rsidRPr="00A15149">
        <w:t>(v mld. Kč)</w:t>
      </w:r>
    </w:p>
    <w:p w14:paraId="4E79C8D2" w14:textId="2EAF2E26" w:rsidR="00DE0083" w:rsidRDefault="00DE0083" w:rsidP="001532B1">
      <w:pPr>
        <w:spacing w:before="0" w:after="0"/>
      </w:pPr>
      <w:r>
        <w:rPr>
          <w:noProof/>
          <w:lang w:eastAsia="cs-CZ"/>
        </w:rPr>
        <w:drawing>
          <wp:inline distT="0" distB="0" distL="0" distR="0" wp14:anchorId="32602D94" wp14:editId="299CBEA1">
            <wp:extent cx="5648325" cy="2476500"/>
            <wp:effectExtent l="19050" t="0" r="9525" b="0"/>
            <wp:docPr id="194" name="Diagram 1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p w14:paraId="17CE8D67" w14:textId="08F8569D" w:rsidR="001532B1" w:rsidRPr="001532B1" w:rsidRDefault="001532B1" w:rsidP="001532B1">
      <w:pPr>
        <w:spacing w:before="0" w:after="0"/>
        <w:ind w:left="567" w:hanging="567"/>
        <w:rPr>
          <w:sz w:val="20"/>
          <w:szCs w:val="20"/>
        </w:rPr>
      </w:pPr>
      <w:r w:rsidRPr="00F25388">
        <w:rPr>
          <w:b/>
          <w:sz w:val="20"/>
          <w:szCs w:val="20"/>
        </w:rPr>
        <w:t>Zdroj:</w:t>
      </w:r>
      <w:r w:rsidRPr="001532B1">
        <w:rPr>
          <w:sz w:val="20"/>
          <w:szCs w:val="20"/>
        </w:rPr>
        <w:t xml:space="preserve"> </w:t>
      </w:r>
      <w:r w:rsidRPr="001532B1">
        <w:rPr>
          <w:sz w:val="20"/>
          <w:szCs w:val="20"/>
        </w:rPr>
        <w:tab/>
        <w:t>informační portál MONITOR</w:t>
      </w:r>
    </w:p>
    <w:p w14:paraId="55E9B3BC" w14:textId="4E7F06BD" w:rsidR="001532B1" w:rsidRPr="001532B1" w:rsidRDefault="001532B1" w:rsidP="001532B1">
      <w:pPr>
        <w:spacing w:before="0" w:after="0"/>
        <w:ind w:left="567" w:hanging="567"/>
        <w:rPr>
          <w:sz w:val="20"/>
          <w:szCs w:val="20"/>
        </w:rPr>
      </w:pPr>
      <w:r w:rsidRPr="00F25388">
        <w:rPr>
          <w:b/>
          <w:sz w:val="20"/>
          <w:szCs w:val="20"/>
        </w:rPr>
        <w:t>Pozn.:</w:t>
      </w:r>
      <w:r w:rsidRPr="001532B1">
        <w:rPr>
          <w:sz w:val="20"/>
          <w:szCs w:val="20"/>
        </w:rPr>
        <w:t xml:space="preserve"> </w:t>
      </w:r>
      <w:r w:rsidRPr="001532B1">
        <w:rPr>
          <w:sz w:val="20"/>
          <w:szCs w:val="20"/>
        </w:rPr>
        <w:tab/>
        <w:t>SFDI – Státní fond dopravní infrastruktury, SZIF – Státní zemědělský intervenční fond, SFRB – Státní fond rozvoje bydlení, SFK – Státní fond kultury, SFKMG – Státní fond kinematografie, SFŽP – Státní fond životního prostředí</w:t>
      </w:r>
      <w:r>
        <w:rPr>
          <w:sz w:val="20"/>
          <w:szCs w:val="20"/>
        </w:rPr>
        <w:t>.</w:t>
      </w:r>
    </w:p>
    <w:p w14:paraId="3119EDFE" w14:textId="7B5F47A5" w:rsidR="00DE0083" w:rsidRPr="0010349F" w:rsidRDefault="00DE0083" w:rsidP="00DE0083">
      <w:pPr>
        <w:rPr>
          <w:sz w:val="20"/>
          <w:szCs w:val="20"/>
        </w:rPr>
      </w:pPr>
      <w:r>
        <w:rPr>
          <w:szCs w:val="24"/>
        </w:rPr>
        <w:lastRenderedPageBreak/>
        <w:t>Od roku 2010 došlo v souhrnu k</w:t>
      </w:r>
      <w:r w:rsidR="001532B1">
        <w:rPr>
          <w:szCs w:val="24"/>
        </w:rPr>
        <w:t> </w:t>
      </w:r>
      <w:r>
        <w:rPr>
          <w:szCs w:val="24"/>
        </w:rPr>
        <w:t>průměrnému</w:t>
      </w:r>
      <w:r w:rsidR="001532B1">
        <w:rPr>
          <w:szCs w:val="24"/>
        </w:rPr>
        <w:t xml:space="preserve"> </w:t>
      </w:r>
      <w:r>
        <w:rPr>
          <w:szCs w:val="24"/>
        </w:rPr>
        <w:t>plnění rozpočtu příjmů SF na 81 %. Podle § 28 zákona č. 218/2000 Sb.</w:t>
      </w:r>
      <w:r>
        <w:rPr>
          <w:rStyle w:val="Znakapoznpodarou"/>
          <w:szCs w:val="24"/>
        </w:rPr>
        <w:footnoteReference w:id="77"/>
      </w:r>
      <w:r>
        <w:rPr>
          <w:szCs w:val="24"/>
        </w:rPr>
        <w:t xml:space="preserve"> se zůstatky prostředků SF převádějí do následujícího rozpočtového roku. V následujících letech tak mohou být nespotřebované prostředky použity na předem stanovený účel. V souvislosti s tímto nařízením dochází u některých státních fondů k</w:t>
      </w:r>
      <w:r w:rsidR="00B1025A">
        <w:rPr>
          <w:szCs w:val="24"/>
        </w:rPr>
        <w:t> </w:t>
      </w:r>
      <w:r>
        <w:rPr>
          <w:szCs w:val="24"/>
        </w:rPr>
        <w:t>výraznému</w:t>
      </w:r>
      <w:r w:rsidR="00B1025A">
        <w:rPr>
          <w:szCs w:val="24"/>
        </w:rPr>
        <w:t xml:space="preserve"> </w:t>
      </w:r>
      <w:r>
        <w:rPr>
          <w:szCs w:val="24"/>
        </w:rPr>
        <w:t xml:space="preserve">přebytku finančních prostředků na běžných účtech, jak </w:t>
      </w:r>
      <w:r w:rsidR="00EE05A2">
        <w:rPr>
          <w:szCs w:val="24"/>
        </w:rPr>
        <w:t>ukazuje</w:t>
      </w:r>
      <w:r>
        <w:rPr>
          <w:szCs w:val="24"/>
        </w:rPr>
        <w:t xml:space="preserve"> následující tabulka.</w:t>
      </w:r>
    </w:p>
    <w:p w14:paraId="4EAB0A16" w14:textId="121CEDE4" w:rsidR="00F25388" w:rsidRDefault="00EB0332" w:rsidP="00F25388">
      <w:pPr>
        <w:pStyle w:val="Tituleknadtabulkou"/>
        <w:jc w:val="both"/>
      </w:pPr>
      <w:r>
        <w:t xml:space="preserve">Tabulka č. </w:t>
      </w:r>
      <w:r>
        <w:fldChar w:fldCharType="begin"/>
      </w:r>
      <w:r>
        <w:instrText xml:space="preserve"> SEQ Tabulka_č._ \* ARABIC </w:instrText>
      </w:r>
      <w:r>
        <w:fldChar w:fldCharType="separate"/>
      </w:r>
      <w:r w:rsidR="009849B2">
        <w:t>6</w:t>
      </w:r>
      <w:r>
        <w:fldChar w:fldCharType="end"/>
      </w:r>
      <w:r w:rsidR="00DE0083">
        <w:t xml:space="preserve"> –</w:t>
      </w:r>
      <w:r>
        <w:tab/>
      </w:r>
      <w:r w:rsidR="00DE0083">
        <w:t xml:space="preserve">Stav finančních prostředků na </w:t>
      </w:r>
      <w:r w:rsidR="003C0C85">
        <w:t>bankovních účtech</w:t>
      </w:r>
      <w:r w:rsidR="00DE0083">
        <w:t xml:space="preserve"> SF v letech 2016</w:t>
      </w:r>
      <w:r w:rsidR="00DE0083" w:rsidRPr="00375CEB">
        <w:t>–</w:t>
      </w:r>
      <w:r w:rsidR="00DE0083">
        <w:t>2018</w:t>
      </w:r>
      <w:r w:rsidR="00DE0083" w:rsidRPr="00375CEB">
        <w:t xml:space="preserve"> </w:t>
      </w:r>
    </w:p>
    <w:p w14:paraId="4ACBEA9C" w14:textId="023A385C" w:rsidR="00DE0083" w:rsidRDefault="00F25388" w:rsidP="001712FC">
      <w:pPr>
        <w:pStyle w:val="Tituleknadtabulkou"/>
      </w:pPr>
      <w:r>
        <w:tab/>
      </w:r>
      <w:r w:rsidR="00DE0083" w:rsidRPr="00375CEB">
        <w:t>(v mld. Kč)</w:t>
      </w:r>
    </w:p>
    <w:tbl>
      <w:tblPr>
        <w:tblW w:w="9072" w:type="dxa"/>
        <w:tblInd w:w="70" w:type="dxa"/>
        <w:tblCellMar>
          <w:left w:w="70" w:type="dxa"/>
          <w:right w:w="70" w:type="dxa"/>
        </w:tblCellMar>
        <w:tblLook w:val="04A0" w:firstRow="1" w:lastRow="0" w:firstColumn="1" w:lastColumn="0" w:noHBand="0" w:noVBand="1"/>
      </w:tblPr>
      <w:tblGrid>
        <w:gridCol w:w="2502"/>
        <w:gridCol w:w="971"/>
        <w:gridCol w:w="971"/>
        <w:gridCol w:w="973"/>
        <w:gridCol w:w="900"/>
        <w:gridCol w:w="2755"/>
      </w:tblGrid>
      <w:tr w:rsidR="00DE0083" w:rsidRPr="00A01815" w14:paraId="6E9AAC72" w14:textId="77777777" w:rsidTr="000B2BE1">
        <w:trPr>
          <w:trHeight w:val="316"/>
        </w:trPr>
        <w:tc>
          <w:tcPr>
            <w:tcW w:w="2502" w:type="dxa"/>
            <w:vMerge w:val="restart"/>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0BF44B80" w14:textId="77777777" w:rsidR="00DE0083" w:rsidRPr="00A01815" w:rsidRDefault="00DE0083" w:rsidP="00974BE7">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Státní fondy</w:t>
            </w:r>
          </w:p>
        </w:tc>
        <w:tc>
          <w:tcPr>
            <w:tcW w:w="2915" w:type="dxa"/>
            <w:gridSpan w:val="3"/>
            <w:tcBorders>
              <w:top w:val="single" w:sz="4" w:space="0" w:color="auto"/>
              <w:left w:val="nil"/>
              <w:bottom w:val="single" w:sz="4" w:space="0" w:color="auto"/>
              <w:right w:val="single" w:sz="4" w:space="0" w:color="auto"/>
            </w:tcBorders>
            <w:shd w:val="clear" w:color="auto" w:fill="E5F1FF"/>
            <w:noWrap/>
            <w:vAlign w:val="center"/>
            <w:hideMark/>
          </w:tcPr>
          <w:p w14:paraId="36012566" w14:textId="591B3457" w:rsidR="00DE0083" w:rsidRPr="00A01815" w:rsidRDefault="00DE0083" w:rsidP="003C0C85">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Sta</w:t>
            </w:r>
            <w:r>
              <w:rPr>
                <w:rFonts w:eastAsia="Times New Roman" w:cs="Calibri"/>
                <w:b/>
                <w:bCs/>
                <w:sz w:val="20"/>
                <w:szCs w:val="20"/>
                <w:lang w:eastAsia="cs-CZ"/>
              </w:rPr>
              <w:t xml:space="preserve">v finančních prostředků na </w:t>
            </w:r>
            <w:r w:rsidR="003C0C85">
              <w:rPr>
                <w:rFonts w:eastAsia="Times New Roman" w:cs="Calibri"/>
                <w:b/>
                <w:bCs/>
                <w:sz w:val="20"/>
                <w:szCs w:val="20"/>
                <w:lang w:eastAsia="cs-CZ"/>
              </w:rPr>
              <w:t xml:space="preserve">bankovních účtech </w:t>
            </w:r>
            <w:r>
              <w:rPr>
                <w:rFonts w:eastAsia="Times New Roman" w:cs="Calibri"/>
                <w:b/>
                <w:bCs/>
                <w:sz w:val="20"/>
                <w:szCs w:val="20"/>
                <w:lang w:eastAsia="cs-CZ"/>
              </w:rPr>
              <w:t>státních fondů</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E5F1FF"/>
            <w:vAlign w:val="center"/>
            <w:hideMark/>
          </w:tcPr>
          <w:p w14:paraId="650480DC" w14:textId="77777777" w:rsidR="00DE0083" w:rsidRPr="00A01815" w:rsidRDefault="00DE0083" w:rsidP="00974BE7">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Skutečné výdaje za rok 2018</w:t>
            </w:r>
          </w:p>
        </w:tc>
        <w:tc>
          <w:tcPr>
            <w:tcW w:w="2755" w:type="dxa"/>
            <w:vMerge w:val="restart"/>
            <w:tcBorders>
              <w:top w:val="single" w:sz="4" w:space="0" w:color="auto"/>
              <w:left w:val="single" w:sz="4" w:space="0" w:color="auto"/>
              <w:bottom w:val="single" w:sz="4" w:space="0" w:color="auto"/>
              <w:right w:val="single" w:sz="4" w:space="0" w:color="auto"/>
            </w:tcBorders>
            <w:shd w:val="clear" w:color="auto" w:fill="E5F1FF"/>
            <w:vAlign w:val="center"/>
            <w:hideMark/>
          </w:tcPr>
          <w:p w14:paraId="78D06AB5" w14:textId="68E91E58" w:rsidR="00DE0083" w:rsidRPr="00A01815" w:rsidRDefault="00DE0083" w:rsidP="00264CB5">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 xml:space="preserve">Rozdíl finančních prostředků na </w:t>
            </w:r>
            <w:r w:rsidR="00264CB5">
              <w:rPr>
                <w:rFonts w:eastAsia="Times New Roman" w:cs="Calibri"/>
                <w:b/>
                <w:bCs/>
                <w:sz w:val="20"/>
                <w:szCs w:val="20"/>
                <w:lang w:eastAsia="cs-CZ"/>
              </w:rPr>
              <w:t>bankovních účtech</w:t>
            </w:r>
            <w:r w:rsidRPr="00A01815">
              <w:rPr>
                <w:rFonts w:eastAsia="Times New Roman" w:cs="Calibri"/>
                <w:b/>
                <w:bCs/>
                <w:sz w:val="20"/>
                <w:szCs w:val="20"/>
                <w:lang w:eastAsia="cs-CZ"/>
              </w:rPr>
              <w:t xml:space="preserve"> za rok 2018 a skutečných výdajů za rok 2018</w:t>
            </w:r>
          </w:p>
        </w:tc>
      </w:tr>
      <w:tr w:rsidR="00DE0083" w:rsidRPr="00A01815" w14:paraId="2F9A1E19" w14:textId="77777777" w:rsidTr="000B2BE1">
        <w:trPr>
          <w:trHeight w:val="538"/>
        </w:trPr>
        <w:tc>
          <w:tcPr>
            <w:tcW w:w="2502" w:type="dxa"/>
            <w:vMerge/>
            <w:tcBorders>
              <w:top w:val="single" w:sz="4" w:space="0" w:color="auto"/>
              <w:left w:val="single" w:sz="4" w:space="0" w:color="auto"/>
              <w:bottom w:val="single" w:sz="4" w:space="0" w:color="auto"/>
              <w:right w:val="single" w:sz="4" w:space="0" w:color="auto"/>
            </w:tcBorders>
            <w:vAlign w:val="center"/>
            <w:hideMark/>
          </w:tcPr>
          <w:p w14:paraId="3ED673A5" w14:textId="77777777" w:rsidR="00DE0083" w:rsidRPr="00A01815" w:rsidRDefault="00DE0083" w:rsidP="00974BE7">
            <w:pPr>
              <w:spacing w:before="0" w:after="0" w:line="240" w:lineRule="auto"/>
              <w:jc w:val="left"/>
              <w:rPr>
                <w:rFonts w:eastAsia="Times New Roman" w:cs="Calibri"/>
                <w:b/>
                <w:bCs/>
                <w:sz w:val="20"/>
                <w:szCs w:val="20"/>
                <w:lang w:eastAsia="cs-CZ"/>
              </w:rPr>
            </w:pPr>
          </w:p>
        </w:tc>
        <w:tc>
          <w:tcPr>
            <w:tcW w:w="971" w:type="dxa"/>
            <w:tcBorders>
              <w:top w:val="nil"/>
              <w:left w:val="nil"/>
              <w:bottom w:val="single" w:sz="4" w:space="0" w:color="auto"/>
              <w:right w:val="single" w:sz="4" w:space="0" w:color="auto"/>
            </w:tcBorders>
            <w:shd w:val="clear" w:color="auto" w:fill="E5F1FF"/>
            <w:noWrap/>
            <w:vAlign w:val="center"/>
            <w:hideMark/>
          </w:tcPr>
          <w:p w14:paraId="441F5FE0" w14:textId="77777777" w:rsidR="00DE0083" w:rsidRPr="00A01815" w:rsidRDefault="00DE0083" w:rsidP="00974BE7">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2016</w:t>
            </w:r>
          </w:p>
        </w:tc>
        <w:tc>
          <w:tcPr>
            <w:tcW w:w="971" w:type="dxa"/>
            <w:tcBorders>
              <w:top w:val="nil"/>
              <w:left w:val="nil"/>
              <w:bottom w:val="single" w:sz="4" w:space="0" w:color="auto"/>
              <w:right w:val="single" w:sz="4" w:space="0" w:color="auto"/>
            </w:tcBorders>
            <w:shd w:val="clear" w:color="auto" w:fill="E5F1FF"/>
            <w:noWrap/>
            <w:vAlign w:val="center"/>
            <w:hideMark/>
          </w:tcPr>
          <w:p w14:paraId="02ADF38A" w14:textId="77777777" w:rsidR="00DE0083" w:rsidRPr="00A01815" w:rsidRDefault="00DE0083" w:rsidP="00974BE7">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2017</w:t>
            </w:r>
          </w:p>
        </w:tc>
        <w:tc>
          <w:tcPr>
            <w:tcW w:w="973" w:type="dxa"/>
            <w:tcBorders>
              <w:top w:val="nil"/>
              <w:left w:val="nil"/>
              <w:bottom w:val="single" w:sz="4" w:space="0" w:color="auto"/>
              <w:right w:val="single" w:sz="4" w:space="0" w:color="auto"/>
            </w:tcBorders>
            <w:shd w:val="clear" w:color="auto" w:fill="E5F1FF"/>
            <w:noWrap/>
            <w:vAlign w:val="center"/>
            <w:hideMark/>
          </w:tcPr>
          <w:p w14:paraId="66649C78" w14:textId="77777777" w:rsidR="00DE0083" w:rsidRPr="00A01815" w:rsidRDefault="00DE0083" w:rsidP="00974BE7">
            <w:pPr>
              <w:spacing w:before="0" w:after="0" w:line="240" w:lineRule="auto"/>
              <w:jc w:val="center"/>
              <w:rPr>
                <w:rFonts w:eastAsia="Times New Roman" w:cs="Calibri"/>
                <w:b/>
                <w:bCs/>
                <w:sz w:val="20"/>
                <w:szCs w:val="20"/>
                <w:lang w:eastAsia="cs-CZ"/>
              </w:rPr>
            </w:pPr>
            <w:r w:rsidRPr="00A01815">
              <w:rPr>
                <w:rFonts w:eastAsia="Times New Roman" w:cs="Calibri"/>
                <w:b/>
                <w:bCs/>
                <w:sz w:val="20"/>
                <w:szCs w:val="20"/>
                <w:lang w:eastAsia="cs-CZ"/>
              </w:rPr>
              <w:t>2018</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CD38F4C" w14:textId="77777777" w:rsidR="00DE0083" w:rsidRPr="00A01815" w:rsidRDefault="00DE0083" w:rsidP="00974BE7">
            <w:pPr>
              <w:spacing w:before="0" w:after="0" w:line="240" w:lineRule="auto"/>
              <w:jc w:val="left"/>
              <w:rPr>
                <w:rFonts w:eastAsia="Times New Roman" w:cs="Calibri"/>
                <w:b/>
                <w:bCs/>
                <w:sz w:val="20"/>
                <w:szCs w:val="20"/>
                <w:lang w:eastAsia="cs-CZ"/>
              </w:rPr>
            </w:pPr>
          </w:p>
        </w:tc>
        <w:tc>
          <w:tcPr>
            <w:tcW w:w="2755" w:type="dxa"/>
            <w:vMerge/>
            <w:tcBorders>
              <w:top w:val="single" w:sz="4" w:space="0" w:color="auto"/>
              <w:left w:val="single" w:sz="4" w:space="0" w:color="auto"/>
              <w:bottom w:val="single" w:sz="4" w:space="0" w:color="auto"/>
              <w:right w:val="single" w:sz="4" w:space="0" w:color="auto"/>
            </w:tcBorders>
            <w:vAlign w:val="center"/>
            <w:hideMark/>
          </w:tcPr>
          <w:p w14:paraId="1B2D3014" w14:textId="77777777" w:rsidR="00DE0083" w:rsidRPr="00A01815" w:rsidRDefault="00DE0083" w:rsidP="00974BE7">
            <w:pPr>
              <w:spacing w:before="0" w:after="0" w:line="240" w:lineRule="auto"/>
              <w:jc w:val="left"/>
              <w:rPr>
                <w:rFonts w:eastAsia="Times New Roman" w:cs="Calibri"/>
                <w:b/>
                <w:bCs/>
                <w:sz w:val="20"/>
                <w:szCs w:val="20"/>
                <w:lang w:eastAsia="cs-CZ"/>
              </w:rPr>
            </w:pPr>
          </w:p>
        </w:tc>
      </w:tr>
      <w:tr w:rsidR="00DE0083" w:rsidRPr="00A01815" w14:paraId="6663B200" w14:textId="77777777" w:rsidTr="000B2BE1">
        <w:trPr>
          <w:trHeight w:val="538"/>
        </w:trPr>
        <w:tc>
          <w:tcPr>
            <w:tcW w:w="2502" w:type="dxa"/>
            <w:tcBorders>
              <w:top w:val="nil"/>
              <w:left w:val="single" w:sz="4" w:space="0" w:color="auto"/>
              <w:bottom w:val="single" w:sz="4" w:space="0" w:color="auto"/>
              <w:right w:val="single" w:sz="4" w:space="0" w:color="auto"/>
            </w:tcBorders>
            <w:shd w:val="clear" w:color="000000" w:fill="F2F2F2"/>
            <w:vAlign w:val="center"/>
            <w:hideMark/>
          </w:tcPr>
          <w:p w14:paraId="46816CB7" w14:textId="77777777" w:rsidR="00DE0083" w:rsidRPr="00A01815" w:rsidRDefault="00DE0083" w:rsidP="00974BE7">
            <w:pPr>
              <w:spacing w:before="0" w:after="0" w:line="240" w:lineRule="auto"/>
              <w:jc w:val="left"/>
              <w:rPr>
                <w:rFonts w:eastAsia="Times New Roman" w:cs="Calibri"/>
                <w:b/>
                <w:bCs/>
                <w:sz w:val="20"/>
                <w:szCs w:val="20"/>
                <w:lang w:eastAsia="cs-CZ"/>
              </w:rPr>
            </w:pPr>
            <w:r w:rsidRPr="00A01815">
              <w:rPr>
                <w:rFonts w:eastAsia="Times New Roman" w:cs="Calibri"/>
                <w:b/>
                <w:bCs/>
                <w:sz w:val="20"/>
                <w:szCs w:val="20"/>
                <w:lang w:eastAsia="cs-CZ"/>
              </w:rPr>
              <w:t>Státní fond životního prostředí České republiky</w:t>
            </w:r>
          </w:p>
        </w:tc>
        <w:tc>
          <w:tcPr>
            <w:tcW w:w="971" w:type="dxa"/>
            <w:tcBorders>
              <w:top w:val="nil"/>
              <w:left w:val="nil"/>
              <w:bottom w:val="single" w:sz="4" w:space="0" w:color="auto"/>
              <w:right w:val="single" w:sz="4" w:space="0" w:color="auto"/>
            </w:tcBorders>
            <w:shd w:val="clear" w:color="auto" w:fill="auto"/>
            <w:noWrap/>
            <w:vAlign w:val="center"/>
            <w:hideMark/>
          </w:tcPr>
          <w:p w14:paraId="6E3474D4"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6,33 </w:t>
            </w:r>
          </w:p>
        </w:tc>
        <w:tc>
          <w:tcPr>
            <w:tcW w:w="971" w:type="dxa"/>
            <w:tcBorders>
              <w:top w:val="nil"/>
              <w:left w:val="nil"/>
              <w:bottom w:val="single" w:sz="4" w:space="0" w:color="auto"/>
              <w:right w:val="single" w:sz="4" w:space="0" w:color="auto"/>
            </w:tcBorders>
            <w:shd w:val="clear" w:color="auto" w:fill="auto"/>
            <w:noWrap/>
            <w:vAlign w:val="center"/>
            <w:hideMark/>
          </w:tcPr>
          <w:p w14:paraId="6D72ECBD"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7,19 </w:t>
            </w:r>
          </w:p>
        </w:tc>
        <w:tc>
          <w:tcPr>
            <w:tcW w:w="973" w:type="dxa"/>
            <w:tcBorders>
              <w:top w:val="nil"/>
              <w:left w:val="nil"/>
              <w:bottom w:val="single" w:sz="4" w:space="0" w:color="auto"/>
              <w:right w:val="single" w:sz="4" w:space="0" w:color="auto"/>
            </w:tcBorders>
            <w:shd w:val="clear" w:color="auto" w:fill="auto"/>
            <w:noWrap/>
            <w:vAlign w:val="center"/>
            <w:hideMark/>
          </w:tcPr>
          <w:p w14:paraId="6CF0F516"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8,09 </w:t>
            </w:r>
          </w:p>
        </w:tc>
        <w:tc>
          <w:tcPr>
            <w:tcW w:w="900" w:type="dxa"/>
            <w:tcBorders>
              <w:top w:val="nil"/>
              <w:left w:val="nil"/>
              <w:bottom w:val="single" w:sz="4" w:space="0" w:color="auto"/>
              <w:right w:val="single" w:sz="4" w:space="0" w:color="auto"/>
            </w:tcBorders>
            <w:shd w:val="clear" w:color="auto" w:fill="auto"/>
            <w:noWrap/>
            <w:vAlign w:val="center"/>
            <w:hideMark/>
          </w:tcPr>
          <w:p w14:paraId="72F73284"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1,11 </w:t>
            </w:r>
          </w:p>
        </w:tc>
        <w:tc>
          <w:tcPr>
            <w:tcW w:w="2755" w:type="dxa"/>
            <w:tcBorders>
              <w:top w:val="nil"/>
              <w:left w:val="nil"/>
              <w:bottom w:val="single" w:sz="4" w:space="0" w:color="auto"/>
              <w:right w:val="single" w:sz="4" w:space="0" w:color="auto"/>
            </w:tcBorders>
            <w:shd w:val="clear" w:color="auto" w:fill="F2C6C9"/>
            <w:noWrap/>
            <w:vAlign w:val="center"/>
            <w:hideMark/>
          </w:tcPr>
          <w:p w14:paraId="1059F6F4" w14:textId="77777777" w:rsidR="00DE0083" w:rsidRPr="00A01815" w:rsidRDefault="00DE0083" w:rsidP="00974BE7">
            <w:pPr>
              <w:spacing w:before="0" w:after="0" w:line="240" w:lineRule="auto"/>
              <w:jc w:val="right"/>
              <w:rPr>
                <w:rFonts w:eastAsia="Times New Roman" w:cs="Calibri"/>
                <w:b/>
                <w:bCs/>
                <w:sz w:val="20"/>
                <w:szCs w:val="20"/>
                <w:lang w:eastAsia="cs-CZ"/>
              </w:rPr>
            </w:pPr>
            <w:r w:rsidRPr="00A01815">
              <w:rPr>
                <w:rFonts w:eastAsia="Times New Roman" w:cs="Calibri"/>
                <w:b/>
                <w:bCs/>
                <w:sz w:val="20"/>
                <w:szCs w:val="20"/>
                <w:lang w:eastAsia="cs-CZ"/>
              </w:rPr>
              <w:t xml:space="preserve">6,98 </w:t>
            </w:r>
          </w:p>
        </w:tc>
      </w:tr>
      <w:tr w:rsidR="00DE0083" w:rsidRPr="00A01815" w14:paraId="73683953" w14:textId="77777777" w:rsidTr="000B2BE1">
        <w:trPr>
          <w:trHeight w:val="316"/>
        </w:trPr>
        <w:tc>
          <w:tcPr>
            <w:tcW w:w="2502" w:type="dxa"/>
            <w:tcBorders>
              <w:top w:val="nil"/>
              <w:left w:val="single" w:sz="4" w:space="0" w:color="auto"/>
              <w:bottom w:val="single" w:sz="4" w:space="0" w:color="auto"/>
              <w:right w:val="single" w:sz="4" w:space="0" w:color="auto"/>
            </w:tcBorders>
            <w:shd w:val="clear" w:color="000000" w:fill="F2F2F2"/>
            <w:vAlign w:val="center"/>
            <w:hideMark/>
          </w:tcPr>
          <w:p w14:paraId="19B08F28" w14:textId="77777777" w:rsidR="00DE0083" w:rsidRPr="00A01815" w:rsidRDefault="00DE0083" w:rsidP="00974BE7">
            <w:pPr>
              <w:spacing w:before="0" w:after="0" w:line="240" w:lineRule="auto"/>
              <w:jc w:val="left"/>
              <w:rPr>
                <w:rFonts w:eastAsia="Times New Roman" w:cs="Calibri"/>
                <w:b/>
                <w:bCs/>
                <w:sz w:val="20"/>
                <w:szCs w:val="20"/>
                <w:lang w:eastAsia="cs-CZ"/>
              </w:rPr>
            </w:pPr>
            <w:r w:rsidRPr="00A01815">
              <w:rPr>
                <w:rFonts w:eastAsia="Times New Roman" w:cs="Calibri"/>
                <w:b/>
                <w:bCs/>
                <w:sz w:val="20"/>
                <w:szCs w:val="20"/>
                <w:lang w:eastAsia="cs-CZ"/>
              </w:rPr>
              <w:t>Státní fond rozvoje bydlení</w:t>
            </w:r>
          </w:p>
        </w:tc>
        <w:tc>
          <w:tcPr>
            <w:tcW w:w="971" w:type="dxa"/>
            <w:tcBorders>
              <w:top w:val="nil"/>
              <w:left w:val="nil"/>
              <w:bottom w:val="single" w:sz="4" w:space="0" w:color="auto"/>
              <w:right w:val="single" w:sz="4" w:space="0" w:color="auto"/>
            </w:tcBorders>
            <w:shd w:val="clear" w:color="auto" w:fill="auto"/>
            <w:noWrap/>
            <w:vAlign w:val="center"/>
            <w:hideMark/>
          </w:tcPr>
          <w:p w14:paraId="2570AD40"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6,98 </w:t>
            </w:r>
          </w:p>
        </w:tc>
        <w:tc>
          <w:tcPr>
            <w:tcW w:w="971" w:type="dxa"/>
            <w:tcBorders>
              <w:top w:val="nil"/>
              <w:left w:val="nil"/>
              <w:bottom w:val="single" w:sz="4" w:space="0" w:color="auto"/>
              <w:right w:val="single" w:sz="4" w:space="0" w:color="auto"/>
            </w:tcBorders>
            <w:shd w:val="clear" w:color="auto" w:fill="auto"/>
            <w:noWrap/>
            <w:vAlign w:val="center"/>
            <w:hideMark/>
          </w:tcPr>
          <w:p w14:paraId="6EB3412C"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6,70 </w:t>
            </w:r>
          </w:p>
        </w:tc>
        <w:tc>
          <w:tcPr>
            <w:tcW w:w="973" w:type="dxa"/>
            <w:tcBorders>
              <w:top w:val="nil"/>
              <w:left w:val="nil"/>
              <w:bottom w:val="single" w:sz="4" w:space="0" w:color="auto"/>
              <w:right w:val="single" w:sz="4" w:space="0" w:color="auto"/>
            </w:tcBorders>
            <w:shd w:val="clear" w:color="auto" w:fill="auto"/>
            <w:noWrap/>
            <w:vAlign w:val="center"/>
            <w:hideMark/>
          </w:tcPr>
          <w:p w14:paraId="6DD8156A"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6,32 </w:t>
            </w:r>
          </w:p>
        </w:tc>
        <w:tc>
          <w:tcPr>
            <w:tcW w:w="900" w:type="dxa"/>
            <w:tcBorders>
              <w:top w:val="nil"/>
              <w:left w:val="nil"/>
              <w:bottom w:val="single" w:sz="4" w:space="0" w:color="auto"/>
              <w:right w:val="single" w:sz="4" w:space="0" w:color="auto"/>
            </w:tcBorders>
            <w:shd w:val="clear" w:color="auto" w:fill="auto"/>
            <w:noWrap/>
            <w:vAlign w:val="center"/>
            <w:hideMark/>
          </w:tcPr>
          <w:p w14:paraId="15BA7B05"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1,22 </w:t>
            </w:r>
          </w:p>
        </w:tc>
        <w:tc>
          <w:tcPr>
            <w:tcW w:w="2755" w:type="dxa"/>
            <w:tcBorders>
              <w:top w:val="nil"/>
              <w:left w:val="nil"/>
              <w:bottom w:val="single" w:sz="4" w:space="0" w:color="auto"/>
              <w:right w:val="single" w:sz="4" w:space="0" w:color="auto"/>
            </w:tcBorders>
            <w:shd w:val="clear" w:color="auto" w:fill="F2C6C9"/>
            <w:noWrap/>
            <w:vAlign w:val="center"/>
            <w:hideMark/>
          </w:tcPr>
          <w:p w14:paraId="2E0E3DDE" w14:textId="77777777" w:rsidR="00DE0083" w:rsidRPr="00A01815" w:rsidRDefault="00DE0083" w:rsidP="00974BE7">
            <w:pPr>
              <w:spacing w:before="0" w:after="0" w:line="240" w:lineRule="auto"/>
              <w:jc w:val="right"/>
              <w:rPr>
                <w:rFonts w:eastAsia="Times New Roman" w:cs="Calibri"/>
                <w:b/>
                <w:bCs/>
                <w:sz w:val="20"/>
                <w:szCs w:val="20"/>
                <w:lang w:eastAsia="cs-CZ"/>
              </w:rPr>
            </w:pPr>
            <w:r w:rsidRPr="00A01815">
              <w:rPr>
                <w:rFonts w:eastAsia="Times New Roman" w:cs="Calibri"/>
                <w:b/>
                <w:bCs/>
                <w:sz w:val="20"/>
                <w:szCs w:val="20"/>
                <w:lang w:eastAsia="cs-CZ"/>
              </w:rPr>
              <w:t xml:space="preserve">5,10 </w:t>
            </w:r>
          </w:p>
        </w:tc>
      </w:tr>
      <w:tr w:rsidR="00DE0083" w:rsidRPr="00A01815" w14:paraId="197D2520" w14:textId="77777777" w:rsidTr="000B2BE1">
        <w:trPr>
          <w:trHeight w:val="316"/>
        </w:trPr>
        <w:tc>
          <w:tcPr>
            <w:tcW w:w="2502" w:type="dxa"/>
            <w:tcBorders>
              <w:top w:val="nil"/>
              <w:left w:val="single" w:sz="4" w:space="0" w:color="auto"/>
              <w:bottom w:val="single" w:sz="4" w:space="0" w:color="auto"/>
              <w:right w:val="single" w:sz="4" w:space="0" w:color="auto"/>
            </w:tcBorders>
            <w:shd w:val="clear" w:color="000000" w:fill="F2F2F2"/>
            <w:vAlign w:val="center"/>
            <w:hideMark/>
          </w:tcPr>
          <w:p w14:paraId="006C1087" w14:textId="77777777" w:rsidR="00DE0083" w:rsidRPr="00A01815" w:rsidRDefault="00DE0083" w:rsidP="00974BE7">
            <w:pPr>
              <w:spacing w:before="0" w:after="0" w:line="240" w:lineRule="auto"/>
              <w:jc w:val="left"/>
              <w:rPr>
                <w:rFonts w:eastAsia="Times New Roman" w:cs="Calibri"/>
                <w:b/>
                <w:bCs/>
                <w:sz w:val="20"/>
                <w:szCs w:val="20"/>
                <w:lang w:eastAsia="cs-CZ"/>
              </w:rPr>
            </w:pPr>
            <w:r w:rsidRPr="00A01815">
              <w:rPr>
                <w:rFonts w:eastAsia="Times New Roman" w:cs="Calibri"/>
                <w:b/>
                <w:bCs/>
                <w:sz w:val="20"/>
                <w:szCs w:val="20"/>
                <w:lang w:eastAsia="cs-CZ"/>
              </w:rPr>
              <w:t>Státní fond kinematografie</w:t>
            </w:r>
          </w:p>
        </w:tc>
        <w:tc>
          <w:tcPr>
            <w:tcW w:w="971" w:type="dxa"/>
            <w:tcBorders>
              <w:top w:val="nil"/>
              <w:left w:val="nil"/>
              <w:bottom w:val="single" w:sz="4" w:space="0" w:color="auto"/>
              <w:right w:val="single" w:sz="4" w:space="0" w:color="auto"/>
            </w:tcBorders>
            <w:shd w:val="clear" w:color="auto" w:fill="auto"/>
            <w:noWrap/>
            <w:vAlign w:val="center"/>
            <w:hideMark/>
          </w:tcPr>
          <w:p w14:paraId="4CC2C9C2"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1,74 </w:t>
            </w:r>
          </w:p>
        </w:tc>
        <w:tc>
          <w:tcPr>
            <w:tcW w:w="971" w:type="dxa"/>
            <w:tcBorders>
              <w:top w:val="nil"/>
              <w:left w:val="nil"/>
              <w:bottom w:val="single" w:sz="4" w:space="0" w:color="auto"/>
              <w:right w:val="single" w:sz="4" w:space="0" w:color="auto"/>
            </w:tcBorders>
            <w:shd w:val="clear" w:color="auto" w:fill="auto"/>
            <w:noWrap/>
            <w:vAlign w:val="center"/>
            <w:hideMark/>
          </w:tcPr>
          <w:p w14:paraId="67C2F297"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1,75 </w:t>
            </w:r>
          </w:p>
        </w:tc>
        <w:tc>
          <w:tcPr>
            <w:tcW w:w="973" w:type="dxa"/>
            <w:tcBorders>
              <w:top w:val="nil"/>
              <w:left w:val="nil"/>
              <w:bottom w:val="single" w:sz="4" w:space="0" w:color="auto"/>
              <w:right w:val="single" w:sz="4" w:space="0" w:color="auto"/>
            </w:tcBorders>
            <w:shd w:val="clear" w:color="auto" w:fill="auto"/>
            <w:noWrap/>
            <w:vAlign w:val="center"/>
            <w:hideMark/>
          </w:tcPr>
          <w:p w14:paraId="3CE16B5D"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2,21 </w:t>
            </w:r>
          </w:p>
        </w:tc>
        <w:tc>
          <w:tcPr>
            <w:tcW w:w="900" w:type="dxa"/>
            <w:tcBorders>
              <w:top w:val="nil"/>
              <w:left w:val="nil"/>
              <w:bottom w:val="single" w:sz="4" w:space="0" w:color="auto"/>
              <w:right w:val="single" w:sz="4" w:space="0" w:color="auto"/>
            </w:tcBorders>
            <w:shd w:val="clear" w:color="auto" w:fill="auto"/>
            <w:noWrap/>
            <w:vAlign w:val="center"/>
            <w:hideMark/>
          </w:tcPr>
          <w:p w14:paraId="2EE0A6D4"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0,81 </w:t>
            </w:r>
          </w:p>
        </w:tc>
        <w:tc>
          <w:tcPr>
            <w:tcW w:w="2755" w:type="dxa"/>
            <w:tcBorders>
              <w:top w:val="nil"/>
              <w:left w:val="nil"/>
              <w:bottom w:val="single" w:sz="4" w:space="0" w:color="auto"/>
              <w:right w:val="single" w:sz="4" w:space="0" w:color="auto"/>
            </w:tcBorders>
            <w:shd w:val="clear" w:color="auto" w:fill="F2C6C9"/>
            <w:noWrap/>
            <w:vAlign w:val="center"/>
            <w:hideMark/>
          </w:tcPr>
          <w:p w14:paraId="7B6CD6E6" w14:textId="77777777" w:rsidR="00DE0083" w:rsidRPr="00A01815" w:rsidRDefault="00DE0083" w:rsidP="00974BE7">
            <w:pPr>
              <w:spacing w:before="0" w:after="0" w:line="240" w:lineRule="auto"/>
              <w:jc w:val="right"/>
              <w:rPr>
                <w:rFonts w:eastAsia="Times New Roman" w:cs="Calibri"/>
                <w:b/>
                <w:bCs/>
                <w:sz w:val="20"/>
                <w:szCs w:val="20"/>
                <w:lang w:eastAsia="cs-CZ"/>
              </w:rPr>
            </w:pPr>
            <w:r w:rsidRPr="00A01815">
              <w:rPr>
                <w:rFonts w:eastAsia="Times New Roman" w:cs="Calibri"/>
                <w:b/>
                <w:bCs/>
                <w:sz w:val="20"/>
                <w:szCs w:val="20"/>
                <w:lang w:eastAsia="cs-CZ"/>
              </w:rPr>
              <w:t xml:space="preserve">1,40 </w:t>
            </w:r>
          </w:p>
        </w:tc>
      </w:tr>
      <w:tr w:rsidR="00DE0083" w:rsidRPr="00A01815" w14:paraId="6B493F8B" w14:textId="77777777" w:rsidTr="000B2BE1">
        <w:trPr>
          <w:trHeight w:val="316"/>
        </w:trPr>
        <w:tc>
          <w:tcPr>
            <w:tcW w:w="2502" w:type="dxa"/>
            <w:tcBorders>
              <w:top w:val="nil"/>
              <w:left w:val="single" w:sz="4" w:space="0" w:color="auto"/>
              <w:bottom w:val="single" w:sz="4" w:space="0" w:color="auto"/>
              <w:right w:val="single" w:sz="4" w:space="0" w:color="auto"/>
            </w:tcBorders>
            <w:shd w:val="clear" w:color="000000" w:fill="F2F2F2"/>
            <w:vAlign w:val="center"/>
            <w:hideMark/>
          </w:tcPr>
          <w:p w14:paraId="710601EE" w14:textId="77777777" w:rsidR="00DE0083" w:rsidRPr="00A01815" w:rsidRDefault="00DE0083" w:rsidP="00974BE7">
            <w:pPr>
              <w:spacing w:before="0" w:after="0" w:line="240" w:lineRule="auto"/>
              <w:jc w:val="left"/>
              <w:rPr>
                <w:rFonts w:eastAsia="Times New Roman" w:cs="Calibri"/>
                <w:b/>
                <w:bCs/>
                <w:sz w:val="20"/>
                <w:szCs w:val="20"/>
                <w:lang w:eastAsia="cs-CZ"/>
              </w:rPr>
            </w:pPr>
            <w:r w:rsidRPr="00A01815">
              <w:rPr>
                <w:rFonts w:eastAsia="Times New Roman" w:cs="Calibri"/>
                <w:b/>
                <w:bCs/>
                <w:sz w:val="20"/>
                <w:szCs w:val="20"/>
                <w:lang w:eastAsia="cs-CZ"/>
              </w:rPr>
              <w:t>Státní fond kultury České republiky</w:t>
            </w:r>
          </w:p>
        </w:tc>
        <w:tc>
          <w:tcPr>
            <w:tcW w:w="971" w:type="dxa"/>
            <w:tcBorders>
              <w:top w:val="nil"/>
              <w:left w:val="nil"/>
              <w:bottom w:val="single" w:sz="4" w:space="0" w:color="auto"/>
              <w:right w:val="single" w:sz="4" w:space="0" w:color="auto"/>
            </w:tcBorders>
            <w:shd w:val="clear" w:color="auto" w:fill="auto"/>
            <w:noWrap/>
            <w:vAlign w:val="center"/>
            <w:hideMark/>
          </w:tcPr>
          <w:p w14:paraId="0E850857"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0,15 </w:t>
            </w:r>
          </w:p>
        </w:tc>
        <w:tc>
          <w:tcPr>
            <w:tcW w:w="971" w:type="dxa"/>
            <w:tcBorders>
              <w:top w:val="nil"/>
              <w:left w:val="nil"/>
              <w:bottom w:val="single" w:sz="4" w:space="0" w:color="auto"/>
              <w:right w:val="single" w:sz="4" w:space="0" w:color="auto"/>
            </w:tcBorders>
            <w:shd w:val="clear" w:color="auto" w:fill="auto"/>
            <w:noWrap/>
            <w:vAlign w:val="center"/>
            <w:hideMark/>
          </w:tcPr>
          <w:p w14:paraId="209DB545"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0,17 </w:t>
            </w:r>
          </w:p>
        </w:tc>
        <w:tc>
          <w:tcPr>
            <w:tcW w:w="973" w:type="dxa"/>
            <w:tcBorders>
              <w:top w:val="nil"/>
              <w:left w:val="nil"/>
              <w:bottom w:val="single" w:sz="4" w:space="0" w:color="auto"/>
              <w:right w:val="single" w:sz="4" w:space="0" w:color="auto"/>
            </w:tcBorders>
            <w:shd w:val="clear" w:color="auto" w:fill="auto"/>
            <w:noWrap/>
            <w:vAlign w:val="center"/>
            <w:hideMark/>
          </w:tcPr>
          <w:p w14:paraId="5D3FCC5D"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0,20 </w:t>
            </w:r>
          </w:p>
        </w:tc>
        <w:tc>
          <w:tcPr>
            <w:tcW w:w="900" w:type="dxa"/>
            <w:tcBorders>
              <w:top w:val="nil"/>
              <w:left w:val="nil"/>
              <w:bottom w:val="single" w:sz="4" w:space="0" w:color="auto"/>
              <w:right w:val="single" w:sz="4" w:space="0" w:color="auto"/>
            </w:tcBorders>
            <w:shd w:val="clear" w:color="auto" w:fill="auto"/>
            <w:noWrap/>
            <w:vAlign w:val="center"/>
            <w:hideMark/>
          </w:tcPr>
          <w:p w14:paraId="739003BE"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0,06 </w:t>
            </w:r>
          </w:p>
        </w:tc>
        <w:tc>
          <w:tcPr>
            <w:tcW w:w="2755" w:type="dxa"/>
            <w:tcBorders>
              <w:top w:val="nil"/>
              <w:left w:val="nil"/>
              <w:bottom w:val="single" w:sz="4" w:space="0" w:color="auto"/>
              <w:right w:val="single" w:sz="4" w:space="0" w:color="auto"/>
            </w:tcBorders>
            <w:shd w:val="clear" w:color="auto" w:fill="F2C6C9"/>
            <w:noWrap/>
            <w:vAlign w:val="center"/>
            <w:hideMark/>
          </w:tcPr>
          <w:p w14:paraId="76EC88CE" w14:textId="77777777" w:rsidR="00DE0083" w:rsidRPr="00A01815" w:rsidRDefault="00DE0083" w:rsidP="00974BE7">
            <w:pPr>
              <w:spacing w:before="0" w:after="0" w:line="240" w:lineRule="auto"/>
              <w:jc w:val="right"/>
              <w:rPr>
                <w:rFonts w:eastAsia="Times New Roman" w:cs="Calibri"/>
                <w:b/>
                <w:bCs/>
                <w:sz w:val="20"/>
                <w:szCs w:val="20"/>
                <w:lang w:eastAsia="cs-CZ"/>
              </w:rPr>
            </w:pPr>
            <w:r w:rsidRPr="00A01815">
              <w:rPr>
                <w:rFonts w:eastAsia="Times New Roman" w:cs="Calibri"/>
                <w:b/>
                <w:bCs/>
                <w:sz w:val="20"/>
                <w:szCs w:val="20"/>
                <w:lang w:eastAsia="cs-CZ"/>
              </w:rPr>
              <w:t xml:space="preserve">0,14 </w:t>
            </w:r>
          </w:p>
        </w:tc>
      </w:tr>
      <w:tr w:rsidR="00DE0083" w:rsidRPr="00A01815" w14:paraId="5ADB6558" w14:textId="77777777" w:rsidTr="000B2BE1">
        <w:trPr>
          <w:trHeight w:val="316"/>
        </w:trPr>
        <w:tc>
          <w:tcPr>
            <w:tcW w:w="2502" w:type="dxa"/>
            <w:tcBorders>
              <w:top w:val="nil"/>
              <w:left w:val="single" w:sz="4" w:space="0" w:color="auto"/>
              <w:bottom w:val="single" w:sz="4" w:space="0" w:color="auto"/>
              <w:right w:val="single" w:sz="4" w:space="0" w:color="auto"/>
            </w:tcBorders>
            <w:shd w:val="clear" w:color="000000" w:fill="F2F2F2"/>
            <w:vAlign w:val="center"/>
            <w:hideMark/>
          </w:tcPr>
          <w:p w14:paraId="7417A94F" w14:textId="77777777" w:rsidR="00DE0083" w:rsidRPr="00A01815" w:rsidRDefault="00DE0083" w:rsidP="00974BE7">
            <w:pPr>
              <w:spacing w:before="0" w:after="0" w:line="240" w:lineRule="auto"/>
              <w:jc w:val="left"/>
              <w:rPr>
                <w:rFonts w:eastAsia="Times New Roman" w:cs="Calibri"/>
                <w:b/>
                <w:bCs/>
                <w:sz w:val="20"/>
                <w:szCs w:val="20"/>
                <w:lang w:eastAsia="cs-CZ"/>
              </w:rPr>
            </w:pPr>
            <w:r w:rsidRPr="00A01815">
              <w:rPr>
                <w:rFonts w:eastAsia="Times New Roman" w:cs="Calibri"/>
                <w:b/>
                <w:bCs/>
                <w:sz w:val="20"/>
                <w:szCs w:val="20"/>
                <w:lang w:eastAsia="cs-CZ"/>
              </w:rPr>
              <w:t>Státní zemědělský intervenční fond</w:t>
            </w:r>
          </w:p>
        </w:tc>
        <w:tc>
          <w:tcPr>
            <w:tcW w:w="971" w:type="dxa"/>
            <w:tcBorders>
              <w:top w:val="nil"/>
              <w:left w:val="nil"/>
              <w:bottom w:val="single" w:sz="4" w:space="0" w:color="auto"/>
              <w:right w:val="single" w:sz="4" w:space="0" w:color="auto"/>
            </w:tcBorders>
            <w:shd w:val="clear" w:color="auto" w:fill="auto"/>
            <w:noWrap/>
            <w:vAlign w:val="center"/>
            <w:hideMark/>
          </w:tcPr>
          <w:p w14:paraId="4AC7389B"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4,61 </w:t>
            </w:r>
          </w:p>
        </w:tc>
        <w:tc>
          <w:tcPr>
            <w:tcW w:w="971" w:type="dxa"/>
            <w:tcBorders>
              <w:top w:val="nil"/>
              <w:left w:val="nil"/>
              <w:bottom w:val="single" w:sz="4" w:space="0" w:color="auto"/>
              <w:right w:val="single" w:sz="4" w:space="0" w:color="auto"/>
            </w:tcBorders>
            <w:shd w:val="clear" w:color="auto" w:fill="auto"/>
            <w:noWrap/>
            <w:vAlign w:val="center"/>
            <w:hideMark/>
          </w:tcPr>
          <w:p w14:paraId="57D3645B"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2,24 </w:t>
            </w:r>
          </w:p>
        </w:tc>
        <w:tc>
          <w:tcPr>
            <w:tcW w:w="973" w:type="dxa"/>
            <w:tcBorders>
              <w:top w:val="nil"/>
              <w:left w:val="nil"/>
              <w:bottom w:val="single" w:sz="4" w:space="0" w:color="auto"/>
              <w:right w:val="single" w:sz="4" w:space="0" w:color="auto"/>
            </w:tcBorders>
            <w:shd w:val="clear" w:color="auto" w:fill="auto"/>
            <w:noWrap/>
            <w:vAlign w:val="center"/>
            <w:hideMark/>
          </w:tcPr>
          <w:p w14:paraId="63BDCCED"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0,95 </w:t>
            </w:r>
          </w:p>
        </w:tc>
        <w:tc>
          <w:tcPr>
            <w:tcW w:w="900" w:type="dxa"/>
            <w:tcBorders>
              <w:top w:val="nil"/>
              <w:left w:val="nil"/>
              <w:bottom w:val="single" w:sz="4" w:space="0" w:color="auto"/>
              <w:right w:val="single" w:sz="4" w:space="0" w:color="auto"/>
            </w:tcBorders>
            <w:shd w:val="clear" w:color="auto" w:fill="auto"/>
            <w:noWrap/>
            <w:vAlign w:val="center"/>
            <w:hideMark/>
          </w:tcPr>
          <w:p w14:paraId="036B8016"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38,55 </w:t>
            </w:r>
          </w:p>
        </w:tc>
        <w:tc>
          <w:tcPr>
            <w:tcW w:w="2755" w:type="dxa"/>
            <w:tcBorders>
              <w:top w:val="nil"/>
              <w:left w:val="nil"/>
              <w:bottom w:val="single" w:sz="4" w:space="0" w:color="auto"/>
              <w:right w:val="single" w:sz="4" w:space="0" w:color="auto"/>
            </w:tcBorders>
            <w:shd w:val="clear" w:color="auto" w:fill="F2C6C9"/>
            <w:noWrap/>
            <w:vAlign w:val="center"/>
            <w:hideMark/>
          </w:tcPr>
          <w:p w14:paraId="4E1D7341" w14:textId="1B09D54A" w:rsidR="00DE0083" w:rsidRPr="00264CB5" w:rsidRDefault="008A1638" w:rsidP="00974BE7">
            <w:pPr>
              <w:spacing w:before="0" w:after="0" w:line="240" w:lineRule="auto"/>
              <w:jc w:val="right"/>
              <w:rPr>
                <w:rFonts w:eastAsia="Times New Roman" w:cs="Calibri"/>
                <w:b/>
                <w:bCs/>
                <w:sz w:val="20"/>
                <w:szCs w:val="20"/>
                <w:lang w:eastAsia="cs-CZ"/>
              </w:rPr>
            </w:pPr>
            <w:r w:rsidRPr="00264CB5">
              <w:rPr>
                <w:b/>
                <w:color w:val="FF0000"/>
                <w:sz w:val="20"/>
                <w:szCs w:val="20"/>
                <w:lang w:eastAsia="cs-CZ"/>
              </w:rPr>
              <w:t>–</w:t>
            </w:r>
            <w:r w:rsidRPr="00264CB5">
              <w:rPr>
                <w:rFonts w:eastAsia="Times New Roman" w:cs="Calibri"/>
                <w:b/>
                <w:bCs/>
                <w:color w:val="FF0000"/>
                <w:sz w:val="20"/>
                <w:szCs w:val="20"/>
                <w:lang w:eastAsia="cs-CZ"/>
              </w:rPr>
              <w:t>37</w:t>
            </w:r>
            <w:r w:rsidR="00DE0083" w:rsidRPr="00264CB5">
              <w:rPr>
                <w:rFonts w:eastAsia="Times New Roman" w:cs="Calibri"/>
                <w:b/>
                <w:bCs/>
                <w:color w:val="FF0000"/>
                <w:sz w:val="20"/>
                <w:szCs w:val="20"/>
                <w:lang w:eastAsia="cs-CZ"/>
              </w:rPr>
              <w:t xml:space="preserve">,60 </w:t>
            </w:r>
          </w:p>
        </w:tc>
      </w:tr>
      <w:tr w:rsidR="00DE0083" w:rsidRPr="00A01815" w14:paraId="35FD47BD" w14:textId="77777777" w:rsidTr="000B2BE1">
        <w:trPr>
          <w:trHeight w:val="316"/>
        </w:trPr>
        <w:tc>
          <w:tcPr>
            <w:tcW w:w="2502" w:type="dxa"/>
            <w:tcBorders>
              <w:top w:val="nil"/>
              <w:left w:val="single" w:sz="4" w:space="0" w:color="auto"/>
              <w:bottom w:val="single" w:sz="4" w:space="0" w:color="auto"/>
              <w:right w:val="single" w:sz="4" w:space="0" w:color="auto"/>
            </w:tcBorders>
            <w:shd w:val="clear" w:color="000000" w:fill="F2F2F2"/>
            <w:vAlign w:val="center"/>
            <w:hideMark/>
          </w:tcPr>
          <w:p w14:paraId="2DCBCDEA" w14:textId="77777777" w:rsidR="00DE0083" w:rsidRPr="00A01815" w:rsidRDefault="00DE0083" w:rsidP="00974BE7">
            <w:pPr>
              <w:spacing w:before="0" w:after="0" w:line="240" w:lineRule="auto"/>
              <w:jc w:val="left"/>
              <w:rPr>
                <w:rFonts w:eastAsia="Times New Roman" w:cs="Calibri"/>
                <w:b/>
                <w:bCs/>
                <w:sz w:val="20"/>
                <w:szCs w:val="20"/>
                <w:lang w:eastAsia="cs-CZ"/>
              </w:rPr>
            </w:pPr>
            <w:r w:rsidRPr="00A01815">
              <w:rPr>
                <w:rFonts w:eastAsia="Times New Roman" w:cs="Calibri"/>
                <w:b/>
                <w:bCs/>
                <w:sz w:val="20"/>
                <w:szCs w:val="20"/>
                <w:lang w:eastAsia="cs-CZ"/>
              </w:rPr>
              <w:t>Státní fond dopravní infrastruktury</w:t>
            </w:r>
          </w:p>
        </w:tc>
        <w:tc>
          <w:tcPr>
            <w:tcW w:w="971" w:type="dxa"/>
            <w:tcBorders>
              <w:top w:val="nil"/>
              <w:left w:val="nil"/>
              <w:bottom w:val="single" w:sz="4" w:space="0" w:color="auto"/>
              <w:right w:val="single" w:sz="4" w:space="0" w:color="auto"/>
            </w:tcBorders>
            <w:shd w:val="clear" w:color="auto" w:fill="auto"/>
            <w:noWrap/>
            <w:vAlign w:val="center"/>
            <w:hideMark/>
          </w:tcPr>
          <w:p w14:paraId="7EA767E4"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2,70 </w:t>
            </w:r>
          </w:p>
        </w:tc>
        <w:tc>
          <w:tcPr>
            <w:tcW w:w="971" w:type="dxa"/>
            <w:tcBorders>
              <w:top w:val="nil"/>
              <w:left w:val="nil"/>
              <w:bottom w:val="single" w:sz="4" w:space="0" w:color="auto"/>
              <w:right w:val="single" w:sz="4" w:space="0" w:color="auto"/>
            </w:tcBorders>
            <w:shd w:val="clear" w:color="auto" w:fill="auto"/>
            <w:noWrap/>
            <w:vAlign w:val="center"/>
            <w:hideMark/>
          </w:tcPr>
          <w:p w14:paraId="77498684"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4,87 </w:t>
            </w:r>
          </w:p>
        </w:tc>
        <w:tc>
          <w:tcPr>
            <w:tcW w:w="973" w:type="dxa"/>
            <w:tcBorders>
              <w:top w:val="nil"/>
              <w:left w:val="nil"/>
              <w:bottom w:val="single" w:sz="4" w:space="0" w:color="auto"/>
              <w:right w:val="single" w:sz="4" w:space="0" w:color="auto"/>
            </w:tcBorders>
            <w:shd w:val="clear" w:color="auto" w:fill="auto"/>
            <w:noWrap/>
            <w:vAlign w:val="center"/>
            <w:hideMark/>
          </w:tcPr>
          <w:p w14:paraId="5ABA7D59"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1,88 </w:t>
            </w:r>
          </w:p>
        </w:tc>
        <w:tc>
          <w:tcPr>
            <w:tcW w:w="900" w:type="dxa"/>
            <w:tcBorders>
              <w:top w:val="nil"/>
              <w:left w:val="nil"/>
              <w:bottom w:val="single" w:sz="4" w:space="0" w:color="auto"/>
              <w:right w:val="single" w:sz="4" w:space="0" w:color="auto"/>
            </w:tcBorders>
            <w:shd w:val="clear" w:color="auto" w:fill="auto"/>
            <w:noWrap/>
            <w:vAlign w:val="center"/>
            <w:hideMark/>
          </w:tcPr>
          <w:p w14:paraId="3F67A1DD" w14:textId="77777777" w:rsidR="00DE0083" w:rsidRPr="00A01815" w:rsidRDefault="00DE0083" w:rsidP="00974BE7">
            <w:pPr>
              <w:spacing w:before="0" w:after="0" w:line="240" w:lineRule="auto"/>
              <w:jc w:val="right"/>
              <w:rPr>
                <w:rFonts w:eastAsia="Times New Roman" w:cs="Calibri"/>
                <w:sz w:val="20"/>
                <w:szCs w:val="20"/>
                <w:lang w:eastAsia="cs-CZ"/>
              </w:rPr>
            </w:pPr>
            <w:r w:rsidRPr="00A01815">
              <w:rPr>
                <w:rFonts w:eastAsia="Times New Roman" w:cs="Calibri"/>
                <w:sz w:val="20"/>
                <w:szCs w:val="20"/>
                <w:lang w:eastAsia="cs-CZ"/>
              </w:rPr>
              <w:t xml:space="preserve">80,02 </w:t>
            </w:r>
          </w:p>
        </w:tc>
        <w:tc>
          <w:tcPr>
            <w:tcW w:w="2755" w:type="dxa"/>
            <w:tcBorders>
              <w:top w:val="nil"/>
              <w:left w:val="nil"/>
              <w:bottom w:val="single" w:sz="4" w:space="0" w:color="auto"/>
              <w:right w:val="single" w:sz="4" w:space="0" w:color="auto"/>
            </w:tcBorders>
            <w:shd w:val="clear" w:color="auto" w:fill="F2C6C9"/>
            <w:noWrap/>
            <w:vAlign w:val="center"/>
            <w:hideMark/>
          </w:tcPr>
          <w:p w14:paraId="05B96FA9" w14:textId="2D1CAFED" w:rsidR="00DE0083" w:rsidRPr="00264CB5" w:rsidRDefault="008A1638" w:rsidP="008A1638">
            <w:pPr>
              <w:spacing w:before="0" w:after="0" w:line="240" w:lineRule="auto"/>
              <w:jc w:val="right"/>
              <w:rPr>
                <w:rFonts w:eastAsia="Times New Roman" w:cs="Calibri"/>
                <w:b/>
                <w:bCs/>
                <w:sz w:val="20"/>
                <w:szCs w:val="20"/>
                <w:lang w:eastAsia="cs-CZ"/>
              </w:rPr>
            </w:pPr>
            <w:r w:rsidRPr="00264CB5">
              <w:rPr>
                <w:b/>
                <w:color w:val="FF0000"/>
                <w:sz w:val="20"/>
                <w:szCs w:val="20"/>
                <w:lang w:eastAsia="cs-CZ"/>
              </w:rPr>
              <w:t>–</w:t>
            </w:r>
            <w:r w:rsidRPr="00264CB5">
              <w:rPr>
                <w:rFonts w:eastAsia="Times New Roman" w:cs="Calibri"/>
                <w:b/>
                <w:bCs/>
                <w:color w:val="FF0000"/>
                <w:sz w:val="20"/>
                <w:szCs w:val="20"/>
                <w:lang w:eastAsia="cs-CZ"/>
              </w:rPr>
              <w:t>78</w:t>
            </w:r>
            <w:r w:rsidR="00DE0083" w:rsidRPr="00264CB5">
              <w:rPr>
                <w:rFonts w:eastAsia="Times New Roman" w:cs="Calibri"/>
                <w:b/>
                <w:bCs/>
                <w:color w:val="FF0000"/>
                <w:sz w:val="20"/>
                <w:szCs w:val="20"/>
                <w:lang w:eastAsia="cs-CZ"/>
              </w:rPr>
              <w:t xml:space="preserve">,14 </w:t>
            </w:r>
          </w:p>
        </w:tc>
      </w:tr>
    </w:tbl>
    <w:p w14:paraId="50B5F0FB" w14:textId="77777777" w:rsidR="00DE0083" w:rsidRDefault="00DE0083" w:rsidP="002C4F38">
      <w:pPr>
        <w:pStyle w:val="Poznazdroj"/>
      </w:pPr>
      <w:r w:rsidRPr="00F25388">
        <w:rPr>
          <w:b/>
        </w:rPr>
        <w:t>Zdroj:</w:t>
      </w:r>
      <w:r w:rsidRPr="00033169">
        <w:t xml:space="preserve"> </w:t>
      </w:r>
      <w:r w:rsidRPr="00486165">
        <w:t>informační portál MONITOR.</w:t>
      </w:r>
    </w:p>
    <w:p w14:paraId="6EEAA66C" w14:textId="2435FD03" w:rsidR="00DE0083" w:rsidRDefault="00DE0083" w:rsidP="00486165">
      <w:r>
        <w:t>Čtyři z šesti státních fondů disponují vysokými finančními prostředky na</w:t>
      </w:r>
      <w:r w:rsidR="001532B1">
        <w:t xml:space="preserve"> svých</w:t>
      </w:r>
      <w:r>
        <w:t xml:space="preserve"> běžných účtech</w:t>
      </w:r>
      <w:r w:rsidR="00F25388">
        <w:t xml:space="preserve">. Tyto prostředky </w:t>
      </w:r>
      <w:r>
        <w:t xml:space="preserve">dokonce několikanásobně převyšují roční výdaje </w:t>
      </w:r>
      <w:r w:rsidR="00F408EB">
        <w:t xml:space="preserve">těchto fondů </w:t>
      </w:r>
      <w:r>
        <w:t>za rok 2018. V návrhu SZÚ za rok 2018 však chybí detailnější rozbor těchto disponibilních prostředků, na jaké konkrétní účely mají být použity.</w:t>
      </w:r>
    </w:p>
    <w:p w14:paraId="3AFF63E3" w14:textId="7D922006" w:rsidR="00DE0083" w:rsidRPr="00C115AF" w:rsidRDefault="00DE0083" w:rsidP="00DE0083">
      <w:pPr>
        <w:spacing w:before="0"/>
        <w:rPr>
          <w:b/>
          <w:szCs w:val="24"/>
        </w:rPr>
      </w:pPr>
      <w:r w:rsidRPr="00C115AF">
        <w:rPr>
          <w:b/>
          <w:szCs w:val="24"/>
        </w:rPr>
        <w:t>Hospodaření státních fondů je dlouhodobě závislé na přijatý</w:t>
      </w:r>
      <w:r>
        <w:rPr>
          <w:b/>
          <w:szCs w:val="24"/>
        </w:rPr>
        <w:t>ch dotacích ze státního rozpočtu. Doposud však nebyla přijat</w:t>
      </w:r>
      <w:r w:rsidR="00F408EB">
        <w:rPr>
          <w:b/>
          <w:szCs w:val="24"/>
        </w:rPr>
        <w:t>a</w:t>
      </w:r>
      <w:r>
        <w:rPr>
          <w:b/>
          <w:szCs w:val="24"/>
        </w:rPr>
        <w:t xml:space="preserve"> systémová opatření, která by vedla k výraznějšímu snížení této závislosti. </w:t>
      </w:r>
      <w:r w:rsidRPr="00C115AF">
        <w:rPr>
          <w:b/>
          <w:szCs w:val="24"/>
        </w:rPr>
        <w:t xml:space="preserve">Podíl dotací ze SR na celkových příjmech státních fondů v roce 2018 </w:t>
      </w:r>
      <w:r>
        <w:rPr>
          <w:b/>
          <w:szCs w:val="24"/>
        </w:rPr>
        <w:t xml:space="preserve">činil </w:t>
      </w:r>
      <w:r w:rsidRPr="00C115AF">
        <w:rPr>
          <w:b/>
          <w:szCs w:val="24"/>
        </w:rPr>
        <w:t>65,75 %.</w:t>
      </w:r>
    </w:p>
    <w:p w14:paraId="5AC8420D" w14:textId="77777777" w:rsidR="00085B30" w:rsidRDefault="00085B30">
      <w:pPr>
        <w:spacing w:before="0" w:after="0" w:line="240" w:lineRule="auto"/>
        <w:jc w:val="left"/>
        <w:rPr>
          <w:b/>
        </w:rPr>
      </w:pPr>
      <w:r>
        <w:br w:type="page"/>
      </w:r>
    </w:p>
    <w:p w14:paraId="05A691AE" w14:textId="05C77965" w:rsidR="00A40247" w:rsidRPr="00C35F0A" w:rsidRDefault="00A40247" w:rsidP="008971F5">
      <w:pPr>
        <w:pStyle w:val="Nadpis3"/>
      </w:pPr>
      <w:bookmarkStart w:id="33" w:name="_Toc17208281"/>
      <w:r w:rsidRPr="00C35F0A">
        <w:lastRenderedPageBreak/>
        <w:t>Hospodaření zdravotních pojišťoven</w:t>
      </w:r>
      <w:bookmarkEnd w:id="32"/>
      <w:bookmarkEnd w:id="33"/>
    </w:p>
    <w:p w14:paraId="393924B8" w14:textId="53E652F8" w:rsidR="00DE0083" w:rsidRDefault="00DE0083" w:rsidP="00DE0083">
      <w:pPr>
        <w:rPr>
          <w:szCs w:val="24"/>
        </w:rPr>
      </w:pPr>
      <w:r>
        <w:rPr>
          <w:szCs w:val="24"/>
        </w:rPr>
        <w:t xml:space="preserve">Hospodaření systému veřejného zdravotního pojištění skončilo v roce 2018 přebytkem ve výši 14,48 mld. Kč, tj. zvýšení kladného salda o 4,96 mld. Kč oproti roku 2017. </w:t>
      </w:r>
      <w:r w:rsidRPr="00DD7949">
        <w:rPr>
          <w:b/>
          <w:szCs w:val="24"/>
        </w:rPr>
        <w:t>Celkové příjmy v roce 2018 dosáhly 309,77 mld. Kč a celkové výdaje 295,30 mld. Kč.</w:t>
      </w:r>
      <w:r>
        <w:rPr>
          <w:szCs w:val="24"/>
        </w:rPr>
        <w:t xml:space="preserve"> Největší položku celkových příjmů tvořilo inkaso pojistného po přerozdělování (98,84 %), které současně zahrnovalo příjmy ze státního rozpočtu na státní pojištěnce. V souvislosti s rekordně nízkou nezaměstnaností </w:t>
      </w:r>
      <w:r w:rsidRPr="003372C9">
        <w:rPr>
          <w:szCs w:val="24"/>
        </w:rPr>
        <w:t xml:space="preserve">klesá </w:t>
      </w:r>
      <w:r>
        <w:rPr>
          <w:szCs w:val="24"/>
        </w:rPr>
        <w:t xml:space="preserve">od roku 2015 </w:t>
      </w:r>
      <w:r w:rsidRPr="003372C9">
        <w:rPr>
          <w:szCs w:val="24"/>
        </w:rPr>
        <w:t xml:space="preserve">podíl </w:t>
      </w:r>
      <w:r>
        <w:rPr>
          <w:szCs w:val="24"/>
        </w:rPr>
        <w:t xml:space="preserve">těchto </w:t>
      </w:r>
      <w:r w:rsidRPr="003372C9">
        <w:rPr>
          <w:szCs w:val="24"/>
        </w:rPr>
        <w:t>příjmů na celkových příjmech</w:t>
      </w:r>
      <w:r>
        <w:rPr>
          <w:szCs w:val="24"/>
        </w:rPr>
        <w:t xml:space="preserve"> zdravotních pojišťoven</w:t>
      </w:r>
      <w:r w:rsidR="00F408EB">
        <w:rPr>
          <w:szCs w:val="24"/>
        </w:rPr>
        <w:t>.</w:t>
      </w:r>
      <w:r>
        <w:rPr>
          <w:rStyle w:val="Znakapoznpodarou"/>
          <w:szCs w:val="24"/>
        </w:rPr>
        <w:footnoteReference w:id="78"/>
      </w:r>
      <w:r>
        <w:rPr>
          <w:szCs w:val="24"/>
        </w:rPr>
        <w:t xml:space="preserve"> </w:t>
      </w:r>
      <w:r w:rsidRPr="003372C9">
        <w:rPr>
          <w:szCs w:val="24"/>
        </w:rPr>
        <w:t>V roce 2018 činil tento podíl 22,07 %.</w:t>
      </w:r>
    </w:p>
    <w:p w14:paraId="779DEDCD" w14:textId="7C2CAF83" w:rsidR="00DE0083" w:rsidRDefault="001F4A5E" w:rsidP="001712FC">
      <w:pPr>
        <w:pStyle w:val="Titulekschma"/>
      </w:pPr>
      <w:r>
        <w:t xml:space="preserve">Schéma </w:t>
      </w:r>
      <w:r w:rsidRPr="003E1BF9">
        <w:t>č. </w:t>
      </w:r>
      <w:r w:rsidRPr="003E1BF9">
        <w:fldChar w:fldCharType="begin"/>
      </w:r>
      <w:r w:rsidRPr="003E1BF9">
        <w:instrText xml:space="preserve"> SEQ Obrázek_č. \* ARABIC </w:instrText>
      </w:r>
      <w:r w:rsidRPr="003E1BF9">
        <w:fldChar w:fldCharType="separate"/>
      </w:r>
      <w:r w:rsidR="009849B2">
        <w:t>6</w:t>
      </w:r>
      <w:r w:rsidRPr="003E1BF9">
        <w:fldChar w:fldCharType="end"/>
      </w:r>
      <w:r w:rsidR="00FF6922" w:rsidRPr="003E1BF9">
        <w:t> </w:t>
      </w:r>
      <w:r w:rsidR="00DE0083" w:rsidRPr="00DE0083">
        <w:t>–</w:t>
      </w:r>
      <w:r w:rsidR="00C32D02">
        <w:tab/>
      </w:r>
      <w:r w:rsidR="00DE0083" w:rsidRPr="00DE0083">
        <w:t>Hospodaření zdravotních pojišťoven v letech 2016–2018 (v mld. Kč)</w:t>
      </w:r>
    </w:p>
    <w:p w14:paraId="6E9DD5CB" w14:textId="77777777" w:rsidR="00DE0083" w:rsidRDefault="00DE0083" w:rsidP="00DE0083">
      <w:pPr>
        <w:spacing w:after="0"/>
        <w:jc w:val="center"/>
        <w:rPr>
          <w:b/>
          <w:szCs w:val="24"/>
        </w:rPr>
      </w:pPr>
      <w:r>
        <w:rPr>
          <w:noProof/>
          <w:lang w:eastAsia="cs-CZ"/>
        </w:rPr>
        <w:drawing>
          <wp:inline distT="0" distB="0" distL="0" distR="0" wp14:anchorId="630002B1" wp14:editId="219CB37C">
            <wp:extent cx="5760720" cy="1347470"/>
            <wp:effectExtent l="0" t="0" r="0" b="5080"/>
            <wp:docPr id="195" name="Diagram 19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1" r:lo="rId92" r:qs="rId93" r:cs="rId94"/>
              </a:graphicData>
            </a:graphic>
          </wp:inline>
        </w:drawing>
      </w:r>
    </w:p>
    <w:p w14:paraId="381FB340" w14:textId="77777777" w:rsidR="00DE0083" w:rsidRPr="00DE0083" w:rsidRDefault="00DE0083" w:rsidP="002C4F38">
      <w:pPr>
        <w:pStyle w:val="Poznazdroj"/>
      </w:pPr>
      <w:r w:rsidRPr="00F25388">
        <w:rPr>
          <w:b/>
        </w:rPr>
        <w:t>Zdroj:</w:t>
      </w:r>
      <w:r w:rsidRPr="00DE0083">
        <w:t xml:space="preserve"> </w:t>
      </w:r>
      <w:r w:rsidRPr="00486165">
        <w:t>SZÚ za roky 2016–2017, návrh SZÚ za rok 2018.</w:t>
      </w:r>
    </w:p>
    <w:p w14:paraId="332C644F" w14:textId="03D74172" w:rsidR="00DE0083" w:rsidRDefault="00DE0083" w:rsidP="00DE0083">
      <w:pPr>
        <w:rPr>
          <w:b/>
          <w:szCs w:val="24"/>
        </w:rPr>
      </w:pPr>
      <w:r w:rsidRPr="00C70942">
        <w:rPr>
          <w:b/>
          <w:szCs w:val="24"/>
        </w:rPr>
        <w:t xml:space="preserve">Stejně jako v předchozím roce hospodařily zdravotní pojišťovny po celý rok </w:t>
      </w:r>
      <w:r w:rsidR="00EA09B1">
        <w:rPr>
          <w:b/>
          <w:szCs w:val="24"/>
        </w:rPr>
        <w:t xml:space="preserve">2018 </w:t>
      </w:r>
      <w:r w:rsidRPr="00C70942">
        <w:rPr>
          <w:b/>
          <w:szCs w:val="24"/>
        </w:rPr>
        <w:t>dle rozpočtových provizorií</w:t>
      </w:r>
      <w:r>
        <w:rPr>
          <w:rStyle w:val="Znakapoznpodarou"/>
          <w:b/>
          <w:szCs w:val="24"/>
        </w:rPr>
        <w:footnoteReference w:id="79"/>
      </w:r>
      <w:r>
        <w:rPr>
          <w:b/>
          <w:szCs w:val="24"/>
        </w:rPr>
        <w:t>.</w:t>
      </w:r>
    </w:p>
    <w:p w14:paraId="4910FE2B" w14:textId="2E737E8E" w:rsidR="00DE0083" w:rsidRDefault="00DE0083" w:rsidP="00DE0083">
      <w:pPr>
        <w:rPr>
          <w:b/>
          <w:szCs w:val="24"/>
        </w:rPr>
      </w:pPr>
      <w:r>
        <w:rPr>
          <w:szCs w:val="24"/>
        </w:rPr>
        <w:t xml:space="preserve">Kladné saldo hospodaření se pozitivně projevilo na </w:t>
      </w:r>
      <w:r w:rsidRPr="00C9735C">
        <w:rPr>
          <w:szCs w:val="24"/>
        </w:rPr>
        <w:t>meziroční</w:t>
      </w:r>
      <w:r>
        <w:rPr>
          <w:szCs w:val="24"/>
        </w:rPr>
        <w:t>m</w:t>
      </w:r>
      <w:r w:rsidRPr="00C9735C">
        <w:rPr>
          <w:szCs w:val="24"/>
        </w:rPr>
        <w:t xml:space="preserve"> zvýšení </w:t>
      </w:r>
      <w:r>
        <w:rPr>
          <w:szCs w:val="24"/>
        </w:rPr>
        <w:t xml:space="preserve">finanční rezervy na bankovních účtech všech fondů veřejného zdravotního pojištění o 47,8 %. Finanční rezerva všech fondů tak dosáhla v roce 2018 hodnoty 45,06 mld. Kč. </w:t>
      </w:r>
      <w:r w:rsidRPr="007A5F0B">
        <w:rPr>
          <w:b/>
          <w:szCs w:val="24"/>
        </w:rPr>
        <w:t xml:space="preserve">Meziroční zvýšení </w:t>
      </w:r>
      <w:r>
        <w:rPr>
          <w:b/>
          <w:szCs w:val="24"/>
        </w:rPr>
        <w:t xml:space="preserve">zůstatků </w:t>
      </w:r>
      <w:r w:rsidRPr="007A5F0B">
        <w:rPr>
          <w:b/>
          <w:szCs w:val="24"/>
        </w:rPr>
        <w:t xml:space="preserve">se nejvíce </w:t>
      </w:r>
      <w:r w:rsidR="00F408EB">
        <w:rPr>
          <w:b/>
          <w:szCs w:val="24"/>
        </w:rPr>
        <w:t>projevilo</w:t>
      </w:r>
      <w:r>
        <w:rPr>
          <w:b/>
          <w:szCs w:val="24"/>
        </w:rPr>
        <w:t xml:space="preserve"> na</w:t>
      </w:r>
      <w:r w:rsidRPr="007A5F0B">
        <w:rPr>
          <w:b/>
          <w:szCs w:val="24"/>
        </w:rPr>
        <w:t xml:space="preserve"> bankovní</w:t>
      </w:r>
      <w:r>
        <w:rPr>
          <w:b/>
          <w:szCs w:val="24"/>
        </w:rPr>
        <w:t xml:space="preserve">ch účtech </w:t>
      </w:r>
      <w:r w:rsidRPr="007A5F0B">
        <w:rPr>
          <w:b/>
          <w:szCs w:val="24"/>
        </w:rPr>
        <w:t>základní</w:t>
      </w:r>
      <w:r>
        <w:rPr>
          <w:b/>
          <w:szCs w:val="24"/>
        </w:rPr>
        <w:t>ch fondů</w:t>
      </w:r>
      <w:r w:rsidRPr="007A5F0B">
        <w:rPr>
          <w:b/>
          <w:szCs w:val="24"/>
        </w:rPr>
        <w:t xml:space="preserve"> zdravotního pojištění</w:t>
      </w:r>
      <w:r w:rsidR="00F408EB">
        <w:rPr>
          <w:b/>
          <w:szCs w:val="24"/>
        </w:rPr>
        <w:t xml:space="preserve">, </w:t>
      </w:r>
      <w:r w:rsidR="0081033A">
        <w:rPr>
          <w:b/>
          <w:szCs w:val="24"/>
        </w:rPr>
        <w:t xml:space="preserve">tyto </w:t>
      </w:r>
      <w:r w:rsidRPr="007A5F0B">
        <w:rPr>
          <w:b/>
          <w:szCs w:val="24"/>
        </w:rPr>
        <w:t xml:space="preserve">finanční zásoby </w:t>
      </w:r>
      <w:r w:rsidR="00F408EB">
        <w:rPr>
          <w:b/>
          <w:szCs w:val="24"/>
        </w:rPr>
        <w:t xml:space="preserve">se zvýšily </w:t>
      </w:r>
      <w:r w:rsidRPr="007A5F0B">
        <w:rPr>
          <w:b/>
          <w:szCs w:val="24"/>
        </w:rPr>
        <w:t>u všech sedmi zdravotních pojišťoven.</w:t>
      </w:r>
    </w:p>
    <w:p w14:paraId="2BF39ECD" w14:textId="7B8F7CB9" w:rsidR="00DE0083" w:rsidRDefault="00EB0332" w:rsidP="00F25388">
      <w:pPr>
        <w:pStyle w:val="Tituleknadtabulkou"/>
        <w:jc w:val="both"/>
      </w:pPr>
      <w:r>
        <w:lastRenderedPageBreak/>
        <w:t xml:space="preserve">Tabulka č. </w:t>
      </w:r>
      <w:r>
        <w:fldChar w:fldCharType="begin"/>
      </w:r>
      <w:r>
        <w:instrText xml:space="preserve"> SEQ Tabulka_č._ \* ARABIC </w:instrText>
      </w:r>
      <w:r>
        <w:fldChar w:fldCharType="separate"/>
      </w:r>
      <w:r w:rsidR="009849B2">
        <w:t>7</w:t>
      </w:r>
      <w:r>
        <w:fldChar w:fldCharType="end"/>
      </w:r>
      <w:r>
        <w:t xml:space="preserve"> </w:t>
      </w:r>
      <w:r w:rsidR="00DE0083">
        <w:t>–</w:t>
      </w:r>
      <w:r w:rsidR="00C00EED">
        <w:tab/>
      </w:r>
      <w:r w:rsidR="00DE0083">
        <w:t>Konečn</w:t>
      </w:r>
      <w:r w:rsidR="0081033A">
        <w:t>é</w:t>
      </w:r>
      <w:r w:rsidR="00DE0083">
        <w:t xml:space="preserve"> zůstat</w:t>
      </w:r>
      <w:r w:rsidR="0081033A">
        <w:t>ky</w:t>
      </w:r>
      <w:r w:rsidR="00DE0083">
        <w:t xml:space="preserve"> na </w:t>
      </w:r>
      <w:r w:rsidR="00C00EED">
        <w:t>bankovních účtech</w:t>
      </w:r>
      <w:r w:rsidR="00DE0083">
        <w:t xml:space="preserve"> </w:t>
      </w:r>
      <w:r w:rsidR="00C00EED">
        <w:t>základního fondu zdravotního pojištění</w:t>
      </w:r>
      <w:r w:rsidR="00DE0083">
        <w:t xml:space="preserve"> a stav finanční</w:t>
      </w:r>
      <w:r w:rsidR="0081033A">
        <w:t>ch</w:t>
      </w:r>
      <w:r w:rsidR="00DE0083">
        <w:t xml:space="preserve"> zásob </w:t>
      </w:r>
      <w:r w:rsidR="00DE0083" w:rsidRPr="00552C0E">
        <w:t>v letech 201</w:t>
      </w:r>
      <w:r w:rsidR="00DE0083">
        <w:t>7</w:t>
      </w:r>
      <w:r w:rsidR="0081033A">
        <w:t xml:space="preserve"> a </w:t>
      </w:r>
      <w:r w:rsidR="00DE0083" w:rsidRPr="00552C0E">
        <w:t>2018 (k 31.</w:t>
      </w:r>
      <w:r w:rsidR="0081033A">
        <w:t xml:space="preserve"> </w:t>
      </w:r>
      <w:r w:rsidR="00DE0083" w:rsidRPr="00552C0E">
        <w:t>12.)</w:t>
      </w:r>
      <w:r w:rsidR="00DE0083">
        <w:t xml:space="preserve"> </w:t>
      </w:r>
    </w:p>
    <w:tbl>
      <w:tblPr>
        <w:tblW w:w="9072" w:type="dxa"/>
        <w:tblInd w:w="70" w:type="dxa"/>
        <w:tblLayout w:type="fixed"/>
        <w:tblCellMar>
          <w:left w:w="70" w:type="dxa"/>
          <w:right w:w="70" w:type="dxa"/>
        </w:tblCellMar>
        <w:tblLook w:val="04A0" w:firstRow="1" w:lastRow="0" w:firstColumn="1" w:lastColumn="0" w:noHBand="0" w:noVBand="1"/>
      </w:tblPr>
      <w:tblGrid>
        <w:gridCol w:w="4105"/>
        <w:gridCol w:w="1275"/>
        <w:gridCol w:w="1277"/>
        <w:gridCol w:w="1276"/>
        <w:gridCol w:w="1139"/>
      </w:tblGrid>
      <w:tr w:rsidR="00DE0083" w:rsidRPr="00DE0083" w14:paraId="174A49B8" w14:textId="77777777" w:rsidTr="003334D3">
        <w:trPr>
          <w:trHeight w:val="300"/>
        </w:trPr>
        <w:tc>
          <w:tcPr>
            <w:tcW w:w="4105" w:type="dxa"/>
            <w:vMerge w:val="restart"/>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3C1FD685" w14:textId="77777777" w:rsidR="00DE0083" w:rsidRPr="00DE0083" w:rsidRDefault="00DE0083" w:rsidP="00DE0083">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Základní fond zdravotního pojištění</w:t>
            </w:r>
          </w:p>
        </w:tc>
        <w:tc>
          <w:tcPr>
            <w:tcW w:w="2552" w:type="dxa"/>
            <w:gridSpan w:val="2"/>
            <w:tcBorders>
              <w:top w:val="single" w:sz="4" w:space="0" w:color="auto"/>
              <w:left w:val="nil"/>
              <w:bottom w:val="single" w:sz="4" w:space="0" w:color="auto"/>
              <w:right w:val="single" w:sz="4" w:space="0" w:color="000000"/>
            </w:tcBorders>
            <w:shd w:val="clear" w:color="auto" w:fill="E5F1FF"/>
            <w:vAlign w:val="center"/>
            <w:hideMark/>
          </w:tcPr>
          <w:p w14:paraId="2C758110" w14:textId="54458656" w:rsidR="00DE0083" w:rsidRPr="00DE0083" w:rsidRDefault="00DE0083" w:rsidP="0081033A">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 xml:space="preserve">Konečný zůstatek na </w:t>
            </w:r>
            <w:r w:rsidR="003C0C85">
              <w:rPr>
                <w:rFonts w:asciiTheme="minorHAnsi" w:eastAsia="Times New Roman" w:hAnsiTheme="minorHAnsi" w:cstheme="minorHAnsi"/>
                <w:b/>
                <w:bCs/>
                <w:sz w:val="20"/>
                <w:szCs w:val="20"/>
                <w:lang w:eastAsia="cs-CZ"/>
              </w:rPr>
              <w:t>bankovní</w:t>
            </w:r>
            <w:r w:rsidR="0081033A">
              <w:rPr>
                <w:rFonts w:asciiTheme="minorHAnsi" w:eastAsia="Times New Roman" w:hAnsiTheme="minorHAnsi" w:cstheme="minorHAnsi"/>
                <w:b/>
                <w:bCs/>
                <w:sz w:val="20"/>
                <w:szCs w:val="20"/>
                <w:lang w:eastAsia="cs-CZ"/>
              </w:rPr>
              <w:t>m</w:t>
            </w:r>
            <w:r w:rsidR="003C0C85">
              <w:rPr>
                <w:rFonts w:asciiTheme="minorHAnsi" w:eastAsia="Times New Roman" w:hAnsiTheme="minorHAnsi" w:cstheme="minorHAnsi"/>
                <w:b/>
                <w:bCs/>
                <w:sz w:val="20"/>
                <w:szCs w:val="20"/>
                <w:lang w:eastAsia="cs-CZ"/>
              </w:rPr>
              <w:t xml:space="preserve"> účt</w:t>
            </w:r>
            <w:r w:rsidR="0081033A">
              <w:rPr>
                <w:rFonts w:asciiTheme="minorHAnsi" w:eastAsia="Times New Roman" w:hAnsiTheme="minorHAnsi" w:cstheme="minorHAnsi"/>
                <w:b/>
                <w:bCs/>
                <w:sz w:val="20"/>
                <w:szCs w:val="20"/>
                <w:lang w:eastAsia="cs-CZ"/>
              </w:rPr>
              <w:t>u</w:t>
            </w:r>
            <w:r w:rsidR="003C0C85">
              <w:rPr>
                <w:rFonts w:asciiTheme="minorHAnsi" w:eastAsia="Times New Roman" w:hAnsiTheme="minorHAnsi" w:cstheme="minorHAnsi"/>
                <w:b/>
                <w:bCs/>
                <w:sz w:val="20"/>
                <w:szCs w:val="20"/>
                <w:lang w:eastAsia="cs-CZ"/>
              </w:rPr>
              <w:t xml:space="preserve"> </w:t>
            </w:r>
            <w:r w:rsidRPr="00DE0083">
              <w:rPr>
                <w:rFonts w:asciiTheme="minorHAnsi" w:eastAsia="Times New Roman" w:hAnsiTheme="minorHAnsi" w:cstheme="minorHAnsi"/>
                <w:b/>
                <w:bCs/>
                <w:sz w:val="20"/>
                <w:szCs w:val="20"/>
                <w:lang w:eastAsia="cs-CZ"/>
              </w:rPr>
              <w:t>k poslednímu dni daného roku (v mld. Kč)</w:t>
            </w:r>
          </w:p>
        </w:tc>
        <w:tc>
          <w:tcPr>
            <w:tcW w:w="2415" w:type="dxa"/>
            <w:gridSpan w:val="2"/>
            <w:tcBorders>
              <w:top w:val="single" w:sz="4" w:space="0" w:color="auto"/>
              <w:left w:val="nil"/>
              <w:bottom w:val="single" w:sz="4" w:space="0" w:color="auto"/>
              <w:right w:val="single" w:sz="4" w:space="0" w:color="000000"/>
            </w:tcBorders>
            <w:shd w:val="clear" w:color="auto" w:fill="E5F1FF"/>
            <w:vAlign w:val="center"/>
            <w:hideMark/>
          </w:tcPr>
          <w:p w14:paraId="32E50700" w14:textId="77777777" w:rsidR="00DE0083" w:rsidRPr="00DE0083" w:rsidRDefault="00DE0083" w:rsidP="00DE0083">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Finanční zásoba (ve dnech)</w:t>
            </w:r>
          </w:p>
        </w:tc>
      </w:tr>
      <w:tr w:rsidR="00DE0083" w:rsidRPr="00DE0083" w14:paraId="1063B934" w14:textId="77777777" w:rsidTr="003334D3">
        <w:trPr>
          <w:trHeight w:val="300"/>
        </w:trPr>
        <w:tc>
          <w:tcPr>
            <w:tcW w:w="4105" w:type="dxa"/>
            <w:vMerge/>
            <w:tcBorders>
              <w:top w:val="single" w:sz="4" w:space="0" w:color="auto"/>
              <w:left w:val="single" w:sz="4" w:space="0" w:color="auto"/>
              <w:bottom w:val="single" w:sz="4" w:space="0" w:color="auto"/>
              <w:right w:val="single" w:sz="4" w:space="0" w:color="auto"/>
            </w:tcBorders>
            <w:shd w:val="clear" w:color="auto" w:fill="E5F1FF"/>
            <w:vAlign w:val="center"/>
            <w:hideMark/>
          </w:tcPr>
          <w:p w14:paraId="17FACC99" w14:textId="77777777" w:rsidR="00DE0083" w:rsidRPr="00DE0083" w:rsidRDefault="00DE0083" w:rsidP="00DE0083">
            <w:pPr>
              <w:keepNext/>
              <w:spacing w:before="0" w:after="0" w:line="240" w:lineRule="auto"/>
              <w:rPr>
                <w:rFonts w:asciiTheme="minorHAnsi" w:eastAsia="Times New Roman" w:hAnsiTheme="minorHAnsi" w:cstheme="minorHAnsi"/>
                <w:b/>
                <w:bCs/>
                <w:sz w:val="20"/>
                <w:szCs w:val="20"/>
                <w:lang w:eastAsia="cs-CZ"/>
              </w:rPr>
            </w:pPr>
          </w:p>
        </w:tc>
        <w:tc>
          <w:tcPr>
            <w:tcW w:w="1275" w:type="dxa"/>
            <w:tcBorders>
              <w:top w:val="nil"/>
              <w:left w:val="nil"/>
              <w:bottom w:val="single" w:sz="4" w:space="0" w:color="auto"/>
              <w:right w:val="single" w:sz="4" w:space="0" w:color="auto"/>
            </w:tcBorders>
            <w:shd w:val="clear" w:color="auto" w:fill="E5F1FF"/>
            <w:noWrap/>
            <w:vAlign w:val="center"/>
            <w:hideMark/>
          </w:tcPr>
          <w:p w14:paraId="0B87B844" w14:textId="77777777" w:rsidR="00DE0083" w:rsidRPr="00DE0083" w:rsidRDefault="00DE0083" w:rsidP="00DE0083">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2017</w:t>
            </w:r>
          </w:p>
        </w:tc>
        <w:tc>
          <w:tcPr>
            <w:tcW w:w="1277" w:type="dxa"/>
            <w:tcBorders>
              <w:top w:val="nil"/>
              <w:left w:val="nil"/>
              <w:bottom w:val="single" w:sz="4" w:space="0" w:color="auto"/>
              <w:right w:val="single" w:sz="4" w:space="0" w:color="auto"/>
            </w:tcBorders>
            <w:shd w:val="clear" w:color="auto" w:fill="E5F1FF"/>
            <w:noWrap/>
            <w:vAlign w:val="center"/>
            <w:hideMark/>
          </w:tcPr>
          <w:p w14:paraId="70B4C265" w14:textId="77777777" w:rsidR="00DE0083" w:rsidRPr="00DE0083" w:rsidRDefault="00DE0083" w:rsidP="00DE0083">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2018</w:t>
            </w:r>
          </w:p>
        </w:tc>
        <w:tc>
          <w:tcPr>
            <w:tcW w:w="1276" w:type="dxa"/>
            <w:tcBorders>
              <w:top w:val="nil"/>
              <w:left w:val="nil"/>
              <w:bottom w:val="single" w:sz="4" w:space="0" w:color="auto"/>
              <w:right w:val="single" w:sz="4" w:space="0" w:color="auto"/>
            </w:tcBorders>
            <w:shd w:val="clear" w:color="auto" w:fill="E5F1FF"/>
            <w:noWrap/>
            <w:vAlign w:val="center"/>
            <w:hideMark/>
          </w:tcPr>
          <w:p w14:paraId="619297A6" w14:textId="77777777" w:rsidR="00DE0083" w:rsidRPr="00DE0083" w:rsidRDefault="00DE0083" w:rsidP="00DE0083">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2017</w:t>
            </w:r>
          </w:p>
        </w:tc>
        <w:tc>
          <w:tcPr>
            <w:tcW w:w="1139" w:type="dxa"/>
            <w:tcBorders>
              <w:top w:val="nil"/>
              <w:left w:val="nil"/>
              <w:bottom w:val="single" w:sz="4" w:space="0" w:color="auto"/>
              <w:right w:val="single" w:sz="4" w:space="0" w:color="auto"/>
            </w:tcBorders>
            <w:shd w:val="clear" w:color="auto" w:fill="E5F1FF"/>
            <w:noWrap/>
            <w:vAlign w:val="center"/>
            <w:hideMark/>
          </w:tcPr>
          <w:p w14:paraId="4FD097FE" w14:textId="77777777" w:rsidR="00DE0083" w:rsidRPr="00DE0083" w:rsidRDefault="00DE0083" w:rsidP="00DE0083">
            <w:pPr>
              <w:keepNext/>
              <w:spacing w:before="0" w:after="0" w:line="240" w:lineRule="auto"/>
              <w:jc w:val="center"/>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2018</w:t>
            </w:r>
          </w:p>
        </w:tc>
      </w:tr>
      <w:tr w:rsidR="00DE0083" w:rsidRPr="00DE0083" w14:paraId="699E4BBB"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5CC4AFC5" w14:textId="77777777" w:rsidR="00DE0083" w:rsidRPr="00DE0083" w:rsidRDefault="00DE0083" w:rsidP="00F25388">
            <w:pPr>
              <w:keepNext/>
              <w:spacing w:before="0" w:after="0" w:line="240" w:lineRule="auto"/>
              <w:jc w:val="lef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Všeobecná zdravotní pojišťovna ČR</w:t>
            </w:r>
          </w:p>
        </w:tc>
        <w:tc>
          <w:tcPr>
            <w:tcW w:w="1275" w:type="dxa"/>
            <w:tcBorders>
              <w:top w:val="nil"/>
              <w:left w:val="nil"/>
              <w:bottom w:val="single" w:sz="4" w:space="0" w:color="auto"/>
              <w:right w:val="single" w:sz="4" w:space="0" w:color="auto"/>
            </w:tcBorders>
            <w:shd w:val="clear" w:color="auto" w:fill="auto"/>
            <w:noWrap/>
            <w:vAlign w:val="center"/>
            <w:hideMark/>
          </w:tcPr>
          <w:p w14:paraId="0097F508"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5,12 </w:t>
            </w:r>
          </w:p>
        </w:tc>
        <w:tc>
          <w:tcPr>
            <w:tcW w:w="1277" w:type="dxa"/>
            <w:tcBorders>
              <w:top w:val="nil"/>
              <w:left w:val="nil"/>
              <w:bottom w:val="single" w:sz="4" w:space="0" w:color="auto"/>
              <w:right w:val="single" w:sz="4" w:space="0" w:color="auto"/>
            </w:tcBorders>
            <w:shd w:val="clear" w:color="auto" w:fill="auto"/>
            <w:noWrap/>
            <w:vAlign w:val="center"/>
            <w:hideMark/>
          </w:tcPr>
          <w:p w14:paraId="609FECED"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12,78 </w:t>
            </w:r>
          </w:p>
        </w:tc>
        <w:tc>
          <w:tcPr>
            <w:tcW w:w="1276" w:type="dxa"/>
            <w:tcBorders>
              <w:top w:val="nil"/>
              <w:left w:val="nil"/>
              <w:bottom w:val="single" w:sz="4" w:space="0" w:color="auto"/>
              <w:right w:val="single" w:sz="4" w:space="0" w:color="auto"/>
            </w:tcBorders>
            <w:shd w:val="clear" w:color="auto" w:fill="auto"/>
            <w:noWrap/>
            <w:vAlign w:val="center"/>
            <w:hideMark/>
          </w:tcPr>
          <w:p w14:paraId="725122B4"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12</w:t>
            </w:r>
          </w:p>
        </w:tc>
        <w:tc>
          <w:tcPr>
            <w:tcW w:w="1139" w:type="dxa"/>
            <w:tcBorders>
              <w:top w:val="nil"/>
              <w:left w:val="nil"/>
              <w:bottom w:val="single" w:sz="4" w:space="0" w:color="auto"/>
              <w:right w:val="single" w:sz="4" w:space="0" w:color="auto"/>
            </w:tcBorders>
            <w:shd w:val="clear" w:color="auto" w:fill="auto"/>
            <w:noWrap/>
            <w:vAlign w:val="center"/>
            <w:hideMark/>
          </w:tcPr>
          <w:p w14:paraId="2DAD3A32"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27</w:t>
            </w:r>
          </w:p>
        </w:tc>
      </w:tr>
      <w:tr w:rsidR="00DE0083" w:rsidRPr="00DE0083" w14:paraId="577E4438"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78CC2E48" w14:textId="77777777" w:rsidR="00DE0083" w:rsidRPr="00DE0083" w:rsidRDefault="00DE0083" w:rsidP="00F25388">
            <w:pPr>
              <w:keepNext/>
              <w:spacing w:before="0" w:after="0" w:line="240" w:lineRule="auto"/>
              <w:jc w:val="lef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Vojenská zdravotní pojišťovna ČR</w:t>
            </w:r>
          </w:p>
        </w:tc>
        <w:tc>
          <w:tcPr>
            <w:tcW w:w="1275" w:type="dxa"/>
            <w:tcBorders>
              <w:top w:val="nil"/>
              <w:left w:val="nil"/>
              <w:bottom w:val="single" w:sz="4" w:space="0" w:color="auto"/>
              <w:right w:val="single" w:sz="4" w:space="0" w:color="auto"/>
            </w:tcBorders>
            <w:shd w:val="clear" w:color="auto" w:fill="auto"/>
            <w:noWrap/>
            <w:vAlign w:val="center"/>
            <w:hideMark/>
          </w:tcPr>
          <w:p w14:paraId="4C1868D5"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0,91 </w:t>
            </w:r>
          </w:p>
        </w:tc>
        <w:tc>
          <w:tcPr>
            <w:tcW w:w="1277" w:type="dxa"/>
            <w:tcBorders>
              <w:top w:val="nil"/>
              <w:left w:val="nil"/>
              <w:bottom w:val="single" w:sz="4" w:space="0" w:color="auto"/>
              <w:right w:val="single" w:sz="4" w:space="0" w:color="auto"/>
            </w:tcBorders>
            <w:shd w:val="clear" w:color="auto" w:fill="auto"/>
            <w:noWrap/>
            <w:vAlign w:val="center"/>
            <w:hideMark/>
          </w:tcPr>
          <w:p w14:paraId="5F7A83C6"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1,02 </w:t>
            </w:r>
          </w:p>
        </w:tc>
        <w:tc>
          <w:tcPr>
            <w:tcW w:w="1276" w:type="dxa"/>
            <w:tcBorders>
              <w:top w:val="nil"/>
              <w:left w:val="nil"/>
              <w:bottom w:val="single" w:sz="4" w:space="0" w:color="auto"/>
              <w:right w:val="single" w:sz="4" w:space="0" w:color="auto"/>
            </w:tcBorders>
            <w:shd w:val="clear" w:color="auto" w:fill="auto"/>
            <w:noWrap/>
            <w:vAlign w:val="center"/>
            <w:hideMark/>
          </w:tcPr>
          <w:p w14:paraId="7A1E3F4F"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19</w:t>
            </w:r>
          </w:p>
        </w:tc>
        <w:tc>
          <w:tcPr>
            <w:tcW w:w="1139" w:type="dxa"/>
            <w:tcBorders>
              <w:top w:val="nil"/>
              <w:left w:val="nil"/>
              <w:bottom w:val="single" w:sz="4" w:space="0" w:color="auto"/>
              <w:right w:val="single" w:sz="4" w:space="0" w:color="auto"/>
            </w:tcBorders>
            <w:shd w:val="clear" w:color="auto" w:fill="auto"/>
            <w:noWrap/>
            <w:vAlign w:val="center"/>
            <w:hideMark/>
          </w:tcPr>
          <w:p w14:paraId="756FA79E"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20</w:t>
            </w:r>
          </w:p>
        </w:tc>
      </w:tr>
      <w:tr w:rsidR="00DE0083" w:rsidRPr="00DE0083" w14:paraId="2182E82E"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220C00DF" w14:textId="77777777" w:rsidR="00DE0083" w:rsidRPr="00DE0083" w:rsidRDefault="00DE0083" w:rsidP="00F25388">
            <w:pPr>
              <w:keepNext/>
              <w:spacing w:before="0" w:after="0" w:line="240" w:lineRule="auto"/>
              <w:jc w:val="lef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Česká průmyslová zdravotní pojišťovna</w:t>
            </w:r>
          </w:p>
        </w:tc>
        <w:tc>
          <w:tcPr>
            <w:tcW w:w="1275" w:type="dxa"/>
            <w:tcBorders>
              <w:top w:val="nil"/>
              <w:left w:val="nil"/>
              <w:bottom w:val="single" w:sz="4" w:space="0" w:color="auto"/>
              <w:right w:val="single" w:sz="4" w:space="0" w:color="auto"/>
            </w:tcBorders>
            <w:shd w:val="clear" w:color="auto" w:fill="auto"/>
            <w:noWrap/>
            <w:vAlign w:val="center"/>
            <w:hideMark/>
          </w:tcPr>
          <w:p w14:paraId="418A2D66"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2,15 </w:t>
            </w:r>
          </w:p>
        </w:tc>
        <w:tc>
          <w:tcPr>
            <w:tcW w:w="1277" w:type="dxa"/>
            <w:tcBorders>
              <w:top w:val="nil"/>
              <w:left w:val="nil"/>
              <w:bottom w:val="single" w:sz="4" w:space="0" w:color="auto"/>
              <w:right w:val="single" w:sz="4" w:space="0" w:color="auto"/>
            </w:tcBorders>
            <w:shd w:val="clear" w:color="auto" w:fill="auto"/>
            <w:noWrap/>
            <w:vAlign w:val="center"/>
            <w:hideMark/>
          </w:tcPr>
          <w:p w14:paraId="6CFC7958"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3,18 </w:t>
            </w:r>
          </w:p>
        </w:tc>
        <w:tc>
          <w:tcPr>
            <w:tcW w:w="1276" w:type="dxa"/>
            <w:tcBorders>
              <w:top w:val="nil"/>
              <w:left w:val="nil"/>
              <w:bottom w:val="single" w:sz="4" w:space="0" w:color="auto"/>
              <w:right w:val="single" w:sz="4" w:space="0" w:color="auto"/>
            </w:tcBorders>
            <w:shd w:val="clear" w:color="auto" w:fill="auto"/>
            <w:noWrap/>
            <w:vAlign w:val="center"/>
            <w:hideMark/>
          </w:tcPr>
          <w:p w14:paraId="2CC81643"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28</w:t>
            </w:r>
          </w:p>
        </w:tc>
        <w:tc>
          <w:tcPr>
            <w:tcW w:w="1139" w:type="dxa"/>
            <w:tcBorders>
              <w:top w:val="nil"/>
              <w:left w:val="nil"/>
              <w:bottom w:val="single" w:sz="4" w:space="0" w:color="auto"/>
              <w:right w:val="single" w:sz="4" w:space="0" w:color="auto"/>
            </w:tcBorders>
            <w:shd w:val="clear" w:color="auto" w:fill="auto"/>
            <w:noWrap/>
            <w:vAlign w:val="center"/>
            <w:hideMark/>
          </w:tcPr>
          <w:p w14:paraId="130AD465"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38</w:t>
            </w:r>
          </w:p>
        </w:tc>
      </w:tr>
      <w:tr w:rsidR="00DE0083" w:rsidRPr="00DE0083" w14:paraId="35A5ED17"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3611FD1C" w14:textId="74EE1D19" w:rsidR="00DE0083" w:rsidRPr="00DE0083" w:rsidRDefault="00AA58D9" w:rsidP="00F25388">
            <w:pPr>
              <w:keepNext/>
              <w:spacing w:before="0" w:after="0" w:line="240" w:lineRule="auto"/>
              <w:jc w:val="left"/>
              <w:rPr>
                <w:rFonts w:asciiTheme="minorHAnsi" w:eastAsia="Times New Roman" w:hAnsiTheme="minorHAnsi" w:cstheme="minorHAnsi"/>
                <w:sz w:val="20"/>
                <w:szCs w:val="20"/>
                <w:lang w:eastAsia="cs-CZ"/>
              </w:rPr>
            </w:pPr>
            <w:r w:rsidRPr="00AA58D9">
              <w:rPr>
                <w:rFonts w:asciiTheme="minorHAnsi" w:eastAsia="Times New Roman" w:hAnsiTheme="minorHAnsi" w:cstheme="minorHAnsi"/>
                <w:sz w:val="20"/>
                <w:szCs w:val="20"/>
                <w:lang w:eastAsia="cs-CZ"/>
              </w:rPr>
              <w:t>Oborová zdravotní pojišťovna zaměstnanců bank, pojišťoven a stavebnictví</w:t>
            </w:r>
          </w:p>
        </w:tc>
        <w:tc>
          <w:tcPr>
            <w:tcW w:w="1275" w:type="dxa"/>
            <w:tcBorders>
              <w:top w:val="nil"/>
              <w:left w:val="nil"/>
              <w:bottom w:val="single" w:sz="4" w:space="0" w:color="auto"/>
              <w:right w:val="single" w:sz="4" w:space="0" w:color="auto"/>
            </w:tcBorders>
            <w:shd w:val="clear" w:color="auto" w:fill="auto"/>
            <w:noWrap/>
            <w:vAlign w:val="center"/>
            <w:hideMark/>
          </w:tcPr>
          <w:p w14:paraId="6B27F130"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1,89 </w:t>
            </w:r>
          </w:p>
        </w:tc>
        <w:tc>
          <w:tcPr>
            <w:tcW w:w="1277" w:type="dxa"/>
            <w:tcBorders>
              <w:top w:val="nil"/>
              <w:left w:val="nil"/>
              <w:bottom w:val="single" w:sz="4" w:space="0" w:color="auto"/>
              <w:right w:val="single" w:sz="4" w:space="0" w:color="auto"/>
            </w:tcBorders>
            <w:shd w:val="clear" w:color="auto" w:fill="auto"/>
            <w:noWrap/>
            <w:vAlign w:val="center"/>
            <w:hideMark/>
          </w:tcPr>
          <w:p w14:paraId="765CAC5B"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2,88 </w:t>
            </w:r>
          </w:p>
        </w:tc>
        <w:tc>
          <w:tcPr>
            <w:tcW w:w="1276" w:type="dxa"/>
            <w:tcBorders>
              <w:top w:val="nil"/>
              <w:left w:val="nil"/>
              <w:bottom w:val="single" w:sz="4" w:space="0" w:color="auto"/>
              <w:right w:val="single" w:sz="4" w:space="0" w:color="auto"/>
            </w:tcBorders>
            <w:shd w:val="clear" w:color="auto" w:fill="auto"/>
            <w:noWrap/>
            <w:vAlign w:val="center"/>
            <w:hideMark/>
          </w:tcPr>
          <w:p w14:paraId="5C4D0AE1"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42</w:t>
            </w:r>
          </w:p>
        </w:tc>
        <w:tc>
          <w:tcPr>
            <w:tcW w:w="1139" w:type="dxa"/>
            <w:tcBorders>
              <w:top w:val="nil"/>
              <w:left w:val="nil"/>
              <w:bottom w:val="single" w:sz="4" w:space="0" w:color="auto"/>
              <w:right w:val="single" w:sz="4" w:space="0" w:color="auto"/>
            </w:tcBorders>
            <w:shd w:val="clear" w:color="auto" w:fill="auto"/>
            <w:noWrap/>
            <w:vAlign w:val="center"/>
            <w:hideMark/>
          </w:tcPr>
          <w:p w14:paraId="12A74244"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60</w:t>
            </w:r>
          </w:p>
        </w:tc>
      </w:tr>
      <w:tr w:rsidR="00DE0083" w:rsidRPr="00DE0083" w14:paraId="7092798C"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398562A6" w14:textId="77777777" w:rsidR="00DE0083" w:rsidRPr="00DE0083" w:rsidRDefault="00DE0083" w:rsidP="00F25388">
            <w:pPr>
              <w:keepNext/>
              <w:spacing w:before="0" w:after="0" w:line="240" w:lineRule="auto"/>
              <w:jc w:val="lef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Zaměstnanecká pojišťovna Škoda</w:t>
            </w:r>
          </w:p>
        </w:tc>
        <w:tc>
          <w:tcPr>
            <w:tcW w:w="1275" w:type="dxa"/>
            <w:tcBorders>
              <w:top w:val="nil"/>
              <w:left w:val="nil"/>
              <w:bottom w:val="single" w:sz="4" w:space="0" w:color="auto"/>
              <w:right w:val="single" w:sz="4" w:space="0" w:color="auto"/>
            </w:tcBorders>
            <w:shd w:val="clear" w:color="auto" w:fill="auto"/>
            <w:noWrap/>
            <w:vAlign w:val="center"/>
            <w:hideMark/>
          </w:tcPr>
          <w:p w14:paraId="4D26453C"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0,42 </w:t>
            </w:r>
          </w:p>
        </w:tc>
        <w:tc>
          <w:tcPr>
            <w:tcW w:w="1277" w:type="dxa"/>
            <w:tcBorders>
              <w:top w:val="nil"/>
              <w:left w:val="nil"/>
              <w:bottom w:val="single" w:sz="4" w:space="0" w:color="auto"/>
              <w:right w:val="single" w:sz="4" w:space="0" w:color="auto"/>
            </w:tcBorders>
            <w:shd w:val="clear" w:color="auto" w:fill="auto"/>
            <w:noWrap/>
            <w:vAlign w:val="center"/>
            <w:hideMark/>
          </w:tcPr>
          <w:p w14:paraId="503ADAD9"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0,62 </w:t>
            </w:r>
          </w:p>
        </w:tc>
        <w:tc>
          <w:tcPr>
            <w:tcW w:w="1276" w:type="dxa"/>
            <w:tcBorders>
              <w:top w:val="nil"/>
              <w:left w:val="nil"/>
              <w:bottom w:val="single" w:sz="4" w:space="0" w:color="auto"/>
              <w:right w:val="single" w:sz="4" w:space="0" w:color="auto"/>
            </w:tcBorders>
            <w:shd w:val="clear" w:color="auto" w:fill="auto"/>
            <w:noWrap/>
            <w:vAlign w:val="center"/>
            <w:hideMark/>
          </w:tcPr>
          <w:p w14:paraId="7CEA9EAE"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43</w:t>
            </w:r>
          </w:p>
        </w:tc>
        <w:tc>
          <w:tcPr>
            <w:tcW w:w="1139" w:type="dxa"/>
            <w:tcBorders>
              <w:top w:val="nil"/>
              <w:left w:val="nil"/>
              <w:bottom w:val="single" w:sz="4" w:space="0" w:color="auto"/>
              <w:right w:val="single" w:sz="4" w:space="0" w:color="auto"/>
            </w:tcBorders>
            <w:shd w:val="clear" w:color="auto" w:fill="auto"/>
            <w:noWrap/>
            <w:vAlign w:val="center"/>
            <w:hideMark/>
          </w:tcPr>
          <w:p w14:paraId="4FD66FF9"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60</w:t>
            </w:r>
          </w:p>
        </w:tc>
      </w:tr>
      <w:tr w:rsidR="00DE0083" w:rsidRPr="00DE0083" w14:paraId="4E5D7CF2"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3E4DE4BF" w14:textId="32832558" w:rsidR="00DE0083" w:rsidRPr="00DE0083" w:rsidRDefault="00DE0083" w:rsidP="00F25388">
            <w:pPr>
              <w:keepNext/>
              <w:spacing w:before="0" w:after="0" w:line="240" w:lineRule="auto"/>
              <w:jc w:val="lef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Zdravotní pojišťovna </w:t>
            </w:r>
            <w:r w:rsidR="00E675CA">
              <w:rPr>
                <w:rFonts w:asciiTheme="minorHAnsi" w:eastAsia="Times New Roman" w:hAnsiTheme="minorHAnsi" w:cstheme="minorHAnsi"/>
                <w:sz w:val="20"/>
                <w:szCs w:val="20"/>
                <w:lang w:eastAsia="cs-CZ"/>
              </w:rPr>
              <w:t>Ministerstva vnitra</w:t>
            </w:r>
            <w:r w:rsidRPr="00DE0083">
              <w:rPr>
                <w:rFonts w:asciiTheme="minorHAnsi" w:eastAsia="Times New Roman" w:hAnsiTheme="minorHAnsi" w:cstheme="minorHAnsi"/>
                <w:sz w:val="20"/>
                <w:szCs w:val="20"/>
                <w:lang w:eastAsia="cs-CZ"/>
              </w:rPr>
              <w:t xml:space="preserve"> ČR</w:t>
            </w:r>
          </w:p>
        </w:tc>
        <w:tc>
          <w:tcPr>
            <w:tcW w:w="1275" w:type="dxa"/>
            <w:tcBorders>
              <w:top w:val="nil"/>
              <w:left w:val="nil"/>
              <w:bottom w:val="single" w:sz="4" w:space="0" w:color="auto"/>
              <w:right w:val="single" w:sz="4" w:space="0" w:color="auto"/>
            </w:tcBorders>
            <w:shd w:val="clear" w:color="auto" w:fill="auto"/>
            <w:noWrap/>
            <w:vAlign w:val="center"/>
            <w:hideMark/>
          </w:tcPr>
          <w:p w14:paraId="4D4D5B03"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2,26 </w:t>
            </w:r>
          </w:p>
        </w:tc>
        <w:tc>
          <w:tcPr>
            <w:tcW w:w="1277" w:type="dxa"/>
            <w:tcBorders>
              <w:top w:val="nil"/>
              <w:left w:val="nil"/>
              <w:bottom w:val="single" w:sz="4" w:space="0" w:color="auto"/>
              <w:right w:val="single" w:sz="4" w:space="0" w:color="auto"/>
            </w:tcBorders>
            <w:shd w:val="clear" w:color="auto" w:fill="auto"/>
            <w:noWrap/>
            <w:vAlign w:val="center"/>
            <w:hideMark/>
          </w:tcPr>
          <w:p w14:paraId="2BA963F3"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3,70 </w:t>
            </w:r>
          </w:p>
        </w:tc>
        <w:tc>
          <w:tcPr>
            <w:tcW w:w="1276" w:type="dxa"/>
            <w:tcBorders>
              <w:top w:val="nil"/>
              <w:left w:val="nil"/>
              <w:bottom w:val="single" w:sz="4" w:space="0" w:color="auto"/>
              <w:right w:val="single" w:sz="4" w:space="0" w:color="auto"/>
            </w:tcBorders>
            <w:shd w:val="clear" w:color="auto" w:fill="auto"/>
            <w:noWrap/>
            <w:vAlign w:val="center"/>
            <w:hideMark/>
          </w:tcPr>
          <w:p w14:paraId="1C6C1D4C"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27</w:t>
            </w:r>
          </w:p>
        </w:tc>
        <w:tc>
          <w:tcPr>
            <w:tcW w:w="1139" w:type="dxa"/>
            <w:tcBorders>
              <w:top w:val="nil"/>
              <w:left w:val="nil"/>
              <w:bottom w:val="single" w:sz="4" w:space="0" w:color="auto"/>
              <w:right w:val="single" w:sz="4" w:space="0" w:color="auto"/>
            </w:tcBorders>
            <w:shd w:val="clear" w:color="auto" w:fill="auto"/>
            <w:noWrap/>
            <w:vAlign w:val="center"/>
            <w:hideMark/>
          </w:tcPr>
          <w:p w14:paraId="7AACB30A"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40</w:t>
            </w:r>
          </w:p>
        </w:tc>
      </w:tr>
      <w:tr w:rsidR="00DE0083" w:rsidRPr="00DE0083" w14:paraId="3DFCE211" w14:textId="77777777" w:rsidTr="00DE0083">
        <w:trPr>
          <w:trHeight w:val="300"/>
        </w:trPr>
        <w:tc>
          <w:tcPr>
            <w:tcW w:w="4105" w:type="dxa"/>
            <w:tcBorders>
              <w:top w:val="nil"/>
              <w:left w:val="single" w:sz="4" w:space="0" w:color="auto"/>
              <w:bottom w:val="single" w:sz="4" w:space="0" w:color="auto"/>
              <w:right w:val="single" w:sz="4" w:space="0" w:color="auto"/>
            </w:tcBorders>
            <w:shd w:val="clear" w:color="auto" w:fill="auto"/>
            <w:vAlign w:val="center"/>
            <w:hideMark/>
          </w:tcPr>
          <w:p w14:paraId="738F228F" w14:textId="3B3E40BC" w:rsidR="00DE0083" w:rsidRPr="00DE0083" w:rsidRDefault="00DE0083" w:rsidP="00F25388">
            <w:pPr>
              <w:keepNext/>
              <w:spacing w:before="0" w:after="0" w:line="240" w:lineRule="auto"/>
              <w:jc w:val="lef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Revírní brat</w:t>
            </w:r>
            <w:r w:rsidR="00264CB5">
              <w:rPr>
                <w:rFonts w:asciiTheme="minorHAnsi" w:eastAsia="Times New Roman" w:hAnsiTheme="minorHAnsi" w:cstheme="minorHAnsi"/>
                <w:sz w:val="20"/>
                <w:szCs w:val="20"/>
                <w:lang w:eastAsia="cs-CZ"/>
              </w:rPr>
              <w:t>r</w:t>
            </w:r>
            <w:r w:rsidRPr="00DE0083">
              <w:rPr>
                <w:rFonts w:asciiTheme="minorHAnsi" w:eastAsia="Times New Roman" w:hAnsiTheme="minorHAnsi" w:cstheme="minorHAnsi"/>
                <w:sz w:val="20"/>
                <w:szCs w:val="20"/>
                <w:lang w:eastAsia="cs-CZ"/>
              </w:rPr>
              <w:t>ská pokladna, zdravotní pojišťovna</w:t>
            </w:r>
          </w:p>
        </w:tc>
        <w:tc>
          <w:tcPr>
            <w:tcW w:w="1275" w:type="dxa"/>
            <w:tcBorders>
              <w:top w:val="nil"/>
              <w:left w:val="nil"/>
              <w:bottom w:val="single" w:sz="4" w:space="0" w:color="auto"/>
              <w:right w:val="single" w:sz="4" w:space="0" w:color="auto"/>
            </w:tcBorders>
            <w:shd w:val="clear" w:color="auto" w:fill="auto"/>
            <w:noWrap/>
            <w:vAlign w:val="center"/>
            <w:hideMark/>
          </w:tcPr>
          <w:p w14:paraId="552DAF33"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0,97 </w:t>
            </w:r>
          </w:p>
        </w:tc>
        <w:tc>
          <w:tcPr>
            <w:tcW w:w="1277" w:type="dxa"/>
            <w:tcBorders>
              <w:top w:val="nil"/>
              <w:left w:val="nil"/>
              <w:bottom w:val="single" w:sz="4" w:space="0" w:color="auto"/>
              <w:right w:val="single" w:sz="4" w:space="0" w:color="auto"/>
            </w:tcBorders>
            <w:shd w:val="clear" w:color="auto" w:fill="auto"/>
            <w:noWrap/>
            <w:vAlign w:val="center"/>
            <w:hideMark/>
          </w:tcPr>
          <w:p w14:paraId="54A71D0E"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 xml:space="preserve">1,28 </w:t>
            </w:r>
          </w:p>
        </w:tc>
        <w:tc>
          <w:tcPr>
            <w:tcW w:w="1276" w:type="dxa"/>
            <w:tcBorders>
              <w:top w:val="nil"/>
              <w:left w:val="nil"/>
              <w:bottom w:val="single" w:sz="4" w:space="0" w:color="auto"/>
              <w:right w:val="single" w:sz="4" w:space="0" w:color="auto"/>
            </w:tcBorders>
            <w:shd w:val="clear" w:color="auto" w:fill="auto"/>
            <w:noWrap/>
            <w:vAlign w:val="center"/>
            <w:hideMark/>
          </w:tcPr>
          <w:p w14:paraId="2A1280A6"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35</w:t>
            </w:r>
          </w:p>
        </w:tc>
        <w:tc>
          <w:tcPr>
            <w:tcW w:w="1139" w:type="dxa"/>
            <w:tcBorders>
              <w:top w:val="nil"/>
              <w:left w:val="nil"/>
              <w:bottom w:val="single" w:sz="4" w:space="0" w:color="auto"/>
              <w:right w:val="single" w:sz="4" w:space="0" w:color="auto"/>
            </w:tcBorders>
            <w:shd w:val="clear" w:color="auto" w:fill="auto"/>
            <w:noWrap/>
            <w:vAlign w:val="center"/>
            <w:hideMark/>
          </w:tcPr>
          <w:p w14:paraId="22DE1CA0" w14:textId="77777777" w:rsidR="00DE0083" w:rsidRPr="00DE0083" w:rsidRDefault="00DE0083" w:rsidP="00DE0083">
            <w:pPr>
              <w:keepNext/>
              <w:spacing w:before="0" w:after="0" w:line="240" w:lineRule="auto"/>
              <w:jc w:val="right"/>
              <w:rPr>
                <w:rFonts w:asciiTheme="minorHAnsi" w:eastAsia="Times New Roman" w:hAnsiTheme="minorHAnsi" w:cstheme="minorHAnsi"/>
                <w:sz w:val="20"/>
                <w:szCs w:val="20"/>
                <w:lang w:eastAsia="cs-CZ"/>
              </w:rPr>
            </w:pPr>
            <w:r w:rsidRPr="00DE0083">
              <w:rPr>
                <w:rFonts w:asciiTheme="minorHAnsi" w:eastAsia="Times New Roman" w:hAnsiTheme="minorHAnsi" w:cstheme="minorHAnsi"/>
                <w:sz w:val="20"/>
                <w:szCs w:val="20"/>
                <w:lang w:eastAsia="cs-CZ"/>
              </w:rPr>
              <w:t>45</w:t>
            </w:r>
          </w:p>
        </w:tc>
      </w:tr>
      <w:tr w:rsidR="00DE0083" w:rsidRPr="00DE0083" w14:paraId="437C39BD" w14:textId="77777777" w:rsidTr="003334D3">
        <w:trPr>
          <w:trHeight w:val="300"/>
        </w:trPr>
        <w:tc>
          <w:tcPr>
            <w:tcW w:w="4105" w:type="dxa"/>
            <w:tcBorders>
              <w:top w:val="nil"/>
              <w:left w:val="single" w:sz="4" w:space="0" w:color="auto"/>
              <w:bottom w:val="single" w:sz="4" w:space="0" w:color="auto"/>
              <w:right w:val="single" w:sz="4" w:space="0" w:color="auto"/>
            </w:tcBorders>
            <w:shd w:val="clear" w:color="auto" w:fill="F2C6C9"/>
            <w:vAlign w:val="center"/>
            <w:hideMark/>
          </w:tcPr>
          <w:p w14:paraId="29798C01" w14:textId="77777777" w:rsidR="00DE0083" w:rsidRPr="00DE0083" w:rsidRDefault="00DE0083" w:rsidP="00DE0083">
            <w:pPr>
              <w:keepNext/>
              <w:spacing w:before="0" w:after="0" w:line="240" w:lineRule="auto"/>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Celkem</w:t>
            </w:r>
          </w:p>
        </w:tc>
        <w:tc>
          <w:tcPr>
            <w:tcW w:w="1275" w:type="dxa"/>
            <w:tcBorders>
              <w:top w:val="nil"/>
              <w:left w:val="nil"/>
              <w:bottom w:val="single" w:sz="4" w:space="0" w:color="auto"/>
              <w:right w:val="single" w:sz="4" w:space="0" w:color="auto"/>
            </w:tcBorders>
            <w:shd w:val="clear" w:color="auto" w:fill="F2C6C9"/>
            <w:noWrap/>
            <w:vAlign w:val="center"/>
            <w:hideMark/>
          </w:tcPr>
          <w:p w14:paraId="36FCD66F" w14:textId="77777777" w:rsidR="00DE0083" w:rsidRPr="00DE0083" w:rsidRDefault="00DE0083" w:rsidP="00DE0083">
            <w:pPr>
              <w:keepNext/>
              <w:spacing w:before="0" w:after="0" w:line="240" w:lineRule="auto"/>
              <w:jc w:val="right"/>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 xml:space="preserve">13,71 </w:t>
            </w:r>
          </w:p>
        </w:tc>
        <w:tc>
          <w:tcPr>
            <w:tcW w:w="1277" w:type="dxa"/>
            <w:tcBorders>
              <w:top w:val="nil"/>
              <w:left w:val="nil"/>
              <w:bottom w:val="single" w:sz="4" w:space="0" w:color="auto"/>
              <w:right w:val="single" w:sz="4" w:space="0" w:color="auto"/>
            </w:tcBorders>
            <w:shd w:val="clear" w:color="auto" w:fill="F2C6C9"/>
            <w:noWrap/>
            <w:vAlign w:val="center"/>
            <w:hideMark/>
          </w:tcPr>
          <w:p w14:paraId="1CBB3286" w14:textId="77777777" w:rsidR="00DE0083" w:rsidRPr="00DE0083" w:rsidRDefault="00DE0083" w:rsidP="00DE0083">
            <w:pPr>
              <w:keepNext/>
              <w:spacing w:before="0" w:after="0" w:line="240" w:lineRule="auto"/>
              <w:jc w:val="right"/>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 xml:space="preserve">25,46 </w:t>
            </w:r>
          </w:p>
        </w:tc>
        <w:tc>
          <w:tcPr>
            <w:tcW w:w="1276" w:type="dxa"/>
            <w:tcBorders>
              <w:top w:val="nil"/>
              <w:left w:val="nil"/>
              <w:bottom w:val="single" w:sz="4" w:space="0" w:color="auto"/>
              <w:right w:val="single" w:sz="4" w:space="0" w:color="auto"/>
            </w:tcBorders>
            <w:shd w:val="clear" w:color="auto" w:fill="F2C6C9"/>
            <w:noWrap/>
            <w:vAlign w:val="center"/>
            <w:hideMark/>
          </w:tcPr>
          <w:p w14:paraId="548DFC1F" w14:textId="77777777" w:rsidR="00DE0083" w:rsidRPr="00DE0083" w:rsidRDefault="00DE0083" w:rsidP="00DE0083">
            <w:pPr>
              <w:keepNext/>
              <w:spacing w:before="0" w:after="0" w:line="240" w:lineRule="auto"/>
              <w:jc w:val="right"/>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19</w:t>
            </w:r>
          </w:p>
        </w:tc>
        <w:tc>
          <w:tcPr>
            <w:tcW w:w="1139" w:type="dxa"/>
            <w:tcBorders>
              <w:top w:val="nil"/>
              <w:left w:val="nil"/>
              <w:bottom w:val="single" w:sz="4" w:space="0" w:color="auto"/>
              <w:right w:val="single" w:sz="4" w:space="0" w:color="auto"/>
            </w:tcBorders>
            <w:shd w:val="clear" w:color="auto" w:fill="F2C6C9"/>
            <w:noWrap/>
            <w:vAlign w:val="center"/>
            <w:hideMark/>
          </w:tcPr>
          <w:p w14:paraId="660E0900" w14:textId="77777777" w:rsidR="00DE0083" w:rsidRPr="00DE0083" w:rsidRDefault="00DE0083" w:rsidP="00DE0083">
            <w:pPr>
              <w:keepNext/>
              <w:spacing w:before="0" w:after="0" w:line="240" w:lineRule="auto"/>
              <w:jc w:val="right"/>
              <w:rPr>
                <w:rFonts w:asciiTheme="minorHAnsi" w:eastAsia="Times New Roman" w:hAnsiTheme="minorHAnsi" w:cstheme="minorHAnsi"/>
                <w:b/>
                <w:bCs/>
                <w:sz w:val="20"/>
                <w:szCs w:val="20"/>
                <w:lang w:eastAsia="cs-CZ"/>
              </w:rPr>
            </w:pPr>
            <w:r w:rsidRPr="00DE0083">
              <w:rPr>
                <w:rFonts w:asciiTheme="minorHAnsi" w:eastAsia="Times New Roman" w:hAnsiTheme="minorHAnsi" w:cstheme="minorHAnsi"/>
                <w:b/>
                <w:bCs/>
                <w:sz w:val="20"/>
                <w:szCs w:val="20"/>
                <w:lang w:eastAsia="cs-CZ"/>
              </w:rPr>
              <w:t>33</w:t>
            </w:r>
          </w:p>
        </w:tc>
      </w:tr>
    </w:tbl>
    <w:p w14:paraId="0FBFE15A" w14:textId="77777777" w:rsidR="00DE0083" w:rsidRPr="00332610" w:rsidRDefault="00DE0083" w:rsidP="002C4F38">
      <w:pPr>
        <w:pStyle w:val="Poznazdroj"/>
      </w:pPr>
      <w:r w:rsidRPr="00F25388">
        <w:rPr>
          <w:b/>
        </w:rPr>
        <w:t>Zdroj:</w:t>
      </w:r>
      <w:r w:rsidRPr="00332610">
        <w:t xml:space="preserve"> </w:t>
      </w:r>
      <w:r w:rsidRPr="00486165">
        <w:t>SZÚ za rok 2017, návrh SZÚ za rok 2018.</w:t>
      </w:r>
    </w:p>
    <w:p w14:paraId="4F34FD6E" w14:textId="22E15C97" w:rsidR="00DE0083" w:rsidRDefault="00DE0083" w:rsidP="00DE0083">
      <w:pPr>
        <w:rPr>
          <w:b/>
          <w:szCs w:val="24"/>
        </w:rPr>
      </w:pPr>
      <w:r w:rsidRPr="0064412F">
        <w:rPr>
          <w:szCs w:val="24"/>
        </w:rPr>
        <w:t>Stav závazků vůči poskytova</w:t>
      </w:r>
      <w:r>
        <w:rPr>
          <w:szCs w:val="24"/>
        </w:rPr>
        <w:t>telům zdravotních služeb dosáhl</w:t>
      </w:r>
      <w:r w:rsidRPr="0064412F">
        <w:rPr>
          <w:szCs w:val="24"/>
        </w:rPr>
        <w:t xml:space="preserve"> k 31. 12. 2018 výše </w:t>
      </w:r>
      <w:r w:rsidR="0081033A">
        <w:rPr>
          <w:szCs w:val="24"/>
        </w:rPr>
        <w:br/>
      </w:r>
      <w:r w:rsidRPr="0064412F">
        <w:rPr>
          <w:szCs w:val="24"/>
        </w:rPr>
        <w:t>34,35 mld. Kč.</w:t>
      </w:r>
      <w:r>
        <w:rPr>
          <w:szCs w:val="24"/>
        </w:rPr>
        <w:t xml:space="preserve"> Došlo tak ke snížení závazků o 0,31 mld. Kč oproti roku 2017. </w:t>
      </w:r>
      <w:r w:rsidRPr="005F6458">
        <w:rPr>
          <w:b/>
          <w:szCs w:val="24"/>
        </w:rPr>
        <w:t>Všechny zdravotní pojišťovny opět hospodařily bez závazků po lhůtě splatnosti ke konci roku 2018.</w:t>
      </w:r>
    </w:p>
    <w:p w14:paraId="3EEB4698" w14:textId="01A35501" w:rsidR="00DE0083" w:rsidRPr="0064412F" w:rsidRDefault="00DE0083" w:rsidP="000C3B02">
      <w:pPr>
        <w:pStyle w:val="ramecek"/>
      </w:pPr>
      <w:r>
        <w:t xml:space="preserve">Hospodaření systému veřejného zdravotního pojištění je vysoce závislé na prostředcích z veřejného pojištění. Zhorší-li se ekonomická situace v ČR, stabilita veřejného zdravotního pojištění může být </w:t>
      </w:r>
      <w:r w:rsidR="0081033A">
        <w:t xml:space="preserve">takovým vývojem </w:t>
      </w:r>
      <w:r>
        <w:t>negativně ovlivněna.</w:t>
      </w:r>
    </w:p>
    <w:p w14:paraId="74D8063C" w14:textId="77777777" w:rsidR="00777338" w:rsidRDefault="00777338">
      <w:pPr>
        <w:spacing w:before="0" w:after="0" w:line="240" w:lineRule="auto"/>
        <w:jc w:val="left"/>
        <w:rPr>
          <w:rFonts w:asciiTheme="minorHAnsi" w:hAnsiTheme="minorHAnsi" w:cstheme="minorHAnsi"/>
          <w:b/>
          <w:sz w:val="28"/>
          <w:szCs w:val="28"/>
        </w:rPr>
      </w:pPr>
      <w:r>
        <w:br w:type="page"/>
      </w:r>
    </w:p>
    <w:p w14:paraId="539C619B" w14:textId="2EC5C9B6" w:rsidR="006F47EC" w:rsidRDefault="006F47EC" w:rsidP="006F47EC">
      <w:pPr>
        <w:pStyle w:val="Nadpis1"/>
        <w:ind w:left="426" w:hanging="426"/>
      </w:pPr>
      <w:bookmarkStart w:id="34" w:name="_Toc17208282"/>
      <w:r>
        <w:lastRenderedPageBreak/>
        <w:t>Vyhodnocení správnosti vykázaných údajů</w:t>
      </w:r>
      <w:bookmarkEnd w:id="34"/>
    </w:p>
    <w:p w14:paraId="2640AA98" w14:textId="77777777" w:rsidR="00367683" w:rsidRPr="00F25388" w:rsidRDefault="00367683" w:rsidP="00367683">
      <w:pPr>
        <w:rPr>
          <w:szCs w:val="24"/>
        </w:rPr>
      </w:pPr>
      <w:r w:rsidRPr="00AC5139">
        <w:rPr>
          <w:szCs w:val="24"/>
        </w:rPr>
        <w:t xml:space="preserve">Výchozím dokumentem pro hodnocení výsledků rozpočtového hospodaření roku </w:t>
      </w:r>
      <w:r>
        <w:rPr>
          <w:szCs w:val="24"/>
        </w:rPr>
        <w:t xml:space="preserve">2018 </w:t>
      </w:r>
      <w:r w:rsidRPr="00AC5139">
        <w:rPr>
          <w:szCs w:val="24"/>
        </w:rPr>
        <w:t xml:space="preserve">je </w:t>
      </w:r>
      <w:r>
        <w:rPr>
          <w:szCs w:val="24"/>
        </w:rPr>
        <w:t>z</w:t>
      </w:r>
      <w:r w:rsidRPr="0007644E">
        <w:rPr>
          <w:szCs w:val="24"/>
        </w:rPr>
        <w:t>ákon</w:t>
      </w:r>
      <w:r>
        <w:rPr>
          <w:szCs w:val="24"/>
        </w:rPr>
        <w:t xml:space="preserve"> </w:t>
      </w:r>
      <w:r w:rsidRPr="00AC5139">
        <w:rPr>
          <w:szCs w:val="24"/>
        </w:rPr>
        <w:t>o státním rozpočtu ČR na rok 201</w:t>
      </w:r>
      <w:r>
        <w:rPr>
          <w:szCs w:val="24"/>
        </w:rPr>
        <w:t>8</w:t>
      </w:r>
      <w:r>
        <w:rPr>
          <w:rStyle w:val="Znakapoznpodarou"/>
          <w:szCs w:val="24"/>
        </w:rPr>
        <w:footnoteReference w:id="80"/>
      </w:r>
      <w:r w:rsidRPr="00AC5139">
        <w:rPr>
          <w:szCs w:val="24"/>
        </w:rPr>
        <w:t>. Základní ukazatele státního rozpočtu na rok 201</w:t>
      </w:r>
      <w:r>
        <w:rPr>
          <w:szCs w:val="24"/>
        </w:rPr>
        <w:t>8 jsou uvedeny v přílohách č. 1–</w:t>
      </w:r>
      <w:r w:rsidRPr="00AC5139">
        <w:rPr>
          <w:szCs w:val="24"/>
        </w:rPr>
        <w:t xml:space="preserve">4 </w:t>
      </w:r>
      <w:r w:rsidRPr="00B84B68">
        <w:rPr>
          <w:szCs w:val="24"/>
        </w:rPr>
        <w:t>zákona o státním rozpočtu ČR na rok 2018,</w:t>
      </w:r>
      <w:r w:rsidRPr="00AC5139">
        <w:rPr>
          <w:szCs w:val="24"/>
        </w:rPr>
        <w:t xml:space="preserve"> konkrétně se jedná o </w:t>
      </w:r>
      <w:r w:rsidRPr="00AC5139">
        <w:rPr>
          <w:i/>
          <w:szCs w:val="24"/>
        </w:rPr>
        <w:t>Úhrnnou bilanci příjmů a výdajů státního rozpočtu</w:t>
      </w:r>
      <w:r w:rsidRPr="00AC5139">
        <w:rPr>
          <w:szCs w:val="24"/>
        </w:rPr>
        <w:t xml:space="preserve">, </w:t>
      </w:r>
      <w:r w:rsidRPr="00AC5139">
        <w:rPr>
          <w:i/>
          <w:szCs w:val="24"/>
        </w:rPr>
        <w:t>Celkový přehled příjmů</w:t>
      </w:r>
      <w:r>
        <w:rPr>
          <w:i/>
          <w:szCs w:val="24"/>
        </w:rPr>
        <w:t xml:space="preserve"> státního rozpočtu podle kapitol</w:t>
      </w:r>
      <w:r w:rsidRPr="00AC5139">
        <w:rPr>
          <w:szCs w:val="24"/>
        </w:rPr>
        <w:t xml:space="preserve">, </w:t>
      </w:r>
      <w:r w:rsidRPr="00AC5139">
        <w:rPr>
          <w:i/>
          <w:szCs w:val="24"/>
        </w:rPr>
        <w:t>Celkový přehled výdajů státního rozpočtu podle kapitol</w:t>
      </w:r>
      <w:r w:rsidRPr="00AC5139">
        <w:rPr>
          <w:szCs w:val="24"/>
        </w:rPr>
        <w:t xml:space="preserve"> a </w:t>
      </w:r>
      <w:r w:rsidRPr="00AC5139">
        <w:rPr>
          <w:i/>
          <w:szCs w:val="24"/>
        </w:rPr>
        <w:t>Ukazatele státního rozpočtu podle kapitol</w:t>
      </w:r>
      <w:r w:rsidRPr="00F25388">
        <w:rPr>
          <w:rStyle w:val="Znakapoznpodarou"/>
          <w:szCs w:val="24"/>
        </w:rPr>
        <w:footnoteReference w:id="81"/>
      </w:r>
      <w:r w:rsidRPr="00F25388">
        <w:rPr>
          <w:szCs w:val="24"/>
        </w:rPr>
        <w:t>.</w:t>
      </w:r>
    </w:p>
    <w:p w14:paraId="19DD61B7" w14:textId="5A3D4C12" w:rsidR="00367683" w:rsidRPr="00AC5139" w:rsidRDefault="00367683" w:rsidP="00367683">
      <w:pPr>
        <w:rPr>
          <w:szCs w:val="24"/>
        </w:rPr>
      </w:pPr>
      <w:r w:rsidRPr="00A97DAE">
        <w:rPr>
          <w:szCs w:val="24"/>
        </w:rPr>
        <w:t>Stanovisko NKÚ ke správnosti údajů vykázaných v návrhu státního závěrečného účtu je vydáváno k údajům uvedeným v návrhu SZÚ za rok 2018</w:t>
      </w:r>
      <w:r>
        <w:rPr>
          <w:szCs w:val="24"/>
        </w:rPr>
        <w:t xml:space="preserve"> v sešitě G v tabulkách č. 1–</w:t>
      </w:r>
      <w:r w:rsidRPr="00A97DAE">
        <w:rPr>
          <w:szCs w:val="24"/>
        </w:rPr>
        <w:t>2, 7</w:t>
      </w:r>
      <w:r>
        <w:rPr>
          <w:szCs w:val="24"/>
        </w:rPr>
        <w:t>–9 a </w:t>
      </w:r>
      <w:r w:rsidRPr="00A97DAE">
        <w:rPr>
          <w:szCs w:val="24"/>
        </w:rPr>
        <w:t>11</w:t>
      </w:r>
      <w:r>
        <w:rPr>
          <w:szCs w:val="24"/>
        </w:rPr>
        <w:t>–</w:t>
      </w:r>
      <w:r w:rsidRPr="00A97DAE">
        <w:rPr>
          <w:szCs w:val="24"/>
        </w:rPr>
        <w:t>12, které vycházejí z údajů uvedených v odstavci 1, a dále k údajům v sešitě H, které se týkají rozpočtových kapitol, jejichž správcem jsou ministerstva.</w:t>
      </w:r>
      <w:r>
        <w:rPr>
          <w:szCs w:val="24"/>
        </w:rPr>
        <w:t xml:space="preserve"> Stanovisko je vydáno na</w:t>
      </w:r>
      <w:r w:rsidR="00E87E33">
        <w:rPr>
          <w:szCs w:val="24"/>
        </w:rPr>
        <w:t xml:space="preserve"> </w:t>
      </w:r>
      <w:r w:rsidRPr="00AC5139">
        <w:rPr>
          <w:szCs w:val="24"/>
        </w:rPr>
        <w:t xml:space="preserve">základě </w:t>
      </w:r>
      <w:r>
        <w:rPr>
          <w:szCs w:val="24"/>
        </w:rPr>
        <w:t>dvou</w:t>
      </w:r>
      <w:r w:rsidRPr="00AC5139">
        <w:rPr>
          <w:szCs w:val="24"/>
        </w:rPr>
        <w:t xml:space="preserve"> typů kontrolních</w:t>
      </w:r>
      <w:r>
        <w:rPr>
          <w:szCs w:val="24"/>
        </w:rPr>
        <w:t xml:space="preserve"> a analytických</w:t>
      </w:r>
      <w:r w:rsidRPr="00AC5139">
        <w:rPr>
          <w:szCs w:val="24"/>
        </w:rPr>
        <w:t xml:space="preserve"> postupů, kterými jsou:</w:t>
      </w:r>
    </w:p>
    <w:p w14:paraId="5CFA58D5" w14:textId="566841ED" w:rsidR="00367683" w:rsidRPr="001E6FC0" w:rsidRDefault="00367683" w:rsidP="007D1825">
      <w:pPr>
        <w:pStyle w:val="Odstavecseseznamem"/>
        <w:numPr>
          <w:ilvl w:val="0"/>
          <w:numId w:val="23"/>
        </w:numPr>
        <w:spacing w:before="0"/>
        <w:ind w:left="1276" w:hanging="284"/>
        <w:rPr>
          <w:szCs w:val="24"/>
        </w:rPr>
      </w:pPr>
      <w:r>
        <w:rPr>
          <w:szCs w:val="24"/>
        </w:rPr>
        <w:t>kontroly NKÚ typu finanční audit, jejichž kontrolovaným obdobím byly roky 2016 a 2017 a předmětem byly také údaje pro hodnocení plnění státního rozpočtu</w:t>
      </w:r>
      <w:r w:rsidR="00B06EFC">
        <w:rPr>
          <w:szCs w:val="24"/>
        </w:rPr>
        <w:t>;</w:t>
      </w:r>
      <w:r>
        <w:rPr>
          <w:szCs w:val="24"/>
        </w:rPr>
        <w:t xml:space="preserve"> </w:t>
      </w:r>
      <w:r w:rsidRPr="001E6FC0">
        <w:rPr>
          <w:szCs w:val="24"/>
        </w:rPr>
        <w:t>tyto kontroly poskytují systémové poznatky využitelné i pro rok 2018</w:t>
      </w:r>
      <w:r w:rsidR="00B06EFC">
        <w:rPr>
          <w:szCs w:val="24"/>
        </w:rPr>
        <w:t>;</w:t>
      </w:r>
    </w:p>
    <w:p w14:paraId="0B2EDBCB" w14:textId="3BC94133" w:rsidR="00367683" w:rsidRDefault="00367683" w:rsidP="007D1825">
      <w:pPr>
        <w:pStyle w:val="Odstavecseseznamem"/>
        <w:numPr>
          <w:ilvl w:val="0"/>
          <w:numId w:val="23"/>
        </w:numPr>
        <w:spacing w:before="0"/>
        <w:ind w:left="1276" w:hanging="284"/>
        <w:rPr>
          <w:szCs w:val="24"/>
        </w:rPr>
      </w:pPr>
      <w:r>
        <w:rPr>
          <w:szCs w:val="24"/>
        </w:rPr>
        <w:t>analýza vykázaných údajů za rozpočtové kapitoly za rok 2018, jejichž správcem jsou ministerstva.</w:t>
      </w:r>
    </w:p>
    <w:p w14:paraId="1FB2AA41" w14:textId="77777777" w:rsidR="00367683" w:rsidRPr="00F74578" w:rsidRDefault="00367683" w:rsidP="00367683">
      <w:pPr>
        <w:keepNext/>
        <w:spacing w:before="360"/>
        <w:rPr>
          <w:szCs w:val="24"/>
          <w:u w:val="single"/>
        </w:rPr>
      </w:pPr>
      <w:r w:rsidRPr="00F74578">
        <w:rPr>
          <w:szCs w:val="24"/>
          <w:u w:val="single"/>
        </w:rPr>
        <w:t>Kontroly NKÚ, jejichž kontrolovaným obdobím byly roky 2016 a 2017 a předmětem byly také údaje pro hodnocení plnění státního rozpočtu</w:t>
      </w:r>
      <w:r w:rsidRPr="00F25388">
        <w:rPr>
          <w:szCs w:val="24"/>
          <w:u w:val="single"/>
          <w:vertAlign w:val="superscript"/>
        </w:rPr>
        <w:footnoteReference w:id="82"/>
      </w:r>
    </w:p>
    <w:p w14:paraId="243A393C" w14:textId="52ED2083" w:rsidR="00367683" w:rsidRDefault="00367683" w:rsidP="007D1825">
      <w:pPr>
        <w:rPr>
          <w:szCs w:val="24"/>
        </w:rPr>
      </w:pPr>
      <w:r>
        <w:rPr>
          <w:szCs w:val="24"/>
        </w:rPr>
        <w:t>Nástrojem využívaným NKÚ k prověřování úplnosti a správnosti vykázání příjmů a výdajů státního rozpočtu uvedených v sešitech G a H návrhu SZÚ jsou zejména kontroly typu finanční audit. Tyto kontroly jsou zaměřen</w:t>
      </w:r>
      <w:r w:rsidR="00B06EFC">
        <w:rPr>
          <w:szCs w:val="24"/>
        </w:rPr>
        <w:t>y</w:t>
      </w:r>
      <w:r>
        <w:rPr>
          <w:szCs w:val="24"/>
        </w:rPr>
        <w:t xml:space="preserve"> na závěrečné účty jednotlivých kapitol</w:t>
      </w:r>
      <w:r w:rsidR="000059D2">
        <w:rPr>
          <w:szCs w:val="24"/>
        </w:rPr>
        <w:t xml:space="preserve"> SR</w:t>
      </w:r>
      <w:r>
        <w:rPr>
          <w:szCs w:val="24"/>
        </w:rPr>
        <w:t xml:space="preserve">, údaje předkládané pro hodnocení plnění státního rozpočtu a </w:t>
      </w:r>
      <w:r w:rsidR="000059D2">
        <w:rPr>
          <w:szCs w:val="24"/>
        </w:rPr>
        <w:t xml:space="preserve">na </w:t>
      </w:r>
      <w:r>
        <w:rPr>
          <w:szCs w:val="24"/>
        </w:rPr>
        <w:t>údaje účetních závěrek. Při těchto kontrolách jsou získávány informace využitelné pro hodnocení spolehlivosti systémů určených pro sledování a vykazování příjmů a výdajů státního rozpočtu.</w:t>
      </w:r>
    </w:p>
    <w:p w14:paraId="094E716E" w14:textId="77777777" w:rsidR="000059D2" w:rsidRDefault="000059D2">
      <w:pPr>
        <w:spacing w:before="0" w:after="0" w:line="240" w:lineRule="auto"/>
        <w:jc w:val="left"/>
        <w:rPr>
          <w:szCs w:val="24"/>
        </w:rPr>
      </w:pPr>
      <w:r>
        <w:rPr>
          <w:szCs w:val="24"/>
        </w:rPr>
        <w:br w:type="page"/>
      </w:r>
    </w:p>
    <w:p w14:paraId="68B2806C" w14:textId="7961BB26" w:rsidR="00367683" w:rsidRPr="00C702A5" w:rsidRDefault="00367683" w:rsidP="007D1825">
      <w:pPr>
        <w:rPr>
          <w:szCs w:val="24"/>
        </w:rPr>
      </w:pPr>
      <w:r w:rsidRPr="001E6FC0">
        <w:rPr>
          <w:szCs w:val="24"/>
        </w:rPr>
        <w:lastRenderedPageBreak/>
        <w:t xml:space="preserve">Za roky 2016 a 2017 byla šesti </w:t>
      </w:r>
      <w:r>
        <w:rPr>
          <w:szCs w:val="24"/>
        </w:rPr>
        <w:t>kontrolami</w:t>
      </w:r>
      <w:r>
        <w:rPr>
          <w:rStyle w:val="Znakapoznpodarou"/>
          <w:szCs w:val="24"/>
        </w:rPr>
        <w:footnoteReference w:id="83"/>
      </w:r>
      <w:r w:rsidRPr="001E6FC0">
        <w:rPr>
          <w:szCs w:val="24"/>
        </w:rPr>
        <w:t xml:space="preserve"> prověřena správnost vykázání rozpočtových příjmů a výdajů v šesti kapitolách státního rozpočtu. </w:t>
      </w:r>
      <w:r>
        <w:rPr>
          <w:szCs w:val="24"/>
        </w:rPr>
        <w:t xml:space="preserve">V rámci uvedených </w:t>
      </w:r>
      <w:r w:rsidR="000059D2">
        <w:rPr>
          <w:szCs w:val="24"/>
        </w:rPr>
        <w:t xml:space="preserve">šesti </w:t>
      </w:r>
      <w:r>
        <w:rPr>
          <w:szCs w:val="24"/>
        </w:rPr>
        <w:t xml:space="preserve">kontrol bylo také ověřeno, zda </w:t>
      </w:r>
      <w:r w:rsidR="00622CA8">
        <w:rPr>
          <w:szCs w:val="24"/>
        </w:rPr>
        <w:t xml:space="preserve">byly </w:t>
      </w:r>
      <w:r>
        <w:rPr>
          <w:szCs w:val="24"/>
        </w:rPr>
        <w:t xml:space="preserve">závěrečné účty sestaveny v souladu s právními předpisy, zda vycházejí z údajů v účetnictví a z údajů předkládaných pro hodnocení plnění rozpočtu. Kontrolou závěrečných účtů kapitol </w:t>
      </w:r>
      <w:r w:rsidR="000059D2">
        <w:rPr>
          <w:szCs w:val="24"/>
        </w:rPr>
        <w:t xml:space="preserve">SR </w:t>
      </w:r>
      <w:r>
        <w:rPr>
          <w:szCs w:val="24"/>
        </w:rPr>
        <w:t>byly zjištěny jen ojedinělé drobné nesprávnosti ve vyká</w:t>
      </w:r>
      <w:r w:rsidRPr="0016007E">
        <w:rPr>
          <w:szCs w:val="24"/>
        </w:rPr>
        <w:t>zá</w:t>
      </w:r>
      <w:r>
        <w:rPr>
          <w:szCs w:val="24"/>
        </w:rPr>
        <w:t xml:space="preserve">ní příjmů a výdajů </w:t>
      </w:r>
      <w:r w:rsidR="000059D2">
        <w:rPr>
          <w:szCs w:val="24"/>
        </w:rPr>
        <w:t xml:space="preserve">a tyto nesprávnosti neměly </w:t>
      </w:r>
      <w:r>
        <w:rPr>
          <w:szCs w:val="24"/>
        </w:rPr>
        <w:t>vliv na vypovídací schopnost informací uvedených v závěrečných účtech.</w:t>
      </w:r>
      <w:r w:rsidRPr="00C702A5">
        <w:rPr>
          <w:szCs w:val="24"/>
        </w:rPr>
        <w:t xml:space="preserve"> </w:t>
      </w:r>
    </w:p>
    <w:p w14:paraId="22F58FF8" w14:textId="362D79B9" w:rsidR="00367683" w:rsidRPr="00B84B68" w:rsidRDefault="00367683" w:rsidP="00B84B68">
      <w:pPr>
        <w:rPr>
          <w:szCs w:val="24"/>
        </w:rPr>
      </w:pPr>
      <w:r w:rsidRPr="00B84B68">
        <w:rPr>
          <w:szCs w:val="24"/>
        </w:rPr>
        <w:t>Podíl příjmů kontrolovaných osob na příjmech státního rozpočtu v roce 2018 byl 12,88 % a</w:t>
      </w:r>
      <w:r w:rsidR="000059D2">
        <w:rPr>
          <w:szCs w:val="24"/>
        </w:rPr>
        <w:t> </w:t>
      </w:r>
      <w:r w:rsidRPr="00B84B68">
        <w:rPr>
          <w:szCs w:val="24"/>
        </w:rPr>
        <w:t>podíl výdajů kontrolovaných osob na výdajích státního rozpočtu v roce 2018 byl 7,15 %.</w:t>
      </w:r>
      <w:r w:rsidR="00B84B68" w:rsidRPr="00B84B68">
        <w:rPr>
          <w:szCs w:val="24"/>
        </w:rPr>
        <w:t xml:space="preserve"> Při kontrolách nebyly zjištěny významné nesprávnosti v druhovém zatřídění vykázaných příjmů a</w:t>
      </w:r>
      <w:r w:rsidR="000059D2">
        <w:rPr>
          <w:szCs w:val="24"/>
        </w:rPr>
        <w:t> </w:t>
      </w:r>
      <w:r w:rsidR="00B84B68" w:rsidRPr="00B84B68">
        <w:rPr>
          <w:szCs w:val="24"/>
        </w:rPr>
        <w:t>výdajů.</w:t>
      </w:r>
    </w:p>
    <w:p w14:paraId="41A0E3AD" w14:textId="77777777" w:rsidR="00367683" w:rsidRPr="00F74578" w:rsidRDefault="00367683" w:rsidP="00367683">
      <w:pPr>
        <w:keepNext/>
        <w:spacing w:before="360"/>
        <w:rPr>
          <w:szCs w:val="24"/>
          <w:u w:val="single"/>
        </w:rPr>
      </w:pPr>
      <w:r w:rsidRPr="00F74578">
        <w:rPr>
          <w:szCs w:val="24"/>
          <w:u w:val="single"/>
        </w:rPr>
        <w:t>Analýza vykázaných údajů za rozpočtové kapitoly za rok 2018, jejichž správcem jsou ministerstva</w:t>
      </w:r>
    </w:p>
    <w:p w14:paraId="544B41BB" w14:textId="51394F60" w:rsidR="00367683" w:rsidRPr="001E6FC0" w:rsidRDefault="00367683" w:rsidP="00367683">
      <w:pPr>
        <w:rPr>
          <w:szCs w:val="24"/>
          <w:highlight w:val="yellow"/>
        </w:rPr>
      </w:pPr>
      <w:r w:rsidRPr="004D5E48">
        <w:rPr>
          <w:szCs w:val="24"/>
        </w:rPr>
        <w:t xml:space="preserve">Vykázané údaje týkající se rozpočtových kapitol, jejichž správcem jsou ministerstva, byly porovnány </w:t>
      </w:r>
      <w:r w:rsidR="000059D2">
        <w:rPr>
          <w:szCs w:val="24"/>
        </w:rPr>
        <w:t>s</w:t>
      </w:r>
      <w:r w:rsidRPr="004D5E48">
        <w:rPr>
          <w:szCs w:val="24"/>
        </w:rPr>
        <w:t xml:space="preserve"> údaj</w:t>
      </w:r>
      <w:r w:rsidR="000059D2">
        <w:rPr>
          <w:szCs w:val="24"/>
        </w:rPr>
        <w:t>i</w:t>
      </w:r>
      <w:r w:rsidRPr="004D5E48">
        <w:rPr>
          <w:szCs w:val="24"/>
        </w:rPr>
        <w:t xml:space="preserve"> zaznamenan</w:t>
      </w:r>
      <w:r w:rsidR="000059D2">
        <w:rPr>
          <w:szCs w:val="24"/>
        </w:rPr>
        <w:t>ými</w:t>
      </w:r>
      <w:r w:rsidRPr="004D5E48">
        <w:rPr>
          <w:szCs w:val="24"/>
        </w:rPr>
        <w:t xml:space="preserve"> </w:t>
      </w:r>
      <w:r w:rsidRPr="00B84B68">
        <w:rPr>
          <w:szCs w:val="24"/>
        </w:rPr>
        <w:t>v rozpočtovém informačním systému a centrálním systému účetních informací státu.</w:t>
      </w:r>
      <w:r w:rsidRPr="004D5E48">
        <w:rPr>
          <w:szCs w:val="24"/>
        </w:rPr>
        <w:t xml:space="preserve"> Dále byla provedena </w:t>
      </w:r>
      <w:r w:rsidRPr="00DC1508">
        <w:rPr>
          <w:szCs w:val="24"/>
        </w:rPr>
        <w:t>kontrola konzistence údajů</w:t>
      </w:r>
      <w:r>
        <w:rPr>
          <w:szCs w:val="24"/>
        </w:rPr>
        <w:t xml:space="preserve"> za</w:t>
      </w:r>
      <w:r w:rsidR="000059D2">
        <w:rPr>
          <w:szCs w:val="24"/>
        </w:rPr>
        <w:t xml:space="preserve"> </w:t>
      </w:r>
      <w:r w:rsidRPr="004D5E48">
        <w:rPr>
          <w:szCs w:val="24"/>
        </w:rPr>
        <w:t xml:space="preserve">uvedené rozpočtové kapitoly obsažených v sešitech G a H a údajů hodnotících zpráv, případně </w:t>
      </w:r>
      <w:r w:rsidR="000059D2">
        <w:rPr>
          <w:szCs w:val="24"/>
        </w:rPr>
        <w:t xml:space="preserve">údajů v </w:t>
      </w:r>
      <w:r w:rsidRPr="004D5E48">
        <w:rPr>
          <w:szCs w:val="24"/>
        </w:rPr>
        <w:t>dalších část</w:t>
      </w:r>
      <w:r w:rsidR="000059D2">
        <w:rPr>
          <w:szCs w:val="24"/>
        </w:rPr>
        <w:t>ech</w:t>
      </w:r>
      <w:r w:rsidRPr="004D5E48">
        <w:rPr>
          <w:szCs w:val="24"/>
        </w:rPr>
        <w:t xml:space="preserve"> SZÚ. </w:t>
      </w:r>
      <w:r w:rsidRPr="00DC1508">
        <w:rPr>
          <w:b/>
          <w:szCs w:val="24"/>
        </w:rPr>
        <w:t>Nebyly zjištěny objemově významné rozdíly</w:t>
      </w:r>
      <w:r w:rsidRPr="00012C63">
        <w:rPr>
          <w:b/>
          <w:szCs w:val="24"/>
        </w:rPr>
        <w:t>.</w:t>
      </w:r>
    </w:p>
    <w:p w14:paraId="4A9D4228" w14:textId="06793566" w:rsidR="00367683" w:rsidRPr="008B5C04" w:rsidRDefault="00367683" w:rsidP="0051630F">
      <w:pPr>
        <w:pStyle w:val="ramecek"/>
      </w:pPr>
      <w:r w:rsidRPr="008C6B08">
        <w:lastRenderedPageBreak/>
        <w:t xml:space="preserve">S ohledem na výše uvedené je dle názoru NKÚ možné </w:t>
      </w:r>
      <w:r w:rsidR="000059D2">
        <w:t xml:space="preserve">zkontrolované </w:t>
      </w:r>
      <w:r w:rsidRPr="008C6B08">
        <w:t>údaje</w:t>
      </w:r>
      <w:r w:rsidR="002C0592">
        <w:rPr>
          <w:rStyle w:val="Znakapoznpodarou"/>
        </w:rPr>
        <w:footnoteReference w:id="84"/>
      </w:r>
      <w:r w:rsidR="000059D2">
        <w:t xml:space="preserve"> obsažené</w:t>
      </w:r>
      <w:r w:rsidRPr="008C6B08">
        <w:t xml:space="preserve"> </w:t>
      </w:r>
      <w:r w:rsidR="000059D2" w:rsidRPr="008C6B08">
        <w:t>v</w:t>
      </w:r>
      <w:r w:rsidR="000059D2">
        <w:t> </w:t>
      </w:r>
      <w:r w:rsidR="000059D2" w:rsidRPr="008C6B08">
        <w:t xml:space="preserve">sešitech G a H návrhu SZÚ </w:t>
      </w:r>
      <w:r w:rsidR="000059D2">
        <w:t xml:space="preserve">za rok </w:t>
      </w:r>
      <w:r w:rsidR="000059D2" w:rsidRPr="008C6B08">
        <w:t>2018</w:t>
      </w:r>
      <w:r w:rsidR="000059D2">
        <w:t xml:space="preserve"> </w:t>
      </w:r>
      <w:r w:rsidRPr="008C6B08">
        <w:t>považovat za správné.</w:t>
      </w:r>
    </w:p>
    <w:p w14:paraId="2B80E950" w14:textId="58C23C15" w:rsidR="00367683" w:rsidRDefault="00367683" w:rsidP="007D1825">
      <w:pPr>
        <w:rPr>
          <w:b/>
          <w:szCs w:val="24"/>
        </w:rPr>
      </w:pPr>
      <w:r w:rsidRPr="001E6FC0">
        <w:rPr>
          <w:b/>
          <w:szCs w:val="24"/>
        </w:rPr>
        <w:t xml:space="preserve">NKÚ dlouhodobě upozorňuje na skutečnost, že závěrečné účty </w:t>
      </w:r>
      <w:r w:rsidR="00204E3F">
        <w:rPr>
          <w:b/>
          <w:szCs w:val="24"/>
        </w:rPr>
        <w:t xml:space="preserve">jen </w:t>
      </w:r>
      <w:r w:rsidRPr="001E6FC0">
        <w:rPr>
          <w:b/>
          <w:szCs w:val="24"/>
        </w:rPr>
        <w:t>minimálně využívají akruální údaje</w:t>
      </w:r>
      <w:r>
        <w:rPr>
          <w:rStyle w:val="Znakapoznpodarou"/>
          <w:b/>
          <w:szCs w:val="24"/>
        </w:rPr>
        <w:footnoteReference w:id="85"/>
      </w:r>
      <w:r w:rsidRPr="001E6FC0">
        <w:rPr>
          <w:b/>
          <w:szCs w:val="24"/>
        </w:rPr>
        <w:t xml:space="preserve"> z účetních závěrek. Vzhledem k jejich vysoké vypovídací schopnosti o</w:t>
      </w:r>
      <w:r>
        <w:rPr>
          <w:b/>
          <w:szCs w:val="24"/>
        </w:rPr>
        <w:t> </w:t>
      </w:r>
      <w:r w:rsidRPr="001E6FC0">
        <w:rPr>
          <w:b/>
          <w:szCs w:val="24"/>
        </w:rPr>
        <w:t>hospodaření kapitol státního rozpočtu považuje NKÚ za vhodné, aby příslušné právní předpisy</w:t>
      </w:r>
      <w:r>
        <w:rPr>
          <w:rStyle w:val="Znakapoznpodarou"/>
          <w:b/>
          <w:szCs w:val="24"/>
        </w:rPr>
        <w:footnoteReference w:id="86"/>
      </w:r>
      <w:r w:rsidRPr="001E6FC0">
        <w:rPr>
          <w:b/>
          <w:szCs w:val="24"/>
        </w:rPr>
        <w:t xml:space="preserve"> nastavily využívání akruálních údajů v z</w:t>
      </w:r>
      <w:r>
        <w:rPr>
          <w:b/>
          <w:szCs w:val="24"/>
        </w:rPr>
        <w:t>ávěrečných účtech ve vyšší míře.</w:t>
      </w:r>
    </w:p>
    <w:p w14:paraId="0B836DE5" w14:textId="51107D3A" w:rsidR="00367683" w:rsidRPr="007116AD" w:rsidRDefault="00367683" w:rsidP="007D1825">
      <w:pPr>
        <w:rPr>
          <w:szCs w:val="24"/>
        </w:rPr>
      </w:pPr>
      <w:r w:rsidRPr="007116AD">
        <w:rPr>
          <w:szCs w:val="24"/>
        </w:rPr>
        <w:t xml:space="preserve">NKÚ v kontrolním závěru z </w:t>
      </w:r>
      <w:r w:rsidR="00955C16">
        <w:rPr>
          <w:szCs w:val="24"/>
        </w:rPr>
        <w:t>KA</w:t>
      </w:r>
      <w:r w:rsidRPr="007116AD">
        <w:rPr>
          <w:szCs w:val="24"/>
        </w:rPr>
        <w:t xml:space="preserve"> č. 17/36</w:t>
      </w:r>
      <w:r>
        <w:rPr>
          <w:rStyle w:val="Znakapoznpodarou"/>
          <w:szCs w:val="24"/>
        </w:rPr>
        <w:footnoteReference w:id="87"/>
      </w:r>
      <w:r w:rsidRPr="007116AD">
        <w:rPr>
          <w:szCs w:val="24"/>
        </w:rPr>
        <w:t xml:space="preserve"> doporučil Ministerstvu financí využívat akruální účetní informace </w:t>
      </w:r>
      <w:r>
        <w:rPr>
          <w:szCs w:val="24"/>
        </w:rPr>
        <w:t xml:space="preserve">nejen pro potřeby sestavení </w:t>
      </w:r>
      <w:r w:rsidRPr="007116AD">
        <w:rPr>
          <w:szCs w:val="24"/>
        </w:rPr>
        <w:t>závěrečných účtů kapitol státního rozpočtu a</w:t>
      </w:r>
      <w:r w:rsidR="00204E3F">
        <w:rPr>
          <w:szCs w:val="24"/>
        </w:rPr>
        <w:t> </w:t>
      </w:r>
      <w:r w:rsidRPr="007116AD">
        <w:rPr>
          <w:szCs w:val="24"/>
        </w:rPr>
        <w:t xml:space="preserve">státního závěrečného účtu, </w:t>
      </w:r>
      <w:r w:rsidRPr="0016007E">
        <w:rPr>
          <w:szCs w:val="24"/>
        </w:rPr>
        <w:t>ale i</w:t>
      </w:r>
      <w:r>
        <w:rPr>
          <w:szCs w:val="24"/>
        </w:rPr>
        <w:t xml:space="preserve"> </w:t>
      </w:r>
      <w:r w:rsidRPr="007116AD">
        <w:rPr>
          <w:szCs w:val="24"/>
        </w:rPr>
        <w:t>při sestavování státního rozpočtu,</w:t>
      </w:r>
      <w:r>
        <w:rPr>
          <w:szCs w:val="24"/>
        </w:rPr>
        <w:t xml:space="preserve"> </w:t>
      </w:r>
      <w:r w:rsidRPr="007116AD">
        <w:rPr>
          <w:szCs w:val="24"/>
        </w:rPr>
        <w:t>čímž by došlo k většímu využ</w:t>
      </w:r>
      <w:r w:rsidR="00204E3F">
        <w:rPr>
          <w:szCs w:val="24"/>
        </w:rPr>
        <w:t>ití</w:t>
      </w:r>
      <w:r w:rsidRPr="007116AD">
        <w:rPr>
          <w:szCs w:val="24"/>
        </w:rPr>
        <w:t xml:space="preserve"> potenciálu akruálních účetních informací.</w:t>
      </w:r>
      <w:r w:rsidR="00705B7A">
        <w:rPr>
          <w:szCs w:val="24"/>
        </w:rPr>
        <w:t xml:space="preserve"> </w:t>
      </w:r>
      <w:r w:rsidR="00705B7A" w:rsidRPr="00705B7A">
        <w:rPr>
          <w:szCs w:val="24"/>
        </w:rPr>
        <w:t>Ministerstvo financí ve stanovisku ke kontrolnímu závěru z</w:t>
      </w:r>
      <w:r w:rsidR="00705B7A">
        <w:rPr>
          <w:szCs w:val="24"/>
        </w:rPr>
        <w:t xml:space="preserve"> této </w:t>
      </w:r>
      <w:r w:rsidR="00705B7A" w:rsidRPr="00705B7A">
        <w:rPr>
          <w:szCs w:val="24"/>
        </w:rPr>
        <w:t xml:space="preserve">KA </w:t>
      </w:r>
      <w:r w:rsidR="00705B7A">
        <w:rPr>
          <w:szCs w:val="24"/>
        </w:rPr>
        <w:t>žádná</w:t>
      </w:r>
      <w:r w:rsidR="00705B7A" w:rsidRPr="00705B7A">
        <w:rPr>
          <w:szCs w:val="24"/>
        </w:rPr>
        <w:t xml:space="preserve"> opatření k doporučení NKÚ nepřijalo. Zdůvodnilo to tím, že dle zákona</w:t>
      </w:r>
      <w:r w:rsidR="00705B7A">
        <w:rPr>
          <w:rStyle w:val="Znakapoznpodarou"/>
          <w:szCs w:val="24"/>
        </w:rPr>
        <w:footnoteReference w:id="88"/>
      </w:r>
      <w:r w:rsidR="00705B7A" w:rsidRPr="00705B7A">
        <w:rPr>
          <w:szCs w:val="24"/>
        </w:rPr>
        <w:t xml:space="preserve"> j</w:t>
      </w:r>
      <w:r w:rsidR="00204E3F">
        <w:rPr>
          <w:szCs w:val="24"/>
        </w:rPr>
        <w:t>sou</w:t>
      </w:r>
      <w:r w:rsidR="00705B7A" w:rsidRPr="00705B7A">
        <w:rPr>
          <w:szCs w:val="24"/>
        </w:rPr>
        <w:t xml:space="preserve"> státní rozpočet a státní závěrečný účet sestavován</w:t>
      </w:r>
      <w:r w:rsidR="00204E3F">
        <w:rPr>
          <w:szCs w:val="24"/>
        </w:rPr>
        <w:t>y</w:t>
      </w:r>
      <w:r w:rsidR="00705B7A" w:rsidRPr="00705B7A">
        <w:rPr>
          <w:szCs w:val="24"/>
        </w:rPr>
        <w:t xml:space="preserve"> na </w:t>
      </w:r>
      <w:r w:rsidR="00705B7A">
        <w:rPr>
          <w:szCs w:val="24"/>
        </w:rPr>
        <w:t xml:space="preserve">peněžní </w:t>
      </w:r>
      <w:r w:rsidR="00705B7A" w:rsidRPr="00705B7A">
        <w:rPr>
          <w:szCs w:val="24"/>
        </w:rPr>
        <w:t>bázi.</w:t>
      </w:r>
    </w:p>
    <w:p w14:paraId="4C1B96C6" w14:textId="7FD4E24D" w:rsidR="00367683" w:rsidRPr="00451F7B" w:rsidRDefault="00367683" w:rsidP="007D1825">
      <w:pPr>
        <w:rPr>
          <w:szCs w:val="24"/>
        </w:rPr>
      </w:pPr>
      <w:r>
        <w:rPr>
          <w:szCs w:val="24"/>
        </w:rPr>
        <w:t>A</w:t>
      </w:r>
      <w:r w:rsidRPr="00EA032A">
        <w:rPr>
          <w:szCs w:val="24"/>
        </w:rPr>
        <w:t>kruální</w:t>
      </w:r>
      <w:r w:rsidRPr="001E6FC0">
        <w:rPr>
          <w:szCs w:val="24"/>
        </w:rPr>
        <w:t xml:space="preserve"> informace umožňují podat celkový obraz o výsledku hospodaření v daném roce nezkreslený o ekonomické dopady a zátěže působící na jiná období.</w:t>
      </w:r>
      <w:r>
        <w:rPr>
          <w:szCs w:val="24"/>
        </w:rPr>
        <w:t xml:space="preserve"> Při porovnání údajů o </w:t>
      </w:r>
      <w:r w:rsidRPr="007116AD">
        <w:rPr>
          <w:szCs w:val="24"/>
        </w:rPr>
        <w:t>plnění státního rozp</w:t>
      </w:r>
      <w:r>
        <w:rPr>
          <w:szCs w:val="24"/>
        </w:rPr>
        <w:t xml:space="preserve">očtu (peněžní princip) s údaji </w:t>
      </w:r>
      <w:r w:rsidRPr="007116AD">
        <w:rPr>
          <w:szCs w:val="24"/>
        </w:rPr>
        <w:t xml:space="preserve">o výsledku hospodaření (akruální princip) </w:t>
      </w:r>
      <w:r>
        <w:rPr>
          <w:szCs w:val="24"/>
        </w:rPr>
        <w:t xml:space="preserve">pak </w:t>
      </w:r>
      <w:r w:rsidRPr="007116AD">
        <w:rPr>
          <w:szCs w:val="24"/>
        </w:rPr>
        <w:t>dochází k rozdílným výsledkům a tím i</w:t>
      </w:r>
      <w:r>
        <w:rPr>
          <w:szCs w:val="24"/>
        </w:rPr>
        <w:t xml:space="preserve"> k různé</w:t>
      </w:r>
      <w:r w:rsidRPr="007116AD">
        <w:rPr>
          <w:szCs w:val="24"/>
        </w:rPr>
        <w:t xml:space="preserve"> interpretaci skutečného stavu veřejných financí </w:t>
      </w:r>
      <w:r w:rsidRPr="00096C8D">
        <w:rPr>
          <w:szCs w:val="24"/>
        </w:rPr>
        <w:t xml:space="preserve">(viz kapitola </w:t>
      </w:r>
      <w:r w:rsidR="00955C16" w:rsidRPr="00012C63">
        <w:rPr>
          <w:szCs w:val="24"/>
        </w:rPr>
        <w:t xml:space="preserve">IV. </w:t>
      </w:r>
      <w:r w:rsidRPr="00012C63">
        <w:rPr>
          <w:szCs w:val="24"/>
        </w:rPr>
        <w:t>2.</w:t>
      </w:r>
      <w:r w:rsidR="00955C16">
        <w:rPr>
          <w:i/>
          <w:szCs w:val="24"/>
        </w:rPr>
        <w:t xml:space="preserve"> </w:t>
      </w:r>
      <w:r w:rsidRPr="00096C8D">
        <w:rPr>
          <w:i/>
          <w:szCs w:val="24"/>
        </w:rPr>
        <w:t xml:space="preserve">Rozpočtování a </w:t>
      </w:r>
      <w:r w:rsidR="00C3442D">
        <w:rPr>
          <w:i/>
          <w:szCs w:val="24"/>
        </w:rPr>
        <w:t>výdajový rámec</w:t>
      </w:r>
      <w:r w:rsidRPr="00096C8D">
        <w:rPr>
          <w:szCs w:val="24"/>
        </w:rPr>
        <w:t>).</w:t>
      </w:r>
    </w:p>
    <w:p w14:paraId="79DDBA3D" w14:textId="135AFD7D" w:rsidR="00A72750" w:rsidRDefault="00A72750" w:rsidP="009A3451">
      <w:r>
        <w:br w:type="page"/>
      </w:r>
    </w:p>
    <w:p w14:paraId="0438BDC9" w14:textId="6E5C9081" w:rsidR="00F80016" w:rsidRDefault="00F80016" w:rsidP="00F80016">
      <w:pPr>
        <w:pStyle w:val="Nadpis1"/>
        <w:numPr>
          <w:ilvl w:val="0"/>
          <w:numId w:val="0"/>
        </w:numPr>
      </w:pPr>
      <w:bookmarkStart w:id="35" w:name="_Toc17208283"/>
      <w:r>
        <w:lastRenderedPageBreak/>
        <w:t>Seznam použitých zkratek</w:t>
      </w:r>
      <w:bookmarkEnd w:id="35"/>
    </w:p>
    <w:p w14:paraId="6FCE3B3F" w14:textId="304908E3" w:rsidR="00237967" w:rsidRDefault="00237967" w:rsidP="00C43623">
      <w:pPr>
        <w:ind w:left="2127" w:hanging="2127"/>
      </w:pPr>
      <w:r>
        <w:t>ČR</w:t>
      </w:r>
      <w:r>
        <w:tab/>
        <w:t>Česká republika</w:t>
      </w:r>
    </w:p>
    <w:p w14:paraId="55C3C50A" w14:textId="4D88FF8F" w:rsidR="00237967" w:rsidRDefault="00237967" w:rsidP="00C43623">
      <w:pPr>
        <w:ind w:left="2127" w:hanging="2127"/>
      </w:pPr>
      <w:r>
        <w:t>DPH</w:t>
      </w:r>
      <w:r>
        <w:tab/>
        <w:t>Daň z přidané hodnoty</w:t>
      </w:r>
    </w:p>
    <w:p w14:paraId="715FACAC" w14:textId="1C9A2BFF" w:rsidR="00981995" w:rsidRDefault="00981995" w:rsidP="00C43623">
      <w:pPr>
        <w:ind w:left="2127" w:hanging="2127"/>
      </w:pPr>
      <w:r>
        <w:t>EHP</w:t>
      </w:r>
      <w:r>
        <w:tab/>
        <w:t>Evropský hospodářský prostor</w:t>
      </w:r>
    </w:p>
    <w:p w14:paraId="2132CB6E" w14:textId="12392EC4" w:rsidR="009635E3" w:rsidRDefault="009635E3" w:rsidP="00C43623">
      <w:pPr>
        <w:ind w:left="2127" w:hanging="2127"/>
      </w:pPr>
      <w:r>
        <w:t>EK</w:t>
      </w:r>
      <w:r>
        <w:tab/>
        <w:t>Evropská komise</w:t>
      </w:r>
    </w:p>
    <w:p w14:paraId="36C3C7B5" w14:textId="6E79A16B" w:rsidR="003B7CA4" w:rsidRDefault="003B7CA4" w:rsidP="00C43623">
      <w:pPr>
        <w:ind w:left="2127" w:hanging="2127"/>
      </w:pPr>
      <w:r>
        <w:t>EPI</w:t>
      </w:r>
      <w:r>
        <w:tab/>
        <w:t>Index výkonnosti z hlediska životního prostředí</w:t>
      </w:r>
    </w:p>
    <w:p w14:paraId="06F74EA3" w14:textId="5F38CD8F" w:rsidR="00237967" w:rsidRDefault="00237967" w:rsidP="00C43623">
      <w:pPr>
        <w:ind w:left="2127" w:hanging="2127"/>
        <w:rPr>
          <w:rFonts w:cs="Calibri"/>
          <w:bCs/>
          <w:color w:val="000000"/>
          <w:szCs w:val="24"/>
        </w:rPr>
      </w:pPr>
      <w:r>
        <w:t>ESI fondy</w:t>
      </w:r>
      <w:r>
        <w:tab/>
        <w:t xml:space="preserve">Evropské </w:t>
      </w:r>
      <w:r>
        <w:rPr>
          <w:rFonts w:cs="Calibri"/>
          <w:bCs/>
          <w:color w:val="000000"/>
          <w:szCs w:val="24"/>
        </w:rPr>
        <w:t>strukturální a investiční fondy</w:t>
      </w:r>
    </w:p>
    <w:p w14:paraId="65C5044F" w14:textId="5AA436AE" w:rsidR="00897098" w:rsidRDefault="00897098" w:rsidP="00C43623">
      <w:pPr>
        <w:ind w:left="2127" w:hanging="2127"/>
      </w:pPr>
      <w:r>
        <w:t>EU</w:t>
      </w:r>
      <w:r>
        <w:tab/>
        <w:t>Evropská unie</w:t>
      </w:r>
    </w:p>
    <w:p w14:paraId="58906EBF" w14:textId="55D814C8" w:rsidR="00237967" w:rsidRDefault="00237967" w:rsidP="00C43623">
      <w:pPr>
        <w:ind w:left="2127" w:hanging="2127"/>
        <w:rPr>
          <w:rFonts w:cs="Calibri"/>
          <w:bCs/>
          <w:color w:val="000000"/>
          <w:szCs w:val="24"/>
        </w:rPr>
      </w:pPr>
      <w:r>
        <w:rPr>
          <w:rFonts w:cs="Calibri"/>
          <w:bCs/>
          <w:color w:val="000000"/>
          <w:szCs w:val="24"/>
        </w:rPr>
        <w:t>FM</w:t>
      </w:r>
      <w:r>
        <w:rPr>
          <w:rFonts w:cs="Calibri"/>
          <w:bCs/>
          <w:color w:val="000000"/>
          <w:szCs w:val="24"/>
        </w:rPr>
        <w:tab/>
        <w:t>Finanční mechanismy</w:t>
      </w:r>
    </w:p>
    <w:p w14:paraId="37F583AF" w14:textId="5DBA6D4B" w:rsidR="00237967" w:rsidRDefault="00237967" w:rsidP="00C43623">
      <w:pPr>
        <w:ind w:left="2127" w:hanging="2127"/>
        <w:rPr>
          <w:rFonts w:cs="Calibri"/>
          <w:bCs/>
          <w:color w:val="000000"/>
          <w:szCs w:val="24"/>
        </w:rPr>
      </w:pPr>
      <w:r>
        <w:rPr>
          <w:rFonts w:cs="Calibri"/>
          <w:bCs/>
          <w:color w:val="000000"/>
          <w:szCs w:val="24"/>
        </w:rPr>
        <w:t>HDP</w:t>
      </w:r>
      <w:r>
        <w:rPr>
          <w:rFonts w:cs="Calibri"/>
          <w:bCs/>
          <w:color w:val="000000"/>
          <w:szCs w:val="24"/>
        </w:rPr>
        <w:tab/>
        <w:t>Hrubý domácí produkt</w:t>
      </w:r>
    </w:p>
    <w:p w14:paraId="53FFB4E1" w14:textId="1DFDF0A1" w:rsidR="00DD4964" w:rsidRDefault="00DD4964" w:rsidP="00C43623">
      <w:pPr>
        <w:ind w:left="2127" w:hanging="2127"/>
        <w:rPr>
          <w:rFonts w:cs="Calibri"/>
          <w:bCs/>
          <w:color w:val="000000"/>
          <w:szCs w:val="24"/>
        </w:rPr>
      </w:pPr>
      <w:r>
        <w:rPr>
          <w:rFonts w:cs="Calibri"/>
          <w:bCs/>
          <w:color w:val="000000"/>
          <w:szCs w:val="24"/>
        </w:rPr>
        <w:t>IROP</w:t>
      </w:r>
      <w:r>
        <w:rPr>
          <w:rFonts w:cs="Calibri"/>
          <w:bCs/>
          <w:color w:val="000000"/>
          <w:szCs w:val="24"/>
        </w:rPr>
        <w:tab/>
      </w:r>
      <w:r w:rsidRPr="00012C63">
        <w:rPr>
          <w:rFonts w:cs="Calibri"/>
          <w:bCs/>
          <w:i/>
          <w:color w:val="000000"/>
          <w:szCs w:val="24"/>
        </w:rPr>
        <w:t>Integrovaný regionální operační program</w:t>
      </w:r>
    </w:p>
    <w:p w14:paraId="30039F91" w14:textId="38DF1887" w:rsidR="00237967" w:rsidRDefault="00237967" w:rsidP="00C43623">
      <w:pPr>
        <w:ind w:left="2127" w:hanging="2127"/>
        <w:rPr>
          <w:rFonts w:cs="Calibri"/>
          <w:bCs/>
          <w:color w:val="000000"/>
          <w:szCs w:val="24"/>
        </w:rPr>
      </w:pPr>
      <w:r>
        <w:rPr>
          <w:rFonts w:cs="Calibri"/>
          <w:bCs/>
          <w:color w:val="000000"/>
          <w:szCs w:val="24"/>
        </w:rPr>
        <w:t>KA</w:t>
      </w:r>
      <w:r>
        <w:rPr>
          <w:rFonts w:cs="Calibri"/>
          <w:bCs/>
          <w:color w:val="000000"/>
          <w:szCs w:val="24"/>
        </w:rPr>
        <w:tab/>
        <w:t>Kontrolní akce</w:t>
      </w:r>
      <w:r w:rsidR="00204E3F">
        <w:rPr>
          <w:rFonts w:cs="Calibri"/>
          <w:bCs/>
          <w:color w:val="000000"/>
          <w:szCs w:val="24"/>
        </w:rPr>
        <w:t xml:space="preserve"> Nejvyššího kontrolního úřadu</w:t>
      </w:r>
    </w:p>
    <w:p w14:paraId="0202DB85" w14:textId="47AE9E4D" w:rsidR="00237967" w:rsidRDefault="00237967" w:rsidP="00C43623">
      <w:pPr>
        <w:ind w:left="2127" w:hanging="2127"/>
        <w:rPr>
          <w:rFonts w:cs="Calibri"/>
          <w:bCs/>
          <w:color w:val="000000"/>
          <w:szCs w:val="24"/>
        </w:rPr>
      </w:pPr>
      <w:r>
        <w:rPr>
          <w:rFonts w:cs="Calibri"/>
          <w:bCs/>
          <w:color w:val="000000"/>
          <w:szCs w:val="24"/>
        </w:rPr>
        <w:t>NKÚ</w:t>
      </w:r>
      <w:r>
        <w:rPr>
          <w:rFonts w:cs="Calibri"/>
          <w:bCs/>
          <w:color w:val="000000"/>
          <w:szCs w:val="24"/>
        </w:rPr>
        <w:tab/>
        <w:t>Nejvyšší kontrolní úřad</w:t>
      </w:r>
    </w:p>
    <w:p w14:paraId="60F00367" w14:textId="1C7DEF2C" w:rsidR="00237967" w:rsidRDefault="00237967" w:rsidP="00C43623">
      <w:pPr>
        <w:ind w:left="2127" w:hanging="2127"/>
        <w:rPr>
          <w:rFonts w:cs="Calibri"/>
          <w:bCs/>
          <w:color w:val="000000"/>
          <w:szCs w:val="24"/>
        </w:rPr>
      </w:pPr>
      <w:r>
        <w:rPr>
          <w:rFonts w:cs="Calibri"/>
          <w:bCs/>
          <w:color w:val="000000"/>
          <w:szCs w:val="24"/>
        </w:rPr>
        <w:t>OECD</w:t>
      </w:r>
      <w:r>
        <w:rPr>
          <w:rFonts w:cs="Calibri"/>
          <w:bCs/>
          <w:color w:val="000000"/>
          <w:szCs w:val="24"/>
        </w:rPr>
        <w:tab/>
        <w:t>Organizace pro hospodářskou spolupráci a rozvoj</w:t>
      </w:r>
    </w:p>
    <w:p w14:paraId="1655EBDA" w14:textId="04F56C19" w:rsidR="00200AF9" w:rsidRDefault="00200AF9" w:rsidP="00C43623">
      <w:pPr>
        <w:ind w:left="2124" w:hanging="2124"/>
        <w:rPr>
          <w:shd w:val="clear" w:color="auto" w:fill="FFFFFF"/>
        </w:rPr>
      </w:pPr>
      <w:r>
        <w:rPr>
          <w:shd w:val="clear" w:color="auto" w:fill="FFFFFF"/>
        </w:rPr>
        <w:t>OP</w:t>
      </w:r>
      <w:r>
        <w:rPr>
          <w:shd w:val="clear" w:color="auto" w:fill="FFFFFF"/>
        </w:rPr>
        <w:tab/>
        <w:t>Operační program</w:t>
      </w:r>
      <w:r w:rsidR="00204E3F">
        <w:rPr>
          <w:shd w:val="clear" w:color="auto" w:fill="FFFFFF"/>
        </w:rPr>
        <w:t xml:space="preserve"> (operační programy)</w:t>
      </w:r>
    </w:p>
    <w:p w14:paraId="39DAEB58" w14:textId="33C086D8" w:rsidR="00DD4964" w:rsidRDefault="00DD4964" w:rsidP="00C43623">
      <w:pPr>
        <w:ind w:left="2124" w:hanging="2124"/>
        <w:rPr>
          <w:shd w:val="clear" w:color="auto" w:fill="FFFFFF"/>
        </w:rPr>
      </w:pPr>
      <w:r>
        <w:rPr>
          <w:shd w:val="clear" w:color="auto" w:fill="FFFFFF"/>
        </w:rPr>
        <w:t>OPD</w:t>
      </w:r>
      <w:r>
        <w:rPr>
          <w:shd w:val="clear" w:color="auto" w:fill="FFFFFF"/>
        </w:rPr>
        <w:tab/>
        <w:t xml:space="preserve">Operační program </w:t>
      </w:r>
      <w:r w:rsidRPr="00012C63">
        <w:rPr>
          <w:i/>
          <w:shd w:val="clear" w:color="auto" w:fill="FFFFFF"/>
        </w:rPr>
        <w:t>Doprava</w:t>
      </w:r>
    </w:p>
    <w:p w14:paraId="5B57A561" w14:textId="7859B727" w:rsidR="00DD4964" w:rsidRDefault="00DD4964" w:rsidP="00DD4964">
      <w:pPr>
        <w:ind w:left="2127" w:hanging="2127"/>
        <w:rPr>
          <w:rFonts w:cs="Calibri"/>
          <w:bCs/>
          <w:color w:val="000000"/>
          <w:szCs w:val="24"/>
        </w:rPr>
      </w:pPr>
      <w:r>
        <w:rPr>
          <w:shd w:val="clear" w:color="auto" w:fill="FFFFFF"/>
        </w:rPr>
        <w:t xml:space="preserve">OP </w:t>
      </w:r>
      <w:r>
        <w:rPr>
          <w:rFonts w:cs="Calibri"/>
          <w:bCs/>
          <w:color w:val="000000"/>
          <w:szCs w:val="24"/>
        </w:rPr>
        <w:t>PIK</w:t>
      </w:r>
      <w:r>
        <w:rPr>
          <w:rFonts w:cs="Calibri"/>
          <w:bCs/>
          <w:color w:val="000000"/>
          <w:szCs w:val="24"/>
        </w:rPr>
        <w:tab/>
      </w:r>
      <w:r>
        <w:rPr>
          <w:shd w:val="clear" w:color="auto" w:fill="FFFFFF"/>
        </w:rPr>
        <w:t>Operační program</w:t>
      </w:r>
      <w:r>
        <w:rPr>
          <w:rFonts w:cs="Calibri"/>
          <w:bCs/>
          <w:color w:val="000000"/>
          <w:szCs w:val="24"/>
        </w:rPr>
        <w:t xml:space="preserve"> </w:t>
      </w:r>
      <w:r w:rsidRPr="00012C63">
        <w:rPr>
          <w:rFonts w:cs="Calibri"/>
          <w:bCs/>
          <w:i/>
          <w:color w:val="000000"/>
          <w:szCs w:val="24"/>
        </w:rPr>
        <w:t>Podnikání a inovace pro konkurenceschopnost</w:t>
      </w:r>
    </w:p>
    <w:p w14:paraId="1DE68FD3" w14:textId="77E27155" w:rsidR="00DD4964" w:rsidRDefault="00DD4964" w:rsidP="00DD4964">
      <w:pPr>
        <w:ind w:left="2127" w:hanging="2127"/>
        <w:rPr>
          <w:rFonts w:cs="Calibri"/>
          <w:bCs/>
          <w:color w:val="000000"/>
          <w:szCs w:val="24"/>
        </w:rPr>
      </w:pPr>
      <w:r>
        <w:rPr>
          <w:rFonts w:cs="Calibri"/>
          <w:bCs/>
          <w:color w:val="000000"/>
          <w:szCs w:val="24"/>
        </w:rPr>
        <w:t>OP PPR</w:t>
      </w:r>
      <w:r>
        <w:rPr>
          <w:rFonts w:cs="Calibri"/>
          <w:bCs/>
          <w:color w:val="000000"/>
          <w:szCs w:val="24"/>
        </w:rPr>
        <w:tab/>
      </w:r>
      <w:r>
        <w:rPr>
          <w:shd w:val="clear" w:color="auto" w:fill="FFFFFF"/>
        </w:rPr>
        <w:t>Operační program</w:t>
      </w:r>
      <w:r>
        <w:rPr>
          <w:rFonts w:cs="Calibri"/>
          <w:bCs/>
          <w:color w:val="000000"/>
          <w:szCs w:val="24"/>
        </w:rPr>
        <w:t xml:space="preserve"> </w:t>
      </w:r>
      <w:r w:rsidRPr="00012C63">
        <w:rPr>
          <w:rFonts w:cs="Calibri"/>
          <w:bCs/>
          <w:i/>
          <w:color w:val="000000"/>
          <w:szCs w:val="24"/>
        </w:rPr>
        <w:t>Praha – pól růstu ČR</w:t>
      </w:r>
    </w:p>
    <w:p w14:paraId="00D8F60B" w14:textId="56DC3FC6" w:rsidR="00DD4964" w:rsidRDefault="00DD4964" w:rsidP="00C43623">
      <w:pPr>
        <w:ind w:left="2124" w:hanging="2124"/>
        <w:rPr>
          <w:shd w:val="clear" w:color="auto" w:fill="FFFFFF"/>
        </w:rPr>
      </w:pPr>
      <w:r>
        <w:rPr>
          <w:shd w:val="clear" w:color="auto" w:fill="FFFFFF"/>
        </w:rPr>
        <w:t>OPR</w:t>
      </w:r>
      <w:r>
        <w:rPr>
          <w:shd w:val="clear" w:color="auto" w:fill="FFFFFF"/>
        </w:rPr>
        <w:tab/>
        <w:t xml:space="preserve">Operační program </w:t>
      </w:r>
      <w:r w:rsidRPr="00012C63">
        <w:rPr>
          <w:i/>
          <w:shd w:val="clear" w:color="auto" w:fill="FFFFFF"/>
        </w:rPr>
        <w:t>Rybářství</w:t>
      </w:r>
    </w:p>
    <w:p w14:paraId="777533EF" w14:textId="3DD3C234" w:rsidR="00DD4964" w:rsidRDefault="00DD4964" w:rsidP="00C43623">
      <w:pPr>
        <w:ind w:left="2124" w:hanging="2124"/>
        <w:rPr>
          <w:shd w:val="clear" w:color="auto" w:fill="FFFFFF"/>
        </w:rPr>
      </w:pPr>
      <w:r>
        <w:rPr>
          <w:shd w:val="clear" w:color="auto" w:fill="FFFFFF"/>
        </w:rPr>
        <w:t>OPTP</w:t>
      </w:r>
      <w:r>
        <w:rPr>
          <w:shd w:val="clear" w:color="auto" w:fill="FFFFFF"/>
        </w:rPr>
        <w:tab/>
        <w:t xml:space="preserve">Operační program </w:t>
      </w:r>
      <w:r w:rsidRPr="00012C63">
        <w:rPr>
          <w:i/>
          <w:shd w:val="clear" w:color="auto" w:fill="FFFFFF"/>
        </w:rPr>
        <w:t>Technická pomoc</w:t>
      </w:r>
    </w:p>
    <w:p w14:paraId="2B7F091A" w14:textId="1DFFBFFE" w:rsidR="00DD4964" w:rsidRDefault="00DD4964" w:rsidP="00C43623">
      <w:pPr>
        <w:ind w:left="2124" w:hanging="2124"/>
        <w:rPr>
          <w:shd w:val="clear" w:color="auto" w:fill="FFFFFF"/>
        </w:rPr>
      </w:pPr>
      <w:r>
        <w:rPr>
          <w:shd w:val="clear" w:color="auto" w:fill="FFFFFF"/>
        </w:rPr>
        <w:t>OP VVV</w:t>
      </w:r>
      <w:r>
        <w:rPr>
          <w:shd w:val="clear" w:color="auto" w:fill="FFFFFF"/>
        </w:rPr>
        <w:tab/>
        <w:t xml:space="preserve">Operační program </w:t>
      </w:r>
      <w:r w:rsidRPr="00012C63">
        <w:rPr>
          <w:i/>
          <w:shd w:val="clear" w:color="auto" w:fill="FFFFFF"/>
        </w:rPr>
        <w:t>Výzkum, vývoj a vzdělávání</w:t>
      </w:r>
      <w:r>
        <w:rPr>
          <w:shd w:val="clear" w:color="auto" w:fill="FFFFFF"/>
        </w:rPr>
        <w:t xml:space="preserve"> </w:t>
      </w:r>
    </w:p>
    <w:p w14:paraId="1346671C" w14:textId="5FCD971D" w:rsidR="00DD4964" w:rsidRDefault="00DD4964" w:rsidP="00C43623">
      <w:pPr>
        <w:ind w:left="2124" w:hanging="2124"/>
        <w:rPr>
          <w:shd w:val="clear" w:color="auto" w:fill="FFFFFF"/>
        </w:rPr>
      </w:pPr>
      <w:r>
        <w:rPr>
          <w:shd w:val="clear" w:color="auto" w:fill="FFFFFF"/>
        </w:rPr>
        <w:t>OPZ</w:t>
      </w:r>
      <w:r>
        <w:rPr>
          <w:shd w:val="clear" w:color="auto" w:fill="FFFFFF"/>
        </w:rPr>
        <w:tab/>
        <w:t xml:space="preserve">Operační program </w:t>
      </w:r>
      <w:r w:rsidRPr="00012C63">
        <w:rPr>
          <w:i/>
          <w:shd w:val="clear" w:color="auto" w:fill="FFFFFF"/>
        </w:rPr>
        <w:t>Zaměstnanost</w:t>
      </w:r>
    </w:p>
    <w:p w14:paraId="30618B00" w14:textId="28D2D041" w:rsidR="00DD4964" w:rsidRDefault="00DD4964" w:rsidP="00C43623">
      <w:pPr>
        <w:ind w:left="2124" w:hanging="2124"/>
        <w:rPr>
          <w:shd w:val="clear" w:color="auto" w:fill="FFFFFF"/>
        </w:rPr>
      </w:pPr>
      <w:r>
        <w:rPr>
          <w:shd w:val="clear" w:color="auto" w:fill="FFFFFF"/>
        </w:rPr>
        <w:t>OPŽP</w:t>
      </w:r>
      <w:r>
        <w:rPr>
          <w:shd w:val="clear" w:color="auto" w:fill="FFFFFF"/>
        </w:rPr>
        <w:tab/>
        <w:t xml:space="preserve">Operační program </w:t>
      </w:r>
      <w:r w:rsidRPr="00012C63">
        <w:rPr>
          <w:i/>
          <w:shd w:val="clear" w:color="auto" w:fill="FFFFFF"/>
        </w:rPr>
        <w:t>Životní prostředí</w:t>
      </w:r>
    </w:p>
    <w:p w14:paraId="6E0751F1" w14:textId="62995BBF" w:rsidR="00C00EED" w:rsidRDefault="00C00EED" w:rsidP="00C43623">
      <w:pPr>
        <w:ind w:left="2124" w:hanging="2124"/>
        <w:rPr>
          <w:shd w:val="clear" w:color="auto" w:fill="FFFFFF"/>
        </w:rPr>
      </w:pPr>
      <w:r>
        <w:rPr>
          <w:shd w:val="clear" w:color="auto" w:fill="FFFFFF"/>
        </w:rPr>
        <w:t>OSS</w:t>
      </w:r>
      <w:r>
        <w:rPr>
          <w:shd w:val="clear" w:color="auto" w:fill="FFFFFF"/>
        </w:rPr>
        <w:tab/>
        <w:t>Organizační složka státu</w:t>
      </w:r>
    </w:p>
    <w:p w14:paraId="26C02C7A" w14:textId="04D20B2F" w:rsidR="0004061C" w:rsidRDefault="0004061C" w:rsidP="00C43623">
      <w:pPr>
        <w:ind w:left="2124" w:hanging="2124"/>
        <w:rPr>
          <w:shd w:val="clear" w:color="auto" w:fill="FFFFFF"/>
        </w:rPr>
      </w:pPr>
      <w:r>
        <w:rPr>
          <w:shd w:val="clear" w:color="auto" w:fill="FFFFFF"/>
        </w:rPr>
        <w:t>p. b.</w:t>
      </w:r>
      <w:r>
        <w:rPr>
          <w:shd w:val="clear" w:color="auto" w:fill="FFFFFF"/>
        </w:rPr>
        <w:tab/>
        <w:t>Procentní bod</w:t>
      </w:r>
    </w:p>
    <w:p w14:paraId="5BA8602A" w14:textId="598BF0B3" w:rsidR="009635E3" w:rsidRDefault="009635E3" w:rsidP="009635E3">
      <w:pPr>
        <w:ind w:left="2127" w:hanging="2127"/>
        <w:rPr>
          <w:rFonts w:cs="Calibri"/>
          <w:bCs/>
          <w:color w:val="000000"/>
          <w:szCs w:val="24"/>
        </w:rPr>
      </w:pPr>
      <w:r>
        <w:rPr>
          <w:rFonts w:cs="Calibri"/>
          <w:bCs/>
          <w:color w:val="000000"/>
          <w:szCs w:val="24"/>
        </w:rPr>
        <w:t>PO7+</w:t>
      </w:r>
      <w:r>
        <w:rPr>
          <w:rFonts w:cs="Calibri"/>
          <w:bCs/>
          <w:color w:val="000000"/>
          <w:szCs w:val="24"/>
        </w:rPr>
        <w:tab/>
        <w:t>Programové období 2007–2013</w:t>
      </w:r>
    </w:p>
    <w:p w14:paraId="72C02CCB" w14:textId="445BB287" w:rsidR="009635E3" w:rsidRDefault="009635E3" w:rsidP="009635E3">
      <w:pPr>
        <w:ind w:left="2127" w:hanging="2127"/>
        <w:rPr>
          <w:rFonts w:cs="Calibri"/>
          <w:bCs/>
          <w:color w:val="000000"/>
          <w:szCs w:val="24"/>
        </w:rPr>
      </w:pPr>
      <w:r>
        <w:rPr>
          <w:rFonts w:cs="Calibri"/>
          <w:bCs/>
          <w:color w:val="000000"/>
          <w:szCs w:val="24"/>
        </w:rPr>
        <w:t>PO14+</w:t>
      </w:r>
      <w:r>
        <w:rPr>
          <w:rFonts w:cs="Calibri"/>
          <w:bCs/>
          <w:color w:val="000000"/>
          <w:szCs w:val="24"/>
        </w:rPr>
        <w:tab/>
        <w:t>Programové období 2014–2020</w:t>
      </w:r>
    </w:p>
    <w:p w14:paraId="0CDCCEFF" w14:textId="0B3E1739" w:rsidR="00DD4964" w:rsidRDefault="00DD4964" w:rsidP="009635E3">
      <w:pPr>
        <w:ind w:left="2127" w:hanging="2127"/>
        <w:rPr>
          <w:rFonts w:cs="Calibri"/>
          <w:bCs/>
          <w:color w:val="000000"/>
          <w:szCs w:val="24"/>
        </w:rPr>
      </w:pPr>
      <w:r>
        <w:rPr>
          <w:rFonts w:cs="Calibri"/>
          <w:bCs/>
          <w:color w:val="000000"/>
          <w:szCs w:val="24"/>
        </w:rPr>
        <w:t>PRV</w:t>
      </w:r>
      <w:r>
        <w:rPr>
          <w:rFonts w:cs="Calibri"/>
          <w:bCs/>
          <w:color w:val="000000"/>
          <w:szCs w:val="24"/>
        </w:rPr>
        <w:tab/>
      </w:r>
      <w:r w:rsidRPr="00012C63">
        <w:rPr>
          <w:rFonts w:cs="Calibri"/>
          <w:bCs/>
          <w:i/>
          <w:color w:val="000000"/>
          <w:szCs w:val="24"/>
        </w:rPr>
        <w:t>Program rozvoje venkova</w:t>
      </w:r>
    </w:p>
    <w:p w14:paraId="5920D1FC" w14:textId="6F1BEBE2" w:rsidR="00237967" w:rsidRDefault="00237967" w:rsidP="00C43623">
      <w:pPr>
        <w:ind w:left="2127" w:hanging="2127"/>
        <w:rPr>
          <w:rFonts w:cs="Calibri"/>
          <w:bCs/>
          <w:color w:val="000000"/>
          <w:szCs w:val="24"/>
        </w:rPr>
      </w:pPr>
      <w:r>
        <w:rPr>
          <w:rFonts w:cs="Calibri"/>
          <w:bCs/>
          <w:color w:val="000000"/>
          <w:szCs w:val="24"/>
        </w:rPr>
        <w:t>PS PČR</w:t>
      </w:r>
      <w:r w:rsidR="00C71BE6">
        <w:rPr>
          <w:rFonts w:cs="Calibri"/>
          <w:bCs/>
          <w:color w:val="000000"/>
          <w:szCs w:val="24"/>
        </w:rPr>
        <w:tab/>
      </w:r>
      <w:r>
        <w:rPr>
          <w:rFonts w:cs="Calibri"/>
          <w:bCs/>
          <w:color w:val="000000"/>
          <w:szCs w:val="24"/>
        </w:rPr>
        <w:t>Poslanecká sněmovna Parlamentu České republiky</w:t>
      </w:r>
    </w:p>
    <w:p w14:paraId="0BC0DABD" w14:textId="70DCEADB" w:rsidR="009635E3" w:rsidRDefault="009635E3" w:rsidP="00C43623">
      <w:pPr>
        <w:ind w:left="2127" w:hanging="2127"/>
        <w:rPr>
          <w:rFonts w:cs="Calibri"/>
          <w:bCs/>
          <w:color w:val="000000"/>
          <w:szCs w:val="24"/>
        </w:rPr>
      </w:pPr>
      <w:r>
        <w:rPr>
          <w:rFonts w:cs="Calibri"/>
          <w:bCs/>
          <w:color w:val="000000"/>
          <w:szCs w:val="24"/>
        </w:rPr>
        <w:t>SF</w:t>
      </w:r>
      <w:r>
        <w:rPr>
          <w:rFonts w:cs="Calibri"/>
          <w:bCs/>
          <w:color w:val="000000"/>
          <w:szCs w:val="24"/>
        </w:rPr>
        <w:tab/>
        <w:t>Státní fondy</w:t>
      </w:r>
    </w:p>
    <w:p w14:paraId="23E66940" w14:textId="1B2AC558" w:rsidR="00237967" w:rsidRDefault="00237967" w:rsidP="00C43623">
      <w:pPr>
        <w:ind w:left="2127" w:hanging="2127"/>
        <w:rPr>
          <w:rFonts w:cs="Calibri"/>
          <w:bCs/>
          <w:color w:val="000000"/>
          <w:szCs w:val="24"/>
        </w:rPr>
      </w:pPr>
      <w:r>
        <w:rPr>
          <w:rFonts w:cs="Calibri"/>
          <w:bCs/>
          <w:color w:val="000000"/>
          <w:szCs w:val="24"/>
        </w:rPr>
        <w:lastRenderedPageBreak/>
        <w:t>SR</w:t>
      </w:r>
      <w:r>
        <w:rPr>
          <w:rFonts w:cs="Calibri"/>
          <w:bCs/>
          <w:color w:val="000000"/>
          <w:szCs w:val="24"/>
        </w:rPr>
        <w:tab/>
        <w:t>Státní rozpočet</w:t>
      </w:r>
    </w:p>
    <w:p w14:paraId="52E18826" w14:textId="271A015E" w:rsidR="00DC6295" w:rsidRDefault="00DC6295" w:rsidP="00C43623">
      <w:pPr>
        <w:ind w:left="2127" w:hanging="2127"/>
        <w:rPr>
          <w:rFonts w:cs="Calibri"/>
          <w:bCs/>
          <w:color w:val="000000"/>
          <w:szCs w:val="24"/>
        </w:rPr>
      </w:pPr>
      <w:r>
        <w:rPr>
          <w:rFonts w:cs="Calibri"/>
          <w:bCs/>
          <w:color w:val="000000"/>
          <w:szCs w:val="24"/>
        </w:rPr>
        <w:t xml:space="preserve">SWOT </w:t>
      </w:r>
      <w:r>
        <w:rPr>
          <w:rFonts w:cs="Calibri"/>
          <w:bCs/>
          <w:color w:val="000000"/>
          <w:szCs w:val="24"/>
        </w:rPr>
        <w:tab/>
        <w:t>Analýza silných a slabých stránek, příležitostí a hrozeb</w:t>
      </w:r>
    </w:p>
    <w:p w14:paraId="677F3824" w14:textId="47557F0E" w:rsidR="00237967" w:rsidRDefault="00237967" w:rsidP="00C43623">
      <w:pPr>
        <w:ind w:left="2127" w:hanging="2127"/>
        <w:rPr>
          <w:rFonts w:cs="Calibri"/>
          <w:bCs/>
          <w:color w:val="000000"/>
          <w:szCs w:val="24"/>
        </w:rPr>
      </w:pPr>
      <w:r>
        <w:rPr>
          <w:rFonts w:cs="Calibri"/>
          <w:bCs/>
          <w:color w:val="000000"/>
          <w:szCs w:val="24"/>
        </w:rPr>
        <w:t>SZÚ</w:t>
      </w:r>
      <w:r>
        <w:rPr>
          <w:rFonts w:cs="Calibri"/>
          <w:bCs/>
          <w:color w:val="000000"/>
          <w:szCs w:val="24"/>
        </w:rPr>
        <w:tab/>
        <w:t>Státní závěrečný účet</w:t>
      </w:r>
      <w:r w:rsidR="00204E3F">
        <w:rPr>
          <w:rFonts w:cs="Calibri"/>
          <w:bCs/>
          <w:color w:val="000000"/>
          <w:szCs w:val="24"/>
        </w:rPr>
        <w:t xml:space="preserve"> (státní závěrečné účty)</w:t>
      </w:r>
    </w:p>
    <w:p w14:paraId="272337FE" w14:textId="27A1CFFF" w:rsidR="00200AF9" w:rsidRDefault="00200AF9" w:rsidP="00012C63">
      <w:pPr>
        <w:ind w:left="2124" w:hanging="2124"/>
        <w:jc w:val="left"/>
        <w:rPr>
          <w:rFonts w:cs="Calibri"/>
          <w:bCs/>
          <w:color w:val="000000"/>
          <w:szCs w:val="24"/>
        </w:rPr>
      </w:pPr>
      <w:r>
        <w:rPr>
          <w:rFonts w:cs="Calibri"/>
          <w:bCs/>
          <w:color w:val="000000"/>
          <w:szCs w:val="24"/>
        </w:rPr>
        <w:t>V4</w:t>
      </w:r>
      <w:r>
        <w:rPr>
          <w:rFonts w:cs="Calibri"/>
          <w:bCs/>
          <w:color w:val="000000"/>
          <w:szCs w:val="24"/>
        </w:rPr>
        <w:tab/>
        <w:t>Visegrádská čtyřka</w:t>
      </w:r>
      <w:r w:rsidR="007C01C0" w:rsidRPr="007C01C0">
        <w:t xml:space="preserve"> </w:t>
      </w:r>
      <w:r w:rsidR="007C01C0">
        <w:t xml:space="preserve">(aliance </w:t>
      </w:r>
      <w:r w:rsidR="007C01C0" w:rsidRPr="007C01C0">
        <w:rPr>
          <w:rFonts w:cs="Calibri"/>
          <w:bCs/>
          <w:color w:val="000000"/>
          <w:szCs w:val="24"/>
        </w:rPr>
        <w:t>čtyř států střední Evropy: Česk</w:t>
      </w:r>
      <w:r w:rsidR="008C7012">
        <w:rPr>
          <w:rFonts w:cs="Calibri"/>
          <w:bCs/>
          <w:color w:val="000000"/>
          <w:szCs w:val="24"/>
        </w:rPr>
        <w:t>é republiky</w:t>
      </w:r>
      <w:r w:rsidR="00330E6C">
        <w:rPr>
          <w:rFonts w:cs="Calibri"/>
          <w:bCs/>
          <w:color w:val="000000"/>
          <w:szCs w:val="24"/>
        </w:rPr>
        <w:t xml:space="preserve">, Maďarska, Polska a </w:t>
      </w:r>
      <w:r w:rsidR="007C01C0" w:rsidRPr="007C01C0">
        <w:rPr>
          <w:rFonts w:cs="Calibri"/>
          <w:bCs/>
          <w:color w:val="000000"/>
          <w:szCs w:val="24"/>
        </w:rPr>
        <w:t>Slovenska</w:t>
      </w:r>
      <w:r w:rsidR="007C01C0">
        <w:rPr>
          <w:rFonts w:cs="Calibri"/>
          <w:bCs/>
          <w:color w:val="000000"/>
          <w:szCs w:val="24"/>
        </w:rPr>
        <w:t>)</w:t>
      </w:r>
    </w:p>
    <w:p w14:paraId="1699A4A2" w14:textId="3D3C2F6C" w:rsidR="00237967" w:rsidRDefault="00BD3659" w:rsidP="00C43623">
      <w:pPr>
        <w:ind w:left="2127" w:hanging="2127"/>
        <w:rPr>
          <w:rFonts w:cs="Calibri"/>
          <w:bCs/>
          <w:color w:val="000000"/>
          <w:szCs w:val="24"/>
        </w:rPr>
      </w:pPr>
      <w:r>
        <w:rPr>
          <w:rFonts w:cs="Calibri"/>
          <w:bCs/>
          <w:color w:val="000000"/>
          <w:szCs w:val="24"/>
        </w:rPr>
        <w:t>VaVaI</w:t>
      </w:r>
      <w:r>
        <w:rPr>
          <w:rFonts w:cs="Calibri"/>
          <w:bCs/>
          <w:color w:val="000000"/>
          <w:szCs w:val="24"/>
        </w:rPr>
        <w:tab/>
      </w:r>
      <w:r w:rsidR="00237967">
        <w:rPr>
          <w:rFonts w:cs="Calibri"/>
          <w:bCs/>
          <w:color w:val="000000"/>
          <w:szCs w:val="24"/>
        </w:rPr>
        <w:t>Výzkum</w:t>
      </w:r>
      <w:r w:rsidR="00237967" w:rsidRPr="001914A0">
        <w:rPr>
          <w:rFonts w:cs="Calibri"/>
          <w:bCs/>
          <w:color w:val="000000"/>
          <w:szCs w:val="24"/>
        </w:rPr>
        <w:t>, vývoj</w:t>
      </w:r>
      <w:r w:rsidR="00237967">
        <w:rPr>
          <w:rFonts w:cs="Calibri"/>
          <w:bCs/>
          <w:color w:val="000000"/>
          <w:szCs w:val="24"/>
        </w:rPr>
        <w:t xml:space="preserve"> a inovace</w:t>
      </w:r>
    </w:p>
    <w:p w14:paraId="63643812" w14:textId="485E8D81" w:rsidR="00237967" w:rsidRDefault="00237967" w:rsidP="00012C63">
      <w:pPr>
        <w:ind w:left="2127" w:hanging="2127"/>
        <w:jc w:val="left"/>
        <w:rPr>
          <w:rFonts w:cs="Calibri"/>
          <w:bCs/>
          <w:color w:val="000000"/>
          <w:szCs w:val="24"/>
        </w:rPr>
      </w:pPr>
      <w:r>
        <w:rPr>
          <w:rFonts w:cs="Calibri"/>
          <w:bCs/>
          <w:color w:val="000000"/>
          <w:szCs w:val="24"/>
        </w:rPr>
        <w:t>Výdaje EU/FM</w:t>
      </w:r>
      <w:r>
        <w:rPr>
          <w:rFonts w:cs="Calibri"/>
          <w:bCs/>
          <w:color w:val="000000"/>
          <w:szCs w:val="24"/>
        </w:rPr>
        <w:tab/>
        <w:t>V</w:t>
      </w:r>
      <w:r w:rsidRPr="00237967">
        <w:rPr>
          <w:rFonts w:cs="Calibri"/>
          <w:bCs/>
          <w:color w:val="000000"/>
          <w:szCs w:val="24"/>
        </w:rPr>
        <w:t>ýdaj</w:t>
      </w:r>
      <w:r>
        <w:rPr>
          <w:rFonts w:cs="Calibri"/>
          <w:bCs/>
          <w:color w:val="000000"/>
          <w:szCs w:val="24"/>
        </w:rPr>
        <w:t>e</w:t>
      </w:r>
      <w:r w:rsidRPr="00237967">
        <w:rPr>
          <w:rFonts w:cs="Calibri"/>
          <w:bCs/>
          <w:color w:val="000000"/>
          <w:szCs w:val="24"/>
        </w:rPr>
        <w:t xml:space="preserve"> spolufinancovan</w:t>
      </w:r>
      <w:r>
        <w:rPr>
          <w:rFonts w:cs="Calibri"/>
          <w:bCs/>
          <w:color w:val="000000"/>
          <w:szCs w:val="24"/>
        </w:rPr>
        <w:t>é</w:t>
      </w:r>
      <w:r w:rsidRPr="00237967">
        <w:rPr>
          <w:rFonts w:cs="Calibri"/>
          <w:bCs/>
          <w:color w:val="000000"/>
          <w:szCs w:val="24"/>
        </w:rPr>
        <w:t xml:space="preserve"> z</w:t>
      </w:r>
      <w:r>
        <w:rPr>
          <w:rFonts w:cs="Calibri"/>
          <w:bCs/>
          <w:color w:val="000000"/>
          <w:szCs w:val="24"/>
        </w:rPr>
        <w:t> rozpočtu Evropské unie a finančních mechanismů</w:t>
      </w:r>
    </w:p>
    <w:p w14:paraId="51AA051E" w14:textId="50226E97" w:rsidR="00330E6C" w:rsidRDefault="00330E6C" w:rsidP="00C43623">
      <w:pPr>
        <w:ind w:left="2127" w:hanging="2127"/>
        <w:rPr>
          <w:rFonts w:cs="Calibri"/>
          <w:bCs/>
          <w:color w:val="000000"/>
          <w:szCs w:val="24"/>
        </w:rPr>
      </w:pPr>
      <w:r>
        <w:rPr>
          <w:rFonts w:cs="Calibri"/>
          <w:bCs/>
          <w:color w:val="000000"/>
          <w:szCs w:val="24"/>
        </w:rPr>
        <w:t>WHO</w:t>
      </w:r>
      <w:r>
        <w:rPr>
          <w:rFonts w:cs="Calibri"/>
          <w:bCs/>
          <w:color w:val="000000"/>
          <w:szCs w:val="24"/>
        </w:rPr>
        <w:tab/>
        <w:t>Světová zdravotnická organizace</w:t>
      </w:r>
    </w:p>
    <w:p w14:paraId="7D823C60" w14:textId="4B9296A5" w:rsidR="00237967" w:rsidRDefault="00237967" w:rsidP="00C43623">
      <w:pPr>
        <w:ind w:left="2127" w:hanging="2127"/>
        <w:rPr>
          <w:rFonts w:cs="Calibri"/>
          <w:bCs/>
          <w:color w:val="000000"/>
          <w:szCs w:val="24"/>
        </w:rPr>
      </w:pPr>
      <w:r>
        <w:rPr>
          <w:rFonts w:cs="Calibri"/>
          <w:bCs/>
          <w:color w:val="000000"/>
          <w:szCs w:val="24"/>
        </w:rPr>
        <w:t>ZÚ</w:t>
      </w:r>
      <w:r>
        <w:rPr>
          <w:rFonts w:cs="Calibri"/>
          <w:bCs/>
          <w:color w:val="000000"/>
          <w:szCs w:val="24"/>
        </w:rPr>
        <w:tab/>
        <w:t>Závěrečný účet</w:t>
      </w:r>
    </w:p>
    <w:p w14:paraId="20FF26B3" w14:textId="766C121E" w:rsidR="00C71BE6" w:rsidRDefault="00C71BE6" w:rsidP="00DD4964">
      <w:pPr>
        <w:ind w:left="2127" w:hanging="2127"/>
      </w:pPr>
    </w:p>
    <w:p w14:paraId="379DE7C9" w14:textId="77777777" w:rsidR="00DD4964" w:rsidRDefault="00DD4964">
      <w:pPr>
        <w:spacing w:before="0" w:after="0" w:line="240" w:lineRule="auto"/>
        <w:jc w:val="left"/>
        <w:rPr>
          <w:rFonts w:asciiTheme="minorHAnsi" w:hAnsiTheme="minorHAnsi" w:cstheme="minorHAnsi"/>
          <w:b/>
          <w:sz w:val="28"/>
          <w:szCs w:val="28"/>
        </w:rPr>
      </w:pPr>
      <w:bookmarkStart w:id="36" w:name="_Toc521409072"/>
      <w:r>
        <w:br w:type="page"/>
      </w:r>
    </w:p>
    <w:p w14:paraId="481BD70D" w14:textId="7A5C07A3" w:rsidR="00EF3526" w:rsidRDefault="00EF3526" w:rsidP="00EF3526">
      <w:pPr>
        <w:pStyle w:val="Nadpis1"/>
        <w:numPr>
          <w:ilvl w:val="0"/>
          <w:numId w:val="0"/>
        </w:numPr>
        <w:jc w:val="both"/>
      </w:pPr>
      <w:bookmarkStart w:id="37" w:name="_Toc17208284"/>
      <w:r>
        <w:lastRenderedPageBreak/>
        <w:t xml:space="preserve">Příloha </w:t>
      </w:r>
      <w:r w:rsidR="00361B77">
        <w:t xml:space="preserve">č. 1 </w:t>
      </w:r>
      <w:r>
        <w:t>– Použité online zdroje pro stanovisko NKÚ</w:t>
      </w:r>
      <w:bookmarkEnd w:id="36"/>
      <w:bookmarkEnd w:id="37"/>
    </w:p>
    <w:tbl>
      <w:tblPr>
        <w:tblW w:w="9127" w:type="dxa"/>
        <w:tblCellSpacing w:w="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250"/>
        <w:gridCol w:w="1877"/>
      </w:tblGrid>
      <w:tr w:rsidR="00DE065B" w14:paraId="18595841" w14:textId="77777777" w:rsidTr="00DE065B">
        <w:trPr>
          <w:cantSplit/>
          <w:trHeight w:val="680"/>
          <w:tblHeader/>
          <w:tblCellSpacing w:w="0" w:type="dxa"/>
        </w:trPr>
        <w:tc>
          <w:tcPr>
            <w:tcW w:w="7250" w:type="dxa"/>
            <w:shd w:val="clear" w:color="auto" w:fill="E5F1FF"/>
            <w:tcMar>
              <w:top w:w="15" w:type="dxa"/>
              <w:left w:w="15" w:type="dxa"/>
              <w:bottom w:w="15" w:type="dxa"/>
              <w:right w:w="15" w:type="dxa"/>
            </w:tcMar>
            <w:vAlign w:val="center"/>
          </w:tcPr>
          <w:p w14:paraId="76E55176" w14:textId="77777777" w:rsidR="00DE065B" w:rsidRPr="00BB0CF7" w:rsidRDefault="00DE065B" w:rsidP="00DE065B">
            <w:pPr>
              <w:spacing w:before="0" w:after="0" w:line="240" w:lineRule="auto"/>
              <w:jc w:val="center"/>
              <w:rPr>
                <w:sz w:val="22"/>
              </w:rPr>
            </w:pPr>
            <w:r>
              <w:rPr>
                <w:rFonts w:asciiTheme="minorHAnsi" w:eastAsia="Times New Roman" w:hAnsiTheme="minorHAnsi" w:cs="Calibri"/>
                <w:b/>
                <w:bCs/>
                <w:sz w:val="22"/>
                <w:lang w:eastAsia="cs-CZ"/>
              </w:rPr>
              <w:t>Online zdroj</w:t>
            </w:r>
          </w:p>
        </w:tc>
        <w:tc>
          <w:tcPr>
            <w:tcW w:w="1877" w:type="dxa"/>
            <w:shd w:val="clear" w:color="auto" w:fill="E5F1FF"/>
            <w:tcMar>
              <w:top w:w="15" w:type="dxa"/>
              <w:left w:w="15" w:type="dxa"/>
              <w:bottom w:w="15" w:type="dxa"/>
              <w:right w:w="15" w:type="dxa"/>
            </w:tcMar>
            <w:vAlign w:val="center"/>
          </w:tcPr>
          <w:p w14:paraId="5673177F"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b/>
                <w:bCs/>
                <w:sz w:val="22"/>
                <w:lang w:eastAsia="cs-CZ"/>
              </w:rPr>
              <w:t>Část stanoviska, v níž je zdroj využit</w:t>
            </w:r>
          </w:p>
        </w:tc>
      </w:tr>
      <w:tr w:rsidR="00DE065B" w14:paraId="321EC64B" w14:textId="77777777" w:rsidTr="00DE065B">
        <w:trPr>
          <w:cantSplit/>
          <w:trHeight w:val="454"/>
          <w:tblHeader/>
          <w:tblCellSpacing w:w="0" w:type="dxa"/>
        </w:trPr>
        <w:tc>
          <w:tcPr>
            <w:tcW w:w="7250" w:type="dxa"/>
            <w:shd w:val="clear" w:color="auto" w:fill="FFFFFF"/>
            <w:tcMar>
              <w:top w:w="15" w:type="dxa"/>
              <w:left w:w="15" w:type="dxa"/>
              <w:bottom w:w="15" w:type="dxa"/>
              <w:right w:w="15" w:type="dxa"/>
            </w:tcMar>
            <w:vAlign w:val="center"/>
          </w:tcPr>
          <w:p w14:paraId="369B656B" w14:textId="77777777" w:rsidR="00DE065B" w:rsidRPr="00AE5A85" w:rsidRDefault="009849B2" w:rsidP="00DE065B">
            <w:pPr>
              <w:spacing w:before="0" w:after="0"/>
              <w:ind w:left="57" w:right="57"/>
              <w:jc w:val="left"/>
              <w:rPr>
                <w:rFonts w:asciiTheme="minorHAnsi" w:hAnsiTheme="minorHAnsi" w:cstheme="minorHAnsi"/>
                <w:sz w:val="22"/>
              </w:rPr>
            </w:pPr>
            <w:hyperlink r:id="rId96" w:history="1">
              <w:r w:rsidR="00DE065B" w:rsidRPr="00AE5A85">
                <w:rPr>
                  <w:rStyle w:val="Hypertextovodkaz"/>
                  <w:rFonts w:asciiTheme="minorHAnsi" w:hAnsiTheme="minorHAnsi" w:cstheme="minorHAnsi"/>
                  <w:sz w:val="22"/>
                </w:rPr>
                <w:t>https://cohesiondata.ec.europa.eu/</w:t>
              </w:r>
            </w:hyperlink>
            <w:r w:rsidR="00DE065B" w:rsidRPr="00AE5A85">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tcPr>
          <w:p w14:paraId="028E8F5E"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720A97">
              <w:rPr>
                <w:rFonts w:asciiTheme="minorHAnsi" w:eastAsia="Times New Roman" w:hAnsiTheme="minorHAnsi" w:cs="Calibri"/>
                <w:sz w:val="22"/>
                <w:lang w:eastAsia="cs-CZ"/>
              </w:rPr>
              <w:t>Graf č. 12</w:t>
            </w:r>
          </w:p>
        </w:tc>
      </w:tr>
      <w:tr w:rsidR="00DE065B" w14:paraId="78EACD2D" w14:textId="77777777" w:rsidTr="00DE065B">
        <w:trPr>
          <w:cantSplit/>
          <w:trHeight w:val="454"/>
          <w:tblHeader/>
          <w:tblCellSpacing w:w="0" w:type="dxa"/>
        </w:trPr>
        <w:tc>
          <w:tcPr>
            <w:tcW w:w="7250" w:type="dxa"/>
            <w:shd w:val="clear" w:color="auto" w:fill="FFFFFF"/>
            <w:tcMar>
              <w:top w:w="15" w:type="dxa"/>
              <w:left w:w="15" w:type="dxa"/>
              <w:bottom w:w="15" w:type="dxa"/>
              <w:right w:w="15" w:type="dxa"/>
            </w:tcMar>
            <w:vAlign w:val="center"/>
          </w:tcPr>
          <w:p w14:paraId="61A9E71D"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lang w:eastAsia="cs-CZ"/>
              </w:rPr>
            </w:pPr>
            <w:hyperlink r:id="rId97" w:history="1">
              <w:r w:rsidR="00DE065B" w:rsidRPr="0001229B">
                <w:rPr>
                  <w:rStyle w:val="Hypertextovodkaz"/>
                  <w:rFonts w:asciiTheme="minorHAnsi" w:eastAsia="Times New Roman" w:hAnsiTheme="minorHAnsi" w:cs="Calibri"/>
                  <w:sz w:val="22"/>
                  <w:lang w:eastAsia="cs-CZ"/>
                </w:rPr>
                <w:t>http://ec.europa.eu/budget/graphs/revenue_expediture.html</w:t>
              </w:r>
            </w:hyperlink>
          </w:p>
        </w:tc>
        <w:tc>
          <w:tcPr>
            <w:tcW w:w="1877" w:type="dxa"/>
            <w:shd w:val="clear" w:color="auto" w:fill="FFFFFF"/>
            <w:tcMar>
              <w:top w:w="15" w:type="dxa"/>
              <w:left w:w="15" w:type="dxa"/>
              <w:bottom w:w="15" w:type="dxa"/>
              <w:right w:w="15" w:type="dxa"/>
            </w:tcMar>
            <w:vAlign w:val="center"/>
            <w:hideMark/>
          </w:tcPr>
          <w:p w14:paraId="4E143966"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720A97">
              <w:rPr>
                <w:rFonts w:asciiTheme="minorHAnsi" w:eastAsia="Times New Roman" w:hAnsiTheme="minorHAnsi" w:cs="Calibri"/>
                <w:sz w:val="22"/>
                <w:lang w:eastAsia="cs-CZ"/>
              </w:rPr>
              <w:t>Graf č. 13</w:t>
            </w:r>
          </w:p>
        </w:tc>
      </w:tr>
      <w:tr w:rsidR="00DE065B" w14:paraId="018F6DF4" w14:textId="77777777" w:rsidTr="00DE065B">
        <w:trPr>
          <w:cantSplit/>
          <w:trHeight w:val="964"/>
          <w:tblHeader/>
          <w:tblCellSpacing w:w="0" w:type="dxa"/>
        </w:trPr>
        <w:tc>
          <w:tcPr>
            <w:tcW w:w="7250" w:type="dxa"/>
            <w:shd w:val="clear" w:color="auto" w:fill="FFFFFF"/>
            <w:tcMar>
              <w:top w:w="15" w:type="dxa"/>
              <w:left w:w="15" w:type="dxa"/>
              <w:bottom w:w="15" w:type="dxa"/>
              <w:right w:w="15" w:type="dxa"/>
            </w:tcMar>
            <w:vAlign w:val="center"/>
          </w:tcPr>
          <w:p w14:paraId="62CE305B"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lang w:eastAsia="cs-CZ"/>
              </w:rPr>
            </w:pPr>
            <w:hyperlink r:id="rId98" w:anchor="2018" w:history="1">
              <w:r w:rsidR="00DE065B" w:rsidRPr="00C32F8B">
                <w:rPr>
                  <w:rStyle w:val="Hypertextovodkaz"/>
                  <w:rFonts w:asciiTheme="minorHAnsi" w:eastAsia="Times New Roman" w:hAnsiTheme="minorHAnsi" w:cs="Calibri"/>
                  <w:sz w:val="22"/>
                  <w:lang w:eastAsia="cs-CZ"/>
                </w:rPr>
                <w:t>https://ec.europa.eu/transport/facts-fundings/scoreboard/compare/investments-infrastructure/quality-roads_en#2018</w:t>
              </w:r>
            </w:hyperlink>
            <w:r w:rsidR="00DE065B">
              <w:rPr>
                <w:rFonts w:asciiTheme="minorHAnsi" w:eastAsia="Times New Roman" w:hAnsiTheme="minorHAnsi" w:cs="Calibri"/>
                <w:sz w:val="22"/>
                <w:lang w:eastAsia="cs-CZ"/>
              </w:rPr>
              <w:t xml:space="preserve"> </w:t>
            </w:r>
          </w:p>
        </w:tc>
        <w:tc>
          <w:tcPr>
            <w:tcW w:w="1877" w:type="dxa"/>
            <w:shd w:val="clear" w:color="auto" w:fill="FFFFFF"/>
            <w:tcMar>
              <w:top w:w="15" w:type="dxa"/>
              <w:left w:w="15" w:type="dxa"/>
              <w:bottom w:w="15" w:type="dxa"/>
              <w:right w:w="15" w:type="dxa"/>
            </w:tcMar>
            <w:vAlign w:val="center"/>
            <w:hideMark/>
          </w:tcPr>
          <w:p w14:paraId="1B21FA63"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BB0CF7">
              <w:rPr>
                <w:rFonts w:asciiTheme="minorHAnsi" w:eastAsia="Times New Roman" w:hAnsiTheme="minorHAnsi" w:cs="Calibri"/>
                <w:sz w:val="22"/>
                <w:lang w:eastAsia="cs-CZ"/>
              </w:rPr>
              <w:t xml:space="preserve">Graf č. </w:t>
            </w:r>
            <w:r>
              <w:rPr>
                <w:rFonts w:asciiTheme="minorHAnsi" w:eastAsia="Times New Roman" w:hAnsiTheme="minorHAnsi" w:cs="Calibri"/>
                <w:sz w:val="22"/>
                <w:lang w:eastAsia="cs-CZ"/>
              </w:rPr>
              <w:t>15</w:t>
            </w:r>
          </w:p>
        </w:tc>
      </w:tr>
      <w:tr w:rsidR="00DE065B" w14:paraId="362EBA6E" w14:textId="77777777" w:rsidTr="00DE065B">
        <w:trPr>
          <w:cantSplit/>
          <w:trHeight w:val="397"/>
          <w:tblHeader/>
          <w:tblCellSpacing w:w="0" w:type="dxa"/>
        </w:trPr>
        <w:tc>
          <w:tcPr>
            <w:tcW w:w="7250" w:type="dxa"/>
            <w:shd w:val="clear" w:color="auto" w:fill="FFFFFF"/>
            <w:tcMar>
              <w:top w:w="15" w:type="dxa"/>
              <w:left w:w="15" w:type="dxa"/>
              <w:bottom w:w="15" w:type="dxa"/>
              <w:right w:w="15" w:type="dxa"/>
            </w:tcMar>
            <w:vAlign w:val="center"/>
          </w:tcPr>
          <w:p w14:paraId="7679CFC7" w14:textId="77777777" w:rsidR="00DE065B" w:rsidRPr="009D029A" w:rsidRDefault="009849B2" w:rsidP="00DE065B">
            <w:pPr>
              <w:spacing w:before="0" w:after="0"/>
              <w:ind w:left="57" w:right="57"/>
              <w:jc w:val="left"/>
              <w:rPr>
                <w:rFonts w:asciiTheme="minorHAnsi" w:hAnsiTheme="minorHAnsi" w:cstheme="minorHAnsi"/>
                <w:sz w:val="22"/>
              </w:rPr>
            </w:pPr>
            <w:hyperlink r:id="rId99" w:history="1">
              <w:r w:rsidR="00DE065B" w:rsidRPr="009D029A">
                <w:rPr>
                  <w:rStyle w:val="Hypertextovodkaz"/>
                  <w:rFonts w:asciiTheme="minorHAnsi" w:hAnsiTheme="minorHAnsi" w:cstheme="minorHAnsi"/>
                  <w:sz w:val="22"/>
                </w:rPr>
                <w:t>https://www.ote-cr.cz/cs/statistika/narodni-energeticky-mix</w:t>
              </w:r>
            </w:hyperlink>
            <w:r w:rsidR="00DE065B" w:rsidRPr="009D029A">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hideMark/>
          </w:tcPr>
          <w:p w14:paraId="3A24F098"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Graf č. 17</w:t>
            </w:r>
          </w:p>
        </w:tc>
      </w:tr>
      <w:tr w:rsidR="00DE065B" w14:paraId="17C16BA9"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39B2E52E"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highlight w:val="yellow"/>
                <w:lang w:eastAsia="cs-CZ"/>
              </w:rPr>
            </w:pPr>
            <w:hyperlink r:id="rId100" w:history="1">
              <w:r w:rsidR="00DE065B" w:rsidRPr="00C32F8B">
                <w:rPr>
                  <w:rStyle w:val="Hypertextovodkaz"/>
                  <w:rFonts w:asciiTheme="minorHAnsi" w:eastAsia="Times New Roman" w:hAnsiTheme="minorHAnsi" w:cs="Calibri"/>
                  <w:sz w:val="22"/>
                  <w:lang w:eastAsia="cs-CZ"/>
                </w:rPr>
                <w:t>https://www.ceer.eu/documents/104400/-/-/80ff3127-8328-52c3-4d01-0acbdb2d3bed</w:t>
              </w:r>
            </w:hyperlink>
            <w:r w:rsidR="00DE065B">
              <w:rPr>
                <w:rFonts w:asciiTheme="minorHAnsi" w:eastAsia="Times New Roman" w:hAnsiTheme="minorHAnsi" w:cs="Calibri"/>
                <w:sz w:val="22"/>
                <w:lang w:eastAsia="cs-CZ"/>
              </w:rPr>
              <w:t xml:space="preserve"> </w:t>
            </w:r>
          </w:p>
        </w:tc>
        <w:tc>
          <w:tcPr>
            <w:tcW w:w="1877" w:type="dxa"/>
            <w:shd w:val="clear" w:color="auto" w:fill="FFFFFF"/>
            <w:tcMar>
              <w:top w:w="15" w:type="dxa"/>
              <w:left w:w="15" w:type="dxa"/>
              <w:bottom w:w="15" w:type="dxa"/>
              <w:right w:w="15" w:type="dxa"/>
            </w:tcMar>
            <w:vAlign w:val="center"/>
            <w:hideMark/>
          </w:tcPr>
          <w:p w14:paraId="1F0ED9AC"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BB0CF7">
              <w:rPr>
                <w:rFonts w:asciiTheme="minorHAnsi" w:eastAsia="Times New Roman" w:hAnsiTheme="minorHAnsi" w:cs="Calibri"/>
                <w:sz w:val="22"/>
                <w:lang w:eastAsia="cs-CZ"/>
              </w:rPr>
              <w:t xml:space="preserve">Graf č. </w:t>
            </w:r>
            <w:r>
              <w:rPr>
                <w:rFonts w:asciiTheme="minorHAnsi" w:eastAsia="Times New Roman" w:hAnsiTheme="minorHAnsi" w:cs="Calibri"/>
                <w:sz w:val="22"/>
                <w:lang w:eastAsia="cs-CZ"/>
              </w:rPr>
              <w:t>18</w:t>
            </w:r>
          </w:p>
        </w:tc>
      </w:tr>
      <w:tr w:rsidR="00DE065B" w14:paraId="5E91F410"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724BF381" w14:textId="77777777" w:rsidR="00DE065B" w:rsidRPr="00E477E9" w:rsidRDefault="009849B2" w:rsidP="00DE065B">
            <w:pPr>
              <w:spacing w:before="0" w:after="0" w:line="240" w:lineRule="auto"/>
              <w:ind w:left="57" w:right="57"/>
              <w:jc w:val="left"/>
              <w:rPr>
                <w:rFonts w:asciiTheme="minorHAnsi" w:eastAsia="Times New Roman" w:hAnsiTheme="minorHAnsi" w:cstheme="minorHAnsi"/>
                <w:sz w:val="22"/>
                <w:lang w:eastAsia="cs-CZ"/>
              </w:rPr>
            </w:pPr>
            <w:hyperlink r:id="rId101" w:history="1">
              <w:r w:rsidR="00DE065B" w:rsidRPr="00C32F8B">
                <w:rPr>
                  <w:rStyle w:val="Hypertextovodkaz"/>
                  <w:rFonts w:asciiTheme="minorHAnsi" w:eastAsia="Times New Roman" w:hAnsiTheme="minorHAnsi" w:cstheme="minorHAnsi"/>
                  <w:sz w:val="22"/>
                  <w:lang w:eastAsia="cs-CZ"/>
                </w:rPr>
                <w:t>http://appsso.eurostat.ec.europa.eu/nui/show.do?dataset=nrg_105m&amp;lang=en</w:t>
              </w:r>
            </w:hyperlink>
            <w:r w:rsidR="00DE065B">
              <w:rPr>
                <w:rFonts w:asciiTheme="minorHAnsi" w:eastAsia="Times New Roman" w:hAnsiTheme="minorHAnsi" w:cstheme="minorHAnsi"/>
                <w:sz w:val="22"/>
                <w:lang w:eastAsia="cs-CZ"/>
              </w:rPr>
              <w:t xml:space="preserve"> </w:t>
            </w:r>
          </w:p>
        </w:tc>
        <w:tc>
          <w:tcPr>
            <w:tcW w:w="1877" w:type="dxa"/>
            <w:shd w:val="clear" w:color="auto" w:fill="FFFFFF"/>
            <w:tcMar>
              <w:top w:w="15" w:type="dxa"/>
              <w:left w:w="15" w:type="dxa"/>
              <w:bottom w:w="15" w:type="dxa"/>
              <w:right w:w="15" w:type="dxa"/>
            </w:tcMar>
            <w:vAlign w:val="center"/>
            <w:hideMark/>
          </w:tcPr>
          <w:p w14:paraId="66C99625" w14:textId="77777777"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BB0CF7">
              <w:rPr>
                <w:rFonts w:asciiTheme="minorHAnsi" w:eastAsia="Times New Roman" w:hAnsiTheme="minorHAnsi" w:cs="Calibri"/>
                <w:sz w:val="22"/>
                <w:lang w:eastAsia="cs-CZ"/>
              </w:rPr>
              <w:t xml:space="preserve">Graf č. </w:t>
            </w:r>
            <w:r>
              <w:rPr>
                <w:rFonts w:asciiTheme="minorHAnsi" w:eastAsia="Times New Roman" w:hAnsiTheme="minorHAnsi" w:cs="Calibri"/>
                <w:sz w:val="22"/>
                <w:lang w:eastAsia="cs-CZ"/>
              </w:rPr>
              <w:t>19</w:t>
            </w:r>
          </w:p>
        </w:tc>
      </w:tr>
      <w:tr w:rsidR="00DE065B" w14:paraId="174CDCE1" w14:textId="77777777" w:rsidTr="00DE065B">
        <w:trPr>
          <w:cantSplit/>
          <w:trHeight w:val="454"/>
          <w:tblHeader/>
          <w:tblCellSpacing w:w="0" w:type="dxa"/>
        </w:trPr>
        <w:tc>
          <w:tcPr>
            <w:tcW w:w="7250" w:type="dxa"/>
            <w:shd w:val="clear" w:color="auto" w:fill="FFFFFF"/>
            <w:tcMar>
              <w:top w:w="15" w:type="dxa"/>
              <w:left w:w="15" w:type="dxa"/>
              <w:bottom w:w="15" w:type="dxa"/>
              <w:right w:w="15" w:type="dxa"/>
            </w:tcMar>
            <w:vAlign w:val="center"/>
          </w:tcPr>
          <w:p w14:paraId="219D4723"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lang w:eastAsia="cs-CZ"/>
              </w:rPr>
            </w:pPr>
            <w:hyperlink r:id="rId102" w:history="1">
              <w:r w:rsidR="00DE065B" w:rsidRPr="0089508C">
                <w:rPr>
                  <w:rStyle w:val="Hypertextovodkaz"/>
                  <w:rFonts w:asciiTheme="minorHAnsi" w:eastAsia="Times New Roman" w:hAnsiTheme="minorHAnsi" w:cs="Calibri"/>
                  <w:sz w:val="22"/>
                  <w:lang w:eastAsia="cs-CZ"/>
                </w:rPr>
                <w:t>https://cslav.justice.cz/InfoData/prehledy-statistickych-listu.html</w:t>
              </w:r>
            </w:hyperlink>
            <w:r w:rsidR="00DE065B">
              <w:rPr>
                <w:rFonts w:asciiTheme="minorHAnsi" w:eastAsia="Times New Roman" w:hAnsiTheme="minorHAnsi" w:cs="Calibri"/>
                <w:sz w:val="22"/>
                <w:lang w:eastAsia="cs-CZ"/>
              </w:rPr>
              <w:t xml:space="preserve"> </w:t>
            </w:r>
          </w:p>
        </w:tc>
        <w:tc>
          <w:tcPr>
            <w:tcW w:w="1877" w:type="dxa"/>
            <w:shd w:val="clear" w:color="auto" w:fill="FFFFFF"/>
            <w:tcMar>
              <w:top w:w="15" w:type="dxa"/>
              <w:left w:w="15" w:type="dxa"/>
              <w:bottom w:w="15" w:type="dxa"/>
              <w:right w:w="15" w:type="dxa"/>
            </w:tcMar>
            <w:vAlign w:val="center"/>
            <w:hideMark/>
          </w:tcPr>
          <w:p w14:paraId="29BEC9B5" w14:textId="5BF8F989"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BB0CF7">
              <w:rPr>
                <w:rFonts w:asciiTheme="minorHAnsi" w:eastAsia="Times New Roman" w:hAnsiTheme="minorHAnsi" w:cs="Calibri"/>
                <w:sz w:val="22"/>
                <w:lang w:eastAsia="cs-CZ"/>
              </w:rPr>
              <w:t xml:space="preserve">Graf č. </w:t>
            </w:r>
            <w:r w:rsidR="00F939CA">
              <w:rPr>
                <w:rFonts w:asciiTheme="minorHAnsi" w:eastAsia="Times New Roman" w:hAnsiTheme="minorHAnsi" w:cs="Calibri"/>
                <w:sz w:val="22"/>
                <w:lang w:eastAsia="cs-CZ"/>
              </w:rPr>
              <w:t>20</w:t>
            </w:r>
          </w:p>
        </w:tc>
      </w:tr>
      <w:tr w:rsidR="00DE065B" w14:paraId="1CB7F967" w14:textId="77777777" w:rsidTr="00DE065B">
        <w:trPr>
          <w:cantSplit/>
          <w:trHeight w:val="964"/>
          <w:tblHeader/>
          <w:tblCellSpacing w:w="0" w:type="dxa"/>
        </w:trPr>
        <w:tc>
          <w:tcPr>
            <w:tcW w:w="7250" w:type="dxa"/>
            <w:shd w:val="clear" w:color="auto" w:fill="FFFFFF"/>
            <w:tcMar>
              <w:top w:w="15" w:type="dxa"/>
              <w:left w:w="15" w:type="dxa"/>
              <w:bottom w:w="15" w:type="dxa"/>
              <w:right w:w="15" w:type="dxa"/>
            </w:tcMar>
            <w:vAlign w:val="center"/>
          </w:tcPr>
          <w:p w14:paraId="7AC25915"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lang w:eastAsia="cs-CZ"/>
              </w:rPr>
            </w:pPr>
            <w:hyperlink r:id="rId103" w:history="1">
              <w:r w:rsidR="00DE065B" w:rsidRPr="00C32F8B">
                <w:rPr>
                  <w:rStyle w:val="Hypertextovodkaz"/>
                  <w:rFonts w:asciiTheme="minorHAnsi" w:eastAsia="Times New Roman" w:hAnsiTheme="minorHAnsi" w:cs="Calibri"/>
                  <w:sz w:val="22"/>
                  <w:lang w:eastAsia="cs-CZ"/>
                </w:rPr>
                <w:t>https://www.coe.int/en/web/human-rights-rule-of-law/-/publication-of-the-2018-edition-of-the-report-on-efficiency-and-quality-of-european-judicial-systems-by-the-cepej</w:t>
              </w:r>
            </w:hyperlink>
            <w:r w:rsidR="00DE065B">
              <w:rPr>
                <w:rFonts w:asciiTheme="minorHAnsi" w:eastAsia="Times New Roman" w:hAnsiTheme="minorHAnsi" w:cs="Calibri"/>
                <w:sz w:val="22"/>
                <w:lang w:eastAsia="cs-CZ"/>
              </w:rPr>
              <w:t xml:space="preserve"> </w:t>
            </w:r>
          </w:p>
        </w:tc>
        <w:tc>
          <w:tcPr>
            <w:tcW w:w="1877" w:type="dxa"/>
            <w:shd w:val="clear" w:color="auto" w:fill="FFFFFF"/>
            <w:tcMar>
              <w:top w:w="15" w:type="dxa"/>
              <w:left w:w="15" w:type="dxa"/>
              <w:bottom w:w="15" w:type="dxa"/>
              <w:right w:w="15" w:type="dxa"/>
            </w:tcMar>
            <w:vAlign w:val="center"/>
          </w:tcPr>
          <w:p w14:paraId="0CE0876C" w14:textId="02738007" w:rsidR="00DE065B" w:rsidRPr="00BB0CF7" w:rsidRDefault="00F939CA"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Graf č. 21</w:t>
            </w:r>
          </w:p>
        </w:tc>
      </w:tr>
      <w:tr w:rsidR="00DE065B" w14:paraId="0EFDEFCA"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58E79C9D"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lang w:eastAsia="cs-CZ"/>
              </w:rPr>
            </w:pPr>
            <w:hyperlink r:id="rId104" w:history="1">
              <w:r w:rsidR="00DE065B" w:rsidRPr="00C32F8B">
                <w:rPr>
                  <w:rStyle w:val="Hypertextovodkaz"/>
                  <w:rFonts w:asciiTheme="minorHAnsi" w:eastAsia="Times New Roman" w:hAnsiTheme="minorHAnsi" w:cs="Calibri"/>
                  <w:sz w:val="22"/>
                  <w:lang w:eastAsia="cs-CZ"/>
                </w:rPr>
                <w:t>https://ec.europa.eu/growth/industry/innovation/facts-figures/scoreboards_en</w:t>
              </w:r>
            </w:hyperlink>
            <w:r w:rsidR="00DE065B">
              <w:rPr>
                <w:rFonts w:asciiTheme="minorHAnsi" w:eastAsia="Times New Roman" w:hAnsiTheme="minorHAnsi" w:cs="Calibri"/>
                <w:sz w:val="22"/>
                <w:lang w:eastAsia="cs-CZ"/>
              </w:rPr>
              <w:t xml:space="preserve"> </w:t>
            </w:r>
          </w:p>
        </w:tc>
        <w:tc>
          <w:tcPr>
            <w:tcW w:w="1877" w:type="dxa"/>
            <w:shd w:val="clear" w:color="auto" w:fill="FFFFFF"/>
            <w:tcMar>
              <w:top w:w="15" w:type="dxa"/>
              <w:left w:w="15" w:type="dxa"/>
              <w:bottom w:w="15" w:type="dxa"/>
              <w:right w:w="15" w:type="dxa"/>
            </w:tcMar>
            <w:vAlign w:val="center"/>
          </w:tcPr>
          <w:p w14:paraId="487015B7" w14:textId="7F0FD159" w:rsidR="00DE065B" w:rsidRDefault="00F939CA"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Graf č. 24</w:t>
            </w:r>
          </w:p>
        </w:tc>
      </w:tr>
      <w:tr w:rsidR="00DE065B" w14:paraId="7320371D" w14:textId="77777777" w:rsidTr="00DE065B">
        <w:trPr>
          <w:cantSplit/>
          <w:trHeight w:val="454"/>
          <w:tblHeader/>
          <w:tblCellSpacing w:w="0" w:type="dxa"/>
        </w:trPr>
        <w:tc>
          <w:tcPr>
            <w:tcW w:w="7250" w:type="dxa"/>
            <w:shd w:val="clear" w:color="auto" w:fill="FFFFFF"/>
            <w:tcMar>
              <w:top w:w="15" w:type="dxa"/>
              <w:left w:w="15" w:type="dxa"/>
              <w:bottom w:w="15" w:type="dxa"/>
              <w:right w:w="15" w:type="dxa"/>
            </w:tcMar>
            <w:vAlign w:val="center"/>
          </w:tcPr>
          <w:p w14:paraId="3EE4D7D9" w14:textId="77777777" w:rsidR="00DE065B" w:rsidRPr="00BB0CF7" w:rsidRDefault="009849B2" w:rsidP="00DE065B">
            <w:pPr>
              <w:spacing w:before="0" w:after="0" w:line="240" w:lineRule="auto"/>
              <w:ind w:left="57" w:right="57"/>
              <w:jc w:val="left"/>
              <w:rPr>
                <w:rFonts w:asciiTheme="minorHAnsi" w:eastAsia="Times New Roman" w:hAnsiTheme="minorHAnsi" w:cs="Calibri"/>
                <w:sz w:val="22"/>
                <w:lang w:eastAsia="cs-CZ"/>
              </w:rPr>
            </w:pPr>
            <w:hyperlink r:id="rId105" w:history="1">
              <w:r w:rsidR="00DE065B" w:rsidRPr="00C32F8B">
                <w:rPr>
                  <w:rStyle w:val="Hypertextovodkaz"/>
                  <w:rFonts w:asciiTheme="minorHAnsi" w:eastAsia="Times New Roman" w:hAnsiTheme="minorHAnsi" w:cs="Calibri"/>
                  <w:sz w:val="22"/>
                  <w:lang w:eastAsia="cs-CZ"/>
                </w:rPr>
                <w:t>https://epi.envirocenter.yale.edu/epi-report-2018/executive-summary</w:t>
              </w:r>
            </w:hyperlink>
            <w:r w:rsidR="00DE065B">
              <w:rPr>
                <w:rFonts w:asciiTheme="minorHAnsi" w:eastAsia="Times New Roman" w:hAnsiTheme="minorHAnsi" w:cs="Calibri"/>
                <w:sz w:val="22"/>
                <w:lang w:eastAsia="cs-CZ"/>
              </w:rPr>
              <w:t xml:space="preserve"> </w:t>
            </w:r>
          </w:p>
        </w:tc>
        <w:tc>
          <w:tcPr>
            <w:tcW w:w="1877" w:type="dxa"/>
            <w:shd w:val="clear" w:color="auto" w:fill="FFFFFF"/>
            <w:tcMar>
              <w:top w:w="15" w:type="dxa"/>
              <w:left w:w="15" w:type="dxa"/>
              <w:bottom w:w="15" w:type="dxa"/>
              <w:right w:w="15" w:type="dxa"/>
            </w:tcMar>
            <w:vAlign w:val="center"/>
          </w:tcPr>
          <w:p w14:paraId="6C3973E6" w14:textId="6819560A" w:rsidR="00DE065B" w:rsidRDefault="00F939CA"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Graf č. 30</w:t>
            </w:r>
          </w:p>
        </w:tc>
      </w:tr>
      <w:tr w:rsidR="00DE065B" w14:paraId="369D5A78"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35EF376A" w14:textId="77777777" w:rsidR="00DE065B" w:rsidRPr="00D17D84" w:rsidRDefault="009849B2" w:rsidP="00DE065B">
            <w:pPr>
              <w:spacing w:before="0" w:after="0" w:line="240" w:lineRule="auto"/>
              <w:ind w:left="57" w:right="57"/>
              <w:jc w:val="left"/>
              <w:rPr>
                <w:rFonts w:asciiTheme="minorHAnsi" w:hAnsiTheme="minorHAnsi" w:cstheme="minorHAnsi"/>
                <w:sz w:val="22"/>
              </w:rPr>
            </w:pPr>
            <w:hyperlink r:id="rId106" w:history="1">
              <w:r w:rsidR="00DE065B" w:rsidRPr="00D17D84">
                <w:rPr>
                  <w:rStyle w:val="Hypertextovodkaz"/>
                  <w:rFonts w:asciiTheme="minorHAnsi" w:hAnsiTheme="minorHAnsi" w:cstheme="minorHAnsi"/>
                  <w:sz w:val="22"/>
                </w:rPr>
                <w:t>https://ec.europa.eu/eurostat/web/products-datasets/-/tec00115&amp;lang=en</w:t>
              </w:r>
            </w:hyperlink>
            <w:r w:rsidR="00DE065B" w:rsidRPr="00D17D84">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tcPr>
          <w:p w14:paraId="352DBC4B" w14:textId="77777777" w:rsidR="00DE065B" w:rsidRDefault="00DE065B"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Poznámka pod čarou č. 2</w:t>
            </w:r>
          </w:p>
        </w:tc>
      </w:tr>
      <w:tr w:rsidR="00DE065B" w14:paraId="148353B7"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4DA48389" w14:textId="77777777" w:rsidR="00DE065B" w:rsidRPr="00321D2B" w:rsidRDefault="009849B2" w:rsidP="00DE065B">
            <w:pPr>
              <w:spacing w:before="0" w:after="0" w:line="240" w:lineRule="auto"/>
              <w:ind w:left="57" w:right="57"/>
              <w:jc w:val="left"/>
              <w:rPr>
                <w:rFonts w:asciiTheme="minorHAnsi" w:hAnsiTheme="minorHAnsi" w:cstheme="minorHAnsi"/>
                <w:sz w:val="22"/>
              </w:rPr>
            </w:pPr>
            <w:hyperlink r:id="rId107" w:history="1">
              <w:r w:rsidR="00DE065B" w:rsidRPr="00321D2B">
                <w:rPr>
                  <w:rStyle w:val="Hypertextovodkaz"/>
                  <w:rFonts w:asciiTheme="minorHAnsi" w:hAnsiTheme="minorHAnsi" w:cstheme="minorHAnsi"/>
                  <w:sz w:val="22"/>
                </w:rPr>
                <w:t>https://www.mfcr.cz/cs/aktualne/tiskove-zpravy/2018/oecd-zverejnilo-hospodarsky-prehled-cr-2-32423</w:t>
              </w:r>
            </w:hyperlink>
            <w:r w:rsidR="00DE065B" w:rsidRPr="00321D2B">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tcPr>
          <w:p w14:paraId="3B5705B9" w14:textId="7FE6C57A" w:rsidR="00DE065B" w:rsidRDefault="00DE065B" w:rsidP="00DE065B">
            <w:pPr>
              <w:spacing w:before="0" w:after="0" w:line="240" w:lineRule="auto"/>
              <w:jc w:val="center"/>
              <w:rPr>
                <w:rFonts w:asciiTheme="minorHAnsi" w:eastAsia="Times New Roman" w:hAnsiTheme="minorHAnsi" w:cs="Calibri"/>
                <w:sz w:val="22"/>
                <w:lang w:eastAsia="cs-CZ"/>
              </w:rPr>
            </w:pPr>
            <w:r w:rsidRPr="002D2C84">
              <w:rPr>
                <w:rFonts w:asciiTheme="minorHAnsi" w:eastAsia="Times New Roman" w:hAnsiTheme="minorHAnsi" w:cs="Calibri"/>
                <w:sz w:val="22"/>
                <w:lang w:eastAsia="cs-CZ"/>
              </w:rPr>
              <w:t>Poznámka pod čarou č. 2</w:t>
            </w:r>
            <w:r w:rsidR="000736E4">
              <w:rPr>
                <w:rFonts w:asciiTheme="minorHAnsi" w:eastAsia="Times New Roman" w:hAnsiTheme="minorHAnsi" w:cs="Calibri"/>
                <w:sz w:val="22"/>
                <w:lang w:eastAsia="cs-CZ"/>
              </w:rPr>
              <w:t>2</w:t>
            </w:r>
          </w:p>
        </w:tc>
      </w:tr>
      <w:tr w:rsidR="00DE065B" w14:paraId="19CF43A2"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0D2F4E3A" w14:textId="77777777" w:rsidR="00DE065B" w:rsidRPr="005D6D92" w:rsidRDefault="009849B2" w:rsidP="00DE065B">
            <w:pPr>
              <w:spacing w:before="0" w:after="0" w:line="240" w:lineRule="auto"/>
              <w:ind w:left="57" w:right="57"/>
              <w:jc w:val="left"/>
              <w:rPr>
                <w:rFonts w:asciiTheme="minorHAnsi" w:hAnsiTheme="minorHAnsi" w:cstheme="minorHAnsi"/>
                <w:sz w:val="22"/>
              </w:rPr>
            </w:pPr>
            <w:hyperlink r:id="rId108" w:history="1">
              <w:r w:rsidR="00DE065B" w:rsidRPr="005D6D92">
                <w:rPr>
                  <w:rStyle w:val="Hypertextovodkaz"/>
                  <w:rFonts w:asciiTheme="minorHAnsi" w:hAnsiTheme="minorHAnsi" w:cstheme="minorHAnsi"/>
                  <w:sz w:val="22"/>
                </w:rPr>
                <w:t>http://www.iheta.org/p69-spolecenske-naklady-konzumace-alkoholu-v-ceske-republice-report</w:t>
              </w:r>
            </w:hyperlink>
            <w:r w:rsidR="00DE065B" w:rsidRPr="005D6D92">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tcPr>
          <w:p w14:paraId="6AD8CA21" w14:textId="25EDE48A" w:rsidR="00DE065B" w:rsidRPr="002D2C84" w:rsidRDefault="000736E4"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Poznámka pod čarou č. 24</w:t>
            </w:r>
          </w:p>
        </w:tc>
      </w:tr>
      <w:tr w:rsidR="00DE065B" w14:paraId="050EBF88"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3F626A34" w14:textId="77777777" w:rsidR="00DE065B" w:rsidRPr="00BB71FD" w:rsidRDefault="009849B2" w:rsidP="00DE065B">
            <w:pPr>
              <w:spacing w:before="0" w:after="0" w:line="240" w:lineRule="auto"/>
              <w:ind w:left="57" w:right="57"/>
              <w:jc w:val="left"/>
              <w:rPr>
                <w:rFonts w:asciiTheme="minorHAnsi" w:hAnsiTheme="minorHAnsi" w:cstheme="minorHAnsi"/>
                <w:sz w:val="22"/>
              </w:rPr>
            </w:pPr>
            <w:hyperlink r:id="rId109" w:history="1">
              <w:r w:rsidR="00DE065B" w:rsidRPr="00BB71FD">
                <w:rPr>
                  <w:rStyle w:val="Hypertextovodkaz"/>
                  <w:rFonts w:asciiTheme="minorHAnsi" w:hAnsiTheme="minorHAnsi" w:cstheme="minorHAnsi"/>
                  <w:sz w:val="22"/>
                </w:rPr>
                <w:t>https://www.dotaceeu.cz/cs/Evropske-fondy-v-CR/KOHEZNI-POLITIKA-PO-ROCE-2020/Koncepce-CR-pro-politiku-soudrznosti-2021</w:t>
              </w:r>
            </w:hyperlink>
            <w:r w:rsidR="00DE065B" w:rsidRPr="00BB71FD">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tcPr>
          <w:p w14:paraId="3D912A40" w14:textId="0643AFB2" w:rsidR="00DE065B" w:rsidRPr="0024396C" w:rsidRDefault="00DE065B" w:rsidP="00DE065B">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Poz</w:t>
            </w:r>
            <w:r w:rsidR="000736E4">
              <w:rPr>
                <w:rFonts w:asciiTheme="minorHAnsi" w:eastAsia="Times New Roman" w:hAnsiTheme="minorHAnsi" w:cs="Calibri"/>
                <w:sz w:val="22"/>
                <w:lang w:eastAsia="cs-CZ"/>
              </w:rPr>
              <w:t>námka pod čarou č. 31</w:t>
            </w:r>
          </w:p>
        </w:tc>
      </w:tr>
      <w:tr w:rsidR="00DE065B" w14:paraId="3ED1B4B5"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21D67590" w14:textId="77777777" w:rsidR="00DE065B" w:rsidRPr="000A5079" w:rsidRDefault="009849B2" w:rsidP="00DE065B">
            <w:pPr>
              <w:spacing w:before="0" w:after="0" w:line="240" w:lineRule="auto"/>
              <w:ind w:left="57" w:right="57"/>
              <w:jc w:val="left"/>
              <w:rPr>
                <w:rFonts w:asciiTheme="minorHAnsi" w:hAnsiTheme="minorHAnsi" w:cstheme="minorHAnsi"/>
                <w:sz w:val="22"/>
              </w:rPr>
            </w:pPr>
            <w:hyperlink r:id="rId110" w:history="1">
              <w:r w:rsidR="00DE065B" w:rsidRPr="0089508C">
                <w:rPr>
                  <w:rStyle w:val="Hypertextovodkaz"/>
                  <w:rFonts w:asciiTheme="minorHAnsi" w:hAnsiTheme="minorHAnsi" w:cstheme="minorHAnsi"/>
                  <w:sz w:val="22"/>
                </w:rPr>
                <w:t>https://publications.europa.eu/en/publication-detail/-/publication/d94c9a87-5269-11e8-be1d-01aa75ed71a1/language-cs</w:t>
              </w:r>
            </w:hyperlink>
            <w:r w:rsidR="00DE065B">
              <w:rPr>
                <w:rFonts w:asciiTheme="minorHAnsi" w:hAnsiTheme="minorHAnsi" w:cstheme="minorHAnsi"/>
                <w:sz w:val="22"/>
              </w:rPr>
              <w:t xml:space="preserve"> </w:t>
            </w:r>
          </w:p>
        </w:tc>
        <w:tc>
          <w:tcPr>
            <w:tcW w:w="1877" w:type="dxa"/>
            <w:shd w:val="clear" w:color="auto" w:fill="FFFFFF"/>
            <w:tcMar>
              <w:top w:w="15" w:type="dxa"/>
              <w:left w:w="15" w:type="dxa"/>
              <w:bottom w:w="15" w:type="dxa"/>
              <w:right w:w="15" w:type="dxa"/>
            </w:tcMar>
            <w:vAlign w:val="center"/>
          </w:tcPr>
          <w:p w14:paraId="3B68CEC8" w14:textId="36C5C4CB" w:rsidR="00DE065B" w:rsidRDefault="000736E4" w:rsidP="00330E6C">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Poznámka pod čarou č. 3</w:t>
            </w:r>
            <w:r w:rsidR="00330E6C">
              <w:rPr>
                <w:rFonts w:asciiTheme="minorHAnsi" w:eastAsia="Times New Roman" w:hAnsiTheme="minorHAnsi" w:cs="Calibri"/>
                <w:sz w:val="22"/>
                <w:lang w:eastAsia="cs-CZ"/>
              </w:rPr>
              <w:t>7</w:t>
            </w:r>
          </w:p>
        </w:tc>
      </w:tr>
      <w:tr w:rsidR="00DE065B" w14:paraId="4A2CCF22" w14:textId="77777777" w:rsidTr="00DE065B">
        <w:trPr>
          <w:cantSplit/>
          <w:trHeight w:val="737"/>
          <w:tblHeader/>
          <w:tblCellSpacing w:w="0" w:type="dxa"/>
        </w:trPr>
        <w:tc>
          <w:tcPr>
            <w:tcW w:w="7250" w:type="dxa"/>
            <w:shd w:val="clear" w:color="auto" w:fill="FFFFFF"/>
            <w:tcMar>
              <w:top w:w="15" w:type="dxa"/>
              <w:left w:w="15" w:type="dxa"/>
              <w:bottom w:w="15" w:type="dxa"/>
              <w:right w:w="15" w:type="dxa"/>
            </w:tcMar>
            <w:vAlign w:val="center"/>
          </w:tcPr>
          <w:p w14:paraId="0E0E6CBB" w14:textId="77777777" w:rsidR="00DE065B" w:rsidRPr="00BB0CF7" w:rsidRDefault="009849B2" w:rsidP="00DE065B">
            <w:pPr>
              <w:spacing w:before="0" w:after="0"/>
              <w:ind w:left="57" w:right="57"/>
              <w:jc w:val="left"/>
              <w:rPr>
                <w:sz w:val="22"/>
              </w:rPr>
            </w:pPr>
            <w:hyperlink r:id="rId111" w:history="1">
              <w:r w:rsidR="00DE065B" w:rsidRPr="00C32F8B">
                <w:rPr>
                  <w:rStyle w:val="Hypertextovodkaz"/>
                  <w:sz w:val="22"/>
                </w:rPr>
                <w:t>https://www.mzp.cz/cz/hodnoceni_politiky_zivotni_prostredi_cr</w:t>
              </w:r>
            </w:hyperlink>
            <w:r w:rsidR="00DE065B">
              <w:rPr>
                <w:sz w:val="22"/>
              </w:rPr>
              <w:t xml:space="preserve"> </w:t>
            </w:r>
          </w:p>
        </w:tc>
        <w:tc>
          <w:tcPr>
            <w:tcW w:w="1877" w:type="dxa"/>
            <w:shd w:val="clear" w:color="auto" w:fill="FFFFFF"/>
            <w:tcMar>
              <w:top w:w="15" w:type="dxa"/>
              <w:left w:w="15" w:type="dxa"/>
              <w:bottom w:w="15" w:type="dxa"/>
              <w:right w:w="15" w:type="dxa"/>
            </w:tcMar>
            <w:vAlign w:val="center"/>
          </w:tcPr>
          <w:p w14:paraId="5A6E07C4" w14:textId="3EAF53D7" w:rsidR="00DE065B" w:rsidRPr="00BB0CF7" w:rsidRDefault="00DE065B" w:rsidP="00DE065B">
            <w:pPr>
              <w:spacing w:before="0" w:after="0" w:line="240" w:lineRule="auto"/>
              <w:jc w:val="center"/>
              <w:rPr>
                <w:rFonts w:asciiTheme="minorHAnsi" w:eastAsia="Times New Roman" w:hAnsiTheme="minorHAnsi" w:cs="Calibri"/>
                <w:sz w:val="22"/>
                <w:lang w:eastAsia="cs-CZ"/>
              </w:rPr>
            </w:pPr>
            <w:r w:rsidRPr="00BB0CF7">
              <w:rPr>
                <w:rFonts w:asciiTheme="minorHAnsi" w:eastAsia="Times New Roman" w:hAnsiTheme="minorHAnsi" w:cs="Calibri"/>
                <w:sz w:val="22"/>
                <w:lang w:eastAsia="cs-CZ"/>
              </w:rPr>
              <w:t>Poznámka pod čar</w:t>
            </w:r>
            <w:r w:rsidR="00886A2A">
              <w:rPr>
                <w:rFonts w:asciiTheme="minorHAnsi" w:eastAsia="Times New Roman" w:hAnsiTheme="minorHAnsi" w:cs="Calibri"/>
                <w:sz w:val="22"/>
                <w:lang w:eastAsia="cs-CZ"/>
              </w:rPr>
              <w:t>ou č. 66</w:t>
            </w:r>
          </w:p>
        </w:tc>
      </w:tr>
    </w:tbl>
    <w:p w14:paraId="642ACB3D" w14:textId="69188C2D" w:rsidR="00E91EA5" w:rsidRPr="000614AB" w:rsidRDefault="00345EA6" w:rsidP="000614AB">
      <w:pPr>
        <w:pStyle w:val="Nadpis1"/>
        <w:numPr>
          <w:ilvl w:val="0"/>
          <w:numId w:val="0"/>
        </w:numPr>
        <w:jc w:val="both"/>
      </w:pPr>
      <w:bookmarkStart w:id="38" w:name="_Toc17208285"/>
      <w:r w:rsidRPr="000614AB">
        <w:lastRenderedPageBreak/>
        <w:t>Příloha</w:t>
      </w:r>
      <w:r w:rsidR="004D6452" w:rsidRPr="000614AB">
        <w:t xml:space="preserve"> </w:t>
      </w:r>
      <w:r w:rsidR="00361B77" w:rsidRPr="000614AB">
        <w:t xml:space="preserve">č. 2 </w:t>
      </w:r>
      <w:r w:rsidR="004D6452" w:rsidRPr="000614AB">
        <w:t xml:space="preserve">– </w:t>
      </w:r>
      <w:r w:rsidR="00204E3F" w:rsidRPr="000614AB">
        <w:t>Kontrolní akce, jejichž s</w:t>
      </w:r>
      <w:r w:rsidRPr="000614AB">
        <w:t>chválen</w:t>
      </w:r>
      <w:r w:rsidR="00C42D78" w:rsidRPr="000614AB">
        <w:t>é</w:t>
      </w:r>
      <w:r w:rsidRPr="000614AB">
        <w:t xml:space="preserve"> kontrolní závěr</w:t>
      </w:r>
      <w:r w:rsidR="00C42D78" w:rsidRPr="000614AB">
        <w:t>y</w:t>
      </w:r>
      <w:r w:rsidRPr="000614AB">
        <w:t xml:space="preserve"> </w:t>
      </w:r>
      <w:r w:rsidR="00204E3F" w:rsidRPr="000614AB">
        <w:t xml:space="preserve">byly </w:t>
      </w:r>
      <w:r w:rsidRPr="000614AB">
        <w:t>použit</w:t>
      </w:r>
      <w:r w:rsidR="00204E3F" w:rsidRPr="000614AB">
        <w:t>y</w:t>
      </w:r>
      <w:r w:rsidRPr="000614AB">
        <w:t xml:space="preserve"> pro </w:t>
      </w:r>
      <w:r w:rsidR="001914A0" w:rsidRPr="000614AB">
        <w:t>s</w:t>
      </w:r>
      <w:r w:rsidRPr="000614AB">
        <w:t xml:space="preserve">tanovisko </w:t>
      </w:r>
      <w:r w:rsidR="00352FF7" w:rsidRPr="000614AB">
        <w:t>NKÚ</w:t>
      </w:r>
      <w:bookmarkEnd w:id="38"/>
    </w:p>
    <w:tbl>
      <w:tblPr>
        <w:tblW w:w="9126" w:type="dxa"/>
        <w:tblCellSpacing w:w="0" w:type="dxa"/>
        <w:tblBorders>
          <w:top w:val="single" w:sz="6" w:space="0" w:color="808080"/>
          <w:left w:val="single" w:sz="6" w:space="0" w:color="808080"/>
          <w:bottom w:val="single" w:sz="6" w:space="0" w:color="808080"/>
          <w:right w:val="single" w:sz="6" w:space="0" w:color="808080"/>
          <w:insideH w:val="single" w:sz="4" w:space="0" w:color="999999"/>
          <w:insideV w:val="single" w:sz="4" w:space="0" w:color="999999"/>
        </w:tblBorders>
        <w:tblCellMar>
          <w:top w:w="15" w:type="dxa"/>
          <w:left w:w="15" w:type="dxa"/>
          <w:bottom w:w="15" w:type="dxa"/>
          <w:right w:w="15" w:type="dxa"/>
        </w:tblCellMar>
        <w:tblLook w:val="0000" w:firstRow="0" w:lastRow="0" w:firstColumn="0" w:lastColumn="0" w:noHBand="0" w:noVBand="0"/>
      </w:tblPr>
      <w:tblGrid>
        <w:gridCol w:w="1018"/>
        <w:gridCol w:w="6237"/>
        <w:gridCol w:w="1871"/>
      </w:tblGrid>
      <w:tr w:rsidR="001F158B" w:rsidRPr="00E42608" w14:paraId="1C9958DC" w14:textId="77777777" w:rsidTr="00AB6F1A">
        <w:trPr>
          <w:cantSplit/>
          <w:tblHeader/>
          <w:tblCellSpacing w:w="0" w:type="dxa"/>
        </w:trPr>
        <w:tc>
          <w:tcPr>
            <w:tcW w:w="1018" w:type="dxa"/>
            <w:tcBorders>
              <w:left w:val="single" w:sz="4" w:space="0" w:color="999999"/>
            </w:tcBorders>
            <w:shd w:val="clear" w:color="auto" w:fill="E5F1FF"/>
            <w:vAlign w:val="center"/>
          </w:tcPr>
          <w:p w14:paraId="3B0B5BA1" w14:textId="77777777" w:rsidR="001F158B" w:rsidRPr="00FA7C62" w:rsidRDefault="001F158B" w:rsidP="00AB6F1A">
            <w:pPr>
              <w:spacing w:before="0" w:after="0" w:line="240" w:lineRule="auto"/>
              <w:jc w:val="center"/>
              <w:rPr>
                <w:rFonts w:asciiTheme="minorHAnsi" w:eastAsia="Times New Roman" w:hAnsiTheme="minorHAnsi" w:cs="Calibri"/>
                <w:b/>
                <w:bCs/>
                <w:sz w:val="22"/>
              </w:rPr>
            </w:pPr>
            <w:r w:rsidRPr="00FA7C62">
              <w:rPr>
                <w:rFonts w:asciiTheme="minorHAnsi" w:eastAsia="Times New Roman" w:hAnsiTheme="minorHAnsi" w:cs="Calibri"/>
                <w:b/>
                <w:bCs/>
                <w:sz w:val="22"/>
              </w:rPr>
              <w:t>Číslo</w:t>
            </w:r>
          </w:p>
          <w:p w14:paraId="3DC714A4" w14:textId="77777777" w:rsidR="001F158B" w:rsidRPr="00FA7C62" w:rsidRDefault="001F158B" w:rsidP="00AB6F1A">
            <w:pPr>
              <w:spacing w:before="0" w:after="0" w:line="240" w:lineRule="auto"/>
              <w:jc w:val="center"/>
              <w:rPr>
                <w:rFonts w:asciiTheme="minorHAnsi" w:eastAsia="Times New Roman" w:hAnsiTheme="minorHAnsi" w:cs="Calibri"/>
                <w:b/>
                <w:bCs/>
                <w:sz w:val="22"/>
              </w:rPr>
            </w:pPr>
            <w:r w:rsidRPr="00FA7C62">
              <w:rPr>
                <w:rFonts w:asciiTheme="minorHAnsi" w:eastAsia="Times New Roman" w:hAnsiTheme="minorHAnsi" w:cs="Calibri"/>
                <w:b/>
                <w:bCs/>
                <w:sz w:val="22"/>
              </w:rPr>
              <w:t>kontrolní akce</w:t>
            </w:r>
          </w:p>
        </w:tc>
        <w:tc>
          <w:tcPr>
            <w:tcW w:w="6237" w:type="dxa"/>
            <w:shd w:val="clear" w:color="auto" w:fill="E5F1FF"/>
            <w:vAlign w:val="center"/>
          </w:tcPr>
          <w:p w14:paraId="196FB9A9" w14:textId="77777777" w:rsidR="001F158B" w:rsidRPr="00FA7C62" w:rsidRDefault="001F158B" w:rsidP="00AB6F1A">
            <w:pPr>
              <w:spacing w:before="0" w:after="0" w:line="240" w:lineRule="auto"/>
              <w:jc w:val="center"/>
              <w:rPr>
                <w:rFonts w:asciiTheme="minorHAnsi" w:eastAsia="Times New Roman" w:hAnsiTheme="minorHAnsi" w:cs="Calibri"/>
                <w:b/>
                <w:bCs/>
                <w:sz w:val="22"/>
              </w:rPr>
            </w:pPr>
            <w:r w:rsidRPr="00FA7C62">
              <w:rPr>
                <w:rFonts w:asciiTheme="minorHAnsi" w:eastAsia="Times New Roman" w:hAnsiTheme="minorHAnsi" w:cs="Calibri"/>
                <w:b/>
                <w:bCs/>
                <w:sz w:val="22"/>
              </w:rPr>
              <w:t>Předmět kontroly</w:t>
            </w:r>
          </w:p>
        </w:tc>
        <w:tc>
          <w:tcPr>
            <w:tcW w:w="1871" w:type="dxa"/>
            <w:shd w:val="clear" w:color="auto" w:fill="E5F1FF"/>
            <w:vAlign w:val="center"/>
          </w:tcPr>
          <w:p w14:paraId="6E325951" w14:textId="77777777" w:rsidR="001F158B" w:rsidRPr="006B181A" w:rsidRDefault="001F158B" w:rsidP="00AB6F1A">
            <w:pPr>
              <w:spacing w:before="0" w:after="0" w:line="240" w:lineRule="auto"/>
              <w:jc w:val="center"/>
              <w:rPr>
                <w:rFonts w:asciiTheme="minorHAnsi" w:eastAsia="Times New Roman" w:hAnsiTheme="minorHAnsi" w:cs="Calibri"/>
                <w:b/>
                <w:bCs/>
                <w:sz w:val="22"/>
                <w:lang w:eastAsia="cs-CZ"/>
              </w:rPr>
            </w:pPr>
            <w:r w:rsidRPr="006B181A">
              <w:rPr>
                <w:rFonts w:asciiTheme="minorHAnsi" w:eastAsia="Times New Roman" w:hAnsiTheme="minorHAnsi" w:cs="Calibri"/>
                <w:b/>
                <w:bCs/>
                <w:sz w:val="22"/>
                <w:lang w:eastAsia="cs-CZ"/>
              </w:rPr>
              <w:t>Datum schválení kontrolního závěru</w:t>
            </w:r>
          </w:p>
        </w:tc>
      </w:tr>
      <w:tr w:rsidR="001F158B" w:rsidRPr="00E42608" w14:paraId="07B6E519" w14:textId="77777777" w:rsidTr="00AB6F1A">
        <w:trPr>
          <w:cantSplit/>
          <w:trHeight w:val="624"/>
          <w:tblHeader/>
          <w:tblCellSpacing w:w="0" w:type="dxa"/>
        </w:trPr>
        <w:tc>
          <w:tcPr>
            <w:tcW w:w="1018" w:type="dxa"/>
            <w:tcBorders>
              <w:left w:val="single" w:sz="4" w:space="0" w:color="999999"/>
            </w:tcBorders>
            <w:shd w:val="clear" w:color="auto" w:fill="FFFFFF"/>
            <w:vAlign w:val="center"/>
          </w:tcPr>
          <w:p w14:paraId="41F2C112" w14:textId="4D3CF3B4" w:rsidR="001F158B" w:rsidRPr="00F42A56" w:rsidRDefault="001F158B"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w:t>
            </w:r>
            <w:r w:rsidR="006A4713">
              <w:rPr>
                <w:rFonts w:asciiTheme="minorHAnsi" w:eastAsia="Times New Roman" w:hAnsiTheme="minorHAnsi" w:cs="Calibri"/>
                <w:sz w:val="22"/>
                <w:lang w:eastAsia="cs-CZ"/>
              </w:rPr>
              <w:t>4</w:t>
            </w:r>
            <w:r w:rsidRPr="00F42A56">
              <w:rPr>
                <w:rFonts w:asciiTheme="minorHAnsi" w:eastAsia="Times New Roman" w:hAnsiTheme="minorHAnsi" w:cs="Calibri"/>
                <w:sz w:val="22"/>
                <w:lang w:eastAsia="cs-CZ"/>
              </w:rPr>
              <w:t>/</w:t>
            </w:r>
            <w:r w:rsidR="006A4713">
              <w:rPr>
                <w:rFonts w:asciiTheme="minorHAnsi" w:eastAsia="Times New Roman" w:hAnsiTheme="minorHAnsi" w:cs="Calibri"/>
                <w:sz w:val="22"/>
                <w:lang w:eastAsia="cs-CZ"/>
              </w:rPr>
              <w:t>06</w:t>
            </w:r>
          </w:p>
        </w:tc>
        <w:tc>
          <w:tcPr>
            <w:tcW w:w="6237" w:type="dxa"/>
            <w:shd w:val="clear" w:color="auto" w:fill="FFFFFF"/>
            <w:vAlign w:val="center"/>
          </w:tcPr>
          <w:p w14:paraId="0E025510" w14:textId="1D8B08FE" w:rsidR="001F158B" w:rsidRDefault="006A4713" w:rsidP="00012C63">
            <w:pPr>
              <w:spacing w:before="0" w:after="0" w:line="240" w:lineRule="auto"/>
              <w:ind w:left="73" w:right="117"/>
              <w:jc w:val="left"/>
              <w:rPr>
                <w:rFonts w:asciiTheme="minorHAnsi" w:eastAsia="Times New Roman" w:hAnsiTheme="minorHAnsi" w:cs="Calibri"/>
                <w:sz w:val="22"/>
                <w:lang w:eastAsia="cs-CZ"/>
              </w:rPr>
            </w:pPr>
            <w:r w:rsidRPr="006A4713">
              <w:rPr>
                <w:rFonts w:asciiTheme="minorHAnsi" w:eastAsia="Times New Roman" w:hAnsiTheme="minorHAnsi" w:cs="Calibri"/>
                <w:sz w:val="22"/>
                <w:lang w:eastAsia="cs-CZ"/>
              </w:rPr>
              <w:t>Peněžní prostředky určené na podporu výroby energie z</w:t>
            </w:r>
            <w:r w:rsidR="0009502D">
              <w:rPr>
                <w:rFonts w:asciiTheme="minorHAnsi" w:eastAsia="Times New Roman" w:hAnsiTheme="minorHAnsi" w:cs="Calibri"/>
                <w:sz w:val="22"/>
                <w:lang w:eastAsia="cs-CZ"/>
              </w:rPr>
              <w:t> </w:t>
            </w:r>
            <w:r w:rsidRPr="006A4713">
              <w:rPr>
                <w:rFonts w:asciiTheme="minorHAnsi" w:eastAsia="Times New Roman" w:hAnsiTheme="minorHAnsi" w:cs="Calibri"/>
                <w:sz w:val="22"/>
                <w:lang w:eastAsia="cs-CZ"/>
              </w:rPr>
              <w:t>obnovitelných zdrojů</w:t>
            </w:r>
          </w:p>
          <w:p w14:paraId="3BFEF2AA" w14:textId="6CA1E62E"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2" w:history="1">
              <w:r w:rsidR="006A4713" w:rsidRPr="00592E43">
                <w:rPr>
                  <w:rStyle w:val="Hypertextovodkaz"/>
                  <w:rFonts w:asciiTheme="minorHAnsi" w:eastAsia="Times New Roman" w:hAnsiTheme="minorHAnsi" w:cs="Calibri"/>
                  <w:sz w:val="22"/>
                  <w:lang w:eastAsia="cs-CZ"/>
                </w:rPr>
                <w:t>https://www.nku.cz/assets/kon-zavery/K14006.pdf</w:t>
              </w:r>
            </w:hyperlink>
          </w:p>
        </w:tc>
        <w:tc>
          <w:tcPr>
            <w:tcW w:w="1871" w:type="dxa"/>
            <w:shd w:val="clear" w:color="auto" w:fill="FFFFFF"/>
            <w:vAlign w:val="center"/>
          </w:tcPr>
          <w:p w14:paraId="3EB02CE3" w14:textId="5CCC794F" w:rsidR="001F158B" w:rsidRPr="00F42A56" w:rsidRDefault="006A4713" w:rsidP="00AB6F1A">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10. 11. 2014</w:t>
            </w:r>
          </w:p>
        </w:tc>
      </w:tr>
      <w:tr w:rsidR="006A4713" w:rsidRPr="00E42608" w14:paraId="76983BA7" w14:textId="77777777" w:rsidTr="00AB6F1A">
        <w:trPr>
          <w:cantSplit/>
          <w:trHeight w:val="624"/>
          <w:tblHeader/>
          <w:tblCellSpacing w:w="0" w:type="dxa"/>
        </w:trPr>
        <w:tc>
          <w:tcPr>
            <w:tcW w:w="1018" w:type="dxa"/>
            <w:tcBorders>
              <w:left w:val="single" w:sz="4" w:space="0" w:color="999999"/>
            </w:tcBorders>
            <w:shd w:val="clear" w:color="auto" w:fill="FFFFFF"/>
            <w:vAlign w:val="center"/>
          </w:tcPr>
          <w:p w14:paraId="76FEEC7B" w14:textId="1883CA24"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15/33</w:t>
            </w:r>
          </w:p>
        </w:tc>
        <w:tc>
          <w:tcPr>
            <w:tcW w:w="6237" w:type="dxa"/>
            <w:shd w:val="clear" w:color="auto" w:fill="FFFFFF"/>
            <w:vAlign w:val="center"/>
          </w:tcPr>
          <w:p w14:paraId="12EE8C77"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Správa spotřebních daní</w:t>
            </w:r>
          </w:p>
          <w:p w14:paraId="2CC31D66" w14:textId="648F6C59"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3" w:history="1">
              <w:r w:rsidR="006A4713" w:rsidRPr="008F1983">
                <w:rPr>
                  <w:rStyle w:val="Hypertextovodkaz"/>
                  <w:rFonts w:asciiTheme="minorHAnsi" w:eastAsia="Times New Roman" w:hAnsiTheme="minorHAnsi" w:cs="Calibri"/>
                  <w:sz w:val="22"/>
                  <w:lang w:eastAsia="cs-CZ"/>
                </w:rPr>
                <w:t>https://www.nku.cz/assets/kon-zavery/K15033.pdf</w:t>
              </w:r>
            </w:hyperlink>
          </w:p>
        </w:tc>
        <w:tc>
          <w:tcPr>
            <w:tcW w:w="1871" w:type="dxa"/>
            <w:shd w:val="clear" w:color="auto" w:fill="FFFFFF"/>
            <w:vAlign w:val="center"/>
          </w:tcPr>
          <w:p w14:paraId="544BAF7D" w14:textId="6D3C783B"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17. 10. 2016</w:t>
            </w:r>
          </w:p>
        </w:tc>
      </w:tr>
      <w:tr w:rsidR="006A4713" w:rsidRPr="00E42608" w14:paraId="327EF9BF" w14:textId="77777777" w:rsidTr="00AB6F1A">
        <w:trPr>
          <w:cantSplit/>
          <w:trHeight w:val="624"/>
          <w:tblHeader/>
          <w:tblCellSpacing w:w="0" w:type="dxa"/>
        </w:trPr>
        <w:tc>
          <w:tcPr>
            <w:tcW w:w="1018" w:type="dxa"/>
            <w:tcBorders>
              <w:left w:val="single" w:sz="4" w:space="0" w:color="999999"/>
            </w:tcBorders>
            <w:shd w:val="clear" w:color="auto" w:fill="FFFFFF"/>
            <w:vAlign w:val="center"/>
          </w:tcPr>
          <w:p w14:paraId="0E7FA163"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16/09</w:t>
            </w:r>
          </w:p>
        </w:tc>
        <w:tc>
          <w:tcPr>
            <w:tcW w:w="6237" w:type="dxa"/>
            <w:shd w:val="clear" w:color="auto" w:fill="FFFFFF"/>
            <w:vAlign w:val="center"/>
          </w:tcPr>
          <w:p w14:paraId="515F1A5F"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Nároky z nespotřebovaných výdajů vykazované organizačními složkami státu</w:t>
            </w:r>
          </w:p>
          <w:p w14:paraId="48838C52"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4" w:history="1">
              <w:r w:rsidR="006A4713" w:rsidRPr="008F1983">
                <w:rPr>
                  <w:rStyle w:val="Hypertextovodkaz"/>
                  <w:rFonts w:asciiTheme="minorHAnsi" w:eastAsia="Times New Roman" w:hAnsiTheme="minorHAnsi" w:cs="Calibri"/>
                  <w:sz w:val="22"/>
                  <w:lang w:eastAsia="cs-CZ"/>
                </w:rPr>
                <w:t>https://www.nku.cz/assets/kon-zavery/K16009.pdf</w:t>
              </w:r>
            </w:hyperlink>
          </w:p>
        </w:tc>
        <w:tc>
          <w:tcPr>
            <w:tcW w:w="1871" w:type="dxa"/>
            <w:shd w:val="clear" w:color="auto" w:fill="FFFFFF"/>
            <w:vAlign w:val="center"/>
          </w:tcPr>
          <w:p w14:paraId="79AB0F82"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16. 1. 2017</w:t>
            </w:r>
          </w:p>
        </w:tc>
      </w:tr>
      <w:tr w:rsidR="006A4713" w:rsidRPr="00E42608" w14:paraId="124E9E74" w14:textId="77777777" w:rsidTr="00AB6F1A">
        <w:trPr>
          <w:cantSplit/>
          <w:trHeight w:val="850"/>
          <w:tblHeader/>
          <w:tblCellSpacing w:w="0" w:type="dxa"/>
        </w:trPr>
        <w:tc>
          <w:tcPr>
            <w:tcW w:w="1018" w:type="dxa"/>
            <w:tcBorders>
              <w:left w:val="single" w:sz="4" w:space="0" w:color="999999"/>
            </w:tcBorders>
            <w:shd w:val="clear" w:color="auto" w:fill="FFFFFF"/>
            <w:vAlign w:val="center"/>
          </w:tcPr>
          <w:p w14:paraId="4C3FD041"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16/21</w:t>
            </w:r>
          </w:p>
        </w:tc>
        <w:tc>
          <w:tcPr>
            <w:tcW w:w="6237" w:type="dxa"/>
            <w:shd w:val="clear" w:color="auto" w:fill="FFFFFF"/>
            <w:vAlign w:val="center"/>
          </w:tcPr>
          <w:p w14:paraId="47252C79"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Správa daně z příjmů fyzických osob se zaměřením na dopady legislativních změn na příjmy státního rozpočtu</w:t>
            </w:r>
          </w:p>
          <w:p w14:paraId="7827F625"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5" w:history="1">
              <w:r w:rsidR="006A4713" w:rsidRPr="008F1983">
                <w:rPr>
                  <w:rStyle w:val="Hypertextovodkaz"/>
                  <w:rFonts w:asciiTheme="minorHAnsi" w:eastAsia="Times New Roman" w:hAnsiTheme="minorHAnsi" w:cs="Calibri"/>
                  <w:sz w:val="22"/>
                  <w:lang w:eastAsia="cs-CZ"/>
                </w:rPr>
                <w:t>https://www.nku.cz/assets/kon-zavery/K16021.pdf</w:t>
              </w:r>
            </w:hyperlink>
          </w:p>
        </w:tc>
        <w:tc>
          <w:tcPr>
            <w:tcW w:w="1871" w:type="dxa"/>
            <w:shd w:val="clear" w:color="auto" w:fill="FFFFFF"/>
            <w:vAlign w:val="center"/>
          </w:tcPr>
          <w:p w14:paraId="301AE1A1"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7. 8. 2017</w:t>
            </w:r>
          </w:p>
        </w:tc>
      </w:tr>
      <w:tr w:rsidR="006A4713" w:rsidRPr="00E42608" w14:paraId="179D02BA" w14:textId="77777777" w:rsidTr="00AB6F1A">
        <w:trPr>
          <w:cantSplit/>
          <w:trHeight w:val="1644"/>
          <w:tblHeader/>
          <w:tblCellSpacing w:w="0" w:type="dxa"/>
        </w:trPr>
        <w:tc>
          <w:tcPr>
            <w:tcW w:w="1018" w:type="dxa"/>
            <w:tcBorders>
              <w:left w:val="single" w:sz="4" w:space="0" w:color="999999"/>
            </w:tcBorders>
            <w:shd w:val="clear" w:color="auto" w:fill="FFFFFF"/>
            <w:vAlign w:val="center"/>
          </w:tcPr>
          <w:p w14:paraId="6D218E1F"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16/29</w:t>
            </w:r>
          </w:p>
        </w:tc>
        <w:tc>
          <w:tcPr>
            <w:tcW w:w="6237" w:type="dxa"/>
            <w:shd w:val="clear" w:color="auto" w:fill="FFFFFF"/>
            <w:vAlign w:val="center"/>
          </w:tcPr>
          <w:p w14:paraId="3B562E21" w14:textId="6BB369DF"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 xml:space="preserve">Závěrečný účet kapitoly státního rozpočtu </w:t>
            </w:r>
            <w:r w:rsidRPr="00012C63">
              <w:rPr>
                <w:rFonts w:asciiTheme="minorHAnsi" w:eastAsia="Times New Roman" w:hAnsiTheme="minorHAnsi" w:cs="Calibri"/>
                <w:i/>
                <w:sz w:val="22"/>
                <w:lang w:eastAsia="cs-CZ"/>
              </w:rPr>
              <w:t>Ministerstvo práce a</w:t>
            </w:r>
            <w:r w:rsidR="0009502D">
              <w:rPr>
                <w:rFonts w:asciiTheme="minorHAnsi" w:eastAsia="Times New Roman" w:hAnsiTheme="minorHAnsi" w:cs="Calibri"/>
                <w:i/>
                <w:sz w:val="22"/>
                <w:lang w:eastAsia="cs-CZ"/>
              </w:rPr>
              <w:t> </w:t>
            </w:r>
            <w:r w:rsidRPr="00012C63">
              <w:rPr>
                <w:rFonts w:asciiTheme="minorHAnsi" w:eastAsia="Times New Roman" w:hAnsiTheme="minorHAnsi" w:cs="Calibri"/>
                <w:i/>
                <w:sz w:val="22"/>
                <w:lang w:eastAsia="cs-CZ"/>
              </w:rPr>
              <w:t xml:space="preserve">sociálních věcí </w:t>
            </w:r>
            <w:r w:rsidRPr="00442311">
              <w:rPr>
                <w:rFonts w:asciiTheme="minorHAnsi" w:eastAsia="Times New Roman" w:hAnsiTheme="minorHAnsi" w:cs="Calibri"/>
                <w:sz w:val="22"/>
                <w:lang w:eastAsia="cs-CZ"/>
              </w:rPr>
              <w:t>za rok 2016, účetní závěrka Ministerstva práce a</w:t>
            </w:r>
            <w:r w:rsidR="0009502D">
              <w:rPr>
                <w:rFonts w:asciiTheme="minorHAnsi" w:eastAsia="Times New Roman" w:hAnsiTheme="minorHAnsi" w:cs="Calibri"/>
                <w:sz w:val="22"/>
                <w:lang w:eastAsia="cs-CZ"/>
              </w:rPr>
              <w:t> </w:t>
            </w:r>
            <w:r w:rsidRPr="00442311">
              <w:rPr>
                <w:rFonts w:asciiTheme="minorHAnsi" w:eastAsia="Times New Roman" w:hAnsiTheme="minorHAnsi" w:cs="Calibri"/>
                <w:sz w:val="22"/>
                <w:lang w:eastAsia="cs-CZ"/>
              </w:rPr>
              <w:t>sociálních věcí za rok 2016 a údaje předkládané Ministerstvem práce a sociálních věcí pro hodnocení plnění státního rozpočtu za rok 2016</w:t>
            </w:r>
          </w:p>
          <w:p w14:paraId="74346CFF"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6" w:history="1">
              <w:r w:rsidR="006A4713" w:rsidRPr="008F1983">
                <w:rPr>
                  <w:rStyle w:val="Hypertextovodkaz"/>
                  <w:sz w:val="22"/>
                </w:rPr>
                <w:t>https://www.nku.cz/assets/kon-zavery/K16029.pdf</w:t>
              </w:r>
            </w:hyperlink>
          </w:p>
        </w:tc>
        <w:tc>
          <w:tcPr>
            <w:tcW w:w="1871" w:type="dxa"/>
            <w:shd w:val="clear" w:color="auto" w:fill="FFFFFF"/>
            <w:vAlign w:val="center"/>
          </w:tcPr>
          <w:p w14:paraId="1A4657A5"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18. 9. 2017</w:t>
            </w:r>
          </w:p>
        </w:tc>
      </w:tr>
      <w:tr w:rsidR="006A4713" w:rsidRPr="00E42608" w14:paraId="5F92C102" w14:textId="77777777" w:rsidTr="00AB6F1A">
        <w:trPr>
          <w:cantSplit/>
          <w:trHeight w:val="624"/>
          <w:tblHeader/>
          <w:tblCellSpacing w:w="0" w:type="dxa"/>
        </w:trPr>
        <w:tc>
          <w:tcPr>
            <w:tcW w:w="1018" w:type="dxa"/>
            <w:tcBorders>
              <w:left w:val="single" w:sz="4" w:space="0" w:color="999999"/>
            </w:tcBorders>
            <w:shd w:val="clear" w:color="auto" w:fill="FFFFFF"/>
            <w:vAlign w:val="center"/>
          </w:tcPr>
          <w:p w14:paraId="7D7E4C5E"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17/05</w:t>
            </w:r>
          </w:p>
        </w:tc>
        <w:tc>
          <w:tcPr>
            <w:tcW w:w="6237" w:type="dxa"/>
            <w:shd w:val="clear" w:color="auto" w:fill="FFFFFF"/>
            <w:vAlign w:val="center"/>
          </w:tcPr>
          <w:p w14:paraId="7144B831"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Výstavba, modernizace a rekonstrukce dálnic</w:t>
            </w:r>
          </w:p>
          <w:p w14:paraId="745B2E5A"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7" w:history="1">
              <w:r w:rsidR="006A4713" w:rsidRPr="008F1983">
                <w:rPr>
                  <w:rStyle w:val="Hypertextovodkaz"/>
                  <w:rFonts w:asciiTheme="minorHAnsi" w:eastAsia="Times New Roman" w:hAnsiTheme="minorHAnsi" w:cs="Calibri"/>
                  <w:sz w:val="22"/>
                  <w:lang w:eastAsia="cs-CZ"/>
                </w:rPr>
                <w:t>https://www.nku.cz/assets/kon-zavery/K17005.pdf</w:t>
              </w:r>
            </w:hyperlink>
          </w:p>
        </w:tc>
        <w:tc>
          <w:tcPr>
            <w:tcW w:w="1871" w:type="dxa"/>
            <w:shd w:val="clear" w:color="auto" w:fill="FFFFFF"/>
            <w:vAlign w:val="center"/>
          </w:tcPr>
          <w:p w14:paraId="690E2AF4"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27. 11. 2017</w:t>
            </w:r>
          </w:p>
        </w:tc>
      </w:tr>
      <w:tr w:rsidR="006A4713" w:rsidRPr="00E42608" w14:paraId="02DD933F" w14:textId="77777777" w:rsidTr="00AB6F1A">
        <w:trPr>
          <w:cantSplit/>
          <w:trHeight w:val="1417"/>
          <w:tblHeader/>
          <w:tblCellSpacing w:w="0" w:type="dxa"/>
        </w:trPr>
        <w:tc>
          <w:tcPr>
            <w:tcW w:w="1018" w:type="dxa"/>
            <w:tcBorders>
              <w:left w:val="single" w:sz="4" w:space="0" w:color="999999"/>
            </w:tcBorders>
            <w:shd w:val="clear" w:color="auto" w:fill="FFFFFF"/>
            <w:vAlign w:val="center"/>
          </w:tcPr>
          <w:p w14:paraId="1C0358EC" w14:textId="77777777" w:rsidR="006A4713"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17/08</w:t>
            </w:r>
          </w:p>
        </w:tc>
        <w:tc>
          <w:tcPr>
            <w:tcW w:w="6237" w:type="dxa"/>
            <w:shd w:val="clear" w:color="auto" w:fill="FFFFFF"/>
            <w:vAlign w:val="center"/>
          </w:tcPr>
          <w:p w14:paraId="47771E7D"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 xml:space="preserve">Závěrečný účet kapitoly státního rozpočtu </w:t>
            </w:r>
            <w:r w:rsidRPr="00012C63">
              <w:rPr>
                <w:rFonts w:asciiTheme="minorHAnsi" w:eastAsia="Times New Roman" w:hAnsiTheme="minorHAnsi" w:cs="Calibri"/>
                <w:i/>
                <w:sz w:val="22"/>
                <w:lang w:eastAsia="cs-CZ"/>
              </w:rPr>
              <w:t>Ministerstvo pro místní rozvoj</w:t>
            </w:r>
            <w:r w:rsidRPr="00442311">
              <w:rPr>
                <w:rFonts w:asciiTheme="minorHAnsi" w:eastAsia="Times New Roman" w:hAnsiTheme="minorHAnsi" w:cs="Calibri"/>
                <w:sz w:val="22"/>
                <w:lang w:eastAsia="cs-CZ"/>
              </w:rPr>
              <w:t xml:space="preserve"> za rok 2016, účetní závěrka Ministerstva pro místní rozvoj za</w:t>
            </w:r>
            <w:r>
              <w:rPr>
                <w:rFonts w:asciiTheme="minorHAnsi" w:eastAsia="Times New Roman" w:hAnsiTheme="minorHAnsi" w:cs="Calibri"/>
                <w:sz w:val="22"/>
                <w:lang w:eastAsia="cs-CZ"/>
              </w:rPr>
              <w:t> </w:t>
            </w:r>
            <w:r w:rsidRPr="00442311">
              <w:rPr>
                <w:rFonts w:asciiTheme="minorHAnsi" w:eastAsia="Times New Roman" w:hAnsiTheme="minorHAnsi" w:cs="Calibri"/>
                <w:sz w:val="22"/>
                <w:lang w:eastAsia="cs-CZ"/>
              </w:rPr>
              <w:t>rok 2016 a údaje předkládané Ministerstvem pro místní rozvoj pro hodnocení plnění státního rozpočtu za rok 2016</w:t>
            </w:r>
          </w:p>
          <w:p w14:paraId="3FD98990" w14:textId="77777777" w:rsidR="006A4713" w:rsidRPr="00442311"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8" w:history="1">
              <w:r w:rsidR="006A4713" w:rsidRPr="006E1732">
                <w:rPr>
                  <w:rStyle w:val="Hypertextovodkaz"/>
                  <w:sz w:val="22"/>
                </w:rPr>
                <w:t>https://www.nku.cz/assets/kon-zavery/K17008.pdf</w:t>
              </w:r>
            </w:hyperlink>
          </w:p>
        </w:tc>
        <w:tc>
          <w:tcPr>
            <w:tcW w:w="1871" w:type="dxa"/>
            <w:shd w:val="clear" w:color="auto" w:fill="FFFFFF"/>
            <w:vAlign w:val="center"/>
          </w:tcPr>
          <w:p w14:paraId="177F1F39"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13. 11. 2017</w:t>
            </w:r>
          </w:p>
        </w:tc>
      </w:tr>
      <w:tr w:rsidR="006A4713" w:rsidRPr="00E42608" w14:paraId="45292937" w14:textId="77777777" w:rsidTr="00AB6F1A">
        <w:trPr>
          <w:cantSplit/>
          <w:trHeight w:val="1417"/>
          <w:tblHeader/>
          <w:tblCellSpacing w:w="0" w:type="dxa"/>
        </w:trPr>
        <w:tc>
          <w:tcPr>
            <w:tcW w:w="1018" w:type="dxa"/>
            <w:tcBorders>
              <w:left w:val="single" w:sz="4" w:space="0" w:color="999999"/>
            </w:tcBorders>
            <w:shd w:val="clear" w:color="auto" w:fill="FFFFFF"/>
            <w:vAlign w:val="center"/>
          </w:tcPr>
          <w:p w14:paraId="09667A95"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17/18</w:t>
            </w:r>
          </w:p>
        </w:tc>
        <w:tc>
          <w:tcPr>
            <w:tcW w:w="6237" w:type="dxa"/>
            <w:shd w:val="clear" w:color="auto" w:fill="FFFFFF"/>
            <w:vAlign w:val="center"/>
          </w:tcPr>
          <w:p w14:paraId="3B795D6E"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 xml:space="preserve">Závěrečný účet kapitoly státního rozpočtu </w:t>
            </w:r>
            <w:r w:rsidRPr="00012C63">
              <w:rPr>
                <w:rFonts w:asciiTheme="minorHAnsi" w:eastAsia="Times New Roman" w:hAnsiTheme="minorHAnsi" w:cs="Calibri"/>
                <w:i/>
                <w:sz w:val="22"/>
                <w:lang w:eastAsia="cs-CZ"/>
              </w:rPr>
              <w:t>Ministerstvo životního prostředí</w:t>
            </w:r>
            <w:r w:rsidRPr="00442311">
              <w:rPr>
                <w:rFonts w:asciiTheme="minorHAnsi" w:eastAsia="Times New Roman" w:hAnsiTheme="minorHAnsi" w:cs="Calibri"/>
                <w:sz w:val="22"/>
                <w:lang w:eastAsia="cs-CZ"/>
              </w:rPr>
              <w:t xml:space="preserve"> za rok 2016, účetní závěrka Ministerstva životního prostředí za rok 2016 a údaje předkládané Ministerstvem životního prostředí pro hodnocení plnění státního rozpočtu za rok 2016</w:t>
            </w:r>
          </w:p>
          <w:p w14:paraId="3A021161"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19" w:history="1">
              <w:r w:rsidR="006A4713" w:rsidRPr="006E1732">
                <w:rPr>
                  <w:rStyle w:val="Hypertextovodkaz"/>
                  <w:sz w:val="22"/>
                </w:rPr>
                <w:t>https://www.nku.cz/assets/kon-zavery/K17018.pdf</w:t>
              </w:r>
            </w:hyperlink>
          </w:p>
        </w:tc>
        <w:tc>
          <w:tcPr>
            <w:tcW w:w="1871" w:type="dxa"/>
            <w:shd w:val="clear" w:color="auto" w:fill="FFFFFF"/>
            <w:vAlign w:val="center"/>
          </w:tcPr>
          <w:p w14:paraId="7C618B47"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5. 3. 2018</w:t>
            </w:r>
          </w:p>
        </w:tc>
      </w:tr>
      <w:tr w:rsidR="006A4713" w:rsidRPr="00E42608" w14:paraId="28DFFF0E" w14:textId="77777777" w:rsidTr="00AB6F1A">
        <w:trPr>
          <w:cantSplit/>
          <w:trHeight w:val="850"/>
          <w:tblHeader/>
          <w:tblCellSpacing w:w="0" w:type="dxa"/>
        </w:trPr>
        <w:tc>
          <w:tcPr>
            <w:tcW w:w="1018" w:type="dxa"/>
            <w:tcBorders>
              <w:left w:val="single" w:sz="4" w:space="0" w:color="999999"/>
            </w:tcBorders>
            <w:shd w:val="clear" w:color="auto" w:fill="FFFFFF"/>
            <w:vAlign w:val="center"/>
          </w:tcPr>
          <w:p w14:paraId="571EF7B9"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17/19</w:t>
            </w:r>
          </w:p>
        </w:tc>
        <w:tc>
          <w:tcPr>
            <w:tcW w:w="6237" w:type="dxa"/>
            <w:shd w:val="clear" w:color="auto" w:fill="FFFFFF"/>
            <w:vAlign w:val="center"/>
          </w:tcPr>
          <w:p w14:paraId="5A125EC1"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Peněžní prostředky vynakládané vybranými nemocnicemi na</w:t>
            </w:r>
            <w:r>
              <w:rPr>
                <w:rFonts w:asciiTheme="minorHAnsi" w:eastAsia="Times New Roman" w:hAnsiTheme="minorHAnsi" w:cs="Calibri"/>
                <w:sz w:val="22"/>
                <w:lang w:eastAsia="cs-CZ"/>
              </w:rPr>
              <w:t> </w:t>
            </w:r>
            <w:r w:rsidRPr="00F42A56">
              <w:rPr>
                <w:rFonts w:asciiTheme="minorHAnsi" w:eastAsia="Times New Roman" w:hAnsiTheme="minorHAnsi" w:cs="Calibri"/>
                <w:sz w:val="22"/>
                <w:lang w:eastAsia="cs-CZ"/>
              </w:rPr>
              <w:t>úhradu nákladů z</w:t>
            </w:r>
            <w:r>
              <w:rPr>
                <w:rFonts w:asciiTheme="minorHAnsi" w:eastAsia="Times New Roman" w:hAnsiTheme="minorHAnsi" w:cs="Calibri"/>
                <w:sz w:val="22"/>
                <w:lang w:eastAsia="cs-CZ"/>
              </w:rPr>
              <w:t> </w:t>
            </w:r>
            <w:r w:rsidRPr="00F42A56">
              <w:rPr>
                <w:rFonts w:asciiTheme="minorHAnsi" w:eastAsia="Times New Roman" w:hAnsiTheme="minorHAnsi" w:cs="Calibri"/>
                <w:sz w:val="22"/>
                <w:lang w:eastAsia="cs-CZ"/>
              </w:rPr>
              <w:t>činnosti</w:t>
            </w:r>
          </w:p>
          <w:p w14:paraId="0DC9F732"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0" w:history="1">
              <w:r w:rsidR="006A4713" w:rsidRPr="008F1983">
                <w:rPr>
                  <w:rStyle w:val="Hypertextovodkaz"/>
                  <w:rFonts w:asciiTheme="minorHAnsi" w:eastAsia="Times New Roman" w:hAnsiTheme="minorHAnsi" w:cs="Calibri"/>
                  <w:sz w:val="22"/>
                  <w:lang w:eastAsia="cs-CZ"/>
                </w:rPr>
                <w:t>https://www.nku.cz/assets/kon-zavery/K17019.pdf</w:t>
              </w:r>
            </w:hyperlink>
          </w:p>
        </w:tc>
        <w:tc>
          <w:tcPr>
            <w:tcW w:w="1871" w:type="dxa"/>
            <w:shd w:val="clear" w:color="auto" w:fill="FFFFFF"/>
            <w:vAlign w:val="center"/>
          </w:tcPr>
          <w:p w14:paraId="181CEDEB"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30. 7. 2018</w:t>
            </w:r>
          </w:p>
        </w:tc>
      </w:tr>
      <w:tr w:rsidR="006A4713" w:rsidRPr="00E42608" w14:paraId="548026E3" w14:textId="77777777" w:rsidTr="00AB6F1A">
        <w:trPr>
          <w:cantSplit/>
          <w:trHeight w:val="850"/>
          <w:tblHeader/>
          <w:tblCellSpacing w:w="0" w:type="dxa"/>
        </w:trPr>
        <w:tc>
          <w:tcPr>
            <w:tcW w:w="1018" w:type="dxa"/>
            <w:tcBorders>
              <w:left w:val="single" w:sz="4" w:space="0" w:color="999999"/>
            </w:tcBorders>
            <w:shd w:val="clear" w:color="auto" w:fill="FFFFFF"/>
            <w:vAlign w:val="center"/>
          </w:tcPr>
          <w:p w14:paraId="344875C8"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17/26</w:t>
            </w:r>
          </w:p>
        </w:tc>
        <w:tc>
          <w:tcPr>
            <w:tcW w:w="6237" w:type="dxa"/>
            <w:shd w:val="clear" w:color="auto" w:fill="FFFFFF"/>
            <w:vAlign w:val="center"/>
          </w:tcPr>
          <w:p w14:paraId="5ADB4E40"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 xml:space="preserve">Peněžní prostředky určené na opatření </w:t>
            </w:r>
            <w:r w:rsidRPr="00012C63">
              <w:rPr>
                <w:rFonts w:asciiTheme="minorHAnsi" w:eastAsia="Times New Roman" w:hAnsiTheme="minorHAnsi" w:cs="Calibri"/>
                <w:i/>
                <w:sz w:val="22"/>
                <w:lang w:eastAsia="cs-CZ"/>
              </w:rPr>
              <w:t>Spolupráce</w:t>
            </w:r>
            <w:r w:rsidRPr="00F42A56">
              <w:rPr>
                <w:rFonts w:asciiTheme="minorHAnsi" w:eastAsia="Times New Roman" w:hAnsiTheme="minorHAnsi" w:cs="Calibri"/>
                <w:sz w:val="22"/>
                <w:lang w:eastAsia="cs-CZ"/>
              </w:rPr>
              <w:t xml:space="preserve"> v rámci </w:t>
            </w:r>
            <w:r w:rsidRPr="00012C63">
              <w:rPr>
                <w:rFonts w:asciiTheme="minorHAnsi" w:eastAsia="Times New Roman" w:hAnsiTheme="minorHAnsi" w:cs="Calibri"/>
                <w:i/>
                <w:sz w:val="22"/>
                <w:lang w:eastAsia="cs-CZ"/>
              </w:rPr>
              <w:t>Programu rozvoje venkova ČR na období 2014–2020</w:t>
            </w:r>
          </w:p>
          <w:p w14:paraId="2A55C9DD"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1" w:history="1">
              <w:r w:rsidR="006A4713" w:rsidRPr="008F1983">
                <w:rPr>
                  <w:rStyle w:val="Hypertextovodkaz"/>
                  <w:rFonts w:asciiTheme="minorHAnsi" w:eastAsia="Times New Roman" w:hAnsiTheme="minorHAnsi" w:cs="Calibri"/>
                  <w:sz w:val="22"/>
                  <w:lang w:eastAsia="cs-CZ"/>
                </w:rPr>
                <w:t>https://www.nku.cz/assets/kon-zavery/K17026.pdf</w:t>
              </w:r>
            </w:hyperlink>
          </w:p>
        </w:tc>
        <w:tc>
          <w:tcPr>
            <w:tcW w:w="1871" w:type="dxa"/>
            <w:shd w:val="clear" w:color="auto" w:fill="FFFFFF"/>
            <w:vAlign w:val="center"/>
          </w:tcPr>
          <w:p w14:paraId="382DEA3E"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21. 5. 2018</w:t>
            </w:r>
          </w:p>
        </w:tc>
      </w:tr>
      <w:tr w:rsidR="006A4713" w:rsidRPr="00E42608" w14:paraId="5F2D9972" w14:textId="77777777" w:rsidTr="00AB6F1A">
        <w:trPr>
          <w:cantSplit/>
          <w:trHeight w:val="1417"/>
          <w:tblHeader/>
          <w:tblCellSpacing w:w="0" w:type="dxa"/>
        </w:trPr>
        <w:tc>
          <w:tcPr>
            <w:tcW w:w="1018" w:type="dxa"/>
            <w:tcBorders>
              <w:left w:val="single" w:sz="4" w:space="0" w:color="999999"/>
            </w:tcBorders>
            <w:shd w:val="clear" w:color="auto" w:fill="FFFFFF"/>
            <w:vAlign w:val="center"/>
          </w:tcPr>
          <w:p w14:paraId="5360AE8D" w14:textId="77777777" w:rsidR="006A4713"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17/30</w:t>
            </w:r>
          </w:p>
        </w:tc>
        <w:tc>
          <w:tcPr>
            <w:tcW w:w="6237" w:type="dxa"/>
            <w:shd w:val="clear" w:color="auto" w:fill="FFFFFF"/>
            <w:vAlign w:val="center"/>
          </w:tcPr>
          <w:p w14:paraId="3F153A21" w14:textId="5B2B11DF"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 xml:space="preserve">Závěrečný účet kapitoly státního rozpočtu </w:t>
            </w:r>
            <w:r w:rsidRPr="00012C63">
              <w:rPr>
                <w:rFonts w:asciiTheme="minorHAnsi" w:eastAsia="Times New Roman" w:hAnsiTheme="minorHAnsi" w:cs="Calibri"/>
                <w:i/>
                <w:sz w:val="22"/>
                <w:lang w:eastAsia="cs-CZ"/>
              </w:rPr>
              <w:t>Ministerstvo obrany</w:t>
            </w:r>
            <w:r w:rsidRPr="00442311">
              <w:rPr>
                <w:rFonts w:asciiTheme="minorHAnsi" w:eastAsia="Times New Roman" w:hAnsiTheme="minorHAnsi" w:cs="Calibri"/>
                <w:sz w:val="22"/>
                <w:lang w:eastAsia="cs-CZ"/>
              </w:rPr>
              <w:t xml:space="preserve"> za</w:t>
            </w:r>
            <w:r>
              <w:rPr>
                <w:rFonts w:asciiTheme="minorHAnsi" w:eastAsia="Times New Roman" w:hAnsiTheme="minorHAnsi" w:cs="Calibri"/>
                <w:sz w:val="22"/>
                <w:lang w:eastAsia="cs-CZ"/>
              </w:rPr>
              <w:t> </w:t>
            </w:r>
            <w:r w:rsidRPr="00442311">
              <w:rPr>
                <w:rFonts w:asciiTheme="minorHAnsi" w:eastAsia="Times New Roman" w:hAnsiTheme="minorHAnsi" w:cs="Calibri"/>
                <w:sz w:val="22"/>
                <w:lang w:eastAsia="cs-CZ"/>
              </w:rPr>
              <w:t>rok 2017, účetní závěrka Ministerstva obrany za rok 2017 a</w:t>
            </w:r>
            <w:r w:rsidR="0009502D">
              <w:rPr>
                <w:rFonts w:asciiTheme="minorHAnsi" w:eastAsia="Times New Roman" w:hAnsiTheme="minorHAnsi" w:cs="Calibri"/>
                <w:sz w:val="22"/>
                <w:lang w:eastAsia="cs-CZ"/>
              </w:rPr>
              <w:t> </w:t>
            </w:r>
            <w:r w:rsidRPr="00442311">
              <w:rPr>
                <w:rFonts w:asciiTheme="minorHAnsi" w:eastAsia="Times New Roman" w:hAnsiTheme="minorHAnsi" w:cs="Calibri"/>
                <w:sz w:val="22"/>
                <w:lang w:eastAsia="cs-CZ"/>
              </w:rPr>
              <w:t>údaje předkládané Ministerstvem obrany pro hodnocení plnění státního rozpočtu za rok 2017</w:t>
            </w:r>
          </w:p>
          <w:p w14:paraId="2C63D4D6" w14:textId="77777777" w:rsidR="006A4713" w:rsidRPr="00442311"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2" w:history="1">
              <w:r w:rsidR="006A4713" w:rsidRPr="006E1732">
                <w:rPr>
                  <w:rStyle w:val="Hypertextovodkaz"/>
                  <w:sz w:val="22"/>
                </w:rPr>
                <w:t>https://www.nku.cz/assets/kon-zavery/K17030.pdf</w:t>
              </w:r>
            </w:hyperlink>
          </w:p>
        </w:tc>
        <w:tc>
          <w:tcPr>
            <w:tcW w:w="1871" w:type="dxa"/>
            <w:shd w:val="clear" w:color="auto" w:fill="FFFFFF"/>
            <w:vAlign w:val="center"/>
          </w:tcPr>
          <w:p w14:paraId="0CE8EF36"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25. 6. 2018</w:t>
            </w:r>
          </w:p>
        </w:tc>
      </w:tr>
      <w:tr w:rsidR="006A4713" w:rsidRPr="00E42608" w14:paraId="6C8606DC" w14:textId="77777777" w:rsidTr="00AB6F1A">
        <w:trPr>
          <w:cantSplit/>
          <w:trHeight w:val="1417"/>
          <w:tblHeader/>
          <w:tblCellSpacing w:w="0" w:type="dxa"/>
        </w:trPr>
        <w:tc>
          <w:tcPr>
            <w:tcW w:w="1018" w:type="dxa"/>
            <w:tcBorders>
              <w:left w:val="single" w:sz="4" w:space="0" w:color="999999"/>
            </w:tcBorders>
            <w:shd w:val="clear" w:color="auto" w:fill="FFFFFF"/>
            <w:vAlign w:val="center"/>
          </w:tcPr>
          <w:p w14:paraId="73649868" w14:textId="77777777" w:rsidR="006A4713"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lastRenderedPageBreak/>
              <w:t>17/31</w:t>
            </w:r>
          </w:p>
        </w:tc>
        <w:tc>
          <w:tcPr>
            <w:tcW w:w="6237" w:type="dxa"/>
            <w:shd w:val="clear" w:color="auto" w:fill="FFFFFF"/>
            <w:vAlign w:val="center"/>
          </w:tcPr>
          <w:p w14:paraId="7537C07E"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 xml:space="preserve">Závěrečný účet kapitoly státního rozpočtu </w:t>
            </w:r>
            <w:r w:rsidRPr="00012C63">
              <w:rPr>
                <w:rFonts w:asciiTheme="minorHAnsi" w:eastAsia="Times New Roman" w:hAnsiTheme="minorHAnsi" w:cs="Calibri"/>
                <w:i/>
                <w:sz w:val="22"/>
                <w:lang w:eastAsia="cs-CZ"/>
              </w:rPr>
              <w:t>Ministerstvo zemědělství</w:t>
            </w:r>
            <w:r w:rsidRPr="00442311">
              <w:rPr>
                <w:rFonts w:asciiTheme="minorHAnsi" w:eastAsia="Times New Roman" w:hAnsiTheme="minorHAnsi" w:cs="Calibri"/>
                <w:sz w:val="22"/>
                <w:lang w:eastAsia="cs-CZ"/>
              </w:rPr>
              <w:t xml:space="preserve"> za rok 2017, účetní závěrka Ministerstva zemědělství za rok 2017 a údaje předkládané Ministerstvem zemědělství pro hodnocení plnění státního rozpočtu za rok 2017</w:t>
            </w:r>
          </w:p>
          <w:p w14:paraId="76E0A592" w14:textId="77777777" w:rsidR="006A4713" w:rsidRPr="006E1732"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3" w:history="1">
              <w:r w:rsidR="006A4713" w:rsidRPr="006E1732">
                <w:rPr>
                  <w:rStyle w:val="Hypertextovodkaz"/>
                  <w:sz w:val="22"/>
                </w:rPr>
                <w:t>https://www.nku.cz/assets/kon-zavery/K17031.pdf</w:t>
              </w:r>
            </w:hyperlink>
          </w:p>
        </w:tc>
        <w:tc>
          <w:tcPr>
            <w:tcW w:w="1871" w:type="dxa"/>
            <w:shd w:val="clear" w:color="auto" w:fill="FFFFFF"/>
            <w:vAlign w:val="center"/>
          </w:tcPr>
          <w:p w14:paraId="233CBF5D"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30. 7. 2018</w:t>
            </w:r>
          </w:p>
        </w:tc>
      </w:tr>
      <w:tr w:rsidR="006A4713" w:rsidRPr="00E42608" w14:paraId="3EA6F673" w14:textId="77777777" w:rsidTr="00AB6F1A">
        <w:trPr>
          <w:cantSplit/>
          <w:trHeight w:val="624"/>
          <w:tblHeader/>
          <w:tblCellSpacing w:w="0" w:type="dxa"/>
        </w:trPr>
        <w:tc>
          <w:tcPr>
            <w:tcW w:w="1018" w:type="dxa"/>
            <w:tcBorders>
              <w:left w:val="single" w:sz="4" w:space="0" w:color="999999"/>
            </w:tcBorders>
            <w:shd w:val="clear" w:color="auto" w:fill="FFFFFF"/>
            <w:vAlign w:val="center"/>
          </w:tcPr>
          <w:p w14:paraId="6CC208FA"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17/36</w:t>
            </w:r>
          </w:p>
        </w:tc>
        <w:tc>
          <w:tcPr>
            <w:tcW w:w="6237" w:type="dxa"/>
            <w:shd w:val="clear" w:color="auto" w:fill="FFFFFF"/>
            <w:vAlign w:val="center"/>
          </w:tcPr>
          <w:p w14:paraId="6ADF3DC1" w14:textId="77777777" w:rsidR="006A4713" w:rsidRDefault="006A4713" w:rsidP="00012C63">
            <w:pPr>
              <w:spacing w:before="0" w:after="0" w:line="240" w:lineRule="auto"/>
              <w:ind w:left="73" w:right="117"/>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Účetní reforma v oblasti veřejných financí</w:t>
            </w:r>
          </w:p>
          <w:p w14:paraId="1150F45A" w14:textId="77777777" w:rsidR="006A4713" w:rsidRPr="00F42A56" w:rsidRDefault="009849B2" w:rsidP="00012C63">
            <w:pPr>
              <w:spacing w:before="0" w:after="0" w:line="240" w:lineRule="auto"/>
              <w:ind w:left="73" w:right="117"/>
              <w:rPr>
                <w:rFonts w:asciiTheme="minorHAnsi" w:eastAsia="Times New Roman" w:hAnsiTheme="minorHAnsi" w:cs="Calibri"/>
                <w:sz w:val="22"/>
                <w:lang w:eastAsia="cs-CZ"/>
              </w:rPr>
            </w:pPr>
            <w:hyperlink r:id="rId124" w:history="1">
              <w:r w:rsidR="006A4713" w:rsidRPr="006E1732">
                <w:rPr>
                  <w:rStyle w:val="Hypertextovodkaz"/>
                  <w:sz w:val="22"/>
                </w:rPr>
                <w:t>https://www.nku.cz/assets/kon-zavery/K17036.pdf</w:t>
              </w:r>
            </w:hyperlink>
          </w:p>
        </w:tc>
        <w:tc>
          <w:tcPr>
            <w:tcW w:w="1871" w:type="dxa"/>
            <w:shd w:val="clear" w:color="auto" w:fill="FFFFFF"/>
            <w:vAlign w:val="center"/>
          </w:tcPr>
          <w:p w14:paraId="69BACF13"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17. 9. 2018</w:t>
            </w:r>
          </w:p>
        </w:tc>
      </w:tr>
      <w:tr w:rsidR="006A4713" w:rsidRPr="00E42608" w14:paraId="64D155E8" w14:textId="77777777" w:rsidTr="00AB6F1A">
        <w:trPr>
          <w:cantSplit/>
          <w:trHeight w:val="624"/>
          <w:tblHeader/>
          <w:tblCellSpacing w:w="0" w:type="dxa"/>
        </w:trPr>
        <w:tc>
          <w:tcPr>
            <w:tcW w:w="1018" w:type="dxa"/>
            <w:tcBorders>
              <w:left w:val="single" w:sz="4" w:space="0" w:color="999999"/>
            </w:tcBorders>
            <w:shd w:val="clear" w:color="auto" w:fill="FFFFFF"/>
            <w:vAlign w:val="center"/>
          </w:tcPr>
          <w:p w14:paraId="26497EDC"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18/04</w:t>
            </w:r>
          </w:p>
        </w:tc>
        <w:tc>
          <w:tcPr>
            <w:tcW w:w="6237" w:type="dxa"/>
            <w:shd w:val="clear" w:color="auto" w:fill="FFFFFF"/>
            <w:vAlign w:val="center"/>
          </w:tcPr>
          <w:p w14:paraId="6C9472AB"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Peněžní prostředky určené na podporu zlepšování kvality ovzduší</w:t>
            </w:r>
          </w:p>
          <w:p w14:paraId="16000588"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5" w:history="1">
              <w:r w:rsidR="006A4713" w:rsidRPr="008F1983">
                <w:rPr>
                  <w:rStyle w:val="Hypertextovodkaz"/>
                  <w:rFonts w:asciiTheme="minorHAnsi" w:eastAsia="Times New Roman" w:hAnsiTheme="minorHAnsi" w:cs="Calibri"/>
                  <w:sz w:val="22"/>
                  <w:lang w:eastAsia="cs-CZ"/>
                </w:rPr>
                <w:t>https://www.nku.cz/assets/kon-zavery/K18004.pdf</w:t>
              </w:r>
            </w:hyperlink>
          </w:p>
        </w:tc>
        <w:tc>
          <w:tcPr>
            <w:tcW w:w="1871" w:type="dxa"/>
            <w:shd w:val="clear" w:color="auto" w:fill="FFFFFF"/>
            <w:vAlign w:val="center"/>
          </w:tcPr>
          <w:p w14:paraId="19E0EC2E"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10. 12. 2018</w:t>
            </w:r>
          </w:p>
        </w:tc>
      </w:tr>
      <w:tr w:rsidR="006A4713" w:rsidRPr="00E42608" w14:paraId="56CA284A" w14:textId="77777777" w:rsidTr="00AB6F1A">
        <w:trPr>
          <w:cantSplit/>
          <w:trHeight w:val="850"/>
          <w:tblHeader/>
          <w:tblCellSpacing w:w="0" w:type="dxa"/>
        </w:trPr>
        <w:tc>
          <w:tcPr>
            <w:tcW w:w="1018" w:type="dxa"/>
            <w:tcBorders>
              <w:left w:val="single" w:sz="4" w:space="0" w:color="999999"/>
            </w:tcBorders>
            <w:shd w:val="clear" w:color="auto" w:fill="FFFFFF"/>
            <w:vAlign w:val="center"/>
          </w:tcPr>
          <w:p w14:paraId="4DD9A422"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18/08</w:t>
            </w:r>
          </w:p>
        </w:tc>
        <w:tc>
          <w:tcPr>
            <w:tcW w:w="6237" w:type="dxa"/>
            <w:shd w:val="clear" w:color="auto" w:fill="FFFFFF"/>
            <w:vAlign w:val="center"/>
          </w:tcPr>
          <w:p w14:paraId="317A9A0C"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Peněžní prostředky vynakládané na podpory v sektoru živočišné výroby</w:t>
            </w:r>
          </w:p>
          <w:p w14:paraId="47749533"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6" w:history="1">
              <w:r w:rsidR="006A4713" w:rsidRPr="008F1983">
                <w:rPr>
                  <w:rStyle w:val="Hypertextovodkaz"/>
                  <w:rFonts w:asciiTheme="minorHAnsi" w:eastAsia="Times New Roman" w:hAnsiTheme="minorHAnsi" w:cs="Calibri"/>
                  <w:sz w:val="22"/>
                  <w:lang w:eastAsia="cs-CZ"/>
                </w:rPr>
                <w:t>https://www.nku.cz/assets/kon-zavery/K18008.pdf</w:t>
              </w:r>
            </w:hyperlink>
          </w:p>
        </w:tc>
        <w:tc>
          <w:tcPr>
            <w:tcW w:w="1871" w:type="dxa"/>
            <w:shd w:val="clear" w:color="auto" w:fill="FFFFFF"/>
            <w:vAlign w:val="center"/>
          </w:tcPr>
          <w:p w14:paraId="5E8CB35F"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sidRPr="00F42A56">
              <w:rPr>
                <w:rFonts w:asciiTheme="minorHAnsi" w:eastAsia="Times New Roman" w:hAnsiTheme="minorHAnsi" w:cs="Calibri"/>
                <w:sz w:val="22"/>
                <w:lang w:eastAsia="cs-CZ"/>
              </w:rPr>
              <w:t>25. 3. 2019</w:t>
            </w:r>
          </w:p>
        </w:tc>
      </w:tr>
      <w:tr w:rsidR="006A4713" w:rsidRPr="00E42608" w14:paraId="6E1E85A5" w14:textId="77777777" w:rsidTr="00AB6F1A">
        <w:trPr>
          <w:cantSplit/>
          <w:trHeight w:val="1417"/>
          <w:tblHeader/>
          <w:tblCellSpacing w:w="0" w:type="dxa"/>
        </w:trPr>
        <w:tc>
          <w:tcPr>
            <w:tcW w:w="1018" w:type="dxa"/>
            <w:tcBorders>
              <w:left w:val="single" w:sz="4" w:space="0" w:color="999999"/>
            </w:tcBorders>
            <w:shd w:val="clear" w:color="auto" w:fill="FFFFFF"/>
            <w:vAlign w:val="center"/>
          </w:tcPr>
          <w:p w14:paraId="07009C97"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18/13</w:t>
            </w:r>
          </w:p>
        </w:tc>
        <w:tc>
          <w:tcPr>
            <w:tcW w:w="6237" w:type="dxa"/>
            <w:shd w:val="clear" w:color="auto" w:fill="FFFFFF"/>
            <w:vAlign w:val="center"/>
          </w:tcPr>
          <w:p w14:paraId="3D83FA90"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442311">
              <w:rPr>
                <w:rFonts w:asciiTheme="minorHAnsi" w:eastAsia="Times New Roman" w:hAnsiTheme="minorHAnsi" w:cs="Calibri"/>
                <w:sz w:val="22"/>
                <w:lang w:eastAsia="cs-CZ"/>
              </w:rPr>
              <w:t xml:space="preserve">Závěrečný účet kapitoly státního rozpočtu </w:t>
            </w:r>
            <w:r w:rsidRPr="00012C63">
              <w:rPr>
                <w:rFonts w:asciiTheme="minorHAnsi" w:eastAsia="Times New Roman" w:hAnsiTheme="minorHAnsi" w:cs="Calibri"/>
                <w:i/>
                <w:sz w:val="22"/>
                <w:lang w:eastAsia="cs-CZ"/>
              </w:rPr>
              <w:t>Ministerstvo zdravotnictví</w:t>
            </w:r>
            <w:r w:rsidRPr="00442311">
              <w:rPr>
                <w:rFonts w:asciiTheme="minorHAnsi" w:eastAsia="Times New Roman" w:hAnsiTheme="minorHAnsi" w:cs="Calibri"/>
                <w:sz w:val="22"/>
                <w:lang w:eastAsia="cs-CZ"/>
              </w:rPr>
              <w:t xml:space="preserve"> za rok 2017, účetní závěrka Ministerstva zdravotnictví za rok 2017 a údaje předkládané Ministerstvem zdravotnictví pro hodnocení plnění státního rozpočtu za rok 2017</w:t>
            </w:r>
          </w:p>
          <w:p w14:paraId="0B303883" w14:textId="77777777" w:rsidR="006A4713" w:rsidRPr="00F42A56"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7" w:history="1">
              <w:r w:rsidR="006A4713" w:rsidRPr="008F1983">
                <w:rPr>
                  <w:rStyle w:val="Hypertextovodkaz"/>
                  <w:sz w:val="22"/>
                </w:rPr>
                <w:t>https://www.nku.cz/assets/kon-zavery/K18013.pdf</w:t>
              </w:r>
            </w:hyperlink>
          </w:p>
        </w:tc>
        <w:tc>
          <w:tcPr>
            <w:tcW w:w="1871" w:type="dxa"/>
            <w:shd w:val="clear" w:color="auto" w:fill="FFFFFF"/>
            <w:vAlign w:val="center"/>
          </w:tcPr>
          <w:p w14:paraId="53F4B708" w14:textId="77777777" w:rsidR="006A4713" w:rsidRPr="00F42A56"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4. 2. 2019</w:t>
            </w:r>
          </w:p>
        </w:tc>
      </w:tr>
      <w:tr w:rsidR="006A4713" w:rsidRPr="00E42608" w14:paraId="07480E34" w14:textId="77777777" w:rsidTr="006A4713">
        <w:trPr>
          <w:cantSplit/>
          <w:trHeight w:val="850"/>
          <w:tblHeader/>
          <w:tblCellSpacing w:w="0" w:type="dxa"/>
        </w:trPr>
        <w:tc>
          <w:tcPr>
            <w:tcW w:w="1018" w:type="dxa"/>
            <w:tcBorders>
              <w:left w:val="single" w:sz="4" w:space="0" w:color="999999"/>
            </w:tcBorders>
            <w:shd w:val="clear" w:color="auto" w:fill="FFFFFF"/>
            <w:vAlign w:val="center"/>
          </w:tcPr>
          <w:p w14:paraId="0E6E8CED" w14:textId="0F49EF9E" w:rsidR="006A4713"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18/34</w:t>
            </w:r>
          </w:p>
        </w:tc>
        <w:tc>
          <w:tcPr>
            <w:tcW w:w="6237" w:type="dxa"/>
            <w:shd w:val="clear" w:color="auto" w:fill="FFFFFF"/>
            <w:vAlign w:val="center"/>
          </w:tcPr>
          <w:p w14:paraId="32FFC1AE" w14:textId="77777777" w:rsidR="006A4713" w:rsidRDefault="006A4713" w:rsidP="00012C63">
            <w:pPr>
              <w:spacing w:before="0" w:after="0" w:line="240" w:lineRule="auto"/>
              <w:ind w:left="73" w:right="117"/>
              <w:jc w:val="left"/>
              <w:rPr>
                <w:rFonts w:asciiTheme="minorHAnsi" w:eastAsia="Times New Roman" w:hAnsiTheme="minorHAnsi" w:cs="Calibri"/>
                <w:sz w:val="22"/>
                <w:lang w:eastAsia="cs-CZ"/>
              </w:rPr>
            </w:pPr>
            <w:r w:rsidRPr="00507EB3">
              <w:rPr>
                <w:rFonts w:asciiTheme="minorHAnsi" w:eastAsia="Times New Roman" w:hAnsiTheme="minorHAnsi" w:cs="Calibri"/>
                <w:sz w:val="22"/>
                <w:lang w:eastAsia="cs-CZ"/>
              </w:rPr>
              <w:t>Implementace inteligentních dopravních systémů (ITS) v silniční infrastruktuře České republiky</w:t>
            </w:r>
          </w:p>
          <w:p w14:paraId="4221191E" w14:textId="40D3B461" w:rsidR="006A4713" w:rsidRPr="00442311" w:rsidRDefault="009849B2" w:rsidP="00012C63">
            <w:pPr>
              <w:spacing w:before="0" w:after="0" w:line="240" w:lineRule="auto"/>
              <w:ind w:left="73" w:right="117"/>
              <w:jc w:val="left"/>
              <w:rPr>
                <w:rFonts w:asciiTheme="minorHAnsi" w:eastAsia="Times New Roman" w:hAnsiTheme="minorHAnsi" w:cs="Calibri"/>
                <w:sz w:val="22"/>
                <w:lang w:eastAsia="cs-CZ"/>
              </w:rPr>
            </w:pPr>
            <w:hyperlink r:id="rId128" w:history="1">
              <w:r w:rsidR="006A4713" w:rsidRPr="00BD2937">
                <w:rPr>
                  <w:rStyle w:val="Hypertextovodkaz"/>
                  <w:sz w:val="22"/>
                </w:rPr>
                <w:t>https://www.nku.cz/assets/kon-zavery/K18034.pdf</w:t>
              </w:r>
            </w:hyperlink>
          </w:p>
        </w:tc>
        <w:tc>
          <w:tcPr>
            <w:tcW w:w="1871" w:type="dxa"/>
            <w:shd w:val="clear" w:color="auto" w:fill="FFFFFF"/>
            <w:vAlign w:val="center"/>
          </w:tcPr>
          <w:p w14:paraId="0ACD7682" w14:textId="01E33DBA" w:rsidR="006A4713" w:rsidRDefault="006A4713" w:rsidP="006A4713">
            <w:pPr>
              <w:spacing w:before="0" w:after="0" w:line="240" w:lineRule="auto"/>
              <w:jc w:val="center"/>
              <w:rPr>
                <w:rFonts w:asciiTheme="minorHAnsi" w:eastAsia="Times New Roman" w:hAnsiTheme="minorHAnsi" w:cs="Calibri"/>
                <w:sz w:val="22"/>
                <w:lang w:eastAsia="cs-CZ"/>
              </w:rPr>
            </w:pPr>
            <w:r>
              <w:rPr>
                <w:rFonts w:asciiTheme="minorHAnsi" w:eastAsia="Times New Roman" w:hAnsiTheme="minorHAnsi" w:cs="Calibri"/>
                <w:sz w:val="22"/>
                <w:lang w:eastAsia="cs-CZ"/>
              </w:rPr>
              <w:t>25. 3. 2019</w:t>
            </w:r>
          </w:p>
        </w:tc>
      </w:tr>
    </w:tbl>
    <w:p w14:paraId="2B583CE5" w14:textId="77777777" w:rsidR="001F158B" w:rsidRPr="001F158B" w:rsidRDefault="001F158B" w:rsidP="001F158B"/>
    <w:sectPr w:rsidR="001F158B" w:rsidRPr="001F158B" w:rsidSect="00A92462">
      <w:headerReference w:type="even" r:id="rId129"/>
      <w:headerReference w:type="default" r:id="rId130"/>
      <w:pgSz w:w="11906" w:h="16838"/>
      <w:pgMar w:top="1417" w:right="1417" w:bottom="1417" w:left="1417" w:header="709" w:footer="708" w:gutter="0"/>
      <w:pgBorders w:offsetFrom="page">
        <w:top w:val="single" w:sz="8" w:space="24" w:color="FFFFFF" w:themeColor="background1"/>
        <w:right w:val="single" w:sz="8" w:space="24" w:color="FFFFFF" w:themeColor="background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F76C3" w14:textId="77777777" w:rsidR="0031207C" w:rsidRDefault="0031207C" w:rsidP="003947E5">
      <w:pPr>
        <w:spacing w:after="0" w:line="240" w:lineRule="auto"/>
      </w:pPr>
      <w:r>
        <w:separator/>
      </w:r>
    </w:p>
  </w:endnote>
  <w:endnote w:type="continuationSeparator" w:id="0">
    <w:p w14:paraId="178F362A" w14:textId="77777777" w:rsidR="0031207C" w:rsidRDefault="0031207C" w:rsidP="003947E5">
      <w:pPr>
        <w:spacing w:after="0" w:line="240" w:lineRule="auto"/>
      </w:pPr>
      <w:r>
        <w:continuationSeparator/>
      </w:r>
    </w:p>
  </w:endnote>
  <w:endnote w:type="continuationNotice" w:id="1">
    <w:p w14:paraId="466ED157" w14:textId="77777777" w:rsidR="0031207C" w:rsidRDefault="00312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51358" w14:textId="77777777" w:rsidR="0031207C" w:rsidRDefault="0031207C" w:rsidP="003947E5">
      <w:pPr>
        <w:spacing w:after="0" w:line="240" w:lineRule="auto"/>
      </w:pPr>
      <w:r>
        <w:separator/>
      </w:r>
    </w:p>
  </w:footnote>
  <w:footnote w:type="continuationSeparator" w:id="0">
    <w:p w14:paraId="6AC3124E" w14:textId="77777777" w:rsidR="0031207C" w:rsidRDefault="0031207C" w:rsidP="003947E5">
      <w:pPr>
        <w:spacing w:after="0" w:line="240" w:lineRule="auto"/>
      </w:pPr>
      <w:r>
        <w:continuationSeparator/>
      </w:r>
    </w:p>
  </w:footnote>
  <w:footnote w:type="continuationNotice" w:id="1">
    <w:p w14:paraId="622577E2" w14:textId="77777777" w:rsidR="0031207C" w:rsidRDefault="0031207C">
      <w:pPr>
        <w:spacing w:after="0" w:line="240" w:lineRule="auto"/>
      </w:pPr>
    </w:p>
  </w:footnote>
  <w:footnote w:id="2">
    <w:p w14:paraId="405031EC" w14:textId="48DC02FB" w:rsidR="009E69AD" w:rsidRDefault="009E69AD" w:rsidP="00795555">
      <w:pPr>
        <w:pStyle w:val="poznmkapodarou"/>
      </w:pPr>
      <w:r>
        <w:rPr>
          <w:rStyle w:val="Znakapoznpodarou"/>
        </w:rPr>
        <w:footnoteRef/>
      </w:r>
      <w:r>
        <w:t xml:space="preserve"> </w:t>
      </w:r>
      <w:r>
        <w:tab/>
        <w:t xml:space="preserve">Zdroj: </w:t>
      </w:r>
      <w:r>
        <w:rPr>
          <w:i/>
        </w:rPr>
        <w:t>h</w:t>
      </w:r>
      <w:r w:rsidRPr="001915EC">
        <w:rPr>
          <w:i/>
        </w:rPr>
        <w:t>lavní makroekonomické ukazatele</w:t>
      </w:r>
      <w:r>
        <w:t xml:space="preserve"> publikované Českým statistickým úřadem </w:t>
      </w:r>
      <w:r w:rsidRPr="001915EC">
        <w:t>dne</w:t>
      </w:r>
      <w:r>
        <w:t xml:space="preserve"> 1. 7. 2019.</w:t>
      </w:r>
    </w:p>
  </w:footnote>
  <w:footnote w:id="3">
    <w:p w14:paraId="5F97F237" w14:textId="04B2189B" w:rsidR="009E69AD" w:rsidRDefault="009E69AD" w:rsidP="006E1234">
      <w:pPr>
        <w:pStyle w:val="poznmkapodarou"/>
      </w:pPr>
      <w:r>
        <w:rPr>
          <w:rStyle w:val="Znakapoznpodarou"/>
        </w:rPr>
        <w:footnoteRef/>
      </w:r>
      <w:r>
        <w:t xml:space="preserve"> </w:t>
      </w:r>
      <w:r>
        <w:tab/>
        <w:t xml:space="preserve">Eurostat: </w:t>
      </w:r>
      <w:r w:rsidRPr="004D4873">
        <w:rPr>
          <w:i/>
        </w:rPr>
        <w:t>Real GDP growth rate – volume</w:t>
      </w:r>
      <w:r>
        <w:t>, ze dne 10. 7. 2019.</w:t>
      </w:r>
    </w:p>
  </w:footnote>
  <w:footnote w:id="4">
    <w:p w14:paraId="63340CC2" w14:textId="7ECB3844" w:rsidR="009E69AD" w:rsidRDefault="009E69AD" w:rsidP="00795555">
      <w:pPr>
        <w:pStyle w:val="poznmkapodarou"/>
      </w:pPr>
      <w:r>
        <w:rPr>
          <w:rStyle w:val="Znakapoznpodarou"/>
        </w:rPr>
        <w:footnoteRef/>
      </w:r>
      <w:r>
        <w:t xml:space="preserve"> </w:t>
      </w:r>
      <w:r>
        <w:tab/>
        <w:t>Toleranční pásmo 2% inflačního cíle je stanoveno na úrovni +/– 1 procentního bodu.</w:t>
      </w:r>
    </w:p>
  </w:footnote>
  <w:footnote w:id="5">
    <w:p w14:paraId="7B21CEDF" w14:textId="21379CA6" w:rsidR="009E69AD" w:rsidRDefault="009E69AD" w:rsidP="002D5A4A">
      <w:pPr>
        <w:pStyle w:val="poznmkapodarou"/>
      </w:pPr>
      <w:r>
        <w:rPr>
          <w:rStyle w:val="Znakapoznpodarou"/>
        </w:rPr>
        <w:footnoteRef/>
      </w:r>
      <w:r>
        <w:t xml:space="preserve"> </w:t>
      </w:r>
      <w:r>
        <w:tab/>
        <w:t>Kvazimandatorní výdaje jsou nezbytné pro zajištění chodu státu, jedná se např. o platy zaměstnanců veřejného sektoru, výdaje na aktivní politiku zaměstnanosti a výdaje na obranu.</w:t>
      </w:r>
    </w:p>
  </w:footnote>
  <w:footnote w:id="6">
    <w:p w14:paraId="57E1A24A" w14:textId="3F00802A" w:rsidR="009E69AD" w:rsidRDefault="009E69AD" w:rsidP="00795555">
      <w:pPr>
        <w:pStyle w:val="poznmkapodarou"/>
      </w:pPr>
      <w:r>
        <w:rPr>
          <w:rStyle w:val="Znakapoznpodarou"/>
        </w:rPr>
        <w:footnoteRef/>
      </w:r>
      <w:r>
        <w:t xml:space="preserve"> </w:t>
      </w:r>
      <w:r>
        <w:tab/>
        <w:t>V současné době je jasné, že výrazné oslabení ekonomiky v roce 2019 nenastalo. Modelovou situaci však lze při takto nastaveném rozpočtu aplikovat na jakýkoliv další rok.</w:t>
      </w:r>
    </w:p>
  </w:footnote>
  <w:footnote w:id="7">
    <w:p w14:paraId="4B8A9D8C" w14:textId="43B81404" w:rsidR="009E69AD" w:rsidRDefault="009E69AD" w:rsidP="007B7C94">
      <w:pPr>
        <w:pStyle w:val="poznmkapodarou"/>
      </w:pPr>
      <w:r>
        <w:rPr>
          <w:rStyle w:val="Znakapoznpodarou"/>
        </w:rPr>
        <w:footnoteRef/>
      </w:r>
      <w:r>
        <w:t> </w:t>
      </w:r>
      <w:r>
        <w:tab/>
        <w:t>Zákon č. 218/2000 Sb., o rozpočtových pravidlech a o změně některých souvisejících zákonů (rozpočtová pravidla).</w:t>
      </w:r>
    </w:p>
  </w:footnote>
  <w:footnote w:id="8">
    <w:p w14:paraId="1FCAE02C" w14:textId="36ED1C87" w:rsidR="009E69AD" w:rsidRDefault="009E69AD" w:rsidP="007B7C94">
      <w:pPr>
        <w:pStyle w:val="poznmkapodarou"/>
      </w:pPr>
      <w:r>
        <w:rPr>
          <w:rStyle w:val="Znakapoznpodarou"/>
        </w:rPr>
        <w:footnoteRef/>
      </w:r>
      <w:r>
        <w:t xml:space="preserve"> </w:t>
      </w:r>
      <w:r>
        <w:tab/>
        <w:t>Zákon č. 23/2017 Sb., o pravidlech rozpočtové odpovědnosti.</w:t>
      </w:r>
    </w:p>
  </w:footnote>
  <w:footnote w:id="9">
    <w:p w14:paraId="4506C96E" w14:textId="1B360025" w:rsidR="009E69AD" w:rsidRDefault="009E69AD" w:rsidP="007B7C94">
      <w:pPr>
        <w:pStyle w:val="poznmkapodarou"/>
      </w:pPr>
      <w:r>
        <w:rPr>
          <w:rStyle w:val="Znakapoznpodarou"/>
        </w:rPr>
        <w:footnoteRef/>
      </w:r>
      <w:r>
        <w:t> </w:t>
      </w:r>
      <w:r>
        <w:tab/>
        <w:t xml:space="preserve">Způsob určení výdajových rámců se v </w:t>
      </w:r>
      <w:r>
        <w:rPr>
          <w:i/>
        </w:rPr>
        <w:t>r</w:t>
      </w:r>
      <w:r w:rsidRPr="00103D70">
        <w:rPr>
          <w:i/>
        </w:rPr>
        <w:t>ozpočtové strategii sektoru veřejných institucí ČR</w:t>
      </w:r>
      <w:r w:rsidRPr="00103D70">
        <w:t xml:space="preserve"> </w:t>
      </w:r>
      <w:r>
        <w:t xml:space="preserve">odvíjí od </w:t>
      </w:r>
      <w:r>
        <w:br/>
        <w:t>tzv. střednědobého rozpočtového cíle, který vychází z konceptu salda upraveného o vlivy hospodářského cyklu a vlivy jednorázových či jiných přechodných opatření, která nemají strukturální povahu.</w:t>
      </w:r>
    </w:p>
  </w:footnote>
  <w:footnote w:id="10">
    <w:p w14:paraId="306A6BCF" w14:textId="5A2339BB" w:rsidR="009E69AD" w:rsidRDefault="009E69AD" w:rsidP="007B7C94">
      <w:pPr>
        <w:pStyle w:val="poznmkapodarou"/>
      </w:pPr>
      <w:r>
        <w:rPr>
          <w:rStyle w:val="Znakapoznpodarou"/>
        </w:rPr>
        <w:footnoteRef/>
      </w:r>
      <w:r>
        <w:t xml:space="preserve"> </w:t>
      </w:r>
      <w:r>
        <w:tab/>
      </w:r>
      <w:r w:rsidRPr="009655BA">
        <w:t>Zákon č. 474/2017 Sb., o státním rozpočtu České republiky na rok 2018</w:t>
      </w:r>
      <w:r>
        <w:t>.</w:t>
      </w:r>
    </w:p>
  </w:footnote>
  <w:footnote w:id="11">
    <w:p w14:paraId="7DB6BEC9" w14:textId="4BE6C927" w:rsidR="009E69AD" w:rsidRDefault="009E69AD" w:rsidP="007B7C94">
      <w:pPr>
        <w:pStyle w:val="poznmkapodarou"/>
      </w:pPr>
      <w:r>
        <w:rPr>
          <w:rStyle w:val="Znakapoznpodarou"/>
        </w:rPr>
        <w:footnoteRef/>
      </w:r>
      <w:r>
        <w:t xml:space="preserve"> </w:t>
      </w:r>
      <w:r>
        <w:tab/>
        <w:t xml:space="preserve">KA č. 16/09 – </w:t>
      </w:r>
      <w:r w:rsidRPr="00E463CF">
        <w:rPr>
          <w:i/>
        </w:rPr>
        <w:t>Nároky z nespotřebovaných výdajů vykazované organizačními složkami státu</w:t>
      </w:r>
      <w:r>
        <w:t xml:space="preserve"> </w:t>
      </w:r>
      <w:r w:rsidRPr="00E463CF">
        <w:t xml:space="preserve">(kontrolní závěr byl zveřejněn v částce </w:t>
      </w:r>
      <w:r>
        <w:t>3</w:t>
      </w:r>
      <w:r w:rsidRPr="00E463CF">
        <w:t>/201</w:t>
      </w:r>
      <w:r>
        <w:t>7</w:t>
      </w:r>
      <w:r w:rsidRPr="00E463CF">
        <w:t xml:space="preserve"> </w:t>
      </w:r>
      <w:r w:rsidRPr="00040CA1">
        <w:rPr>
          <w:i/>
        </w:rPr>
        <w:t>Věstníku NKÚ</w:t>
      </w:r>
      <w:r w:rsidRPr="00E463CF">
        <w:t>).</w:t>
      </w:r>
    </w:p>
  </w:footnote>
  <w:footnote w:id="12">
    <w:p w14:paraId="66C21602" w14:textId="3B13F774" w:rsidR="009E69AD" w:rsidRDefault="009E69AD" w:rsidP="007B7C94">
      <w:pPr>
        <w:pStyle w:val="poznmkapodarou"/>
      </w:pPr>
      <w:r>
        <w:rPr>
          <w:rStyle w:val="Znakapoznpodarou"/>
        </w:rPr>
        <w:footnoteRef/>
      </w:r>
      <w:r>
        <w:t xml:space="preserve"> </w:t>
      </w:r>
      <w:r>
        <w:tab/>
        <w:t>Vlastní výpočet NKÚ na základě zveřejněných účetních závěrek všech jednotlivých OSS.</w:t>
      </w:r>
    </w:p>
  </w:footnote>
  <w:footnote w:id="13">
    <w:p w14:paraId="3ED347A2" w14:textId="70B73D40" w:rsidR="009E69AD" w:rsidRDefault="009E69AD" w:rsidP="007B7C94">
      <w:pPr>
        <w:pStyle w:val="poznmkapodarou"/>
      </w:pPr>
      <w:r>
        <w:rPr>
          <w:rStyle w:val="Znakapoznpodarou"/>
        </w:rPr>
        <w:footnoteRef/>
      </w:r>
      <w:r>
        <w:t xml:space="preserve"> </w:t>
      </w:r>
      <w:r>
        <w:tab/>
        <w:t xml:space="preserve">Např. na syntetických účtech 245 – </w:t>
      </w:r>
      <w:r w:rsidRPr="00FC7AAF">
        <w:rPr>
          <w:i/>
        </w:rPr>
        <w:t>Jiné běžné účty</w:t>
      </w:r>
      <w:r>
        <w:t xml:space="preserve"> a 247 – </w:t>
      </w:r>
      <w:r w:rsidRPr="00FC7AAF">
        <w:rPr>
          <w:i/>
        </w:rPr>
        <w:t>Účty státních finančních aktiv</w:t>
      </w:r>
      <w:r>
        <w:t>.</w:t>
      </w:r>
    </w:p>
  </w:footnote>
  <w:footnote w:id="14">
    <w:p w14:paraId="4A6FE3D3" w14:textId="0B1F4AFF" w:rsidR="009E69AD" w:rsidRDefault="009E69AD" w:rsidP="007B7C94">
      <w:pPr>
        <w:pStyle w:val="poznmkapodarou"/>
      </w:pPr>
      <w:r>
        <w:rPr>
          <w:rStyle w:val="Znakapoznpodarou"/>
        </w:rPr>
        <w:footnoteRef/>
      </w:r>
      <w:r>
        <w:t xml:space="preserve"> </w:t>
      </w:r>
      <w:r>
        <w:tab/>
        <w:t xml:space="preserve">Jedná se zejména o transferové pohledávky vykázané na syntetických účtech 344 – </w:t>
      </w:r>
      <w:r w:rsidRPr="00FC7AAF">
        <w:rPr>
          <w:i/>
        </w:rPr>
        <w:t>Pohledávky za osobami mimo vybrané vládní instituce</w:t>
      </w:r>
      <w:r>
        <w:t xml:space="preserve">, 373 – </w:t>
      </w:r>
      <w:r w:rsidRPr="00FC7AAF">
        <w:rPr>
          <w:i/>
        </w:rPr>
        <w:t>Krátkodobé poskytnuté zálohy na transfery</w:t>
      </w:r>
      <w:r>
        <w:t xml:space="preserve">, 471 – </w:t>
      </w:r>
      <w:r w:rsidRPr="00FC7AAF">
        <w:rPr>
          <w:i/>
        </w:rPr>
        <w:t>Dlouhodobé poskytnuté zálohy na transfery</w:t>
      </w:r>
      <w:r>
        <w:t xml:space="preserve"> a 475 – </w:t>
      </w:r>
      <w:r w:rsidRPr="00FC7AAF">
        <w:rPr>
          <w:i/>
        </w:rPr>
        <w:t>Dlouhodobé zprostředkování transferů</w:t>
      </w:r>
      <w:r>
        <w:t>.</w:t>
      </w:r>
    </w:p>
  </w:footnote>
  <w:footnote w:id="15">
    <w:p w14:paraId="4183E48D" w14:textId="78E4B061" w:rsidR="009E69AD" w:rsidRDefault="009E69AD" w:rsidP="0005326B">
      <w:pPr>
        <w:pStyle w:val="poznmkapodarou"/>
      </w:pPr>
      <w:r>
        <w:rPr>
          <w:rStyle w:val="Znakapoznpodarou"/>
        </w:rPr>
        <w:footnoteRef/>
      </w:r>
      <w:r>
        <w:t xml:space="preserve"> </w:t>
      </w:r>
      <w:r>
        <w:tab/>
        <w:t xml:space="preserve">Jedná se zejména o závazky vykázané na syntetických účtech 375 – </w:t>
      </w:r>
      <w:r w:rsidRPr="00FC7AAF">
        <w:rPr>
          <w:i/>
        </w:rPr>
        <w:t>Krátkodobé zprostředkování transferů</w:t>
      </w:r>
      <w:r>
        <w:t xml:space="preserve"> a 389 – </w:t>
      </w:r>
      <w:r w:rsidRPr="00FC7AAF">
        <w:rPr>
          <w:i/>
        </w:rPr>
        <w:t>Dohadné účty pasivní</w:t>
      </w:r>
      <w:r>
        <w:t xml:space="preserve">. </w:t>
      </w:r>
    </w:p>
  </w:footnote>
  <w:footnote w:id="16">
    <w:p w14:paraId="7BE3D953" w14:textId="53FF748A" w:rsidR="009E69AD" w:rsidRDefault="009E69AD" w:rsidP="0005326B">
      <w:pPr>
        <w:pStyle w:val="poznmkapodarou"/>
      </w:pPr>
      <w:r>
        <w:rPr>
          <w:rStyle w:val="Znakapoznpodarou"/>
        </w:rPr>
        <w:footnoteRef/>
      </w:r>
      <w:r>
        <w:t> </w:t>
      </w:r>
      <w:r>
        <w:tab/>
        <w:t>KA č. 17/36 – </w:t>
      </w:r>
      <w:r w:rsidRPr="00DA2A31">
        <w:rPr>
          <w:i/>
        </w:rPr>
        <w:t>Účetní reforma v oblasti veřejných financí</w:t>
      </w:r>
      <w:r>
        <w:t xml:space="preserve"> (</w:t>
      </w:r>
      <w:r w:rsidRPr="00611D85">
        <w:t>kontrolní záv</w:t>
      </w:r>
      <w:r>
        <w:t>ěr byl zveřejněn v částce 6/2018</w:t>
      </w:r>
      <w:r w:rsidRPr="00611D85">
        <w:t xml:space="preserve"> </w:t>
      </w:r>
      <w:r w:rsidRPr="00040CA1">
        <w:rPr>
          <w:i/>
        </w:rPr>
        <w:t>Věstníku NKÚ</w:t>
      </w:r>
      <w:r w:rsidRPr="00611D85">
        <w:t>).</w:t>
      </w:r>
    </w:p>
  </w:footnote>
  <w:footnote w:id="17">
    <w:p w14:paraId="79312399" w14:textId="75AA900B" w:rsidR="009E69AD" w:rsidRPr="007A0A65" w:rsidRDefault="009E69AD" w:rsidP="006E1234">
      <w:pPr>
        <w:pStyle w:val="poznmkapodarou"/>
      </w:pPr>
      <w:r w:rsidRPr="00A879EB">
        <w:rPr>
          <w:rStyle w:val="Znakapoznpodarou"/>
        </w:rPr>
        <w:footnoteRef/>
      </w:r>
      <w:r>
        <w:t xml:space="preserve"> </w:t>
      </w:r>
      <w:r>
        <w:tab/>
      </w:r>
      <w:r w:rsidRPr="007A0A65">
        <w:t>Přímé daně jsou zákonem určené povinné platby s jasně vymezeným plátcem. Přímé daně se dělí na důchodové, mezi které patří daně z příjmů fyzických a právnických osob</w:t>
      </w:r>
      <w:r>
        <w:t>,</w:t>
      </w:r>
      <w:r w:rsidRPr="007A0A65">
        <w:t xml:space="preserve"> a daně majetkové zastoupené daní z nemovitých věcí, daní z nabytí nemovitých věcí a silniční da</w:t>
      </w:r>
      <w:r>
        <w:t>ní</w:t>
      </w:r>
      <w:r w:rsidRPr="007A0A65">
        <w:t>. Specificky mezi ostatní přímé dan</w:t>
      </w:r>
      <w:r>
        <w:t>ě se řadí daň z hazardních her.</w:t>
      </w:r>
    </w:p>
  </w:footnote>
  <w:footnote w:id="18">
    <w:p w14:paraId="6D2FAD06" w14:textId="4D07C1D1" w:rsidR="009E69AD" w:rsidRDefault="009E69AD" w:rsidP="0005326B">
      <w:pPr>
        <w:pStyle w:val="poznmkapodarou"/>
      </w:pPr>
      <w:r w:rsidRPr="007A0A65">
        <w:rPr>
          <w:rStyle w:val="Znakapoznpodarou"/>
        </w:rPr>
        <w:footnoteRef/>
      </w:r>
      <w:r w:rsidRPr="007A0A65">
        <w:t xml:space="preserve"> </w:t>
      </w:r>
      <w:r>
        <w:tab/>
      </w:r>
      <w:r w:rsidRPr="007A0A65">
        <w:t>Nepřímé daně nemají dopředu jednoznačně určeného daňového poplatníka, zákonem je určen pouze plátce daně, který konkrétní nepřímou daň odvádí. Mezi tyto daně patří daň z přidané hodnoty, spotřební daň a</w:t>
      </w:r>
      <w:r>
        <w:t> </w:t>
      </w:r>
      <w:r w:rsidRPr="007A0A65">
        <w:t>tzv. energetické daně (daň z elektřiny, ze zemního plynu a z pevných paliv). Do této kategorie spadají také poplatky za znečištění vzduchu či vody</w:t>
      </w:r>
      <w:r>
        <w:t xml:space="preserve"> a poplatky za odpad.</w:t>
      </w:r>
    </w:p>
  </w:footnote>
  <w:footnote w:id="19">
    <w:p w14:paraId="590DB68A" w14:textId="13C5106E" w:rsidR="009E69AD" w:rsidRPr="00A879EB" w:rsidRDefault="009E69AD" w:rsidP="0005326B">
      <w:pPr>
        <w:pStyle w:val="poznmkapodarou"/>
      </w:pPr>
      <w:r w:rsidRPr="00A879EB">
        <w:rPr>
          <w:rStyle w:val="Znakapoznpodarou"/>
        </w:rPr>
        <w:footnoteRef/>
      </w:r>
      <w:r>
        <w:t xml:space="preserve"> </w:t>
      </w:r>
      <w:r>
        <w:tab/>
      </w:r>
      <w:r w:rsidRPr="00A879EB">
        <w:t>Inkaso daně z příjmů právnic</w:t>
      </w:r>
      <w:r>
        <w:t>kých osob do SR by nebylo vyšší</w:t>
      </w:r>
      <w:r w:rsidRPr="00A879EB">
        <w:t xml:space="preserve"> ani při zohlednění postupného sn</w:t>
      </w:r>
      <w:r>
        <w:t>ižování</w:t>
      </w:r>
      <w:r w:rsidRPr="00A879EB">
        <w:t xml:space="preserve"> sazby</w:t>
      </w:r>
      <w:r>
        <w:t xml:space="preserve"> </w:t>
      </w:r>
      <w:r w:rsidRPr="00A879EB">
        <w:t xml:space="preserve">daně z příjmů právnických osob z 24 % v roce 2007 na 19 % od roku 2010 a </w:t>
      </w:r>
      <w:r>
        <w:t xml:space="preserve">nebylo by vyšší ani v případě, že by nedošlo ke </w:t>
      </w:r>
      <w:r w:rsidRPr="00A879EB">
        <w:t>změn</w:t>
      </w:r>
      <w:r>
        <w:t>ě</w:t>
      </w:r>
      <w:r w:rsidRPr="00A879EB">
        <w:t xml:space="preserve"> rozpočtového určení daní.</w:t>
      </w:r>
    </w:p>
  </w:footnote>
  <w:footnote w:id="20">
    <w:p w14:paraId="7E20B39B" w14:textId="54F7A3E7" w:rsidR="009E69AD" w:rsidRPr="00083E78" w:rsidRDefault="009E69AD" w:rsidP="0005326B">
      <w:pPr>
        <w:pStyle w:val="poznmkapodarou"/>
      </w:pPr>
      <w:r>
        <w:rPr>
          <w:rStyle w:val="Znakapoznpodarou"/>
        </w:rPr>
        <w:footnoteRef/>
      </w:r>
      <w:r>
        <w:t xml:space="preserve"> </w:t>
      </w:r>
      <w:r>
        <w:tab/>
        <w:t xml:space="preserve">KA č. 16/21 – </w:t>
      </w:r>
      <w:r>
        <w:rPr>
          <w:i/>
        </w:rPr>
        <w:t xml:space="preserve">Správa daně z příjmů fyzických osob se zaměřením na dopady legislativních změn na příjmy státního rozpočtu </w:t>
      </w:r>
      <w:r>
        <w:t xml:space="preserve">(kontrolní závěr byl zveřejněn v částce 4/2017 </w:t>
      </w:r>
      <w:r w:rsidRPr="00DB0C9B">
        <w:rPr>
          <w:i/>
        </w:rPr>
        <w:t>Věstníku NKÚ</w:t>
      </w:r>
      <w:r>
        <w:t>).</w:t>
      </w:r>
    </w:p>
  </w:footnote>
  <w:footnote w:id="21">
    <w:p w14:paraId="47973B97" w14:textId="18EDCEDD" w:rsidR="009E69AD" w:rsidRDefault="009E69AD" w:rsidP="0005326B">
      <w:pPr>
        <w:pStyle w:val="poznmkapodarou"/>
      </w:pPr>
      <w:r>
        <w:rPr>
          <w:rStyle w:val="Znakapoznpodarou"/>
        </w:rPr>
        <w:footnoteRef/>
      </w:r>
      <w:r>
        <w:t xml:space="preserve"> </w:t>
      </w:r>
      <w:r>
        <w:tab/>
        <w:t>Zákon č. 112/2016 Sb., o evidenci tržeb.</w:t>
      </w:r>
    </w:p>
  </w:footnote>
  <w:footnote w:id="22">
    <w:p w14:paraId="0FD5FA7B" w14:textId="3525BA56" w:rsidR="009E69AD" w:rsidRPr="00827713" w:rsidRDefault="009E69AD" w:rsidP="0005326B">
      <w:pPr>
        <w:pStyle w:val="poznmkapodarou"/>
      </w:pPr>
      <w:r w:rsidRPr="00A879EB">
        <w:rPr>
          <w:rStyle w:val="Znakapoznpodarou"/>
        </w:rPr>
        <w:footnoteRef/>
      </w:r>
      <w:r>
        <w:t xml:space="preserve"> </w:t>
      </w:r>
      <w:r>
        <w:tab/>
      </w:r>
      <w:r w:rsidRPr="00827713">
        <w:t>KA č. 1</w:t>
      </w:r>
      <w:r>
        <w:t>5</w:t>
      </w:r>
      <w:r w:rsidRPr="00827713">
        <w:t xml:space="preserve">/33 – </w:t>
      </w:r>
      <w:r w:rsidRPr="007A0A65">
        <w:rPr>
          <w:i/>
        </w:rPr>
        <w:t>Správa spotřebních daní</w:t>
      </w:r>
      <w:r w:rsidRPr="00827713">
        <w:t xml:space="preserve"> (kontrolní závěr byl zveřejněn v částce 1/2017 </w:t>
      </w:r>
      <w:r w:rsidRPr="00827713">
        <w:rPr>
          <w:i/>
        </w:rPr>
        <w:t>Věstníku NKÚ</w:t>
      </w:r>
      <w:r w:rsidRPr="00827713">
        <w:t>)</w:t>
      </w:r>
      <w:r>
        <w:t>.</w:t>
      </w:r>
    </w:p>
  </w:footnote>
  <w:footnote w:id="23">
    <w:p w14:paraId="1EF7065F" w14:textId="0B8777BB" w:rsidR="009E69AD" w:rsidRDefault="009E69AD" w:rsidP="0005326B">
      <w:pPr>
        <w:pStyle w:val="poznmkapodarou"/>
      </w:pPr>
      <w:r>
        <w:rPr>
          <w:rStyle w:val="Znakapoznpodarou"/>
        </w:rPr>
        <w:footnoteRef/>
      </w:r>
      <w:r>
        <w:t xml:space="preserve"> </w:t>
      </w:r>
      <w:r>
        <w:tab/>
        <w:t xml:space="preserve">Např. </w:t>
      </w:r>
      <w:r w:rsidRPr="008A5361">
        <w:rPr>
          <w:i/>
        </w:rPr>
        <w:t>Hospodářský přehled</w:t>
      </w:r>
      <w:r>
        <w:rPr>
          <w:i/>
        </w:rPr>
        <w:t>:</w:t>
      </w:r>
      <w:r w:rsidRPr="008A5361">
        <w:rPr>
          <w:i/>
        </w:rPr>
        <w:t xml:space="preserve"> Česká republika 2018</w:t>
      </w:r>
      <w:r>
        <w:t xml:space="preserve"> publikovaný OECD v červenci 2018.</w:t>
      </w:r>
    </w:p>
  </w:footnote>
  <w:footnote w:id="24">
    <w:p w14:paraId="05BC1B25" w14:textId="53EDCF1C" w:rsidR="009E69AD" w:rsidRPr="007B7ED1" w:rsidRDefault="009E69AD" w:rsidP="0005326B">
      <w:pPr>
        <w:pStyle w:val="poznmkapodarou"/>
      </w:pPr>
      <w:r w:rsidRPr="007B7ED1">
        <w:rPr>
          <w:rStyle w:val="Znakapoznpodarou"/>
        </w:rPr>
        <w:footnoteRef/>
      </w:r>
      <w:r w:rsidRPr="007B7ED1">
        <w:t xml:space="preserve"> </w:t>
      </w:r>
      <w:r>
        <w:tab/>
        <w:t xml:space="preserve">Směrnice </w:t>
      </w:r>
      <w:r w:rsidRPr="007B7ED1">
        <w:t>Rady 2011/64/EU, o struktuře a sazbách spotřební daně z tabákových výrobků</w:t>
      </w:r>
      <w:r>
        <w:t>.</w:t>
      </w:r>
    </w:p>
  </w:footnote>
  <w:footnote w:id="25">
    <w:p w14:paraId="1C6A0980" w14:textId="615EF540" w:rsidR="009E69AD" w:rsidRDefault="009E69AD" w:rsidP="0005326B">
      <w:pPr>
        <w:pStyle w:val="poznmkapodarou"/>
      </w:pPr>
      <w:r w:rsidRPr="00A879EB">
        <w:rPr>
          <w:rStyle w:val="Znakapoznpodarou"/>
        </w:rPr>
        <w:footnoteRef/>
      </w:r>
      <w:r w:rsidRPr="00A879EB">
        <w:t xml:space="preserve"> </w:t>
      </w:r>
      <w:r>
        <w:tab/>
      </w:r>
      <w:r w:rsidRPr="007B7ED1">
        <w:t xml:space="preserve">Publikace </w:t>
      </w:r>
      <w:r w:rsidRPr="007B7ED1">
        <w:rPr>
          <w:i/>
        </w:rPr>
        <w:t>Společenské náklady z konzumace alkoholu v ČR</w:t>
      </w:r>
      <w:r w:rsidRPr="007B7ED1">
        <w:t xml:space="preserve"> vydaná</w:t>
      </w:r>
      <w:r>
        <w:t xml:space="preserve"> v roce 2019</w:t>
      </w:r>
      <w:r w:rsidRPr="007B7ED1">
        <w:t xml:space="preserve"> Institutem pro zdravotní ekonomiku a technology </w:t>
      </w:r>
      <w:r>
        <w:t xml:space="preserve">assessment, o.p.s., s podporou Úřadu vlády ČR </w:t>
      </w:r>
      <w:r w:rsidRPr="007B7ED1">
        <w:t xml:space="preserve">vyčísluje </w:t>
      </w:r>
      <w:r>
        <w:t xml:space="preserve">roční </w:t>
      </w:r>
      <w:r w:rsidRPr="007B7ED1">
        <w:t>náklady spojené s konzumací alkoholu ve výši 57 mld. Kč</w:t>
      </w:r>
      <w:r>
        <w:t>. V</w:t>
      </w:r>
      <w:r w:rsidRPr="007B7ED1">
        <w:t>ýznamná část nákladů připadá na ztrátu pracovní produktivity, zdravotnické náklady, předčasn</w:t>
      </w:r>
      <w:r>
        <w:t>á</w:t>
      </w:r>
      <w:r w:rsidRPr="007B7ED1">
        <w:t xml:space="preserve"> úmrtí nebo dopravní nehody</w:t>
      </w:r>
      <w:r>
        <w:t xml:space="preserve">, domácí násilí </w:t>
      </w:r>
      <w:r w:rsidRPr="007B7ED1">
        <w:t>a kriminalitu.</w:t>
      </w:r>
    </w:p>
  </w:footnote>
  <w:footnote w:id="26">
    <w:p w14:paraId="2AFB29AD" w14:textId="549993BC" w:rsidR="009E69AD" w:rsidRPr="007B7ED1" w:rsidRDefault="009E69AD" w:rsidP="0005326B">
      <w:pPr>
        <w:pStyle w:val="poznmkapodarou"/>
      </w:pPr>
      <w:r w:rsidRPr="00DC4673">
        <w:rPr>
          <w:rStyle w:val="Znakapoznpodarou"/>
        </w:rPr>
        <w:footnoteRef/>
      </w:r>
      <w:r w:rsidRPr="00DC4673">
        <w:t xml:space="preserve"> </w:t>
      </w:r>
      <w:r>
        <w:tab/>
      </w:r>
      <w:r w:rsidRPr="00DC4673">
        <w:t xml:space="preserve">Ministerstvo financí v rámci prezentace </w:t>
      </w:r>
      <w:r w:rsidRPr="00DC4673">
        <w:rPr>
          <w:i/>
        </w:rPr>
        <w:t>Výsledky rozpočtového roku 2018</w:t>
      </w:r>
      <w:r w:rsidRPr="00DC4673">
        <w:t xml:space="preserve"> vyčíslilo dosavadní snížení výběru DPH kvůli přesunům plnění do nižších sazeb od roku 2015 poklesem o 3,9 mld. Kč a pro rok 2019 počítá už s</w:t>
      </w:r>
      <w:r>
        <w:t> </w:t>
      </w:r>
      <w:r w:rsidRPr="00DC4673">
        <w:t>celkovým poklesem o 6,3 mld. Kč.</w:t>
      </w:r>
    </w:p>
  </w:footnote>
  <w:footnote w:id="27">
    <w:p w14:paraId="007A91D7" w14:textId="3F6F4E21" w:rsidR="009E69AD" w:rsidRDefault="009E69AD" w:rsidP="0005326B">
      <w:pPr>
        <w:pStyle w:val="poznmkapodarou"/>
      </w:pPr>
      <w:r>
        <w:rPr>
          <w:rStyle w:val="Znakapoznpodarou"/>
        </w:rPr>
        <w:footnoteRef/>
      </w:r>
      <w:r>
        <w:t xml:space="preserve"> </w:t>
      </w:r>
      <w:r>
        <w:tab/>
      </w:r>
      <w:r w:rsidRPr="00073564">
        <w:t>Směrnice Rady (EU) 2018/2057 ze dne 20. prosince 2018, kterou se mění směrnice 2006/112/ES o</w:t>
      </w:r>
      <w:r>
        <w:t> </w:t>
      </w:r>
      <w:r w:rsidRPr="00073564">
        <w:t>společném systému daně z přidané hodnoty, pokud jde o dočasné používání všeobecného mechanismu přenesení daňové povinnosti ve vztahu k dodání zboží a poskytnutí služeb nad určitou prahovou hodnotu.</w:t>
      </w:r>
    </w:p>
  </w:footnote>
  <w:footnote w:id="28">
    <w:p w14:paraId="79399D39" w14:textId="61F00298" w:rsidR="009E69AD" w:rsidRDefault="009E69AD" w:rsidP="0005326B">
      <w:pPr>
        <w:pStyle w:val="poznmkapodarou"/>
      </w:pPr>
      <w:r>
        <w:rPr>
          <w:rStyle w:val="Znakapoznpodarou"/>
        </w:rPr>
        <w:footnoteRef/>
      </w:r>
      <w:r>
        <w:t xml:space="preserve"> </w:t>
      </w:r>
      <w:r>
        <w:tab/>
      </w:r>
      <w:r w:rsidRPr="00073564">
        <w:t>Zákon č. 235/2004 Sb., o dani z přidané hodnoty</w:t>
      </w:r>
      <w:r>
        <w:t>.</w:t>
      </w:r>
    </w:p>
  </w:footnote>
  <w:footnote w:id="29">
    <w:p w14:paraId="325195C9" w14:textId="40312865" w:rsidR="009E69AD" w:rsidRPr="007B7ED1" w:rsidRDefault="009E69AD" w:rsidP="0005326B">
      <w:pPr>
        <w:pStyle w:val="poznmkapodarou"/>
      </w:pPr>
      <w:r w:rsidRPr="007B7ED1">
        <w:rPr>
          <w:rStyle w:val="Znakapoznpodarou"/>
        </w:rPr>
        <w:footnoteRef/>
      </w:r>
      <w:r w:rsidRPr="007B7ED1">
        <w:t xml:space="preserve"> </w:t>
      </w:r>
      <w:r>
        <w:tab/>
      </w:r>
      <w:r w:rsidRPr="00F32C2C">
        <w:rPr>
          <w:i/>
        </w:rPr>
        <w:t>Programové prohlášení vlády ČR</w:t>
      </w:r>
      <w:r w:rsidRPr="007B7ED1">
        <w:t xml:space="preserve"> </w:t>
      </w:r>
      <w:r w:rsidRPr="00DB3E97">
        <w:t>ze dne 27. 6. 2018</w:t>
      </w:r>
      <w:r w:rsidRPr="007B7ED1">
        <w:t>. Zrušení superhrubé mzdy si stanovila v programovém prohlášení i vláda v roce 2014.</w:t>
      </w:r>
    </w:p>
  </w:footnote>
  <w:footnote w:id="30">
    <w:p w14:paraId="6F27F272" w14:textId="28BA0D30" w:rsidR="009E69AD" w:rsidRDefault="009E69AD" w:rsidP="00283833">
      <w:pPr>
        <w:pStyle w:val="poznmkapodarou"/>
      </w:pPr>
      <w:r>
        <w:rPr>
          <w:rStyle w:val="Znakapoznpodarou"/>
        </w:rPr>
        <w:footnoteRef/>
      </w:r>
      <w:r>
        <w:t xml:space="preserve"> </w:t>
      </w:r>
      <w:r>
        <w:tab/>
        <w:t xml:space="preserve">V roce 2015 byly kapitálové výdaje oproti ostatním letům mimořádně vysoké (175,7 mld. Kč) z důvodu </w:t>
      </w:r>
      <w:r w:rsidRPr="00FD24F1">
        <w:t>dočerpá</w:t>
      </w:r>
      <w:r>
        <w:t>vá</w:t>
      </w:r>
      <w:r w:rsidRPr="00FD24F1">
        <w:t xml:space="preserve">ní prostředků z </w:t>
      </w:r>
      <w:r>
        <w:t>programového</w:t>
      </w:r>
      <w:r w:rsidRPr="00FD24F1">
        <w:t xml:space="preserve"> období 2007</w:t>
      </w:r>
      <w:r>
        <w:rPr>
          <w:szCs w:val="24"/>
        </w:rPr>
        <w:t>–</w:t>
      </w:r>
      <w:r w:rsidRPr="00FD24F1">
        <w:t>2013</w:t>
      </w:r>
      <w:r>
        <w:t>.</w:t>
      </w:r>
    </w:p>
  </w:footnote>
  <w:footnote w:id="31">
    <w:p w14:paraId="64A633F9" w14:textId="2460E8C7" w:rsidR="009E69AD" w:rsidRDefault="009E69AD" w:rsidP="005147E3">
      <w:pPr>
        <w:pStyle w:val="poznmkapodarou"/>
      </w:pPr>
      <w:r>
        <w:rPr>
          <w:rStyle w:val="Znakapoznpodarou"/>
        </w:rPr>
        <w:footnoteRef/>
      </w:r>
      <w:r>
        <w:t xml:space="preserve"> </w:t>
      </w:r>
      <w:r>
        <w:tab/>
      </w:r>
      <w:r w:rsidRPr="00462B74">
        <w:t>Pravidlo n+3 je kontrolní nástroj, který s</w:t>
      </w:r>
      <w:r>
        <w:t>l</w:t>
      </w:r>
      <w:r w:rsidRPr="00462B74">
        <w:t>ouží k zajištění plynulosti čerpání finančních prostředků z</w:t>
      </w:r>
      <w:r>
        <w:t> e</w:t>
      </w:r>
      <w:r w:rsidRPr="00462B74">
        <w:t xml:space="preserve">vropských strukturálních a </w:t>
      </w:r>
      <w:r>
        <w:t>investičních fondů. Podle tohoto pravidla musí být alokace podpory pro n-tý rok programového období vyčerpána v následujících třech kalendářních letech, v opačném případě závazek Evropské komise zaniká.</w:t>
      </w:r>
    </w:p>
  </w:footnote>
  <w:footnote w:id="32">
    <w:p w14:paraId="6A8CF426" w14:textId="1313274A" w:rsidR="009E69AD" w:rsidRPr="002D72F8" w:rsidRDefault="009E69AD" w:rsidP="00283833">
      <w:pPr>
        <w:pStyle w:val="poznmkapodarou"/>
      </w:pPr>
      <w:r w:rsidRPr="00EB3814">
        <w:rPr>
          <w:rStyle w:val="Znakapoznpodarou"/>
        </w:rPr>
        <w:footnoteRef/>
      </w:r>
      <w:r w:rsidRPr="00EB3814">
        <w:t xml:space="preserve"> </w:t>
      </w:r>
      <w:r>
        <w:tab/>
      </w:r>
      <w:r w:rsidRPr="006307EB">
        <w:rPr>
          <w:rStyle w:val="poznmkapodarouChar"/>
        </w:rPr>
        <w:t>Zdroj:</w:t>
      </w:r>
      <w:r w:rsidRPr="006307EB">
        <w:t xml:space="preserve"> </w:t>
      </w:r>
      <w:r w:rsidRPr="00F32C2C">
        <w:rPr>
          <w:i/>
        </w:rPr>
        <w:t>Národní koncepce realizace politiky soudržnosti v ČR po roce 2020</w:t>
      </w:r>
      <w:r w:rsidRPr="006307EB">
        <w:t xml:space="preserve"> – podklad pro </w:t>
      </w:r>
      <w:r w:rsidRPr="00F32C2C">
        <w:rPr>
          <w:i/>
        </w:rPr>
        <w:t>Dohodu o partnerství pro období 2021–2027</w:t>
      </w:r>
      <w:r w:rsidRPr="006307EB">
        <w:t xml:space="preserve"> (verze</w:t>
      </w:r>
      <w:r>
        <w:t xml:space="preserve"> z</w:t>
      </w:r>
      <w:r w:rsidRPr="006307EB">
        <w:t xml:space="preserve"> prosin</w:t>
      </w:r>
      <w:r>
        <w:t>ce</w:t>
      </w:r>
      <w:r w:rsidRPr="006307EB">
        <w:t xml:space="preserve"> 2018).</w:t>
      </w:r>
    </w:p>
  </w:footnote>
  <w:footnote w:id="33">
    <w:p w14:paraId="3C7F5602" w14:textId="03A4225D" w:rsidR="009E69AD" w:rsidRDefault="009E69AD" w:rsidP="00283833">
      <w:pPr>
        <w:pStyle w:val="poznmkapodarou"/>
      </w:pPr>
      <w:r>
        <w:rPr>
          <w:rStyle w:val="Znakapoznpodarou"/>
        </w:rPr>
        <w:footnoteRef/>
      </w:r>
      <w:r>
        <w:t xml:space="preserve"> </w:t>
      </w:r>
      <w:r>
        <w:tab/>
        <w:t>Základním kritériem</w:t>
      </w:r>
      <w:r w:rsidRPr="003B6145">
        <w:t xml:space="preserve"> pro přidělování prostředků</w:t>
      </w:r>
      <w:r>
        <w:t xml:space="preserve"> po roce 2020 by měl být i nadále HDP na obyvatele, </w:t>
      </w:r>
      <w:r w:rsidRPr="003B6145">
        <w:t xml:space="preserve">nově </w:t>
      </w:r>
      <w:r>
        <w:t>by měla být přidána kritéria: míra</w:t>
      </w:r>
      <w:r w:rsidRPr="003B6145">
        <w:t xml:space="preserve"> nezaměstnanosti</w:t>
      </w:r>
      <w:r>
        <w:t>, úroveň</w:t>
      </w:r>
      <w:r w:rsidRPr="003B6145">
        <w:t xml:space="preserve"> vzdělání, změn</w:t>
      </w:r>
      <w:r>
        <w:t>y</w:t>
      </w:r>
      <w:r w:rsidRPr="003B6145">
        <w:t xml:space="preserve"> klimatu a přijímání a inte</w:t>
      </w:r>
      <w:r>
        <w:t>grace</w:t>
      </w:r>
      <w:r w:rsidRPr="003B6145">
        <w:t xml:space="preserve"> migrantů.</w:t>
      </w:r>
    </w:p>
  </w:footnote>
  <w:footnote w:id="34">
    <w:p w14:paraId="0F8F8734" w14:textId="313B608A" w:rsidR="009E69AD" w:rsidRDefault="009E69AD" w:rsidP="00D46486">
      <w:pPr>
        <w:pStyle w:val="poznmkapodarou"/>
      </w:pPr>
      <w:r>
        <w:rPr>
          <w:rStyle w:val="Znakapoznpodarou"/>
        </w:rPr>
        <w:footnoteRef/>
      </w:r>
      <w:r>
        <w:t xml:space="preserve"> </w:t>
      </w:r>
      <w:r>
        <w:tab/>
        <w:t>I</w:t>
      </w:r>
      <w:r w:rsidRPr="003C1971">
        <w:t xml:space="preserve">nvestice </w:t>
      </w:r>
      <w:r>
        <w:t xml:space="preserve">je </w:t>
      </w:r>
      <w:r w:rsidRPr="003C1971">
        <w:t>realizována již před poskytnutím</w:t>
      </w:r>
      <w:r>
        <w:t xml:space="preserve"> transferu.</w:t>
      </w:r>
    </w:p>
  </w:footnote>
  <w:footnote w:id="35">
    <w:p w14:paraId="3501F294" w14:textId="64EA43F3" w:rsidR="009E69AD" w:rsidRDefault="009E69AD" w:rsidP="00CF2B10">
      <w:pPr>
        <w:pStyle w:val="poznmkapodarou"/>
      </w:pPr>
      <w:r>
        <w:rPr>
          <w:rStyle w:val="Znakapoznpodarou"/>
        </w:rPr>
        <w:footnoteRef/>
      </w:r>
      <w:r>
        <w:t xml:space="preserve"> </w:t>
      </w:r>
      <w:r>
        <w:tab/>
        <w:t>Finanční a věcné ukazatele (celkem 134) stanovené Evropskou komisí ke splnění do konce roku 2018 jako podmínka pro přiznání výkonnostní rezervy ve výši 6 % z celkové alokace vyčleněné pro ČR.</w:t>
      </w:r>
    </w:p>
  </w:footnote>
  <w:footnote w:id="36">
    <w:p w14:paraId="3762F379" w14:textId="1CDEFBFE" w:rsidR="009E69AD" w:rsidRDefault="009E69AD" w:rsidP="00AA2D37">
      <w:pPr>
        <w:pStyle w:val="poznmkapodarou"/>
      </w:pPr>
      <w:r>
        <w:rPr>
          <w:rStyle w:val="Znakapoznpodarou"/>
        </w:rPr>
        <w:footnoteRef/>
      </w:r>
      <w:r>
        <w:t xml:space="preserve"> </w:t>
      </w:r>
      <w:r>
        <w:tab/>
      </w:r>
      <w:r w:rsidRPr="00CD66E3">
        <w:rPr>
          <w:i/>
        </w:rPr>
        <w:t xml:space="preserve">Dohoda o </w:t>
      </w:r>
      <w:r w:rsidRPr="00DE10D7">
        <w:rPr>
          <w:i/>
        </w:rPr>
        <w:t>partnerství</w:t>
      </w:r>
      <w:r w:rsidRPr="007B3491">
        <w:rPr>
          <w:i/>
        </w:rPr>
        <w:t xml:space="preserve"> pro programové období 2014–2020</w:t>
      </w:r>
      <w:r>
        <w:t xml:space="preserve"> </w:t>
      </w:r>
      <w:r w:rsidRPr="004137E7">
        <w:t xml:space="preserve">je základní zastřešující dokument pro čerpání finančních prostředků </w:t>
      </w:r>
      <w:r>
        <w:t>z ESI fondů v programovém období 2014–2020.</w:t>
      </w:r>
    </w:p>
  </w:footnote>
  <w:footnote w:id="37">
    <w:p w14:paraId="6A233874" w14:textId="2F164825" w:rsidR="009E69AD" w:rsidRPr="00C6109E" w:rsidRDefault="009E69AD" w:rsidP="00AA2D37">
      <w:pPr>
        <w:pStyle w:val="poznmkapodarou"/>
      </w:pPr>
      <w:r>
        <w:rPr>
          <w:rStyle w:val="Znakapoznpodarou"/>
        </w:rPr>
        <w:footnoteRef/>
      </w:r>
      <w:r>
        <w:t xml:space="preserve"> </w:t>
      </w:r>
      <w:r>
        <w:tab/>
        <w:t>Výše 14,8 mld. € byla vypočtena jako roční průměr skutečných příspěvků Spojeného království do rozpočtu EU v letech 2007</w:t>
      </w:r>
      <w:r w:rsidRPr="00164517">
        <w:t>–</w:t>
      </w:r>
      <w:r>
        <w:t>2018 (včetně korekčních mechanismů).</w:t>
      </w:r>
    </w:p>
  </w:footnote>
  <w:footnote w:id="38">
    <w:p w14:paraId="6439AFA0" w14:textId="3AB49DF1" w:rsidR="009E69AD" w:rsidRDefault="009E69AD" w:rsidP="00AA2D37">
      <w:pPr>
        <w:pStyle w:val="poznmkapodarou"/>
      </w:pPr>
      <w:r>
        <w:rPr>
          <w:rStyle w:val="Znakapoznpodarou"/>
        </w:rPr>
        <w:footnoteRef/>
      </w:r>
      <w:r>
        <w:t xml:space="preserve"> </w:t>
      </w:r>
      <w:r>
        <w:tab/>
      </w:r>
      <w:r w:rsidRPr="00F32C2C">
        <w:rPr>
          <w:i/>
        </w:rPr>
        <w:t>Rozpočet EU pro budoucnost</w:t>
      </w:r>
      <w:r>
        <w:t xml:space="preserve"> – </w:t>
      </w:r>
      <w:r w:rsidRPr="007B3491">
        <w:rPr>
          <w:i/>
        </w:rPr>
        <w:t>Modernizace příjmové strany rozpočtu EU</w:t>
      </w:r>
      <w:r>
        <w:t>.</w:t>
      </w:r>
    </w:p>
  </w:footnote>
  <w:footnote w:id="39">
    <w:p w14:paraId="14138623" w14:textId="37446821" w:rsidR="009E69AD" w:rsidRDefault="009E69AD" w:rsidP="00AA2D37">
      <w:pPr>
        <w:pStyle w:val="poznmkapodarou"/>
      </w:pPr>
      <w:r>
        <w:rPr>
          <w:rStyle w:val="Znakapoznpodarou"/>
        </w:rPr>
        <w:footnoteRef/>
      </w:r>
      <w:r>
        <w:t xml:space="preserve"> </w:t>
      </w:r>
      <w:r>
        <w:tab/>
        <w:t>Příspěvek členských států vypočítaný na základě množství nerecyklovaných plastových obalových odpadů v každém členském státě, 20% podíl z výnosů z dražeb v rámci systému EU pro obchodování s emisemi, 3% sazba uplatňovaná na nový společný konsolidovaný základ daně z příjmů právnických osob.</w:t>
      </w:r>
    </w:p>
  </w:footnote>
  <w:footnote w:id="40">
    <w:p w14:paraId="4C0DAD9A" w14:textId="640B5D3C" w:rsidR="009E69AD" w:rsidRDefault="009E69AD" w:rsidP="00AA2D37">
      <w:pPr>
        <w:pStyle w:val="poznmkapodarou"/>
      </w:pPr>
      <w:r>
        <w:rPr>
          <w:rStyle w:val="Znakapoznpodarou"/>
        </w:rPr>
        <w:footnoteRef/>
      </w:r>
      <w:r>
        <w:t xml:space="preserve"> </w:t>
      </w:r>
      <w:r>
        <w:tab/>
        <w:t xml:space="preserve">DG budget data, dostupné z: </w:t>
      </w:r>
      <w:hyperlink r:id="rId1" w:history="1">
        <w:r w:rsidRPr="00CD57D7">
          <w:rPr>
            <w:rStyle w:val="Hypertextovodkaz"/>
          </w:rPr>
          <w:t>http://ec.europa.eu/budget/graphs/revenue_expediture.html</w:t>
        </w:r>
      </w:hyperlink>
      <w:r>
        <w:t>.</w:t>
      </w:r>
    </w:p>
  </w:footnote>
  <w:footnote w:id="41">
    <w:p w14:paraId="43C9D253" w14:textId="7ADDED87" w:rsidR="009E69AD" w:rsidRDefault="009E69AD" w:rsidP="00AA2D37">
      <w:pPr>
        <w:pStyle w:val="poznmkapodarou"/>
      </w:pPr>
      <w:r>
        <w:rPr>
          <w:rStyle w:val="Znakapoznpodarou"/>
        </w:rPr>
        <w:footnoteRef/>
      </w:r>
      <w:r>
        <w:t xml:space="preserve"> </w:t>
      </w:r>
      <w:r>
        <w:tab/>
      </w:r>
      <w:r w:rsidRPr="008E6471">
        <w:t>Odhad příjmů pro jednotlivá období byl vypočten z celkových vlastních zdrojů EU a z celkové podpory jednotlivým členským státům očištěné o příspěvky</w:t>
      </w:r>
      <w:r>
        <w:t xml:space="preserve"> a podporu</w:t>
      </w:r>
      <w:r w:rsidRPr="008E6471">
        <w:t xml:space="preserve"> Spojeného království</w:t>
      </w:r>
      <w:r>
        <w:t xml:space="preserve"> při zachování všech ostatních podmínek</w:t>
      </w:r>
      <w:r w:rsidRPr="008E6471">
        <w:t xml:space="preserve">. Při převodu eur na </w:t>
      </w:r>
      <w:r>
        <w:t>české koruny</w:t>
      </w:r>
      <w:r w:rsidRPr="008E6471">
        <w:t xml:space="preserve"> byly použity průměrné kurzy devizového trhu </w:t>
      </w:r>
      <w:r>
        <w:t>České národní banky za</w:t>
      </w:r>
      <w:r w:rsidRPr="008E6471">
        <w:t xml:space="preserve"> jednotliv</w:t>
      </w:r>
      <w:r>
        <w:t>é</w:t>
      </w:r>
      <w:r w:rsidRPr="008E6471">
        <w:t xml:space="preserve"> </w:t>
      </w:r>
      <w:r>
        <w:t>roky</w:t>
      </w:r>
      <w:r w:rsidRPr="008E6471">
        <w:t>.</w:t>
      </w:r>
    </w:p>
  </w:footnote>
  <w:footnote w:id="42">
    <w:p w14:paraId="7A519996" w14:textId="21E01735" w:rsidR="009E69AD" w:rsidRDefault="009E69AD" w:rsidP="00BB7C79">
      <w:pPr>
        <w:pStyle w:val="poznmkapodarou"/>
      </w:pPr>
      <w:r>
        <w:rPr>
          <w:rStyle w:val="Znakapoznpodarou"/>
        </w:rPr>
        <w:footnoteRef/>
      </w:r>
      <w:r>
        <w:t xml:space="preserve"> </w:t>
      </w:r>
      <w:r>
        <w:tab/>
        <w:t xml:space="preserve">Dle odvětvového třídění rozpočtové skladby se jedná o oddíl 22 – </w:t>
      </w:r>
      <w:r w:rsidRPr="00651443">
        <w:rPr>
          <w:i/>
        </w:rPr>
        <w:t>Doprava</w:t>
      </w:r>
      <w:r>
        <w:t>.</w:t>
      </w:r>
    </w:p>
  </w:footnote>
  <w:footnote w:id="43">
    <w:p w14:paraId="277DF77F" w14:textId="0127B7D5" w:rsidR="009E69AD" w:rsidRDefault="009E69AD" w:rsidP="00BB7C79">
      <w:pPr>
        <w:pStyle w:val="poznmkapodarou"/>
      </w:pPr>
      <w:r w:rsidRPr="002B3DB4">
        <w:rPr>
          <w:rStyle w:val="Znakapoznpodarou"/>
        </w:rPr>
        <w:footnoteRef/>
      </w:r>
      <w:r w:rsidRPr="002B3DB4">
        <w:t xml:space="preserve"> </w:t>
      </w:r>
      <w:r>
        <w:tab/>
      </w:r>
      <w:r w:rsidRPr="002B3DB4">
        <w:t>Např. zákon č. 225/2017 Sb., kterým se mění zákon č. 183/2006 Sb., o územním plánování a stavebním řádu (stavební zákon), ve znění pozdějších předpisů, a další související zákony, zákon č. 169/2018 Sb., kterým se mění zákon č. 416/2009 Sb., o urychlení výstavby dopravní, vodní a energetické infrastruktury a</w:t>
      </w:r>
      <w:r>
        <w:t> </w:t>
      </w:r>
      <w:r w:rsidRPr="002B3DB4">
        <w:t>infrastruktury elektronických komunikací, ve znění pozdějších předpisů, a další související zákony.</w:t>
      </w:r>
    </w:p>
  </w:footnote>
  <w:footnote w:id="44">
    <w:p w14:paraId="268C7B1C" w14:textId="649D0C81" w:rsidR="009E69AD" w:rsidRDefault="009E69AD" w:rsidP="00BB7C79">
      <w:pPr>
        <w:pStyle w:val="poznmkapodarou"/>
      </w:pPr>
      <w:r>
        <w:rPr>
          <w:rStyle w:val="Znakapoznpodarou"/>
        </w:rPr>
        <w:footnoteRef/>
      </w:r>
      <w:r>
        <w:t xml:space="preserve"> </w:t>
      </w:r>
      <w:r>
        <w:tab/>
        <w:t>Pomocí indexů 1 až 7 (1 = extrémně špatné silnice, 7 = extrémně dobré silnice) je hodnocena spokojenost obyvatel s kvalitou silnic v dané zemi.</w:t>
      </w:r>
    </w:p>
  </w:footnote>
  <w:footnote w:id="45">
    <w:p w14:paraId="765BAEF2" w14:textId="44D739E8" w:rsidR="009E69AD" w:rsidRDefault="009E69AD" w:rsidP="00BB7C79">
      <w:pPr>
        <w:pStyle w:val="poznmkapodarou"/>
      </w:pPr>
      <w:r>
        <w:rPr>
          <w:rStyle w:val="Znakapoznpodarou"/>
        </w:rPr>
        <w:footnoteRef/>
      </w:r>
      <w:r>
        <w:t xml:space="preserve"> </w:t>
      </w:r>
      <w:r>
        <w:tab/>
        <w:t xml:space="preserve">Do roku 2030 by mělo být 30 % silniční přepravy nákladu nad 300 km převedeno na jiné druhy dopravy, např. na železniční či lodní dopravu. </w:t>
      </w:r>
    </w:p>
  </w:footnote>
  <w:footnote w:id="46">
    <w:p w14:paraId="36536896" w14:textId="59D13A20" w:rsidR="009E69AD" w:rsidRDefault="009E69AD" w:rsidP="00BB7C79">
      <w:pPr>
        <w:pStyle w:val="poznmkapodarou"/>
      </w:pPr>
      <w:r>
        <w:rPr>
          <w:rStyle w:val="Znakapoznpodarou"/>
        </w:rPr>
        <w:footnoteRef/>
      </w:r>
      <w:r>
        <w:t xml:space="preserve"> </w:t>
      </w:r>
      <w:r>
        <w:tab/>
      </w:r>
      <w:r w:rsidRPr="00381B7D">
        <w:rPr>
          <w:i/>
        </w:rPr>
        <w:t>Programové prohlášení vlády ČR</w:t>
      </w:r>
      <w:r w:rsidRPr="00DB3E97">
        <w:t xml:space="preserve"> ze dne 27. 6. 2018</w:t>
      </w:r>
      <w:r>
        <w:t>.</w:t>
      </w:r>
    </w:p>
  </w:footnote>
  <w:footnote w:id="47">
    <w:p w14:paraId="58DA9A91" w14:textId="16EACF59" w:rsidR="009E69AD" w:rsidRDefault="009E69AD" w:rsidP="00507EB3">
      <w:pPr>
        <w:pStyle w:val="poznmkapodarou"/>
      </w:pPr>
      <w:r>
        <w:rPr>
          <w:rStyle w:val="Znakapoznpodarou"/>
        </w:rPr>
        <w:footnoteRef/>
      </w:r>
      <w:r>
        <w:t xml:space="preserve"> </w:t>
      </w:r>
      <w:r>
        <w:tab/>
        <w:t xml:space="preserve">KA č. 18/34 – </w:t>
      </w:r>
      <w:r w:rsidRPr="00EE05A2">
        <w:rPr>
          <w:i/>
        </w:rPr>
        <w:t>Implementace inteligentních dopravních systémů (ITS) v silniční infrastruktuře České republiky</w:t>
      </w:r>
      <w:r>
        <w:t xml:space="preserve"> (kontrolní závěr byl </w:t>
      </w:r>
      <w:r w:rsidRPr="00E524C3">
        <w:t xml:space="preserve">zveřejněn v částce </w:t>
      </w:r>
      <w:r>
        <w:t>3</w:t>
      </w:r>
      <w:r w:rsidRPr="00E524C3">
        <w:t>/201</w:t>
      </w:r>
      <w:r>
        <w:t>9</w:t>
      </w:r>
      <w:r w:rsidRPr="00E524C3">
        <w:t xml:space="preserve"> </w:t>
      </w:r>
      <w:r w:rsidRPr="00D51931">
        <w:rPr>
          <w:i/>
        </w:rPr>
        <w:t>Věstníku NKÚ</w:t>
      </w:r>
      <w:r>
        <w:t>).</w:t>
      </w:r>
    </w:p>
  </w:footnote>
  <w:footnote w:id="48">
    <w:p w14:paraId="38E000E9" w14:textId="7939C1CF" w:rsidR="009E69AD" w:rsidRDefault="009E69AD" w:rsidP="00381B7D">
      <w:pPr>
        <w:pStyle w:val="poznmkapodarou"/>
      </w:pPr>
      <w:r>
        <w:rPr>
          <w:rStyle w:val="Znakapoznpodarou"/>
        </w:rPr>
        <w:footnoteRef/>
      </w:r>
      <w:r>
        <w:t xml:space="preserve"> </w:t>
      </w:r>
      <w:r>
        <w:tab/>
        <w:t xml:space="preserve">KA č. 17/05 – </w:t>
      </w:r>
      <w:r w:rsidRPr="00381B7D">
        <w:rPr>
          <w:i/>
        </w:rPr>
        <w:t>Výstavba, modernizace a rekonstrukce dálnic</w:t>
      </w:r>
      <w:r>
        <w:t xml:space="preserve"> </w:t>
      </w:r>
      <w:r w:rsidRPr="00D51931">
        <w:t>(</w:t>
      </w:r>
      <w:r>
        <w:t xml:space="preserve">kontrolní závěr byl </w:t>
      </w:r>
      <w:r w:rsidRPr="00E524C3">
        <w:t xml:space="preserve">zveřejněn v částce 1/2018 </w:t>
      </w:r>
      <w:r w:rsidRPr="00D51931">
        <w:rPr>
          <w:i/>
        </w:rPr>
        <w:t>Věstníku NKÚ</w:t>
      </w:r>
      <w:r>
        <w:t>).</w:t>
      </w:r>
    </w:p>
  </w:footnote>
  <w:footnote w:id="49">
    <w:p w14:paraId="6E459768" w14:textId="2D82DE48" w:rsidR="009E69AD" w:rsidRDefault="009E69AD" w:rsidP="007F655D">
      <w:pPr>
        <w:pStyle w:val="poznmkapodarou"/>
      </w:pPr>
      <w:r>
        <w:rPr>
          <w:rStyle w:val="Znakapoznpodarou"/>
        </w:rPr>
        <w:footnoteRef/>
      </w:r>
      <w:r>
        <w:t> </w:t>
      </w:r>
      <w:r>
        <w:tab/>
        <w:t xml:space="preserve">Materiál </w:t>
      </w:r>
      <w:r w:rsidRPr="00D770D6">
        <w:rPr>
          <w:i/>
        </w:rPr>
        <w:t>S</w:t>
      </w:r>
      <w:r w:rsidRPr="005D55C1">
        <w:rPr>
          <w:i/>
        </w:rPr>
        <w:t>tatus Review of</w:t>
      </w:r>
      <w:r>
        <w:rPr>
          <w:i/>
        </w:rPr>
        <w:t xml:space="preserve"> </w:t>
      </w:r>
      <w:r w:rsidRPr="005D55C1">
        <w:rPr>
          <w:i/>
        </w:rPr>
        <w:t>Renewable Support Schemes in Europe for 2016 and 2017</w:t>
      </w:r>
      <w:r>
        <w:rPr>
          <w:i/>
        </w:rPr>
        <w:t xml:space="preserve"> </w:t>
      </w:r>
      <w:r w:rsidRPr="00DB3E97">
        <w:t>(</w:t>
      </w:r>
      <w:r w:rsidRPr="005D55C1">
        <w:rPr>
          <w:i/>
        </w:rPr>
        <w:t>Zpráv</w:t>
      </w:r>
      <w:r>
        <w:rPr>
          <w:i/>
        </w:rPr>
        <w:t>a</w:t>
      </w:r>
      <w:r w:rsidRPr="005D55C1">
        <w:rPr>
          <w:i/>
        </w:rPr>
        <w:t xml:space="preserve"> o stavu systému podpory obnovitelných zdrojů energie v letech 2016 a 2017</w:t>
      </w:r>
      <w:r>
        <w:t xml:space="preserve">) vypracovala Rada evropských energetických regulačních orgánů (Council of European Energy Regulators). </w:t>
      </w:r>
      <w:r w:rsidRPr="002768F9">
        <w:t xml:space="preserve">Účelem </w:t>
      </w:r>
      <w:r>
        <w:t>zprávy</w:t>
      </w:r>
      <w:r w:rsidRPr="002768F9">
        <w:t xml:space="preserve"> je</w:t>
      </w:r>
      <w:r>
        <w:t xml:space="preserve"> shromáždit srovnatelné údaje o </w:t>
      </w:r>
      <w:r w:rsidRPr="002768F9">
        <w:t xml:space="preserve">podpoře </w:t>
      </w:r>
      <w:r>
        <w:t>obnovitelných zdrojů energie</w:t>
      </w:r>
      <w:r w:rsidRPr="002768F9">
        <w:t xml:space="preserve"> v Evropě s cílem poskytnout</w:t>
      </w:r>
      <w:r>
        <w:t xml:space="preserve"> tvůrcům politik, regulátorům a subjektům působícím v oblasti</w:t>
      </w:r>
      <w:r w:rsidRPr="002768F9">
        <w:t xml:space="preserve"> průmyslu informace o podpůrných </w:t>
      </w:r>
      <w:r>
        <w:t>systémech</w:t>
      </w:r>
      <w:r w:rsidRPr="002768F9">
        <w:t xml:space="preserve"> pro elektřinu z</w:t>
      </w:r>
      <w:r>
        <w:t> </w:t>
      </w:r>
      <w:r w:rsidRPr="002768F9">
        <w:t>obnovitelných zdrojů</w:t>
      </w:r>
      <w:r>
        <w:t xml:space="preserve"> (technologie, typ</w:t>
      </w:r>
      <w:r w:rsidRPr="002768F9">
        <w:t xml:space="preserve"> nástroje</w:t>
      </w:r>
      <w:r>
        <w:t>).</w:t>
      </w:r>
    </w:p>
  </w:footnote>
  <w:footnote w:id="50">
    <w:p w14:paraId="481C1A3D" w14:textId="77777777" w:rsidR="009E69AD" w:rsidRDefault="009E69AD" w:rsidP="006A4713">
      <w:pPr>
        <w:pStyle w:val="poznmkapodarou"/>
      </w:pPr>
      <w:r w:rsidRPr="006A4713">
        <w:rPr>
          <w:rStyle w:val="Znakapoznpodarou"/>
        </w:rPr>
        <w:footnoteRef/>
      </w:r>
      <w:r w:rsidRPr="006A4713">
        <w:t xml:space="preserve"> </w:t>
      </w:r>
      <w:r w:rsidRPr="006A4713">
        <w:tab/>
        <w:t>KA č. 14/06 – </w:t>
      </w:r>
      <w:r w:rsidRPr="006A4713">
        <w:rPr>
          <w:i/>
        </w:rPr>
        <w:t>Peněžní prostředky určené na podporu výroby energie z obnovitelných zdrojů</w:t>
      </w:r>
      <w:r w:rsidRPr="006A4713">
        <w:t xml:space="preserve"> (kontrolní závěr byl zveřejněn v částce 4/2014 </w:t>
      </w:r>
      <w:r w:rsidRPr="006A4713">
        <w:rPr>
          <w:i/>
        </w:rPr>
        <w:t>Věstníku NKÚ</w:t>
      </w:r>
      <w:r w:rsidRPr="006A4713">
        <w:t>).</w:t>
      </w:r>
    </w:p>
  </w:footnote>
  <w:footnote w:id="51">
    <w:p w14:paraId="7ECE53D5" w14:textId="15882163" w:rsidR="009E69AD" w:rsidRPr="000F7518" w:rsidRDefault="009E69AD" w:rsidP="007F655D">
      <w:pPr>
        <w:pStyle w:val="poznmkapodarou"/>
      </w:pPr>
      <w:r>
        <w:rPr>
          <w:rStyle w:val="Znakapoznpodarou"/>
        </w:rPr>
        <w:footnoteRef/>
      </w:r>
      <w:r>
        <w:t> </w:t>
      </w:r>
      <w:r>
        <w:tab/>
        <w:t>S</w:t>
      </w:r>
      <w:r w:rsidRPr="000F7518">
        <w:t xml:space="preserve">chválení </w:t>
      </w:r>
      <w:r w:rsidRPr="000F7518">
        <w:rPr>
          <w:i/>
        </w:rPr>
        <w:t>Státní energetické koncepce</w:t>
      </w:r>
      <w:r w:rsidRPr="000F7518">
        <w:t xml:space="preserve"> a </w:t>
      </w:r>
      <w:r w:rsidRPr="000F7518">
        <w:rPr>
          <w:i/>
        </w:rPr>
        <w:t>Národního akčního plánu rozvoje jaderné energetiky v České republice</w:t>
      </w:r>
      <w:r>
        <w:t>.</w:t>
      </w:r>
    </w:p>
  </w:footnote>
  <w:footnote w:id="52">
    <w:p w14:paraId="7F0E73FA" w14:textId="6E174E9C" w:rsidR="009E69AD" w:rsidRDefault="009E69AD" w:rsidP="00941D3C">
      <w:pPr>
        <w:pStyle w:val="poznmkapodarou"/>
      </w:pPr>
      <w:r>
        <w:rPr>
          <w:rStyle w:val="Znakapoznpodarou"/>
        </w:rPr>
        <w:footnoteRef/>
      </w:r>
      <w:r>
        <w:t xml:space="preserve"> </w:t>
      </w:r>
      <w:r>
        <w:tab/>
        <w:t xml:space="preserve">Komise v roce 2018 vydala publikaci </w:t>
      </w:r>
      <w:r w:rsidRPr="0045656C">
        <w:rPr>
          <w:i/>
          <w:lang w:val="en-GB"/>
        </w:rPr>
        <w:t>Efficiency and quality of justice</w:t>
      </w:r>
      <w:r>
        <w:t xml:space="preserve"> (publikace obsahuje data za rok 2016).</w:t>
      </w:r>
    </w:p>
  </w:footnote>
  <w:footnote w:id="53">
    <w:p w14:paraId="68843721" w14:textId="64643098" w:rsidR="009E69AD" w:rsidRDefault="009E69AD" w:rsidP="00941D3C">
      <w:pPr>
        <w:pStyle w:val="poznmkapodarou"/>
      </w:pPr>
      <w:r>
        <w:rPr>
          <w:rStyle w:val="Znakapoznpodarou"/>
        </w:rPr>
        <w:footnoteRef/>
      </w:r>
      <w:r>
        <w:t xml:space="preserve"> </w:t>
      </w:r>
      <w:r>
        <w:tab/>
        <w:t>Ukazatel hodnotí, jak je soudní systém schopen vyřizovat svou agendu. Porovnává počet vyřešených případů s počtem příchozích a je vyjádřen v procentech.</w:t>
      </w:r>
    </w:p>
  </w:footnote>
  <w:footnote w:id="54">
    <w:p w14:paraId="3343C9D3" w14:textId="0E0142D6" w:rsidR="009E69AD" w:rsidRDefault="009E69AD" w:rsidP="00941D3C">
      <w:pPr>
        <w:pStyle w:val="poznmkapodarou"/>
      </w:pPr>
      <w:r>
        <w:rPr>
          <w:rStyle w:val="Znakapoznpodarou"/>
        </w:rPr>
        <w:footnoteRef/>
      </w:r>
      <w:r>
        <w:t xml:space="preserve"> </w:t>
      </w:r>
      <w:r>
        <w:tab/>
        <w:t>Jedná se o teoretický průměr trvání případu u soudu s ohledem na jeho současné tempo práce. Vypočítává se jako poměr všech nevyřízených případů na konci roku vůči počtu případů vyřešených za stejné období a převádí se na dny.</w:t>
      </w:r>
    </w:p>
  </w:footnote>
  <w:footnote w:id="55">
    <w:p w14:paraId="4823699F" w14:textId="7F17888B" w:rsidR="009E69AD" w:rsidRDefault="009E69AD" w:rsidP="00941D3C">
      <w:pPr>
        <w:pStyle w:val="poznmkapodarou"/>
      </w:pPr>
      <w:r>
        <w:rPr>
          <w:rStyle w:val="Znakapoznpodarou"/>
        </w:rPr>
        <w:footnoteRef/>
      </w:r>
      <w:r>
        <w:t> </w:t>
      </w:r>
      <w:r>
        <w:tab/>
        <w:t>Souhrnný inovační index</w:t>
      </w:r>
      <w:r w:rsidRPr="00F54284">
        <w:t xml:space="preserve"> pro měření inovační výkonnosti v evropském srovnávacím přehledu </w:t>
      </w:r>
      <w:r>
        <w:t xml:space="preserve">inovací </w:t>
      </w:r>
      <w:r w:rsidRPr="00F54284">
        <w:t xml:space="preserve">rozlišuje </w:t>
      </w:r>
      <w:r>
        <w:t>4</w:t>
      </w:r>
      <w:r w:rsidRPr="00F54284">
        <w:t xml:space="preserve"> hlavní </w:t>
      </w:r>
      <w:r>
        <w:t>typy ukazatelů rozdělených do</w:t>
      </w:r>
      <w:r w:rsidRPr="00F54284">
        <w:t xml:space="preserve"> </w:t>
      </w:r>
      <w:r>
        <w:t>10 dimenzí inovací, které zahrnují</w:t>
      </w:r>
      <w:r w:rsidRPr="00F54284">
        <w:t xml:space="preserve"> </w:t>
      </w:r>
      <w:r>
        <w:t xml:space="preserve">celkem </w:t>
      </w:r>
      <w:r w:rsidRPr="00F54284">
        <w:t>27 ukazatelů</w:t>
      </w:r>
      <w:r>
        <w:t>.</w:t>
      </w:r>
    </w:p>
  </w:footnote>
  <w:footnote w:id="56">
    <w:p w14:paraId="1197DC1F" w14:textId="00EB25EC" w:rsidR="009E69AD" w:rsidRDefault="009E69AD" w:rsidP="00941D3C">
      <w:pPr>
        <w:pStyle w:val="poznmkapodarou"/>
      </w:pPr>
      <w:r>
        <w:rPr>
          <w:rStyle w:val="Znakapoznpodarou"/>
        </w:rPr>
        <w:footnoteRef/>
      </w:r>
      <w:r>
        <w:t> </w:t>
      </w:r>
      <w:r>
        <w:tab/>
        <w:t>Rizikový kapitál (tzv. venture capital) představuje</w:t>
      </w:r>
      <w:r w:rsidRPr="007F47C6">
        <w:t xml:space="preserve"> kapitál, který slouží zejména k financování inovačních projektů a k financování počátečního rozvoje společnosti</w:t>
      </w:r>
      <w:r>
        <w:t>.</w:t>
      </w:r>
    </w:p>
  </w:footnote>
  <w:footnote w:id="57">
    <w:p w14:paraId="168D1427" w14:textId="3DC594F2" w:rsidR="009E69AD" w:rsidRPr="00BB5378" w:rsidRDefault="009E69AD" w:rsidP="00230352">
      <w:pPr>
        <w:pStyle w:val="poznmkapodarou"/>
      </w:pPr>
      <w:r>
        <w:rPr>
          <w:rStyle w:val="Znakapoznpodarou"/>
        </w:rPr>
        <w:footnoteRef/>
      </w:r>
      <w:r>
        <w:t xml:space="preserve"> </w:t>
      </w:r>
      <w:r>
        <w:tab/>
        <w:t>Centrové léky jsou léčiva</w:t>
      </w:r>
      <w:r w:rsidRPr="00BB5378">
        <w:t xml:space="preserve"> předepisovan</w:t>
      </w:r>
      <w:r>
        <w:t>á</w:t>
      </w:r>
      <w:r w:rsidRPr="00BB5378">
        <w:t xml:space="preserve"> specializovanými centry pro léčbu závažných nemocí</w:t>
      </w:r>
      <w:r>
        <w:t>.</w:t>
      </w:r>
    </w:p>
  </w:footnote>
  <w:footnote w:id="58">
    <w:p w14:paraId="3D4ADDCE" w14:textId="6F0BE11F" w:rsidR="009E69AD" w:rsidRDefault="009E69AD" w:rsidP="00230352">
      <w:pPr>
        <w:pStyle w:val="poznmkapodarou"/>
      </w:pPr>
      <w:r>
        <w:rPr>
          <w:rStyle w:val="Znakapoznpodarou"/>
        </w:rPr>
        <w:footnoteRef/>
      </w:r>
      <w:r>
        <w:t xml:space="preserve"> </w:t>
      </w:r>
      <w:r>
        <w:tab/>
      </w:r>
      <w:r w:rsidRPr="009816E8">
        <w:t xml:space="preserve">KA č. </w:t>
      </w:r>
      <w:r>
        <w:t>17</w:t>
      </w:r>
      <w:r w:rsidRPr="009816E8">
        <w:t>/</w:t>
      </w:r>
      <w:r>
        <w:t>19</w:t>
      </w:r>
      <w:r w:rsidRPr="009816E8">
        <w:t xml:space="preserve"> – </w:t>
      </w:r>
      <w:r w:rsidRPr="009816E8">
        <w:rPr>
          <w:i/>
        </w:rPr>
        <w:t>Peněžní prostředky</w:t>
      </w:r>
      <w:r>
        <w:rPr>
          <w:i/>
        </w:rPr>
        <w:t xml:space="preserve"> vynakládané vybranými nemocnicemi na úhradu nákladů z činnosti</w:t>
      </w:r>
      <w:r w:rsidRPr="009816E8">
        <w:rPr>
          <w:i/>
        </w:rPr>
        <w:t xml:space="preserve"> </w:t>
      </w:r>
      <w:r w:rsidRPr="003C3A75">
        <w:t>(</w:t>
      </w:r>
      <w:r w:rsidRPr="003E24EA">
        <w:t>kontrolní závěr byl zveřejněn v částce 4/2018</w:t>
      </w:r>
      <w:r w:rsidRPr="009816E8">
        <w:rPr>
          <w:i/>
        </w:rPr>
        <w:t xml:space="preserve"> Věstníku NKÚ</w:t>
      </w:r>
      <w:r w:rsidRPr="00D0597D">
        <w:t>)</w:t>
      </w:r>
      <w:r w:rsidRPr="009816E8">
        <w:rPr>
          <w:i/>
        </w:rPr>
        <w:t>.</w:t>
      </w:r>
    </w:p>
  </w:footnote>
  <w:footnote w:id="59">
    <w:p w14:paraId="7C2C062B" w14:textId="5F4623E1" w:rsidR="009E69AD" w:rsidRDefault="009E69AD" w:rsidP="00230352">
      <w:pPr>
        <w:pStyle w:val="poznmkapodarou"/>
      </w:pPr>
      <w:r>
        <w:rPr>
          <w:rStyle w:val="Znakapoznpodarou"/>
        </w:rPr>
        <w:footnoteRef/>
      </w:r>
      <w:r>
        <w:t xml:space="preserve"> </w:t>
      </w:r>
      <w:r>
        <w:tab/>
        <w:t>Zákon č. 137/2006 Sb., o veřejných zakázkách, a z</w:t>
      </w:r>
      <w:r w:rsidRPr="009816E8">
        <w:t>ákon č. 134/2016 Sb., o zadávání veřejných zakázek.</w:t>
      </w:r>
    </w:p>
  </w:footnote>
  <w:footnote w:id="60">
    <w:p w14:paraId="3FF593C3" w14:textId="4B6069C5" w:rsidR="009E69AD" w:rsidRDefault="009E69AD" w:rsidP="00230352">
      <w:pPr>
        <w:pStyle w:val="poznmkapodarou"/>
      </w:pPr>
      <w:r>
        <w:rPr>
          <w:rStyle w:val="Znakapoznpodarou"/>
        </w:rPr>
        <w:footnoteRef/>
      </w:r>
      <w:r>
        <w:t xml:space="preserve"> </w:t>
      </w:r>
      <w:r>
        <w:tab/>
        <w:t xml:space="preserve">Definovaná denní dávka je v tomto případě jednotka užívaná ke sledování spotřeby léčiv. Zpravidla se jedná </w:t>
      </w:r>
      <w:r>
        <w:br/>
        <w:t>o průměrnou denní udržovací dávku léku podávanou při léčbě daného onemocnění u dospělých pacientů.</w:t>
      </w:r>
    </w:p>
  </w:footnote>
  <w:footnote w:id="61">
    <w:p w14:paraId="4B32684C" w14:textId="0D1BFCA2" w:rsidR="009E69AD" w:rsidRDefault="009E69AD" w:rsidP="00230352">
      <w:pPr>
        <w:pStyle w:val="poznmkapodarou"/>
      </w:pPr>
      <w:r>
        <w:rPr>
          <w:rStyle w:val="Znakapoznpodarou"/>
        </w:rPr>
        <w:footnoteRef/>
      </w:r>
      <w:r>
        <w:t xml:space="preserve"> </w:t>
      </w:r>
      <w:r>
        <w:tab/>
        <w:t>Vládní návrh zákona, kterým se mění zákon č. 378/2007 Sb., o léčivech a o změnách některých souvisejících zákonů (zákon o léčivech), ve znění pozdějších předpisů, a zákon č. 66/2017 Sb., kterým se mění zákon č. 378/2007 Sb., o léčivech a o změnách některých souvisejících zákonů (zákon o léčivech), ve znění pozdějších předpisů, a další související zákony, ve znění zákona č. 290/2017 Sb.</w:t>
      </w:r>
    </w:p>
  </w:footnote>
  <w:footnote w:id="62">
    <w:p w14:paraId="37505BBC" w14:textId="5BADF193" w:rsidR="009E69AD" w:rsidRPr="00566AB7" w:rsidRDefault="009E69AD" w:rsidP="00230352">
      <w:pPr>
        <w:pStyle w:val="poznmkapodarou"/>
      </w:pPr>
      <w:r>
        <w:rPr>
          <w:rStyle w:val="Znakapoznpodarou"/>
        </w:rPr>
        <w:footnoteRef/>
      </w:r>
      <w:r>
        <w:t xml:space="preserve"> </w:t>
      </w:r>
      <w:r>
        <w:tab/>
        <w:t>V</w:t>
      </w:r>
      <w:r w:rsidRPr="00B039FE">
        <w:t xml:space="preserve"> rámci podmínek standardů DZES</w:t>
      </w:r>
      <w:r>
        <w:t xml:space="preserve"> (standardů dobrého zemědělského a environmentálního stavu), které jsou definovány čl. 94 a přílohou č. II nařízení Evropského parlamentu a Rady EU č. 1306/2013,</w:t>
      </w:r>
      <w:r w:rsidRPr="009D265A">
        <w:t xml:space="preserve"> o</w:t>
      </w:r>
      <w:r>
        <w:t> </w:t>
      </w:r>
      <w:r w:rsidRPr="009D265A">
        <w:t>financování, řízení a sledování společné zemědělské politiky a o zrušení nařízení Rady (</w:t>
      </w:r>
      <w:r w:rsidRPr="00566AB7">
        <w:t xml:space="preserve">EHS) </w:t>
      </w:r>
      <w:r w:rsidRPr="00566AB7">
        <w:rPr>
          <w:rFonts w:asciiTheme="minorHAnsi" w:hAnsiTheme="minorHAnsi" w:cstheme="minorHAnsi"/>
          <w:shd w:val="clear" w:color="auto" w:fill="FFFFFF"/>
        </w:rPr>
        <w:t>č. 352/78, (ES) č. 165/94, (ES) č. 2799/98, (ES) č. 814/2000, (ES) č. 1290/2005 a (ES) č. 485/2008</w:t>
      </w:r>
      <w:r w:rsidRPr="00566AB7">
        <w:t>.</w:t>
      </w:r>
    </w:p>
  </w:footnote>
  <w:footnote w:id="63">
    <w:p w14:paraId="325DDCD7" w14:textId="70A62CDC" w:rsidR="009E69AD" w:rsidRDefault="009E69AD" w:rsidP="00D62550">
      <w:pPr>
        <w:pStyle w:val="poznmkapodarou"/>
        <w:rPr>
          <w:noProof/>
          <w:lang w:eastAsia="cs-CZ"/>
        </w:rPr>
      </w:pPr>
      <w:r>
        <w:rPr>
          <w:rStyle w:val="Znakapoznpodarou"/>
        </w:rPr>
        <w:footnoteRef/>
      </w:r>
      <w:r>
        <w:t xml:space="preserve"> </w:t>
      </w:r>
      <w:r>
        <w:tab/>
      </w:r>
      <w:r>
        <w:rPr>
          <w:noProof/>
          <w:lang w:eastAsia="cs-CZ"/>
        </w:rPr>
        <w:t xml:space="preserve">KA č. 17/26 – </w:t>
      </w:r>
      <w:r w:rsidRPr="007C57AF">
        <w:rPr>
          <w:i/>
          <w:noProof/>
          <w:lang w:eastAsia="cs-CZ"/>
        </w:rPr>
        <w:t>Peněžní prostředky určené na opatření Spolupráce v rámci Programu rozvoje venkova ČR na období 2014–2020</w:t>
      </w:r>
      <w:r>
        <w:rPr>
          <w:noProof/>
          <w:lang w:eastAsia="cs-CZ"/>
        </w:rPr>
        <w:t xml:space="preserve"> </w:t>
      </w:r>
      <w:r w:rsidRPr="007C57AF">
        <w:rPr>
          <w:noProof/>
          <w:lang w:eastAsia="cs-CZ"/>
        </w:rPr>
        <w:t xml:space="preserve">(kontrolní závěr byl </w:t>
      </w:r>
      <w:r>
        <w:rPr>
          <w:noProof/>
          <w:lang w:eastAsia="cs-CZ"/>
        </w:rPr>
        <w:t xml:space="preserve">zveřejněn v částce 3/2018 </w:t>
      </w:r>
      <w:r w:rsidRPr="007C57AF">
        <w:rPr>
          <w:i/>
          <w:noProof/>
          <w:lang w:eastAsia="cs-CZ"/>
        </w:rPr>
        <w:t>Věstníku NKÚ</w:t>
      </w:r>
      <w:r>
        <w:rPr>
          <w:noProof/>
          <w:lang w:eastAsia="cs-CZ"/>
        </w:rPr>
        <w:t>)</w:t>
      </w:r>
      <w:r w:rsidRPr="007C57AF">
        <w:rPr>
          <w:noProof/>
          <w:lang w:eastAsia="cs-CZ"/>
        </w:rPr>
        <w:t>.</w:t>
      </w:r>
    </w:p>
  </w:footnote>
  <w:footnote w:id="64">
    <w:p w14:paraId="139E649C" w14:textId="0CB991F1" w:rsidR="009E69AD" w:rsidRDefault="009E69AD" w:rsidP="00615B88">
      <w:pPr>
        <w:pStyle w:val="poznmkapodarou"/>
      </w:pPr>
      <w:r>
        <w:rPr>
          <w:rStyle w:val="Znakapoznpodarou"/>
        </w:rPr>
        <w:footnoteRef/>
      </w:r>
      <w:r>
        <w:t xml:space="preserve"> </w:t>
      </w:r>
      <w:r>
        <w:tab/>
        <w:t xml:space="preserve">Opatření </w:t>
      </w:r>
      <w:r w:rsidRPr="00E1051E">
        <w:t xml:space="preserve">M16 </w:t>
      </w:r>
      <w:r w:rsidRPr="00615B88">
        <w:rPr>
          <w:i/>
        </w:rPr>
        <w:t>Spolupráce</w:t>
      </w:r>
      <w:r>
        <w:t xml:space="preserve"> je </w:t>
      </w:r>
      <w:r w:rsidRPr="00615B88">
        <w:t xml:space="preserve">zaměřeno na posílení výzkumu, technologického rozvoje a inovací, zvýšení konkurenceschopnosti malých a středních podniků, odvětví zemědělství, rybářství a akvakultury. </w:t>
      </w:r>
      <w:r>
        <w:t>Ú</w:t>
      </w:r>
      <w:r w:rsidRPr="00615B88">
        <w:t xml:space="preserve">čelem je přispět k dosažení konkurenceschopnosti zemědělství, potravinářství a lesnictví a přispět k dosažení udržitelného </w:t>
      </w:r>
      <w:r>
        <w:t>hospodaření s přírodními zdroji (zdroj: Státní zemědělský intervenční fond).</w:t>
      </w:r>
    </w:p>
  </w:footnote>
  <w:footnote w:id="65">
    <w:p w14:paraId="55EE0117" w14:textId="1AD50297" w:rsidR="009E69AD" w:rsidRDefault="009E69AD" w:rsidP="00F7164A">
      <w:pPr>
        <w:pStyle w:val="poznmkapodarou"/>
      </w:pPr>
      <w:r>
        <w:rPr>
          <w:rStyle w:val="Znakapoznpodarou"/>
        </w:rPr>
        <w:footnoteRef/>
      </w:r>
      <w:r>
        <w:t xml:space="preserve"> </w:t>
      </w:r>
      <w:r>
        <w:tab/>
        <w:t xml:space="preserve">KA č. 18/08 – </w:t>
      </w:r>
      <w:r w:rsidRPr="001C0FB4">
        <w:rPr>
          <w:i/>
        </w:rPr>
        <w:t>Peněžní prostředky vynakládané na podpory v sektoru živočišné výroby</w:t>
      </w:r>
      <w:r>
        <w:t xml:space="preserve"> </w:t>
      </w:r>
      <w:r w:rsidRPr="007C57AF">
        <w:rPr>
          <w:noProof/>
          <w:lang w:eastAsia="cs-CZ"/>
        </w:rPr>
        <w:t xml:space="preserve">(kontrolní závěr byl </w:t>
      </w:r>
      <w:r>
        <w:rPr>
          <w:noProof/>
          <w:lang w:eastAsia="cs-CZ"/>
        </w:rPr>
        <w:t xml:space="preserve">zveřejněn v částce 3/2019 </w:t>
      </w:r>
      <w:r w:rsidRPr="007C57AF">
        <w:rPr>
          <w:i/>
          <w:noProof/>
          <w:lang w:eastAsia="cs-CZ"/>
        </w:rPr>
        <w:t>Věstníku NKÚ</w:t>
      </w:r>
      <w:r>
        <w:rPr>
          <w:noProof/>
          <w:lang w:eastAsia="cs-CZ"/>
        </w:rPr>
        <w:t>)</w:t>
      </w:r>
      <w:r w:rsidRPr="007C57AF">
        <w:rPr>
          <w:noProof/>
          <w:lang w:eastAsia="cs-CZ"/>
        </w:rPr>
        <w:t>.</w:t>
      </w:r>
    </w:p>
  </w:footnote>
  <w:footnote w:id="66">
    <w:p w14:paraId="66E3CF5E" w14:textId="5AFA53F8" w:rsidR="009E69AD" w:rsidRDefault="009E69AD" w:rsidP="00F7164A">
      <w:pPr>
        <w:pStyle w:val="poznmkapodarou"/>
      </w:pPr>
      <w:r>
        <w:rPr>
          <w:rStyle w:val="Znakapoznpodarou"/>
        </w:rPr>
        <w:footnoteRef/>
      </w:r>
      <w:r>
        <w:t xml:space="preserve"> </w:t>
      </w:r>
      <w:r>
        <w:tab/>
        <w:t xml:space="preserve">Jedná se především o </w:t>
      </w:r>
      <w:r w:rsidRPr="00C57685">
        <w:t>SO</w:t>
      </w:r>
      <w:r w:rsidRPr="00636242">
        <w:rPr>
          <w:vertAlign w:val="subscript"/>
        </w:rPr>
        <w:t>2</w:t>
      </w:r>
      <w:r>
        <w:t xml:space="preserve">, </w:t>
      </w:r>
      <w:r w:rsidRPr="00C57685">
        <w:t>N</w:t>
      </w:r>
      <w:r>
        <w:t>O</w:t>
      </w:r>
      <w:r>
        <w:rPr>
          <w:vertAlign w:val="subscript"/>
        </w:rPr>
        <w:t>2</w:t>
      </w:r>
      <w:r w:rsidRPr="00C57685">
        <w:t>, NH</w:t>
      </w:r>
      <w:r w:rsidRPr="000508EE">
        <w:rPr>
          <w:vertAlign w:val="subscript"/>
        </w:rPr>
        <w:t>3</w:t>
      </w:r>
      <w:r w:rsidRPr="00C57685">
        <w:t xml:space="preserve">, VOC a </w:t>
      </w:r>
      <w:r w:rsidRPr="00F039EF">
        <w:t>o suspendované částice PM</w:t>
      </w:r>
      <w:r>
        <w:t xml:space="preserve">, které se </w:t>
      </w:r>
      <w:r w:rsidRPr="00F039EF">
        <w:t>v</w:t>
      </w:r>
      <w:r>
        <w:t> </w:t>
      </w:r>
      <w:r w:rsidRPr="00F039EF">
        <w:t>závislosti na velikosti dělí na hrubé částice</w:t>
      </w:r>
      <w:r>
        <w:t xml:space="preserve"> </w:t>
      </w:r>
      <w:r w:rsidRPr="006C2EC7">
        <w:t>PM</w:t>
      </w:r>
      <w:r w:rsidRPr="006C2EC7">
        <w:rPr>
          <w:vertAlign w:val="subscript"/>
        </w:rPr>
        <w:t>10</w:t>
      </w:r>
      <w:r>
        <w:t xml:space="preserve"> a jemné částice </w:t>
      </w:r>
      <w:r w:rsidRPr="006C2EC7">
        <w:t>PM</w:t>
      </w:r>
      <w:r w:rsidRPr="006C2EC7">
        <w:rPr>
          <w:vertAlign w:val="subscript"/>
        </w:rPr>
        <w:t>2,5</w:t>
      </w:r>
      <w:r>
        <w:t xml:space="preserve"> (tzv. prašnost).</w:t>
      </w:r>
    </w:p>
  </w:footnote>
  <w:footnote w:id="67">
    <w:p w14:paraId="4C973964" w14:textId="1D7E931D" w:rsidR="009E69AD" w:rsidRDefault="009E69AD" w:rsidP="00F7164A">
      <w:pPr>
        <w:pStyle w:val="poznmkapodarou"/>
      </w:pPr>
      <w:r>
        <w:rPr>
          <w:rStyle w:val="Znakapoznpodarou"/>
        </w:rPr>
        <w:footnoteRef/>
      </w:r>
      <w:r>
        <w:t xml:space="preserve"> </w:t>
      </w:r>
      <w:r>
        <w:tab/>
      </w:r>
      <w:r w:rsidRPr="001C5D9B">
        <w:rPr>
          <w:i/>
        </w:rPr>
        <w:t>OECD Environmental Performance Reviews: Czech Republic 2018</w:t>
      </w:r>
      <w:r>
        <w:t>.</w:t>
      </w:r>
    </w:p>
  </w:footnote>
  <w:footnote w:id="68">
    <w:p w14:paraId="60818EE9" w14:textId="4935F49A" w:rsidR="009E69AD" w:rsidRPr="00506E99" w:rsidRDefault="009E69AD" w:rsidP="00F7164A">
      <w:pPr>
        <w:pStyle w:val="poznmkapodarou"/>
      </w:pPr>
      <w:r>
        <w:rPr>
          <w:rStyle w:val="Znakapoznpodarou"/>
        </w:rPr>
        <w:footnoteRef/>
      </w:r>
      <w:r>
        <w:t xml:space="preserve"> </w:t>
      </w:r>
      <w:r>
        <w:tab/>
        <w:t>Dle zákona č. 201/2012 Sb., o ochraně ovzduší, se jedná o znečišťující látky SO</w:t>
      </w:r>
      <w:r w:rsidRPr="00DB551D">
        <w:rPr>
          <w:vertAlign w:val="subscript"/>
        </w:rPr>
        <w:t>2</w:t>
      </w:r>
      <w:r>
        <w:t>, CO, PM</w:t>
      </w:r>
      <w:r w:rsidRPr="00DB551D">
        <w:rPr>
          <w:vertAlign w:val="subscript"/>
        </w:rPr>
        <w:t>10</w:t>
      </w:r>
      <w:r>
        <w:t>, PM</w:t>
      </w:r>
      <w:r w:rsidRPr="00DB551D">
        <w:rPr>
          <w:vertAlign w:val="subscript"/>
        </w:rPr>
        <w:t>2,5</w:t>
      </w:r>
      <w:r>
        <w:t>, NO</w:t>
      </w:r>
      <w:r w:rsidRPr="00DB551D">
        <w:rPr>
          <w:vertAlign w:val="subscript"/>
        </w:rPr>
        <w:t>2</w:t>
      </w:r>
      <w:r>
        <w:t xml:space="preserve">, benzen, Pb, As, Cd, Ni a benzo(a)pyren </w:t>
      </w:r>
      <w:r w:rsidRPr="006C2EC7">
        <w:t>bez zahrnutí přízemního ozonu</w:t>
      </w:r>
      <w:r>
        <w:t>.</w:t>
      </w:r>
    </w:p>
  </w:footnote>
  <w:footnote w:id="69">
    <w:p w14:paraId="65547BD3" w14:textId="468356CA" w:rsidR="009E69AD" w:rsidRPr="00775AB4" w:rsidRDefault="009E69AD" w:rsidP="00F7164A">
      <w:pPr>
        <w:pStyle w:val="poznmkapodarou"/>
      </w:pPr>
      <w:r w:rsidRPr="00775AB4">
        <w:rPr>
          <w:rStyle w:val="Znakapoznpodarou"/>
        </w:rPr>
        <w:footnoteRef/>
      </w:r>
      <w:r w:rsidRPr="00775AB4">
        <w:t xml:space="preserve"> </w:t>
      </w:r>
      <w:r>
        <w:tab/>
        <w:t xml:space="preserve">Z </w:t>
      </w:r>
      <w:r w:rsidRPr="00775AB4">
        <w:t xml:space="preserve">aktualizace </w:t>
      </w:r>
      <w:r w:rsidRPr="00F02865">
        <w:rPr>
          <w:i/>
        </w:rPr>
        <w:t>Národního programu snižování emisí</w:t>
      </w:r>
      <w:r>
        <w:t xml:space="preserve"> </w:t>
      </w:r>
      <w:r w:rsidRPr="00775AB4">
        <w:t xml:space="preserve">vyplývá, že tento růst </w:t>
      </w:r>
      <w:r>
        <w:t>byl</w:t>
      </w:r>
      <w:r w:rsidRPr="00775AB4">
        <w:t xml:space="preserve"> </w:t>
      </w:r>
      <w:r>
        <w:t xml:space="preserve">způsoben zejména rostoucím trendem benzo(a)pyrenu. </w:t>
      </w:r>
    </w:p>
  </w:footnote>
  <w:footnote w:id="70">
    <w:p w14:paraId="751F3F2A" w14:textId="39839277" w:rsidR="009E69AD" w:rsidRDefault="009E69AD" w:rsidP="00F7164A">
      <w:pPr>
        <w:pStyle w:val="poznmkapodarou"/>
      </w:pPr>
      <w:r>
        <w:rPr>
          <w:rStyle w:val="Znakapoznpodarou"/>
        </w:rPr>
        <w:footnoteRef/>
      </w:r>
      <w:r>
        <w:t xml:space="preserve"> </w:t>
      </w:r>
      <w:r>
        <w:tab/>
        <w:t xml:space="preserve">KA č. 18/04 </w:t>
      </w:r>
      <w:r w:rsidRPr="00E06E35">
        <w:t>–</w:t>
      </w:r>
      <w:r>
        <w:t xml:space="preserve"> </w:t>
      </w:r>
      <w:r w:rsidRPr="00E06E35">
        <w:rPr>
          <w:i/>
        </w:rPr>
        <w:t>Peněžní prostředky určené na podporu zlepšování kvality ovzduší</w:t>
      </w:r>
      <w:r>
        <w:t xml:space="preserve"> </w:t>
      </w:r>
      <w:r w:rsidRPr="00F02865">
        <w:t>(</w:t>
      </w:r>
      <w:r>
        <w:t>kontrolní závěr byl zveřejněn v částce 1/2019</w:t>
      </w:r>
      <w:r>
        <w:rPr>
          <w:i/>
        </w:rPr>
        <w:t xml:space="preserve"> Věstníku NKÚ</w:t>
      </w:r>
      <w:r w:rsidRPr="00F02865">
        <w:t>)</w:t>
      </w:r>
      <w:r>
        <w:t>.</w:t>
      </w:r>
    </w:p>
  </w:footnote>
  <w:footnote w:id="71">
    <w:p w14:paraId="4AC73594" w14:textId="4F1344A9" w:rsidR="009E69AD" w:rsidRDefault="009E69AD" w:rsidP="00F7164A">
      <w:pPr>
        <w:pStyle w:val="poznmkapodarou"/>
      </w:pPr>
      <w:r>
        <w:rPr>
          <w:rStyle w:val="Znakapoznpodarou"/>
        </w:rPr>
        <w:footnoteRef/>
      </w:r>
      <w:r>
        <w:t xml:space="preserve"> </w:t>
      </w:r>
      <w:r>
        <w:tab/>
        <w:t xml:space="preserve">Environmental Performance Index 2018. </w:t>
      </w:r>
      <w:r w:rsidRPr="00D45B65">
        <w:t>Mezi základní hodnot</w:t>
      </w:r>
      <w:r>
        <w:t>i</w:t>
      </w:r>
      <w:r w:rsidRPr="00D45B65">
        <w:t>cí kritéria patří zdravé životní prostředí (zejména vliv kvality ovzduší a vody na lidské zdraví) a životaschopnost ekosystémů (komplex dopadů zemědělství, lesnictví, rybářství či spotřeby energií na ekosystémy).</w:t>
      </w:r>
    </w:p>
  </w:footnote>
  <w:footnote w:id="72">
    <w:p w14:paraId="575F4A67" w14:textId="6F09BC42" w:rsidR="009E69AD" w:rsidRDefault="009E69AD" w:rsidP="00F7164A">
      <w:pPr>
        <w:pStyle w:val="poznmkapodarou"/>
      </w:pPr>
      <w:r>
        <w:rPr>
          <w:rStyle w:val="Znakapoznpodarou"/>
        </w:rPr>
        <w:footnoteRef/>
      </w:r>
      <w:r>
        <w:t xml:space="preserve"> </w:t>
      </w:r>
      <w:r>
        <w:tab/>
        <w:t>D</w:t>
      </w:r>
      <w:r w:rsidRPr="00DA1ABD">
        <w:t>le vyhlášky č.</w:t>
      </w:r>
      <w:r>
        <w:t> </w:t>
      </w:r>
      <w:r w:rsidRPr="00DA1ABD">
        <w:t>323/2002 Sb., o</w:t>
      </w:r>
      <w:r>
        <w:t> rozpočtové skladbě, se j</w:t>
      </w:r>
      <w:r w:rsidRPr="00DA1ABD">
        <w:t xml:space="preserve">edná o výdaje zahrnuté v pododdíle 371 – </w:t>
      </w:r>
      <w:r w:rsidRPr="00F02865">
        <w:rPr>
          <w:i/>
        </w:rPr>
        <w:t xml:space="preserve">Ochrana ovzduší a klimatu </w:t>
      </w:r>
      <w:r w:rsidRPr="003B7CA4">
        <w:t>bez paragrafu</w:t>
      </w:r>
      <w:r>
        <w:t xml:space="preserve"> 3714 – </w:t>
      </w:r>
      <w:r w:rsidRPr="00F02865">
        <w:rPr>
          <w:i/>
        </w:rPr>
        <w:t>Opatření ke snižování produkce skleníkových plynů a plynů poškozujících ozónovou vrstvu</w:t>
      </w:r>
      <w:r>
        <w:t xml:space="preserve">. </w:t>
      </w:r>
    </w:p>
  </w:footnote>
  <w:footnote w:id="73">
    <w:p w14:paraId="4C2BF8EF" w14:textId="2B6C9DC3" w:rsidR="009E69AD" w:rsidRPr="00432314" w:rsidRDefault="009E69AD" w:rsidP="00DE0083">
      <w:pPr>
        <w:pStyle w:val="poznmkapodarou"/>
      </w:pPr>
      <w:r>
        <w:rPr>
          <w:rStyle w:val="Znakapoznpodarou"/>
        </w:rPr>
        <w:footnoteRef/>
      </w:r>
      <w:r>
        <w:t xml:space="preserve"> </w:t>
      </w:r>
      <w:r>
        <w:tab/>
      </w:r>
      <w:r w:rsidRPr="00432314">
        <w:t>Zákon č. 260/2017 Sb., kterým se mění zákon č. 243/2000 Sb., o rozpočtovém určení</w:t>
      </w:r>
      <w:r>
        <w:t xml:space="preserve"> daní</w:t>
      </w:r>
      <w:r w:rsidRPr="00432314">
        <w:t xml:space="preserve">, ve znění pozdějších předpisů. </w:t>
      </w:r>
    </w:p>
  </w:footnote>
  <w:footnote w:id="74">
    <w:p w14:paraId="4DF9D013" w14:textId="26E5BD86" w:rsidR="009E69AD" w:rsidRPr="00432314" w:rsidRDefault="009E69AD" w:rsidP="00DE0083">
      <w:pPr>
        <w:pStyle w:val="poznmkapodarou"/>
      </w:pPr>
      <w:r w:rsidRPr="00432314">
        <w:rPr>
          <w:rStyle w:val="Znakapoznpodarou"/>
        </w:rPr>
        <w:footnoteRef/>
      </w:r>
      <w:r>
        <w:t xml:space="preserve"> </w:t>
      </w:r>
      <w:r>
        <w:tab/>
      </w:r>
      <w:r w:rsidRPr="00432314">
        <w:t>Novela navýšila podíl obcí na výnosu</w:t>
      </w:r>
      <w:r>
        <w:t xml:space="preserve"> z DPH</w:t>
      </w:r>
      <w:r w:rsidRPr="00432314">
        <w:t xml:space="preserve"> z 21,40 % na 23,58 % a upravila propočet procenta, kterým se obce podílejí na procentní části celostátního hrubého výnosu </w:t>
      </w:r>
      <w:r>
        <w:t xml:space="preserve">z </w:t>
      </w:r>
      <w:r w:rsidRPr="00432314">
        <w:t>daní tím, že navýšila váhu kritéria „</w:t>
      </w:r>
      <w:r w:rsidRPr="00F02865">
        <w:rPr>
          <w:i/>
        </w:rPr>
        <w:t>počet dětí MŠ a žáků ZŠ navštěvujících školu zřizovanou obcí</w:t>
      </w:r>
      <w:r w:rsidRPr="00432314">
        <w:t>“ ze 7 % na 9 %.</w:t>
      </w:r>
    </w:p>
  </w:footnote>
  <w:footnote w:id="75">
    <w:p w14:paraId="03B04E49" w14:textId="08222CBE" w:rsidR="009E69AD" w:rsidRPr="00432314" w:rsidRDefault="009E69AD" w:rsidP="00DE0083">
      <w:pPr>
        <w:pStyle w:val="poznmkapodarou"/>
      </w:pPr>
      <w:r w:rsidRPr="00432314">
        <w:rPr>
          <w:rStyle w:val="Znakapoznpodarou"/>
        </w:rPr>
        <w:footnoteRef/>
      </w:r>
      <w:r>
        <w:t xml:space="preserve"> </w:t>
      </w:r>
      <w:r>
        <w:tab/>
      </w:r>
      <w:r w:rsidRPr="00432314">
        <w:t>Mezi přijaté transfery ze státního rozpočtu byly podle rozpočtové skladby zařazeny příjmy vykázané na rozpočtových položkách 4111 a 42</w:t>
      </w:r>
      <w:r>
        <w:t>1</w:t>
      </w:r>
      <w:r w:rsidRPr="00432314">
        <w:t xml:space="preserve">1 </w:t>
      </w:r>
      <w:r>
        <w:t>(n</w:t>
      </w:r>
      <w:r w:rsidRPr="00432314">
        <w:t>einvestiční a investiční přijaté transfery z všeobecné pokladní správy státního rozpočtu</w:t>
      </w:r>
      <w:r>
        <w:t>)</w:t>
      </w:r>
      <w:r w:rsidRPr="00432314">
        <w:t xml:space="preserve">, 4112 a 4212 </w:t>
      </w:r>
      <w:r>
        <w:t>(n</w:t>
      </w:r>
      <w:r w:rsidRPr="00432314">
        <w:t>einvestiční a investiční přijaté transfery ze státního rozpočtu v rámci souhrnného dotačního vztahu</w:t>
      </w:r>
      <w:r>
        <w:t>)</w:t>
      </w:r>
      <w:r w:rsidRPr="00432314">
        <w:t xml:space="preserve">, 4116 a 4216 </w:t>
      </w:r>
      <w:r>
        <w:t>(o</w:t>
      </w:r>
      <w:r w:rsidRPr="00432314">
        <w:t xml:space="preserve">statní neinvestiční a investiční přijaté </w:t>
      </w:r>
      <w:r>
        <w:t>transfery ze státního rozpočtu)</w:t>
      </w:r>
      <w:r w:rsidRPr="00432314">
        <w:t>.</w:t>
      </w:r>
    </w:p>
  </w:footnote>
  <w:footnote w:id="76">
    <w:p w14:paraId="1DB7F0C8" w14:textId="3D34ACF9" w:rsidR="009E69AD" w:rsidRDefault="009E69AD" w:rsidP="00F7164A">
      <w:pPr>
        <w:pStyle w:val="poznmkapodarou"/>
      </w:pPr>
      <w:r>
        <w:rPr>
          <w:rStyle w:val="Znakapoznpodarou"/>
        </w:rPr>
        <w:footnoteRef/>
      </w:r>
      <w:r>
        <w:t xml:space="preserve"> </w:t>
      </w:r>
      <w:r>
        <w:tab/>
        <w:t>Zákon</w:t>
      </w:r>
      <w:r w:rsidRPr="007D00D2">
        <w:t xml:space="preserve"> č. 391/2015 Sb.</w:t>
      </w:r>
      <w:r>
        <w:t>,</w:t>
      </w:r>
      <w:r w:rsidRPr="007D00D2">
        <w:t xml:space="preserve"> </w:t>
      </w:r>
      <w:r w:rsidRPr="002C725E">
        <w:t>kterým se mění zákon č. 243/2000 Sb., o rozpočtovém určení výnosů některých daní územním samosprávným celkům a některým státním fondům (zákon o rozpočtovém určení daní), ve znění pozdějších předpisů</w:t>
      </w:r>
      <w:r>
        <w:t>, a zákon č.</w:t>
      </w:r>
      <w:r w:rsidRPr="007D00D2">
        <w:t xml:space="preserve"> 260/2017 Sb., kterým se mění zákon č. 243/2000 Sb., o rozpočtovém určení daní, ve znění pozdějších předpisů.</w:t>
      </w:r>
    </w:p>
  </w:footnote>
  <w:footnote w:id="77">
    <w:p w14:paraId="47B8B91D" w14:textId="19137ED7" w:rsidR="009E69AD" w:rsidRDefault="009E69AD" w:rsidP="00DE0083">
      <w:pPr>
        <w:pStyle w:val="poznmkapodarou"/>
      </w:pPr>
      <w:r>
        <w:rPr>
          <w:rStyle w:val="Znakapoznpodarou"/>
        </w:rPr>
        <w:footnoteRef/>
      </w:r>
      <w:r>
        <w:t xml:space="preserve"> </w:t>
      </w:r>
      <w:r>
        <w:tab/>
        <w:t>Zákon č. 218/2000 Sb., o rozpočtových pravidlech a o změně některých souvisejících zákonů (rozpočtová pravidla).</w:t>
      </w:r>
    </w:p>
  </w:footnote>
  <w:footnote w:id="78">
    <w:p w14:paraId="0FCD32B2" w14:textId="5D575832" w:rsidR="009E69AD" w:rsidRDefault="009E69AD" w:rsidP="00DE0083">
      <w:pPr>
        <w:pStyle w:val="poznmkapodarou"/>
      </w:pPr>
      <w:r>
        <w:rPr>
          <w:rStyle w:val="Znakapoznpodarou"/>
        </w:rPr>
        <w:footnoteRef/>
      </w:r>
      <w:r>
        <w:t xml:space="preserve"> </w:t>
      </w:r>
      <w:r>
        <w:tab/>
        <w:t>Například p</w:t>
      </w:r>
      <w:r w:rsidRPr="003D3D0D">
        <w:t>očet poplatníků rostl meziročně 44x rychleji než počet důchodců</w:t>
      </w:r>
      <w:r>
        <w:t xml:space="preserve"> (zdroj: Česká správa sociálního zabezpečení)</w:t>
      </w:r>
      <w:r w:rsidRPr="003D3D0D">
        <w:t>.</w:t>
      </w:r>
    </w:p>
  </w:footnote>
  <w:footnote w:id="79">
    <w:p w14:paraId="4E1E8D70" w14:textId="176C9FAE" w:rsidR="009E69AD" w:rsidRDefault="009E69AD" w:rsidP="00DE0083">
      <w:pPr>
        <w:pStyle w:val="poznmkapodarou"/>
      </w:pPr>
      <w:r>
        <w:rPr>
          <w:rStyle w:val="Znakapoznpodarou"/>
        </w:rPr>
        <w:footnoteRef/>
      </w:r>
      <w:r>
        <w:t xml:space="preserve"> </w:t>
      </w:r>
      <w:r>
        <w:tab/>
      </w:r>
      <w:r w:rsidRPr="00C31C85">
        <w:t>Výbor pro zdravotnictví PS</w:t>
      </w:r>
      <w:r>
        <w:t xml:space="preserve"> </w:t>
      </w:r>
      <w:r w:rsidRPr="00C31C85">
        <w:t>PČR doporučil PS</w:t>
      </w:r>
      <w:r>
        <w:t xml:space="preserve"> </w:t>
      </w:r>
      <w:r w:rsidRPr="00C31C85">
        <w:t>PČR schválení zdravotně pojistných plánů zdravotních pojišťoven na rok 2018 v květnu stejného roku</w:t>
      </w:r>
      <w:r>
        <w:t>. PS PČR schválila zdravotně pojistné plány zdravotních pojišťoven na rok 2018 až dne 24. 1. 2019 usnesením č. 454.</w:t>
      </w:r>
    </w:p>
  </w:footnote>
  <w:footnote w:id="80">
    <w:p w14:paraId="597406B1" w14:textId="0DB3C981" w:rsidR="009E69AD" w:rsidRDefault="009E69AD" w:rsidP="00367683">
      <w:pPr>
        <w:pStyle w:val="poznmkapodarou"/>
      </w:pPr>
      <w:r>
        <w:rPr>
          <w:rStyle w:val="Znakapoznpodarou"/>
        </w:rPr>
        <w:footnoteRef/>
      </w:r>
      <w:r>
        <w:t> </w:t>
      </w:r>
      <w:r>
        <w:tab/>
        <w:t>Z</w:t>
      </w:r>
      <w:r w:rsidRPr="009055B8">
        <w:t>ákon č. 474/2017 Sb., o státním rozpočtu České republiky na rok 2018</w:t>
      </w:r>
      <w:r>
        <w:t>.</w:t>
      </w:r>
    </w:p>
  </w:footnote>
  <w:footnote w:id="81">
    <w:p w14:paraId="53318932" w14:textId="5798666D" w:rsidR="009E69AD" w:rsidRDefault="009E69AD" w:rsidP="00367683">
      <w:pPr>
        <w:pStyle w:val="poznmkapodarou"/>
      </w:pPr>
      <w:r>
        <w:rPr>
          <w:rStyle w:val="Znakapoznpodarou"/>
        </w:rPr>
        <w:footnoteRef/>
      </w:r>
      <w:r>
        <w:t> </w:t>
      </w:r>
      <w:r>
        <w:tab/>
        <w:t>Přílohy č. 1–4 zákona č. 474/2017 Sb., o státním rozpočtu České republiky na rok 2018.</w:t>
      </w:r>
    </w:p>
  </w:footnote>
  <w:footnote w:id="82">
    <w:p w14:paraId="2E691549" w14:textId="1485E5B1" w:rsidR="009E69AD" w:rsidRDefault="009E69AD" w:rsidP="00367683">
      <w:pPr>
        <w:pStyle w:val="poznmkapodarou"/>
      </w:pPr>
      <w:r>
        <w:rPr>
          <w:rStyle w:val="Znakapoznpodarou"/>
        </w:rPr>
        <w:footnoteRef/>
      </w:r>
      <w:r>
        <w:t> </w:t>
      </w:r>
      <w:r>
        <w:tab/>
        <w:t>Ke</w:t>
      </w:r>
      <w:r w:rsidRPr="00EA0CD1">
        <w:t xml:space="preserve"> dni </w:t>
      </w:r>
      <w:r>
        <w:t xml:space="preserve">redakční uzávěrky </w:t>
      </w:r>
      <w:r w:rsidRPr="00F25388">
        <w:rPr>
          <w:i/>
        </w:rPr>
        <w:t xml:space="preserve">Stanoviska k návrhu státního závěrečného účtu </w:t>
      </w:r>
      <w:r>
        <w:rPr>
          <w:i/>
        </w:rPr>
        <w:t>Č</w:t>
      </w:r>
      <w:r w:rsidRPr="00F25388">
        <w:rPr>
          <w:i/>
        </w:rPr>
        <w:t>eské republiky za rok 2018</w:t>
      </w:r>
      <w:r w:rsidRPr="00EA0CD1">
        <w:t xml:space="preserve"> </w:t>
      </w:r>
      <w:r w:rsidRPr="0016007E">
        <w:t>nebyly</w:t>
      </w:r>
      <w:r>
        <w:t xml:space="preserve"> </w:t>
      </w:r>
      <w:r w:rsidRPr="00EA0CD1">
        <w:t>zveřejněny kontrolní závěry z kontrol typu finanční audit, jejichž předmětem byly také údaje pro hodnocení plnění státní</w:t>
      </w:r>
      <w:r>
        <w:t>ho</w:t>
      </w:r>
      <w:r w:rsidRPr="00EA0CD1">
        <w:t xml:space="preserve"> rozpočtu</w:t>
      </w:r>
      <w:r>
        <w:t xml:space="preserve"> za rok 2018</w:t>
      </w:r>
      <w:r w:rsidRPr="00EA0CD1">
        <w:t>.</w:t>
      </w:r>
    </w:p>
  </w:footnote>
  <w:footnote w:id="83">
    <w:p w14:paraId="10626E5C" w14:textId="4D36CCC4" w:rsidR="009E69AD" w:rsidRDefault="009E69AD" w:rsidP="00367683">
      <w:pPr>
        <w:pStyle w:val="poznmkapodarou"/>
      </w:pPr>
      <w:r>
        <w:rPr>
          <w:rStyle w:val="Znakapoznpodarou"/>
        </w:rPr>
        <w:footnoteRef/>
      </w:r>
      <w:r>
        <w:t> </w:t>
      </w:r>
      <w:r>
        <w:tab/>
        <w:t>KA č. 18/13 – </w:t>
      </w:r>
      <w:r w:rsidRPr="00BF6C2D">
        <w:rPr>
          <w:i/>
        </w:rPr>
        <w:t>Závěrečný účet kapitoly státního rozpočtu Ministerstvo zdravotnictví za rok 2017, účetní závěrka Ministerstva zdravotnictví za rok 2017 a údaje předkládané Ministerstvem zdravotnictví pro hodnocení plnění státního rozpočtu za rok 2017</w:t>
      </w:r>
      <w:r>
        <w:t xml:space="preserve"> (</w:t>
      </w:r>
      <w:r w:rsidRPr="00611D85">
        <w:t>kontrolní záv</w:t>
      </w:r>
      <w:r>
        <w:t xml:space="preserve">ěr byl zveřejněn v částce 1/2019 </w:t>
      </w:r>
      <w:r w:rsidRPr="00096C8D">
        <w:rPr>
          <w:i/>
        </w:rPr>
        <w:t>Věstníku NKÚ</w:t>
      </w:r>
      <w:r w:rsidRPr="00611D85">
        <w:t>)</w:t>
      </w:r>
      <w:r>
        <w:t>.</w:t>
      </w:r>
    </w:p>
    <w:p w14:paraId="2B3074EC" w14:textId="77777777" w:rsidR="009E69AD" w:rsidRDefault="009E69AD" w:rsidP="00367683">
      <w:pPr>
        <w:pStyle w:val="poznmkapodarou"/>
        <w:ind w:firstLine="0"/>
      </w:pPr>
      <w:r>
        <w:t xml:space="preserve">KA č. 17/31 – </w:t>
      </w:r>
      <w:r w:rsidRPr="00BF6C2D">
        <w:rPr>
          <w:i/>
        </w:rPr>
        <w:t>Závěrečný účet kapitoly státního rozpočtu Ministerstvo zemědělství za rok 2017, účetní závěrka Ministerstva zemědělství za rok 2017 a údaje předkládané Ministerstvem zemědělství pro hodnocení plnění státního rozpočtu za rok 2017</w:t>
      </w:r>
      <w:r>
        <w:t xml:space="preserve"> (</w:t>
      </w:r>
      <w:r w:rsidRPr="00611D85">
        <w:t>kontrolní záv</w:t>
      </w:r>
      <w:r>
        <w:t xml:space="preserve">ěr byl zveřejněn v částce 4/2018 </w:t>
      </w:r>
      <w:r w:rsidRPr="00096C8D">
        <w:rPr>
          <w:i/>
        </w:rPr>
        <w:t>Věstníku NKÚ</w:t>
      </w:r>
      <w:r w:rsidRPr="00611D85">
        <w:t>)</w:t>
      </w:r>
      <w:r>
        <w:t>.</w:t>
      </w:r>
    </w:p>
    <w:p w14:paraId="7D024FBB" w14:textId="77777777" w:rsidR="009E69AD" w:rsidRDefault="009E69AD" w:rsidP="00367683">
      <w:pPr>
        <w:pStyle w:val="poznmkapodarou"/>
        <w:ind w:firstLine="0"/>
      </w:pPr>
      <w:r>
        <w:t>KA č. 17/30 – </w:t>
      </w:r>
      <w:r w:rsidRPr="00BF6C2D">
        <w:rPr>
          <w:i/>
        </w:rPr>
        <w:t>Závěrečný účet kapitoly státního rozpočtu Ministerstvo obrany za rok 2017, účetní závěrka Ministerstva obrany za rok 2017 a údaje předkládané Ministerstvem obrany pro hodnocení plnění státního rozpočtu za rok 2017</w:t>
      </w:r>
      <w:r>
        <w:t xml:space="preserve"> (</w:t>
      </w:r>
      <w:r w:rsidRPr="00611D85">
        <w:t>kontrolní záv</w:t>
      </w:r>
      <w:r>
        <w:t xml:space="preserve">ěr byl zveřejněn v částce 3/2018 </w:t>
      </w:r>
      <w:r w:rsidRPr="00096C8D">
        <w:rPr>
          <w:i/>
        </w:rPr>
        <w:t>Věstníku NKÚ</w:t>
      </w:r>
      <w:r w:rsidRPr="00611D85">
        <w:t>)</w:t>
      </w:r>
      <w:r>
        <w:t>.</w:t>
      </w:r>
    </w:p>
    <w:p w14:paraId="5CB9BC82" w14:textId="77777777" w:rsidR="009E69AD" w:rsidRDefault="009E69AD" w:rsidP="00367683">
      <w:pPr>
        <w:pStyle w:val="poznmkapodarou"/>
        <w:ind w:firstLine="0"/>
      </w:pPr>
      <w:r>
        <w:t>KA č. 17/18 – </w:t>
      </w:r>
      <w:r w:rsidRPr="00BF6C2D">
        <w:rPr>
          <w:i/>
        </w:rPr>
        <w:t>Závěrečný účet kapitoly státního rozpočtu Ministerstvo životního prostředí za rok 2016, účetní závěrka Ministerstva životního prostředí za rok 2016 a údaje předkládané Ministerstvem životního prostředí pro hodnocení plnění státního rozpočtu za rok 2016</w:t>
      </w:r>
      <w:r>
        <w:t xml:space="preserve"> (</w:t>
      </w:r>
      <w:r w:rsidRPr="00611D85">
        <w:t>kontrolní záv</w:t>
      </w:r>
      <w:r>
        <w:t xml:space="preserve">ěr byl zveřejněn v částce 3/2018 </w:t>
      </w:r>
      <w:r w:rsidRPr="00096C8D">
        <w:rPr>
          <w:i/>
        </w:rPr>
        <w:t>Věstníku NKÚ</w:t>
      </w:r>
      <w:r w:rsidRPr="00611D85">
        <w:t>)</w:t>
      </w:r>
      <w:r>
        <w:t>.</w:t>
      </w:r>
    </w:p>
    <w:p w14:paraId="5C819F91" w14:textId="77777777" w:rsidR="009E69AD" w:rsidRDefault="009E69AD" w:rsidP="00367683">
      <w:pPr>
        <w:pStyle w:val="poznmkapodarou"/>
        <w:ind w:firstLine="0"/>
      </w:pPr>
      <w:r>
        <w:t>KA č. 17/08 – </w:t>
      </w:r>
      <w:r w:rsidRPr="00BF6C2D">
        <w:rPr>
          <w:i/>
        </w:rPr>
        <w:t>Závěrečný účet kapitoly státního rozpočtu Ministerstvo pro místní rozvoj za rok 2016, účetní závěrka Ministerstva pro místní rozvoj za rok 2016 a údaje předkládané Ministerstvem pro místní rozvoj pro hodnocení plnění státního rozpočtu za rok 2016</w:t>
      </w:r>
      <w:r>
        <w:t xml:space="preserve"> (</w:t>
      </w:r>
      <w:r w:rsidRPr="00611D85">
        <w:t>kontrolní záv</w:t>
      </w:r>
      <w:r>
        <w:t xml:space="preserve">ěr byl zveřejněn v částce 1/2018 </w:t>
      </w:r>
      <w:r w:rsidRPr="00096C8D">
        <w:rPr>
          <w:i/>
        </w:rPr>
        <w:t>Věstníku NKÚ</w:t>
      </w:r>
      <w:r w:rsidRPr="00611D85">
        <w:t>)</w:t>
      </w:r>
      <w:r>
        <w:t>.</w:t>
      </w:r>
    </w:p>
    <w:p w14:paraId="73D35D6E" w14:textId="7514F8D7" w:rsidR="009E69AD" w:rsidRDefault="009E69AD" w:rsidP="00367683">
      <w:pPr>
        <w:pStyle w:val="poznmkapodarou"/>
        <w:ind w:firstLine="0"/>
      </w:pPr>
      <w:r>
        <w:t xml:space="preserve">KA č. 16/29 – </w:t>
      </w:r>
      <w:r w:rsidRPr="00BF6C2D">
        <w:rPr>
          <w:i/>
        </w:rPr>
        <w:t>Závěrečný účet kapitoly státního rozpočtu Ministerstvo práce a sociálních věcí za rok 2016, účetní závěrka Ministerstva práce a sociálních věcí za rok 2016 a údaje předkládané Ministerstvem práce a</w:t>
      </w:r>
      <w:r>
        <w:rPr>
          <w:i/>
        </w:rPr>
        <w:t> </w:t>
      </w:r>
      <w:r w:rsidRPr="00BF6C2D">
        <w:rPr>
          <w:i/>
        </w:rPr>
        <w:t>sociálních věcí pro hodnocení plnění státního rozpočtu za rok 2016</w:t>
      </w:r>
      <w:r>
        <w:t xml:space="preserve"> (</w:t>
      </w:r>
      <w:r w:rsidRPr="00611D85">
        <w:t>kontrolní záv</w:t>
      </w:r>
      <w:r>
        <w:t xml:space="preserve">ěr byl zveřejněn v částce 6/2017 </w:t>
      </w:r>
      <w:r w:rsidRPr="00096C8D">
        <w:rPr>
          <w:i/>
        </w:rPr>
        <w:t>Věstníku NKÚ</w:t>
      </w:r>
      <w:r w:rsidRPr="00611D85">
        <w:t>)</w:t>
      </w:r>
      <w:r>
        <w:t>.</w:t>
      </w:r>
    </w:p>
  </w:footnote>
  <w:footnote w:id="84">
    <w:p w14:paraId="55DB7108" w14:textId="0B04D279" w:rsidR="009E69AD" w:rsidRPr="002C0592" w:rsidRDefault="009E69AD" w:rsidP="00012C63">
      <w:pPr>
        <w:pStyle w:val="Textpoznpodarou"/>
        <w:spacing w:before="0"/>
        <w:ind w:left="284" w:hanging="284"/>
      </w:pPr>
      <w:r>
        <w:rPr>
          <w:rStyle w:val="Znakapoznpodarou"/>
        </w:rPr>
        <w:footnoteRef/>
      </w:r>
      <w:r>
        <w:t xml:space="preserve"> </w:t>
      </w:r>
      <w:r>
        <w:tab/>
        <w:t>Údaje ověřené Nejvyšším kontrolním úřadem jsou vymezeny v prvním a druhém odstavci kapitoly VII. </w:t>
      </w:r>
      <w:r w:rsidRPr="00012C63">
        <w:rPr>
          <w:i/>
        </w:rPr>
        <w:t>Vyhodnocení správnosti vykázaných údajů</w:t>
      </w:r>
      <w:r>
        <w:t>.</w:t>
      </w:r>
    </w:p>
  </w:footnote>
  <w:footnote w:id="85">
    <w:p w14:paraId="0EB44A69" w14:textId="27301F7C" w:rsidR="009E69AD" w:rsidRDefault="009E69AD" w:rsidP="00367683">
      <w:pPr>
        <w:pStyle w:val="poznmkapodarou"/>
      </w:pPr>
      <w:r>
        <w:rPr>
          <w:rStyle w:val="Znakapoznpodarou"/>
        </w:rPr>
        <w:footnoteRef/>
      </w:r>
      <w:r>
        <w:t> </w:t>
      </w:r>
      <w:r>
        <w:tab/>
        <w:t>Akruální princip (nebo také báze, koncept) je jedna ze základních účetních zásad a spočívá v tom, že náklady a výnosy se účtují do období, se kterým věcně a časově souvisejí, aniž by bylo bráno v úvahu, kdy došlo k reálnému pohybu peněz.</w:t>
      </w:r>
    </w:p>
  </w:footnote>
  <w:footnote w:id="86">
    <w:p w14:paraId="359764F4" w14:textId="5F093336" w:rsidR="009E69AD" w:rsidRDefault="009E69AD" w:rsidP="00367683">
      <w:pPr>
        <w:pStyle w:val="poznmkapodarou"/>
      </w:pPr>
      <w:r>
        <w:rPr>
          <w:rStyle w:val="Znakapoznpodarou"/>
        </w:rPr>
        <w:footnoteRef/>
      </w:r>
      <w:r>
        <w:t> </w:t>
      </w:r>
      <w:r>
        <w:tab/>
        <w:t>Vyhláška č. 419/2001 Sb., o rozsahu, struktuře a termínech údajů předkládaných pro vypracování návrhu státního závěrečného účtu a o rozsahu a termínech sestavení návrhů závěrečných účtů kapitol státního rozpočtu.</w:t>
      </w:r>
    </w:p>
  </w:footnote>
  <w:footnote w:id="87">
    <w:p w14:paraId="0C08B112" w14:textId="167A462B" w:rsidR="009E69AD" w:rsidRPr="004313C2" w:rsidRDefault="009E69AD" w:rsidP="00367683">
      <w:pPr>
        <w:pStyle w:val="poznmkapodarou"/>
      </w:pPr>
      <w:r>
        <w:rPr>
          <w:rStyle w:val="Znakapoznpodarou"/>
        </w:rPr>
        <w:footnoteRef/>
      </w:r>
      <w:r>
        <w:t> </w:t>
      </w:r>
      <w:r>
        <w:tab/>
        <w:t>KA č. 17/36 – </w:t>
      </w:r>
      <w:r w:rsidRPr="00DA2A31">
        <w:rPr>
          <w:i/>
        </w:rPr>
        <w:t>Účetní reforma v oblasti veřejných financí</w:t>
      </w:r>
      <w:r>
        <w:t xml:space="preserve"> (</w:t>
      </w:r>
      <w:r w:rsidRPr="00611D85">
        <w:t>kontrolní záv</w:t>
      </w:r>
      <w:r>
        <w:t xml:space="preserve">ěr byl zveřejněn v částce 6/2018 </w:t>
      </w:r>
      <w:r w:rsidRPr="00096C8D">
        <w:rPr>
          <w:i/>
        </w:rPr>
        <w:t>Věstníku NKÚ</w:t>
      </w:r>
      <w:r w:rsidRPr="00611D85">
        <w:t>).</w:t>
      </w:r>
    </w:p>
  </w:footnote>
  <w:footnote w:id="88">
    <w:p w14:paraId="540CC6FC" w14:textId="49620FAB" w:rsidR="009E69AD" w:rsidRDefault="009E69AD" w:rsidP="00705B7A">
      <w:pPr>
        <w:pStyle w:val="poznmkapodarou"/>
      </w:pPr>
      <w:r>
        <w:rPr>
          <w:rStyle w:val="Znakapoznpodarou"/>
        </w:rPr>
        <w:footnoteRef/>
      </w:r>
      <w:r>
        <w:t xml:space="preserve"> </w:t>
      </w:r>
      <w:r>
        <w:tab/>
        <w:t>Zákon č. 218/2000 Sb., o rozpočtových pravidlech a o změně některých souvisejících zákonů (rozpočtová pravidla).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ADA0" w14:textId="0CFFC360" w:rsidR="009E69AD" w:rsidRPr="00610680" w:rsidRDefault="009E69AD" w:rsidP="002C0666">
    <w:pPr>
      <w:pStyle w:val="Zhlav"/>
      <w:spacing w:after="200"/>
      <w:rPr>
        <w:rFonts w:cs="Calibri"/>
        <w:szCs w:val="24"/>
      </w:rPr>
    </w:pPr>
    <w:r w:rsidRPr="00610680">
      <w:rPr>
        <w:rFonts w:cs="Calibri"/>
        <w:szCs w:val="24"/>
      </w:rPr>
      <w:fldChar w:fldCharType="begin"/>
    </w:r>
    <w:r w:rsidRPr="00610680">
      <w:rPr>
        <w:rFonts w:cs="Calibri"/>
        <w:szCs w:val="24"/>
      </w:rPr>
      <w:instrText>PAGE   \* MERGEFORMAT</w:instrText>
    </w:r>
    <w:r w:rsidRPr="00610680">
      <w:rPr>
        <w:rFonts w:cs="Calibri"/>
        <w:szCs w:val="24"/>
      </w:rPr>
      <w:fldChar w:fldCharType="separate"/>
    </w:r>
    <w:r w:rsidR="009849B2">
      <w:rPr>
        <w:rFonts w:cs="Calibri"/>
        <w:noProof/>
        <w:szCs w:val="24"/>
      </w:rPr>
      <w:t>20</w:t>
    </w:r>
    <w:r w:rsidRPr="00610680">
      <w:rPr>
        <w:rFonts w:cs="Calibri"/>
        <w:szCs w:val="24"/>
      </w:rPr>
      <w:fldChar w:fldCharType="end"/>
    </w:r>
    <w:r w:rsidRPr="00610680">
      <w:rPr>
        <w:rFonts w:cs="Calibri"/>
        <w:szCs w:val="24"/>
      </w:rPr>
      <w:t xml:space="preserve"> </w:t>
    </w:r>
    <w:r>
      <w:rPr>
        <w:noProof/>
        <w:lang w:eastAsia="cs-CZ"/>
      </w:rPr>
      <w:drawing>
        <wp:inline distT="0" distB="0" distL="0" distR="0" wp14:anchorId="41D053CA" wp14:editId="702B3429">
          <wp:extent cx="209550" cy="209550"/>
          <wp:effectExtent l="0" t="0" r="0" b="0"/>
          <wp:docPr id="25" name="Obrázek 3" descr="Popis: Popis: prvky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Popis: Popis: prvky 3.jpg"/>
                  <pic:cNvPicPr>
                    <a:picLocks noChangeAspect="1" noChangeArrowheads="1"/>
                  </pic:cNvPicPr>
                </pic:nvPicPr>
                <pic:blipFill>
                  <a:blip r:embed="rId1">
                    <a:extLst>
                      <a:ext uri="{28A0092B-C50C-407E-A947-70E740481C1C}">
                        <a14:useLocalDpi xmlns:a14="http://schemas.microsoft.com/office/drawing/2010/main" val="0"/>
                      </a:ext>
                    </a:extLst>
                  </a:blip>
                  <a:srcRect l="34979" r="52153" b="57143"/>
                  <a:stretch>
                    <a:fillRect/>
                  </a:stretch>
                </pic:blipFill>
                <pic:spPr bwMode="auto">
                  <a:xfrm>
                    <a:off x="0" y="0"/>
                    <a:ext cx="209550" cy="209550"/>
                  </a:xfrm>
                  <a:prstGeom prst="rect">
                    <a:avLst/>
                  </a:prstGeom>
                  <a:noFill/>
                  <a:ln>
                    <a:noFill/>
                  </a:ln>
                </pic:spPr>
              </pic:pic>
            </a:graphicData>
          </a:graphic>
        </wp:inline>
      </w:drawing>
    </w:r>
    <w:r>
      <w:rPr>
        <w:sz w:val="20"/>
        <w:szCs w:val="20"/>
      </w:rPr>
      <w:t xml:space="preserve"> </w:t>
    </w:r>
    <w:r w:rsidRPr="001E38F9">
      <w:rPr>
        <w:rFonts w:cs="Calibri"/>
        <w:sz w:val="20"/>
        <w:szCs w:val="24"/>
      </w:rPr>
      <w:t>Stanovisko k návrhu státního závěrečného účtu ČR za rok 201</w:t>
    </w:r>
    <w:r>
      <w:rPr>
        <w:rFonts w:cs="Calibri"/>
        <w:sz w:val="20"/>
        <w:szCs w:val="24"/>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B027B" w14:textId="7FA5D439" w:rsidR="009E69AD" w:rsidRPr="00610680" w:rsidRDefault="009E69AD" w:rsidP="002C0666">
    <w:pPr>
      <w:pStyle w:val="Zhlav"/>
      <w:spacing w:after="200"/>
      <w:jc w:val="right"/>
      <w:rPr>
        <w:rFonts w:cs="Calibri"/>
        <w:szCs w:val="24"/>
      </w:rPr>
    </w:pPr>
    <w:r w:rsidRPr="008A4AAB">
      <w:rPr>
        <w:rFonts w:cs="Calibri"/>
        <w:sz w:val="20"/>
        <w:szCs w:val="20"/>
      </w:rPr>
      <w:t>Stanovisko k návrhu státního závěrečného účtu ČR za rok 201</w:t>
    </w:r>
    <w:r>
      <w:rPr>
        <w:rFonts w:cs="Calibri"/>
        <w:sz w:val="20"/>
        <w:szCs w:val="20"/>
      </w:rPr>
      <w:t>8</w:t>
    </w:r>
    <w:r>
      <w:t xml:space="preserve"> </w:t>
    </w:r>
    <w:r>
      <w:rPr>
        <w:noProof/>
        <w:lang w:eastAsia="cs-CZ"/>
      </w:rPr>
      <w:drawing>
        <wp:inline distT="0" distB="0" distL="0" distR="0" wp14:anchorId="447D098C" wp14:editId="0BE4150E">
          <wp:extent cx="209550" cy="209550"/>
          <wp:effectExtent l="0" t="0" r="0" b="0"/>
          <wp:docPr id="26" name="Obrázek 232" descr="Popis: Popis: prvky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32" descr="Popis: Popis: prvky 3.jpg"/>
                  <pic:cNvPicPr>
                    <a:picLocks noChangeAspect="1" noChangeArrowheads="1"/>
                  </pic:cNvPicPr>
                </pic:nvPicPr>
                <pic:blipFill>
                  <a:blip r:embed="rId1">
                    <a:extLst>
                      <a:ext uri="{28A0092B-C50C-407E-A947-70E740481C1C}">
                        <a14:useLocalDpi xmlns:a14="http://schemas.microsoft.com/office/drawing/2010/main" val="0"/>
                      </a:ext>
                    </a:extLst>
                  </a:blip>
                  <a:srcRect l="34979" r="52153" b="57143"/>
                  <a:stretch>
                    <a:fillRect/>
                  </a:stretch>
                </pic:blipFill>
                <pic:spPr bwMode="auto">
                  <a:xfrm>
                    <a:off x="0" y="0"/>
                    <a:ext cx="209550" cy="209550"/>
                  </a:xfrm>
                  <a:prstGeom prst="rect">
                    <a:avLst/>
                  </a:prstGeom>
                  <a:noFill/>
                  <a:ln>
                    <a:noFill/>
                  </a:ln>
                </pic:spPr>
              </pic:pic>
            </a:graphicData>
          </a:graphic>
        </wp:inline>
      </w:drawing>
    </w:r>
    <w:r>
      <w:t xml:space="preserve"> </w:t>
    </w:r>
    <w:r w:rsidRPr="00610680">
      <w:rPr>
        <w:rFonts w:cs="Calibri"/>
        <w:szCs w:val="24"/>
      </w:rPr>
      <w:fldChar w:fldCharType="begin"/>
    </w:r>
    <w:r w:rsidRPr="00610680">
      <w:rPr>
        <w:rFonts w:cs="Calibri"/>
        <w:szCs w:val="24"/>
      </w:rPr>
      <w:instrText>PAGE   \* MERGEFORMAT</w:instrText>
    </w:r>
    <w:r w:rsidRPr="00610680">
      <w:rPr>
        <w:rFonts w:cs="Calibri"/>
        <w:szCs w:val="24"/>
      </w:rPr>
      <w:fldChar w:fldCharType="separate"/>
    </w:r>
    <w:r w:rsidR="009849B2">
      <w:rPr>
        <w:rFonts w:cs="Calibri"/>
        <w:noProof/>
        <w:szCs w:val="24"/>
      </w:rPr>
      <w:t>21</w:t>
    </w:r>
    <w:r w:rsidRPr="00610680">
      <w:rPr>
        <w:rFonts w:cs="Calibr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64C52"/>
    <w:multiLevelType w:val="hybridMultilevel"/>
    <w:tmpl w:val="41C0F158"/>
    <w:lvl w:ilvl="0" w:tplc="4208C1F2">
      <w:start w:val="1"/>
      <w:numFmt w:val="bullet"/>
      <w:pStyle w:val="odrky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0514914"/>
    <w:multiLevelType w:val="hybridMultilevel"/>
    <w:tmpl w:val="85DE0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8D60EF"/>
    <w:multiLevelType w:val="hybridMultilevel"/>
    <w:tmpl w:val="A1F4AB62"/>
    <w:lvl w:ilvl="0" w:tplc="4B6263C0">
      <w:start w:val="1"/>
      <w:numFmt w:val="decimal"/>
      <w:pStyle w:val="Nadpis22"/>
      <w:lvlText w:val="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3FE6796"/>
    <w:multiLevelType w:val="multilevel"/>
    <w:tmpl w:val="D30AB66C"/>
    <w:lvl w:ilvl="0">
      <w:start w:val="1"/>
      <w:numFmt w:val="decimal"/>
      <w:pStyle w:val="Nadpis3"/>
      <w:lvlText w:val="%1."/>
      <w:lvlJc w:val="left"/>
      <w:pPr>
        <w:ind w:left="360" w:hanging="360"/>
      </w:pPr>
      <w:rPr>
        <w:rFonts w:hint="default"/>
      </w:rPr>
    </w:lvl>
    <w:lvl w:ilvl="1">
      <w:start w:val="1"/>
      <w:numFmt w:val="decimal"/>
      <w:pStyle w:val="Nadpis4"/>
      <w:isLgl/>
      <w:lvlText w:val="%1.%2"/>
      <w:lvlJc w:val="left"/>
      <w:pPr>
        <w:ind w:left="2420" w:hanging="360"/>
      </w:pPr>
      <w:rPr>
        <w:rFonts w:hint="default"/>
      </w:rPr>
    </w:lvl>
    <w:lvl w:ilvl="2">
      <w:start w:val="1"/>
      <w:numFmt w:val="decimal"/>
      <w:isLgl/>
      <w:lvlText w:val="%1.%2.%3"/>
      <w:lvlJc w:val="left"/>
      <w:pPr>
        <w:ind w:left="4840" w:hanging="720"/>
      </w:pPr>
      <w:rPr>
        <w:rFonts w:hint="default"/>
      </w:rPr>
    </w:lvl>
    <w:lvl w:ilvl="3">
      <w:start w:val="1"/>
      <w:numFmt w:val="decimal"/>
      <w:isLgl/>
      <w:lvlText w:val="%1.%2.%3.%4"/>
      <w:lvlJc w:val="left"/>
      <w:pPr>
        <w:ind w:left="6900" w:hanging="720"/>
      </w:pPr>
      <w:rPr>
        <w:rFonts w:hint="default"/>
      </w:rPr>
    </w:lvl>
    <w:lvl w:ilvl="4">
      <w:start w:val="1"/>
      <w:numFmt w:val="decimal"/>
      <w:isLgl/>
      <w:lvlText w:val="%1.%2.%3.%4.%5"/>
      <w:lvlJc w:val="left"/>
      <w:pPr>
        <w:ind w:left="9320" w:hanging="1080"/>
      </w:pPr>
      <w:rPr>
        <w:rFonts w:hint="default"/>
      </w:rPr>
    </w:lvl>
    <w:lvl w:ilvl="5">
      <w:start w:val="1"/>
      <w:numFmt w:val="decimal"/>
      <w:isLgl/>
      <w:lvlText w:val="%1.%2.%3.%4.%5.%6"/>
      <w:lvlJc w:val="left"/>
      <w:pPr>
        <w:ind w:left="11380" w:hanging="1080"/>
      </w:pPr>
      <w:rPr>
        <w:rFonts w:hint="default"/>
      </w:rPr>
    </w:lvl>
    <w:lvl w:ilvl="6">
      <w:start w:val="1"/>
      <w:numFmt w:val="decimal"/>
      <w:isLgl/>
      <w:lvlText w:val="%1.%2.%3.%4.%5.%6.%7"/>
      <w:lvlJc w:val="left"/>
      <w:pPr>
        <w:ind w:left="13800" w:hanging="1440"/>
      </w:pPr>
      <w:rPr>
        <w:rFonts w:hint="default"/>
      </w:rPr>
    </w:lvl>
    <w:lvl w:ilvl="7">
      <w:start w:val="1"/>
      <w:numFmt w:val="decimal"/>
      <w:isLgl/>
      <w:lvlText w:val="%1.%2.%3.%4.%5.%6.%7.%8"/>
      <w:lvlJc w:val="left"/>
      <w:pPr>
        <w:ind w:left="15860" w:hanging="1440"/>
      </w:pPr>
      <w:rPr>
        <w:rFonts w:hint="default"/>
      </w:rPr>
    </w:lvl>
    <w:lvl w:ilvl="8">
      <w:start w:val="1"/>
      <w:numFmt w:val="decimal"/>
      <w:isLgl/>
      <w:lvlText w:val="%1.%2.%3.%4.%5.%6.%7.%8.%9"/>
      <w:lvlJc w:val="left"/>
      <w:pPr>
        <w:ind w:left="18280" w:hanging="1800"/>
      </w:pPr>
      <w:rPr>
        <w:rFonts w:hint="default"/>
      </w:rPr>
    </w:lvl>
  </w:abstractNum>
  <w:abstractNum w:abstractNumId="4" w15:restartNumberingAfterBreak="0">
    <w:nsid w:val="37254FB7"/>
    <w:multiLevelType w:val="hybridMultilevel"/>
    <w:tmpl w:val="BF628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7F16383"/>
    <w:multiLevelType w:val="hybridMultilevel"/>
    <w:tmpl w:val="D62CF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6D0B2F"/>
    <w:multiLevelType w:val="hybridMultilevel"/>
    <w:tmpl w:val="ABBAA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2D0915"/>
    <w:multiLevelType w:val="hybridMultilevel"/>
    <w:tmpl w:val="4EAEE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7BA7BA3"/>
    <w:multiLevelType w:val="hybridMultilevel"/>
    <w:tmpl w:val="7654D874"/>
    <w:lvl w:ilvl="0" w:tplc="34AC0B74">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A40ED4"/>
    <w:multiLevelType w:val="hybridMultilevel"/>
    <w:tmpl w:val="A0CAF336"/>
    <w:lvl w:ilvl="0" w:tplc="550AF08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267AF6"/>
    <w:multiLevelType w:val="hybridMultilevel"/>
    <w:tmpl w:val="E9A283E8"/>
    <w:lvl w:ilvl="0" w:tplc="27F8D910">
      <w:start w:val="1"/>
      <w:numFmt w:val="upperRoman"/>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6249B1"/>
    <w:multiLevelType w:val="hybridMultilevel"/>
    <w:tmpl w:val="7AC0BE2A"/>
    <w:lvl w:ilvl="0" w:tplc="53C63F16">
      <w:numFmt w:val="bullet"/>
      <w:pStyle w:val="odrazkyveshrnuti"/>
      <w:lvlText w:val=""/>
      <w:lvlJc w:val="left"/>
      <w:pPr>
        <w:ind w:left="4045" w:hanging="360"/>
      </w:pPr>
      <w:rPr>
        <w:rFonts w:ascii="Wingdings" w:hAnsi="Wingdings" w:hint="default"/>
        <w:color w:val="BD2A33"/>
        <w:sz w:val="3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02E66D4"/>
    <w:multiLevelType w:val="hybridMultilevel"/>
    <w:tmpl w:val="FB1C187C"/>
    <w:lvl w:ilvl="0" w:tplc="6924FB1C">
      <w:start w:val="1"/>
      <w:numFmt w:val="bullet"/>
      <w:pStyle w:val="odrazky2"/>
      <w:lvlText w:val=""/>
      <w:lvlJc w:val="left"/>
      <w:pPr>
        <w:ind w:left="360" w:hanging="360"/>
      </w:pPr>
      <w:rPr>
        <w:rFonts w:ascii="Wingdings" w:hAnsi="Wingdings" w:hint="default"/>
        <w:color w:val="004595"/>
        <w:sz w:val="36"/>
      </w:rPr>
    </w:lvl>
    <w:lvl w:ilvl="1" w:tplc="04050003" w:tentative="1">
      <w:start w:val="1"/>
      <w:numFmt w:val="bullet"/>
      <w:lvlText w:val="o"/>
      <w:lvlJc w:val="left"/>
      <w:pPr>
        <w:ind w:left="910" w:hanging="360"/>
      </w:pPr>
      <w:rPr>
        <w:rFonts w:ascii="Courier New" w:hAnsi="Courier New" w:cs="Courier New" w:hint="default"/>
      </w:rPr>
    </w:lvl>
    <w:lvl w:ilvl="2" w:tplc="04050005" w:tentative="1">
      <w:start w:val="1"/>
      <w:numFmt w:val="bullet"/>
      <w:lvlText w:val=""/>
      <w:lvlJc w:val="left"/>
      <w:pPr>
        <w:ind w:left="1630" w:hanging="360"/>
      </w:pPr>
      <w:rPr>
        <w:rFonts w:ascii="Wingdings" w:hAnsi="Wingdings" w:hint="default"/>
      </w:rPr>
    </w:lvl>
    <w:lvl w:ilvl="3" w:tplc="04050001" w:tentative="1">
      <w:start w:val="1"/>
      <w:numFmt w:val="bullet"/>
      <w:lvlText w:val=""/>
      <w:lvlJc w:val="left"/>
      <w:pPr>
        <w:ind w:left="2350" w:hanging="360"/>
      </w:pPr>
      <w:rPr>
        <w:rFonts w:ascii="Symbol" w:hAnsi="Symbol" w:hint="default"/>
      </w:rPr>
    </w:lvl>
    <w:lvl w:ilvl="4" w:tplc="04050003" w:tentative="1">
      <w:start w:val="1"/>
      <w:numFmt w:val="bullet"/>
      <w:lvlText w:val="o"/>
      <w:lvlJc w:val="left"/>
      <w:pPr>
        <w:ind w:left="3070" w:hanging="360"/>
      </w:pPr>
      <w:rPr>
        <w:rFonts w:ascii="Courier New" w:hAnsi="Courier New" w:cs="Courier New" w:hint="default"/>
      </w:rPr>
    </w:lvl>
    <w:lvl w:ilvl="5" w:tplc="04050005" w:tentative="1">
      <w:start w:val="1"/>
      <w:numFmt w:val="bullet"/>
      <w:lvlText w:val=""/>
      <w:lvlJc w:val="left"/>
      <w:pPr>
        <w:ind w:left="3790" w:hanging="360"/>
      </w:pPr>
      <w:rPr>
        <w:rFonts w:ascii="Wingdings" w:hAnsi="Wingdings" w:hint="default"/>
      </w:rPr>
    </w:lvl>
    <w:lvl w:ilvl="6" w:tplc="04050001" w:tentative="1">
      <w:start w:val="1"/>
      <w:numFmt w:val="bullet"/>
      <w:lvlText w:val=""/>
      <w:lvlJc w:val="left"/>
      <w:pPr>
        <w:ind w:left="4510" w:hanging="360"/>
      </w:pPr>
      <w:rPr>
        <w:rFonts w:ascii="Symbol" w:hAnsi="Symbol" w:hint="default"/>
      </w:rPr>
    </w:lvl>
    <w:lvl w:ilvl="7" w:tplc="04050003" w:tentative="1">
      <w:start w:val="1"/>
      <w:numFmt w:val="bullet"/>
      <w:lvlText w:val="o"/>
      <w:lvlJc w:val="left"/>
      <w:pPr>
        <w:ind w:left="5230" w:hanging="360"/>
      </w:pPr>
      <w:rPr>
        <w:rFonts w:ascii="Courier New" w:hAnsi="Courier New" w:cs="Courier New" w:hint="default"/>
      </w:rPr>
    </w:lvl>
    <w:lvl w:ilvl="8" w:tplc="04050005" w:tentative="1">
      <w:start w:val="1"/>
      <w:numFmt w:val="bullet"/>
      <w:lvlText w:val=""/>
      <w:lvlJc w:val="left"/>
      <w:pPr>
        <w:ind w:left="5950" w:hanging="360"/>
      </w:pPr>
      <w:rPr>
        <w:rFonts w:ascii="Wingdings" w:hAnsi="Wingdings" w:hint="default"/>
      </w:rPr>
    </w:lvl>
  </w:abstractNum>
  <w:abstractNum w:abstractNumId="13" w15:restartNumberingAfterBreak="0">
    <w:nsid w:val="7D9B7F34"/>
    <w:multiLevelType w:val="hybridMultilevel"/>
    <w:tmpl w:val="A94C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3"/>
  </w:num>
  <w:num w:numId="4">
    <w:abstractNumId w:val="1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11"/>
  </w:num>
  <w:num w:numId="9">
    <w:abstractNumId w:val="12"/>
  </w:num>
  <w:num w:numId="10">
    <w:abstractNumId w:val="5"/>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10"/>
  </w:num>
  <w:num w:numId="21">
    <w:abstractNumId w:val="10"/>
    <w:lvlOverride w:ilvl="0">
      <w:startOverride w:val="1"/>
    </w:lvlOverride>
  </w:num>
  <w:num w:numId="22">
    <w:abstractNumId w:val="13"/>
  </w:num>
  <w:num w:numId="23">
    <w:abstractNumId w:val="1"/>
  </w:num>
  <w:num w:numId="2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9"/>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996"/>
    <w:rsid w:val="00000149"/>
    <w:rsid w:val="00001600"/>
    <w:rsid w:val="00001875"/>
    <w:rsid w:val="00001C13"/>
    <w:rsid w:val="00001FEA"/>
    <w:rsid w:val="000022A3"/>
    <w:rsid w:val="00003B88"/>
    <w:rsid w:val="00003EA3"/>
    <w:rsid w:val="00004800"/>
    <w:rsid w:val="000059D2"/>
    <w:rsid w:val="00005B18"/>
    <w:rsid w:val="00006000"/>
    <w:rsid w:val="000103E9"/>
    <w:rsid w:val="00010891"/>
    <w:rsid w:val="00011147"/>
    <w:rsid w:val="000124CF"/>
    <w:rsid w:val="0001291A"/>
    <w:rsid w:val="00012C63"/>
    <w:rsid w:val="00012FA9"/>
    <w:rsid w:val="00013293"/>
    <w:rsid w:val="00013CF5"/>
    <w:rsid w:val="00013E60"/>
    <w:rsid w:val="00014DA5"/>
    <w:rsid w:val="00014F72"/>
    <w:rsid w:val="00015292"/>
    <w:rsid w:val="00015DD7"/>
    <w:rsid w:val="00016E90"/>
    <w:rsid w:val="00017AF6"/>
    <w:rsid w:val="00020313"/>
    <w:rsid w:val="00020350"/>
    <w:rsid w:val="00020DA2"/>
    <w:rsid w:val="00021333"/>
    <w:rsid w:val="0002546B"/>
    <w:rsid w:val="000254C2"/>
    <w:rsid w:val="00025BAB"/>
    <w:rsid w:val="00025ECB"/>
    <w:rsid w:val="00025FFC"/>
    <w:rsid w:val="00026EAE"/>
    <w:rsid w:val="00027A64"/>
    <w:rsid w:val="000305E2"/>
    <w:rsid w:val="000309F8"/>
    <w:rsid w:val="00031C16"/>
    <w:rsid w:val="00031C50"/>
    <w:rsid w:val="000325C5"/>
    <w:rsid w:val="000339C1"/>
    <w:rsid w:val="00033CD7"/>
    <w:rsid w:val="000367A9"/>
    <w:rsid w:val="00037070"/>
    <w:rsid w:val="00037240"/>
    <w:rsid w:val="00037627"/>
    <w:rsid w:val="00037D63"/>
    <w:rsid w:val="0004061C"/>
    <w:rsid w:val="00040C9D"/>
    <w:rsid w:val="00040CA1"/>
    <w:rsid w:val="000411A2"/>
    <w:rsid w:val="0004193F"/>
    <w:rsid w:val="0004270B"/>
    <w:rsid w:val="000449B1"/>
    <w:rsid w:val="0004515F"/>
    <w:rsid w:val="00045599"/>
    <w:rsid w:val="000455FD"/>
    <w:rsid w:val="00045A08"/>
    <w:rsid w:val="00045D98"/>
    <w:rsid w:val="00045DC7"/>
    <w:rsid w:val="000466B2"/>
    <w:rsid w:val="000467F4"/>
    <w:rsid w:val="000470A1"/>
    <w:rsid w:val="000508EE"/>
    <w:rsid w:val="000509E3"/>
    <w:rsid w:val="00050C0E"/>
    <w:rsid w:val="000527AD"/>
    <w:rsid w:val="0005326B"/>
    <w:rsid w:val="00055314"/>
    <w:rsid w:val="000559F1"/>
    <w:rsid w:val="00055A34"/>
    <w:rsid w:val="00055D61"/>
    <w:rsid w:val="00055D85"/>
    <w:rsid w:val="00055E65"/>
    <w:rsid w:val="00056876"/>
    <w:rsid w:val="000572A6"/>
    <w:rsid w:val="00057324"/>
    <w:rsid w:val="0005741C"/>
    <w:rsid w:val="000575CF"/>
    <w:rsid w:val="00060412"/>
    <w:rsid w:val="000614AB"/>
    <w:rsid w:val="000621DD"/>
    <w:rsid w:val="00062373"/>
    <w:rsid w:val="00062E0E"/>
    <w:rsid w:val="00063519"/>
    <w:rsid w:val="000636D4"/>
    <w:rsid w:val="00063FEA"/>
    <w:rsid w:val="000657DF"/>
    <w:rsid w:val="000659BB"/>
    <w:rsid w:val="00065A82"/>
    <w:rsid w:val="000661B3"/>
    <w:rsid w:val="000673E1"/>
    <w:rsid w:val="000675EC"/>
    <w:rsid w:val="00067E1C"/>
    <w:rsid w:val="00070158"/>
    <w:rsid w:val="000701DA"/>
    <w:rsid w:val="000716CD"/>
    <w:rsid w:val="000736E4"/>
    <w:rsid w:val="00073991"/>
    <w:rsid w:val="00073F9A"/>
    <w:rsid w:val="0007471D"/>
    <w:rsid w:val="00074775"/>
    <w:rsid w:val="00074ED5"/>
    <w:rsid w:val="00074F22"/>
    <w:rsid w:val="00074F4C"/>
    <w:rsid w:val="00075C70"/>
    <w:rsid w:val="000762A9"/>
    <w:rsid w:val="0007728B"/>
    <w:rsid w:val="0007753E"/>
    <w:rsid w:val="00077542"/>
    <w:rsid w:val="000778F1"/>
    <w:rsid w:val="000802CB"/>
    <w:rsid w:val="00080D4B"/>
    <w:rsid w:val="00082C93"/>
    <w:rsid w:val="00083CDD"/>
    <w:rsid w:val="00085B30"/>
    <w:rsid w:val="00085E2B"/>
    <w:rsid w:val="0008703B"/>
    <w:rsid w:val="000879C9"/>
    <w:rsid w:val="00087F74"/>
    <w:rsid w:val="000917CA"/>
    <w:rsid w:val="000926B5"/>
    <w:rsid w:val="00092EC3"/>
    <w:rsid w:val="00092EE7"/>
    <w:rsid w:val="000936F9"/>
    <w:rsid w:val="00093BCA"/>
    <w:rsid w:val="0009502D"/>
    <w:rsid w:val="000953F4"/>
    <w:rsid w:val="000954D7"/>
    <w:rsid w:val="00095AE3"/>
    <w:rsid w:val="0009646B"/>
    <w:rsid w:val="000964DC"/>
    <w:rsid w:val="00096B18"/>
    <w:rsid w:val="00097008"/>
    <w:rsid w:val="00097169"/>
    <w:rsid w:val="000973EE"/>
    <w:rsid w:val="00097770"/>
    <w:rsid w:val="00097C1B"/>
    <w:rsid w:val="00097EB6"/>
    <w:rsid w:val="000A050F"/>
    <w:rsid w:val="000A0A84"/>
    <w:rsid w:val="000A0C91"/>
    <w:rsid w:val="000A2E81"/>
    <w:rsid w:val="000A30C0"/>
    <w:rsid w:val="000A30F6"/>
    <w:rsid w:val="000A36D0"/>
    <w:rsid w:val="000A4316"/>
    <w:rsid w:val="000A43A7"/>
    <w:rsid w:val="000A53A2"/>
    <w:rsid w:val="000A5808"/>
    <w:rsid w:val="000A5E76"/>
    <w:rsid w:val="000A61B3"/>
    <w:rsid w:val="000A6F2D"/>
    <w:rsid w:val="000A7BBD"/>
    <w:rsid w:val="000B0D57"/>
    <w:rsid w:val="000B1ABB"/>
    <w:rsid w:val="000B20DB"/>
    <w:rsid w:val="000B229C"/>
    <w:rsid w:val="000B2793"/>
    <w:rsid w:val="000B2808"/>
    <w:rsid w:val="000B2BE1"/>
    <w:rsid w:val="000B315D"/>
    <w:rsid w:val="000B3517"/>
    <w:rsid w:val="000B3541"/>
    <w:rsid w:val="000B3683"/>
    <w:rsid w:val="000B3EA0"/>
    <w:rsid w:val="000B44B4"/>
    <w:rsid w:val="000B4BB8"/>
    <w:rsid w:val="000B4E52"/>
    <w:rsid w:val="000B501C"/>
    <w:rsid w:val="000B5A71"/>
    <w:rsid w:val="000B5CE7"/>
    <w:rsid w:val="000B5DDD"/>
    <w:rsid w:val="000B5FCB"/>
    <w:rsid w:val="000B6803"/>
    <w:rsid w:val="000B7B43"/>
    <w:rsid w:val="000B7F1A"/>
    <w:rsid w:val="000C0160"/>
    <w:rsid w:val="000C01A2"/>
    <w:rsid w:val="000C0FF3"/>
    <w:rsid w:val="000C163E"/>
    <w:rsid w:val="000C2814"/>
    <w:rsid w:val="000C2BBB"/>
    <w:rsid w:val="000C2CB2"/>
    <w:rsid w:val="000C34A2"/>
    <w:rsid w:val="000C3A02"/>
    <w:rsid w:val="000C3B02"/>
    <w:rsid w:val="000C56F6"/>
    <w:rsid w:val="000C5C80"/>
    <w:rsid w:val="000C5D7D"/>
    <w:rsid w:val="000C6EF6"/>
    <w:rsid w:val="000C6FF7"/>
    <w:rsid w:val="000C7726"/>
    <w:rsid w:val="000C7A47"/>
    <w:rsid w:val="000D01D9"/>
    <w:rsid w:val="000D01DF"/>
    <w:rsid w:val="000D0FCC"/>
    <w:rsid w:val="000D10E7"/>
    <w:rsid w:val="000D2436"/>
    <w:rsid w:val="000D2CB1"/>
    <w:rsid w:val="000D34E0"/>
    <w:rsid w:val="000D43B0"/>
    <w:rsid w:val="000D627B"/>
    <w:rsid w:val="000D6BB8"/>
    <w:rsid w:val="000D7525"/>
    <w:rsid w:val="000D7973"/>
    <w:rsid w:val="000D7CC0"/>
    <w:rsid w:val="000E094E"/>
    <w:rsid w:val="000E0C37"/>
    <w:rsid w:val="000E1129"/>
    <w:rsid w:val="000E131F"/>
    <w:rsid w:val="000E1D24"/>
    <w:rsid w:val="000E21E2"/>
    <w:rsid w:val="000E2A29"/>
    <w:rsid w:val="000E3489"/>
    <w:rsid w:val="000E3642"/>
    <w:rsid w:val="000E4ADC"/>
    <w:rsid w:val="000E4E8B"/>
    <w:rsid w:val="000E4EF9"/>
    <w:rsid w:val="000E5353"/>
    <w:rsid w:val="000E5AEB"/>
    <w:rsid w:val="000E627E"/>
    <w:rsid w:val="000E7022"/>
    <w:rsid w:val="000E72C0"/>
    <w:rsid w:val="000E73DD"/>
    <w:rsid w:val="000F21C9"/>
    <w:rsid w:val="000F222A"/>
    <w:rsid w:val="000F2451"/>
    <w:rsid w:val="000F2F1A"/>
    <w:rsid w:val="000F3165"/>
    <w:rsid w:val="000F50E2"/>
    <w:rsid w:val="000F5607"/>
    <w:rsid w:val="000F5FF3"/>
    <w:rsid w:val="000F67BE"/>
    <w:rsid w:val="000F6B23"/>
    <w:rsid w:val="000F6D5E"/>
    <w:rsid w:val="001008A2"/>
    <w:rsid w:val="00101386"/>
    <w:rsid w:val="00101A85"/>
    <w:rsid w:val="00101E6B"/>
    <w:rsid w:val="0010244E"/>
    <w:rsid w:val="0010260E"/>
    <w:rsid w:val="00102B70"/>
    <w:rsid w:val="00103384"/>
    <w:rsid w:val="00104045"/>
    <w:rsid w:val="00104283"/>
    <w:rsid w:val="00104AD9"/>
    <w:rsid w:val="00104D97"/>
    <w:rsid w:val="00104F16"/>
    <w:rsid w:val="0010504B"/>
    <w:rsid w:val="001064C4"/>
    <w:rsid w:val="00106585"/>
    <w:rsid w:val="00106F31"/>
    <w:rsid w:val="00107078"/>
    <w:rsid w:val="00107746"/>
    <w:rsid w:val="00107B3A"/>
    <w:rsid w:val="0011010D"/>
    <w:rsid w:val="00110715"/>
    <w:rsid w:val="00110ABB"/>
    <w:rsid w:val="00110B41"/>
    <w:rsid w:val="00112CA2"/>
    <w:rsid w:val="00112DF2"/>
    <w:rsid w:val="00112FB5"/>
    <w:rsid w:val="00112FC3"/>
    <w:rsid w:val="00113199"/>
    <w:rsid w:val="00113346"/>
    <w:rsid w:val="00114E23"/>
    <w:rsid w:val="00115ADE"/>
    <w:rsid w:val="0011682E"/>
    <w:rsid w:val="0011685B"/>
    <w:rsid w:val="00116B7E"/>
    <w:rsid w:val="00117CB2"/>
    <w:rsid w:val="00117E7B"/>
    <w:rsid w:val="00117F2A"/>
    <w:rsid w:val="00120146"/>
    <w:rsid w:val="0012057F"/>
    <w:rsid w:val="00121EF2"/>
    <w:rsid w:val="001223DE"/>
    <w:rsid w:val="00122F50"/>
    <w:rsid w:val="00123368"/>
    <w:rsid w:val="00123A93"/>
    <w:rsid w:val="00123BA9"/>
    <w:rsid w:val="0012447B"/>
    <w:rsid w:val="00125C62"/>
    <w:rsid w:val="00125EAE"/>
    <w:rsid w:val="0012624F"/>
    <w:rsid w:val="00126AEC"/>
    <w:rsid w:val="00126D87"/>
    <w:rsid w:val="00126E74"/>
    <w:rsid w:val="00126F05"/>
    <w:rsid w:val="00130087"/>
    <w:rsid w:val="00130102"/>
    <w:rsid w:val="00130C85"/>
    <w:rsid w:val="001320F0"/>
    <w:rsid w:val="001325A5"/>
    <w:rsid w:val="00132B56"/>
    <w:rsid w:val="00132C86"/>
    <w:rsid w:val="0013332F"/>
    <w:rsid w:val="00133545"/>
    <w:rsid w:val="0013354E"/>
    <w:rsid w:val="00133E9C"/>
    <w:rsid w:val="00134B73"/>
    <w:rsid w:val="001354BC"/>
    <w:rsid w:val="00137129"/>
    <w:rsid w:val="00140381"/>
    <w:rsid w:val="00141E35"/>
    <w:rsid w:val="00141FEB"/>
    <w:rsid w:val="001420AE"/>
    <w:rsid w:val="00143399"/>
    <w:rsid w:val="0014377E"/>
    <w:rsid w:val="00143D8C"/>
    <w:rsid w:val="00143EFF"/>
    <w:rsid w:val="0014443F"/>
    <w:rsid w:val="001450BB"/>
    <w:rsid w:val="001450D8"/>
    <w:rsid w:val="00145F84"/>
    <w:rsid w:val="001468C2"/>
    <w:rsid w:val="00146C3C"/>
    <w:rsid w:val="001475D1"/>
    <w:rsid w:val="001478DD"/>
    <w:rsid w:val="00147DB2"/>
    <w:rsid w:val="001504C0"/>
    <w:rsid w:val="001507E4"/>
    <w:rsid w:val="00151358"/>
    <w:rsid w:val="00152551"/>
    <w:rsid w:val="00152BC0"/>
    <w:rsid w:val="001532B1"/>
    <w:rsid w:val="001538C1"/>
    <w:rsid w:val="00153B80"/>
    <w:rsid w:val="00153D6B"/>
    <w:rsid w:val="00153DFF"/>
    <w:rsid w:val="001555D0"/>
    <w:rsid w:val="00155762"/>
    <w:rsid w:val="00155AE9"/>
    <w:rsid w:val="00155B15"/>
    <w:rsid w:val="00155B2C"/>
    <w:rsid w:val="001563F2"/>
    <w:rsid w:val="00156BBE"/>
    <w:rsid w:val="0015770B"/>
    <w:rsid w:val="00160FB7"/>
    <w:rsid w:val="001611B4"/>
    <w:rsid w:val="001617D1"/>
    <w:rsid w:val="00163169"/>
    <w:rsid w:val="00163656"/>
    <w:rsid w:val="00163C40"/>
    <w:rsid w:val="00163E26"/>
    <w:rsid w:val="00164A5A"/>
    <w:rsid w:val="00165196"/>
    <w:rsid w:val="00165EC1"/>
    <w:rsid w:val="0016713A"/>
    <w:rsid w:val="00170F90"/>
    <w:rsid w:val="001712FC"/>
    <w:rsid w:val="00171848"/>
    <w:rsid w:val="00172160"/>
    <w:rsid w:val="001728EA"/>
    <w:rsid w:val="001733E3"/>
    <w:rsid w:val="0017350F"/>
    <w:rsid w:val="00173C6E"/>
    <w:rsid w:val="00174466"/>
    <w:rsid w:val="00174577"/>
    <w:rsid w:val="00174ECE"/>
    <w:rsid w:val="0017550E"/>
    <w:rsid w:val="00175C09"/>
    <w:rsid w:val="00175F43"/>
    <w:rsid w:val="0017615E"/>
    <w:rsid w:val="001764F5"/>
    <w:rsid w:val="00176784"/>
    <w:rsid w:val="00176F64"/>
    <w:rsid w:val="00177448"/>
    <w:rsid w:val="00180072"/>
    <w:rsid w:val="001808A6"/>
    <w:rsid w:val="00180DDE"/>
    <w:rsid w:val="00181672"/>
    <w:rsid w:val="00181696"/>
    <w:rsid w:val="00181FD7"/>
    <w:rsid w:val="0018244C"/>
    <w:rsid w:val="001825DA"/>
    <w:rsid w:val="00182906"/>
    <w:rsid w:val="00183625"/>
    <w:rsid w:val="00183764"/>
    <w:rsid w:val="00184D2F"/>
    <w:rsid w:val="00186098"/>
    <w:rsid w:val="00186A16"/>
    <w:rsid w:val="00187110"/>
    <w:rsid w:val="0018787A"/>
    <w:rsid w:val="00187BF7"/>
    <w:rsid w:val="00187C7F"/>
    <w:rsid w:val="0019039D"/>
    <w:rsid w:val="00190BB0"/>
    <w:rsid w:val="00190BE6"/>
    <w:rsid w:val="001914A0"/>
    <w:rsid w:val="001915EC"/>
    <w:rsid w:val="00191D68"/>
    <w:rsid w:val="00192157"/>
    <w:rsid w:val="00192717"/>
    <w:rsid w:val="00194054"/>
    <w:rsid w:val="001941F7"/>
    <w:rsid w:val="00194E95"/>
    <w:rsid w:val="00195B2A"/>
    <w:rsid w:val="0019629D"/>
    <w:rsid w:val="001966D6"/>
    <w:rsid w:val="00196DCC"/>
    <w:rsid w:val="00197D92"/>
    <w:rsid w:val="001A10D9"/>
    <w:rsid w:val="001A10E9"/>
    <w:rsid w:val="001A125A"/>
    <w:rsid w:val="001A25E8"/>
    <w:rsid w:val="001A3106"/>
    <w:rsid w:val="001A7CD7"/>
    <w:rsid w:val="001B0244"/>
    <w:rsid w:val="001B0EFA"/>
    <w:rsid w:val="001B132C"/>
    <w:rsid w:val="001B16A7"/>
    <w:rsid w:val="001B23F2"/>
    <w:rsid w:val="001B31F9"/>
    <w:rsid w:val="001B3923"/>
    <w:rsid w:val="001B3C06"/>
    <w:rsid w:val="001B4436"/>
    <w:rsid w:val="001B45CF"/>
    <w:rsid w:val="001B4891"/>
    <w:rsid w:val="001B4D8E"/>
    <w:rsid w:val="001B5C4B"/>
    <w:rsid w:val="001B5EFB"/>
    <w:rsid w:val="001B621C"/>
    <w:rsid w:val="001B68A1"/>
    <w:rsid w:val="001B798B"/>
    <w:rsid w:val="001B7BB6"/>
    <w:rsid w:val="001C0055"/>
    <w:rsid w:val="001C01FE"/>
    <w:rsid w:val="001C0FB4"/>
    <w:rsid w:val="001C0FDC"/>
    <w:rsid w:val="001C1922"/>
    <w:rsid w:val="001C2345"/>
    <w:rsid w:val="001C341E"/>
    <w:rsid w:val="001C4CD2"/>
    <w:rsid w:val="001C4F39"/>
    <w:rsid w:val="001C54A1"/>
    <w:rsid w:val="001C5A20"/>
    <w:rsid w:val="001C5D9B"/>
    <w:rsid w:val="001C7543"/>
    <w:rsid w:val="001C7E13"/>
    <w:rsid w:val="001C7FA7"/>
    <w:rsid w:val="001D0242"/>
    <w:rsid w:val="001D039A"/>
    <w:rsid w:val="001D0EC5"/>
    <w:rsid w:val="001D2FF1"/>
    <w:rsid w:val="001D3270"/>
    <w:rsid w:val="001D3510"/>
    <w:rsid w:val="001D3D49"/>
    <w:rsid w:val="001D48A2"/>
    <w:rsid w:val="001D4D29"/>
    <w:rsid w:val="001D55BF"/>
    <w:rsid w:val="001D590B"/>
    <w:rsid w:val="001D5CD6"/>
    <w:rsid w:val="001D6123"/>
    <w:rsid w:val="001D682C"/>
    <w:rsid w:val="001D6D78"/>
    <w:rsid w:val="001D7AE9"/>
    <w:rsid w:val="001D7FCD"/>
    <w:rsid w:val="001E00D9"/>
    <w:rsid w:val="001E020A"/>
    <w:rsid w:val="001E09DC"/>
    <w:rsid w:val="001E14DD"/>
    <w:rsid w:val="001E1C0D"/>
    <w:rsid w:val="001E2E3C"/>
    <w:rsid w:val="001E3279"/>
    <w:rsid w:val="001E38F9"/>
    <w:rsid w:val="001E4520"/>
    <w:rsid w:val="001E4E14"/>
    <w:rsid w:val="001E4EB0"/>
    <w:rsid w:val="001E519E"/>
    <w:rsid w:val="001E5244"/>
    <w:rsid w:val="001E5D52"/>
    <w:rsid w:val="001E6732"/>
    <w:rsid w:val="001E7469"/>
    <w:rsid w:val="001E7C19"/>
    <w:rsid w:val="001E7C5D"/>
    <w:rsid w:val="001E7FE8"/>
    <w:rsid w:val="001F0335"/>
    <w:rsid w:val="001F0D3D"/>
    <w:rsid w:val="001F158B"/>
    <w:rsid w:val="001F15F4"/>
    <w:rsid w:val="001F1683"/>
    <w:rsid w:val="001F2423"/>
    <w:rsid w:val="001F268E"/>
    <w:rsid w:val="001F338A"/>
    <w:rsid w:val="001F39BB"/>
    <w:rsid w:val="001F4405"/>
    <w:rsid w:val="001F45EB"/>
    <w:rsid w:val="001F4A5E"/>
    <w:rsid w:val="001F4B2D"/>
    <w:rsid w:val="001F52E0"/>
    <w:rsid w:val="001F54ED"/>
    <w:rsid w:val="001F687B"/>
    <w:rsid w:val="001F7D69"/>
    <w:rsid w:val="001F7D98"/>
    <w:rsid w:val="00200014"/>
    <w:rsid w:val="00200AF9"/>
    <w:rsid w:val="00201A15"/>
    <w:rsid w:val="00201AD0"/>
    <w:rsid w:val="00201B73"/>
    <w:rsid w:val="00202606"/>
    <w:rsid w:val="00202836"/>
    <w:rsid w:val="00202852"/>
    <w:rsid w:val="00202970"/>
    <w:rsid w:val="00203413"/>
    <w:rsid w:val="00203C4D"/>
    <w:rsid w:val="00204BF0"/>
    <w:rsid w:val="00204E3F"/>
    <w:rsid w:val="00205202"/>
    <w:rsid w:val="0020610A"/>
    <w:rsid w:val="00206757"/>
    <w:rsid w:val="00206BD6"/>
    <w:rsid w:val="00206EDF"/>
    <w:rsid w:val="00206F84"/>
    <w:rsid w:val="0020744A"/>
    <w:rsid w:val="00207E3E"/>
    <w:rsid w:val="00207E6B"/>
    <w:rsid w:val="0021040D"/>
    <w:rsid w:val="002105A2"/>
    <w:rsid w:val="00210773"/>
    <w:rsid w:val="002114FD"/>
    <w:rsid w:val="00211C1F"/>
    <w:rsid w:val="00211D4C"/>
    <w:rsid w:val="00211EE0"/>
    <w:rsid w:val="00212E5F"/>
    <w:rsid w:val="00212E82"/>
    <w:rsid w:val="002131FB"/>
    <w:rsid w:val="002132E3"/>
    <w:rsid w:val="00213AD6"/>
    <w:rsid w:val="00213FD5"/>
    <w:rsid w:val="0021601E"/>
    <w:rsid w:val="0021606E"/>
    <w:rsid w:val="0021710F"/>
    <w:rsid w:val="002177E1"/>
    <w:rsid w:val="00217827"/>
    <w:rsid w:val="00217987"/>
    <w:rsid w:val="00220769"/>
    <w:rsid w:val="00221F5A"/>
    <w:rsid w:val="00221FF1"/>
    <w:rsid w:val="00222A21"/>
    <w:rsid w:val="00223B5D"/>
    <w:rsid w:val="00223EF8"/>
    <w:rsid w:val="002250FA"/>
    <w:rsid w:val="00226369"/>
    <w:rsid w:val="002269EF"/>
    <w:rsid w:val="00226CA5"/>
    <w:rsid w:val="002272A3"/>
    <w:rsid w:val="0022761D"/>
    <w:rsid w:val="00227BAF"/>
    <w:rsid w:val="0023010F"/>
    <w:rsid w:val="00230352"/>
    <w:rsid w:val="00230396"/>
    <w:rsid w:val="00230A55"/>
    <w:rsid w:val="00230B6A"/>
    <w:rsid w:val="00231126"/>
    <w:rsid w:val="00231F87"/>
    <w:rsid w:val="00231FEC"/>
    <w:rsid w:val="00232041"/>
    <w:rsid w:val="00232918"/>
    <w:rsid w:val="00232C8E"/>
    <w:rsid w:val="0023369A"/>
    <w:rsid w:val="00234519"/>
    <w:rsid w:val="0023451A"/>
    <w:rsid w:val="00234B49"/>
    <w:rsid w:val="00234C11"/>
    <w:rsid w:val="002350BD"/>
    <w:rsid w:val="00235100"/>
    <w:rsid w:val="0023739B"/>
    <w:rsid w:val="00237967"/>
    <w:rsid w:val="00237EBA"/>
    <w:rsid w:val="0024077B"/>
    <w:rsid w:val="00240D85"/>
    <w:rsid w:val="00242549"/>
    <w:rsid w:val="00242C3A"/>
    <w:rsid w:val="00243471"/>
    <w:rsid w:val="00244163"/>
    <w:rsid w:val="0024417B"/>
    <w:rsid w:val="00244717"/>
    <w:rsid w:val="00244D9E"/>
    <w:rsid w:val="00244EA5"/>
    <w:rsid w:val="002454C5"/>
    <w:rsid w:val="0024595E"/>
    <w:rsid w:val="002469C6"/>
    <w:rsid w:val="00247ABD"/>
    <w:rsid w:val="002504C9"/>
    <w:rsid w:val="00250AAE"/>
    <w:rsid w:val="00250D98"/>
    <w:rsid w:val="00251136"/>
    <w:rsid w:val="00253061"/>
    <w:rsid w:val="002560D9"/>
    <w:rsid w:val="00257000"/>
    <w:rsid w:val="0025715C"/>
    <w:rsid w:val="00260372"/>
    <w:rsid w:val="00260D5F"/>
    <w:rsid w:val="002611F8"/>
    <w:rsid w:val="0026144D"/>
    <w:rsid w:val="00261ABF"/>
    <w:rsid w:val="00262CED"/>
    <w:rsid w:val="00262D98"/>
    <w:rsid w:val="00263262"/>
    <w:rsid w:val="00263A61"/>
    <w:rsid w:val="00264381"/>
    <w:rsid w:val="002645E7"/>
    <w:rsid w:val="00264CB5"/>
    <w:rsid w:val="002652AE"/>
    <w:rsid w:val="00265674"/>
    <w:rsid w:val="00265FE8"/>
    <w:rsid w:val="00266F32"/>
    <w:rsid w:val="002679ED"/>
    <w:rsid w:val="0027013C"/>
    <w:rsid w:val="00270459"/>
    <w:rsid w:val="0027050A"/>
    <w:rsid w:val="00271765"/>
    <w:rsid w:val="00271B0F"/>
    <w:rsid w:val="00271E7C"/>
    <w:rsid w:val="00271EAD"/>
    <w:rsid w:val="00272373"/>
    <w:rsid w:val="00272A23"/>
    <w:rsid w:val="002731C6"/>
    <w:rsid w:val="002732F7"/>
    <w:rsid w:val="00273393"/>
    <w:rsid w:val="002733AD"/>
    <w:rsid w:val="002734EA"/>
    <w:rsid w:val="0027523A"/>
    <w:rsid w:val="002757DA"/>
    <w:rsid w:val="00275BFD"/>
    <w:rsid w:val="00276441"/>
    <w:rsid w:val="0027689C"/>
    <w:rsid w:val="00277808"/>
    <w:rsid w:val="00277C2B"/>
    <w:rsid w:val="00280DC5"/>
    <w:rsid w:val="00280E93"/>
    <w:rsid w:val="00280F34"/>
    <w:rsid w:val="00281D84"/>
    <w:rsid w:val="00281F0F"/>
    <w:rsid w:val="00282B75"/>
    <w:rsid w:val="00282F9F"/>
    <w:rsid w:val="00283833"/>
    <w:rsid w:val="002838BC"/>
    <w:rsid w:val="00283E81"/>
    <w:rsid w:val="002841F8"/>
    <w:rsid w:val="00285640"/>
    <w:rsid w:val="00285CEC"/>
    <w:rsid w:val="00287509"/>
    <w:rsid w:val="00291733"/>
    <w:rsid w:val="00291843"/>
    <w:rsid w:val="00292340"/>
    <w:rsid w:val="002925FB"/>
    <w:rsid w:val="00292CD9"/>
    <w:rsid w:val="00292F3E"/>
    <w:rsid w:val="00293101"/>
    <w:rsid w:val="00293304"/>
    <w:rsid w:val="002933DA"/>
    <w:rsid w:val="00293869"/>
    <w:rsid w:val="002944E0"/>
    <w:rsid w:val="00296144"/>
    <w:rsid w:val="0029647F"/>
    <w:rsid w:val="002A0182"/>
    <w:rsid w:val="002A025F"/>
    <w:rsid w:val="002A0751"/>
    <w:rsid w:val="002A0AFA"/>
    <w:rsid w:val="002A0CBB"/>
    <w:rsid w:val="002A0CDA"/>
    <w:rsid w:val="002A1200"/>
    <w:rsid w:val="002A19F7"/>
    <w:rsid w:val="002A1B4D"/>
    <w:rsid w:val="002A1EAE"/>
    <w:rsid w:val="002A2B7B"/>
    <w:rsid w:val="002A316D"/>
    <w:rsid w:val="002A465F"/>
    <w:rsid w:val="002A4ED4"/>
    <w:rsid w:val="002A55FE"/>
    <w:rsid w:val="002A5A22"/>
    <w:rsid w:val="002A6210"/>
    <w:rsid w:val="002A63F7"/>
    <w:rsid w:val="002A6DDE"/>
    <w:rsid w:val="002A78E8"/>
    <w:rsid w:val="002B0202"/>
    <w:rsid w:val="002B06A3"/>
    <w:rsid w:val="002B078E"/>
    <w:rsid w:val="002B1669"/>
    <w:rsid w:val="002B2101"/>
    <w:rsid w:val="002B26EB"/>
    <w:rsid w:val="002B2919"/>
    <w:rsid w:val="002B382B"/>
    <w:rsid w:val="002B3D1C"/>
    <w:rsid w:val="002B3E47"/>
    <w:rsid w:val="002B41D1"/>
    <w:rsid w:val="002B5C80"/>
    <w:rsid w:val="002B6392"/>
    <w:rsid w:val="002B6D09"/>
    <w:rsid w:val="002B7806"/>
    <w:rsid w:val="002C0592"/>
    <w:rsid w:val="002C0666"/>
    <w:rsid w:val="002C0F71"/>
    <w:rsid w:val="002C0F93"/>
    <w:rsid w:val="002C108B"/>
    <w:rsid w:val="002C135D"/>
    <w:rsid w:val="002C14B0"/>
    <w:rsid w:val="002C15F7"/>
    <w:rsid w:val="002C2B1A"/>
    <w:rsid w:val="002C3C7B"/>
    <w:rsid w:val="002C45E0"/>
    <w:rsid w:val="002C4669"/>
    <w:rsid w:val="002C4F38"/>
    <w:rsid w:val="002C5CA7"/>
    <w:rsid w:val="002C6485"/>
    <w:rsid w:val="002C675B"/>
    <w:rsid w:val="002C799D"/>
    <w:rsid w:val="002D05BC"/>
    <w:rsid w:val="002D09FE"/>
    <w:rsid w:val="002D28AB"/>
    <w:rsid w:val="002D28D1"/>
    <w:rsid w:val="002D31B0"/>
    <w:rsid w:val="002D3477"/>
    <w:rsid w:val="002D3BDF"/>
    <w:rsid w:val="002D5A4A"/>
    <w:rsid w:val="002D5C12"/>
    <w:rsid w:val="002D5E1F"/>
    <w:rsid w:val="002D6F50"/>
    <w:rsid w:val="002D6F59"/>
    <w:rsid w:val="002D7A2E"/>
    <w:rsid w:val="002E0347"/>
    <w:rsid w:val="002E0EEB"/>
    <w:rsid w:val="002E312B"/>
    <w:rsid w:val="002E31F0"/>
    <w:rsid w:val="002E348C"/>
    <w:rsid w:val="002E368B"/>
    <w:rsid w:val="002E38A3"/>
    <w:rsid w:val="002E3B38"/>
    <w:rsid w:val="002E4451"/>
    <w:rsid w:val="002E495D"/>
    <w:rsid w:val="002E53CA"/>
    <w:rsid w:val="002E5612"/>
    <w:rsid w:val="002E58EF"/>
    <w:rsid w:val="002E5FB7"/>
    <w:rsid w:val="002E5FF0"/>
    <w:rsid w:val="002E65EA"/>
    <w:rsid w:val="002E684E"/>
    <w:rsid w:val="002E78C1"/>
    <w:rsid w:val="002E7B22"/>
    <w:rsid w:val="002F0412"/>
    <w:rsid w:val="002F04EA"/>
    <w:rsid w:val="002F0733"/>
    <w:rsid w:val="002F0DB7"/>
    <w:rsid w:val="002F0FBC"/>
    <w:rsid w:val="002F19CC"/>
    <w:rsid w:val="002F2363"/>
    <w:rsid w:val="002F5CC9"/>
    <w:rsid w:val="002F6B8F"/>
    <w:rsid w:val="002F6FB5"/>
    <w:rsid w:val="002F7709"/>
    <w:rsid w:val="002F7E02"/>
    <w:rsid w:val="002F7F98"/>
    <w:rsid w:val="00300199"/>
    <w:rsid w:val="0030051C"/>
    <w:rsid w:val="00300AD9"/>
    <w:rsid w:val="00301243"/>
    <w:rsid w:val="003014D3"/>
    <w:rsid w:val="00301FE9"/>
    <w:rsid w:val="00302219"/>
    <w:rsid w:val="00302979"/>
    <w:rsid w:val="00302CAE"/>
    <w:rsid w:val="00304877"/>
    <w:rsid w:val="00304C0F"/>
    <w:rsid w:val="00304CB3"/>
    <w:rsid w:val="00304D84"/>
    <w:rsid w:val="00305410"/>
    <w:rsid w:val="00305B17"/>
    <w:rsid w:val="00306443"/>
    <w:rsid w:val="00306A07"/>
    <w:rsid w:val="003077C5"/>
    <w:rsid w:val="00307809"/>
    <w:rsid w:val="00310BF0"/>
    <w:rsid w:val="00310CB3"/>
    <w:rsid w:val="0031207C"/>
    <w:rsid w:val="003131D5"/>
    <w:rsid w:val="003140BF"/>
    <w:rsid w:val="003151F7"/>
    <w:rsid w:val="00316739"/>
    <w:rsid w:val="003204A7"/>
    <w:rsid w:val="00321B3F"/>
    <w:rsid w:val="00322981"/>
    <w:rsid w:val="00322BA4"/>
    <w:rsid w:val="00323ED5"/>
    <w:rsid w:val="003246E2"/>
    <w:rsid w:val="00325AFB"/>
    <w:rsid w:val="0032628B"/>
    <w:rsid w:val="003262E4"/>
    <w:rsid w:val="003270C6"/>
    <w:rsid w:val="00327379"/>
    <w:rsid w:val="00330E6C"/>
    <w:rsid w:val="0033185D"/>
    <w:rsid w:val="00331B3C"/>
    <w:rsid w:val="003323C5"/>
    <w:rsid w:val="003334D3"/>
    <w:rsid w:val="0033383E"/>
    <w:rsid w:val="00333860"/>
    <w:rsid w:val="00333B5E"/>
    <w:rsid w:val="00335622"/>
    <w:rsid w:val="00335C23"/>
    <w:rsid w:val="00337697"/>
    <w:rsid w:val="00337874"/>
    <w:rsid w:val="00340243"/>
    <w:rsid w:val="0034029C"/>
    <w:rsid w:val="00340528"/>
    <w:rsid w:val="00341049"/>
    <w:rsid w:val="0034117F"/>
    <w:rsid w:val="0034273A"/>
    <w:rsid w:val="003433D0"/>
    <w:rsid w:val="00343981"/>
    <w:rsid w:val="00343DB8"/>
    <w:rsid w:val="00344631"/>
    <w:rsid w:val="00344923"/>
    <w:rsid w:val="00345551"/>
    <w:rsid w:val="00345807"/>
    <w:rsid w:val="00345D19"/>
    <w:rsid w:val="00345EA6"/>
    <w:rsid w:val="00346F69"/>
    <w:rsid w:val="0035016C"/>
    <w:rsid w:val="003505D9"/>
    <w:rsid w:val="00351875"/>
    <w:rsid w:val="00352FF7"/>
    <w:rsid w:val="00353067"/>
    <w:rsid w:val="0035355C"/>
    <w:rsid w:val="003535E0"/>
    <w:rsid w:val="00354731"/>
    <w:rsid w:val="00355B4D"/>
    <w:rsid w:val="00356416"/>
    <w:rsid w:val="003565A3"/>
    <w:rsid w:val="00356D41"/>
    <w:rsid w:val="0035770A"/>
    <w:rsid w:val="0035799C"/>
    <w:rsid w:val="00360FF3"/>
    <w:rsid w:val="00361441"/>
    <w:rsid w:val="00361575"/>
    <w:rsid w:val="00361579"/>
    <w:rsid w:val="00361B77"/>
    <w:rsid w:val="00362332"/>
    <w:rsid w:val="00362842"/>
    <w:rsid w:val="00362F44"/>
    <w:rsid w:val="00363D46"/>
    <w:rsid w:val="0036451C"/>
    <w:rsid w:val="0036571A"/>
    <w:rsid w:val="00365A04"/>
    <w:rsid w:val="003663AC"/>
    <w:rsid w:val="0036656F"/>
    <w:rsid w:val="003666F2"/>
    <w:rsid w:val="003667C5"/>
    <w:rsid w:val="00366B76"/>
    <w:rsid w:val="00366BAD"/>
    <w:rsid w:val="00367683"/>
    <w:rsid w:val="00367ADD"/>
    <w:rsid w:val="0037062A"/>
    <w:rsid w:val="003709FA"/>
    <w:rsid w:val="00370E10"/>
    <w:rsid w:val="00371334"/>
    <w:rsid w:val="003717AF"/>
    <w:rsid w:val="0037321C"/>
    <w:rsid w:val="003734C8"/>
    <w:rsid w:val="003741AD"/>
    <w:rsid w:val="003745C1"/>
    <w:rsid w:val="00375983"/>
    <w:rsid w:val="0037613D"/>
    <w:rsid w:val="00376A7D"/>
    <w:rsid w:val="00376DDC"/>
    <w:rsid w:val="00377466"/>
    <w:rsid w:val="00377898"/>
    <w:rsid w:val="00381A58"/>
    <w:rsid w:val="00381B7D"/>
    <w:rsid w:val="00381E8B"/>
    <w:rsid w:val="00382474"/>
    <w:rsid w:val="0038253D"/>
    <w:rsid w:val="00382D82"/>
    <w:rsid w:val="00382FA4"/>
    <w:rsid w:val="0038329B"/>
    <w:rsid w:val="00383623"/>
    <w:rsid w:val="003838E2"/>
    <w:rsid w:val="00384367"/>
    <w:rsid w:val="0038468E"/>
    <w:rsid w:val="00384B48"/>
    <w:rsid w:val="00384E7B"/>
    <w:rsid w:val="003854D3"/>
    <w:rsid w:val="003855E4"/>
    <w:rsid w:val="00386440"/>
    <w:rsid w:val="00386D26"/>
    <w:rsid w:val="00390342"/>
    <w:rsid w:val="0039047B"/>
    <w:rsid w:val="00390795"/>
    <w:rsid w:val="00390AF6"/>
    <w:rsid w:val="00392C40"/>
    <w:rsid w:val="0039311E"/>
    <w:rsid w:val="003932B7"/>
    <w:rsid w:val="0039337E"/>
    <w:rsid w:val="00393F0B"/>
    <w:rsid w:val="0039424F"/>
    <w:rsid w:val="003947E5"/>
    <w:rsid w:val="00394B55"/>
    <w:rsid w:val="00394E51"/>
    <w:rsid w:val="00395062"/>
    <w:rsid w:val="0039597F"/>
    <w:rsid w:val="00395C01"/>
    <w:rsid w:val="003967B6"/>
    <w:rsid w:val="00396983"/>
    <w:rsid w:val="00397305"/>
    <w:rsid w:val="00397CD2"/>
    <w:rsid w:val="003A0ACD"/>
    <w:rsid w:val="003A0C60"/>
    <w:rsid w:val="003A1C36"/>
    <w:rsid w:val="003A236C"/>
    <w:rsid w:val="003A24AD"/>
    <w:rsid w:val="003A29D4"/>
    <w:rsid w:val="003A2C4B"/>
    <w:rsid w:val="003A30E7"/>
    <w:rsid w:val="003A39C3"/>
    <w:rsid w:val="003A450A"/>
    <w:rsid w:val="003A5239"/>
    <w:rsid w:val="003A77A4"/>
    <w:rsid w:val="003A7BD8"/>
    <w:rsid w:val="003B0B5D"/>
    <w:rsid w:val="003B0F52"/>
    <w:rsid w:val="003B23F9"/>
    <w:rsid w:val="003B27E6"/>
    <w:rsid w:val="003B2DA0"/>
    <w:rsid w:val="003B35F6"/>
    <w:rsid w:val="003B3A71"/>
    <w:rsid w:val="003B3E81"/>
    <w:rsid w:val="003B4601"/>
    <w:rsid w:val="003B4A19"/>
    <w:rsid w:val="003B54A2"/>
    <w:rsid w:val="003B5511"/>
    <w:rsid w:val="003B5B6F"/>
    <w:rsid w:val="003B5BFA"/>
    <w:rsid w:val="003B68AA"/>
    <w:rsid w:val="003B7429"/>
    <w:rsid w:val="003B7CA4"/>
    <w:rsid w:val="003B7F53"/>
    <w:rsid w:val="003C005B"/>
    <w:rsid w:val="003C0C85"/>
    <w:rsid w:val="003C1971"/>
    <w:rsid w:val="003C1CD9"/>
    <w:rsid w:val="003C20A5"/>
    <w:rsid w:val="003C25D7"/>
    <w:rsid w:val="003C333B"/>
    <w:rsid w:val="003C3D1C"/>
    <w:rsid w:val="003C5392"/>
    <w:rsid w:val="003C5B3D"/>
    <w:rsid w:val="003C601F"/>
    <w:rsid w:val="003C637B"/>
    <w:rsid w:val="003C6DC2"/>
    <w:rsid w:val="003C6F63"/>
    <w:rsid w:val="003C7EC6"/>
    <w:rsid w:val="003C7F03"/>
    <w:rsid w:val="003D00C2"/>
    <w:rsid w:val="003D0342"/>
    <w:rsid w:val="003D1221"/>
    <w:rsid w:val="003D16A6"/>
    <w:rsid w:val="003D1CBA"/>
    <w:rsid w:val="003D2F3C"/>
    <w:rsid w:val="003D3D7D"/>
    <w:rsid w:val="003D4413"/>
    <w:rsid w:val="003D4468"/>
    <w:rsid w:val="003D5E65"/>
    <w:rsid w:val="003D6A75"/>
    <w:rsid w:val="003D7012"/>
    <w:rsid w:val="003D75AA"/>
    <w:rsid w:val="003D77B3"/>
    <w:rsid w:val="003D7B8C"/>
    <w:rsid w:val="003D7F83"/>
    <w:rsid w:val="003E0527"/>
    <w:rsid w:val="003E111F"/>
    <w:rsid w:val="003E120C"/>
    <w:rsid w:val="003E18F0"/>
    <w:rsid w:val="003E1BF9"/>
    <w:rsid w:val="003E1C12"/>
    <w:rsid w:val="003E1D31"/>
    <w:rsid w:val="003E391D"/>
    <w:rsid w:val="003E3D7C"/>
    <w:rsid w:val="003E3DC2"/>
    <w:rsid w:val="003E495E"/>
    <w:rsid w:val="003E54AD"/>
    <w:rsid w:val="003E5DBE"/>
    <w:rsid w:val="003E7FCF"/>
    <w:rsid w:val="003F0DD6"/>
    <w:rsid w:val="003F1892"/>
    <w:rsid w:val="003F1E23"/>
    <w:rsid w:val="003F2328"/>
    <w:rsid w:val="003F2C81"/>
    <w:rsid w:val="003F32FC"/>
    <w:rsid w:val="003F3592"/>
    <w:rsid w:val="003F3A6C"/>
    <w:rsid w:val="003F3BDD"/>
    <w:rsid w:val="003F4E63"/>
    <w:rsid w:val="003F506F"/>
    <w:rsid w:val="003F5AE7"/>
    <w:rsid w:val="003F5DC5"/>
    <w:rsid w:val="003F68E8"/>
    <w:rsid w:val="003F73F2"/>
    <w:rsid w:val="003F7C64"/>
    <w:rsid w:val="004003A8"/>
    <w:rsid w:val="00400560"/>
    <w:rsid w:val="00400B6E"/>
    <w:rsid w:val="00400E9F"/>
    <w:rsid w:val="00401592"/>
    <w:rsid w:val="0040170E"/>
    <w:rsid w:val="00401CB5"/>
    <w:rsid w:val="00402281"/>
    <w:rsid w:val="00402ACC"/>
    <w:rsid w:val="00403755"/>
    <w:rsid w:val="00403E3D"/>
    <w:rsid w:val="00404427"/>
    <w:rsid w:val="004051AD"/>
    <w:rsid w:val="00405B94"/>
    <w:rsid w:val="00405DFE"/>
    <w:rsid w:val="004065C7"/>
    <w:rsid w:val="00406C09"/>
    <w:rsid w:val="00406DFC"/>
    <w:rsid w:val="00406E92"/>
    <w:rsid w:val="004071F0"/>
    <w:rsid w:val="00410379"/>
    <w:rsid w:val="00410594"/>
    <w:rsid w:val="00410D68"/>
    <w:rsid w:val="00411B2B"/>
    <w:rsid w:val="00411EC4"/>
    <w:rsid w:val="0041220B"/>
    <w:rsid w:val="00413583"/>
    <w:rsid w:val="004138F8"/>
    <w:rsid w:val="004140B4"/>
    <w:rsid w:val="004143EE"/>
    <w:rsid w:val="004156E3"/>
    <w:rsid w:val="0041572F"/>
    <w:rsid w:val="004160DE"/>
    <w:rsid w:val="00416A93"/>
    <w:rsid w:val="00416C8B"/>
    <w:rsid w:val="00417DB4"/>
    <w:rsid w:val="00420757"/>
    <w:rsid w:val="00420BEB"/>
    <w:rsid w:val="00421B49"/>
    <w:rsid w:val="00422617"/>
    <w:rsid w:val="00422795"/>
    <w:rsid w:val="004228F4"/>
    <w:rsid w:val="00422CFA"/>
    <w:rsid w:val="00422E83"/>
    <w:rsid w:val="0042368C"/>
    <w:rsid w:val="004239A3"/>
    <w:rsid w:val="0042453A"/>
    <w:rsid w:val="00425358"/>
    <w:rsid w:val="004262EA"/>
    <w:rsid w:val="00426E2D"/>
    <w:rsid w:val="00427620"/>
    <w:rsid w:val="0043078F"/>
    <w:rsid w:val="00431076"/>
    <w:rsid w:val="00431114"/>
    <w:rsid w:val="004313A8"/>
    <w:rsid w:val="0043170D"/>
    <w:rsid w:val="00431C25"/>
    <w:rsid w:val="0043235F"/>
    <w:rsid w:val="004328EF"/>
    <w:rsid w:val="00432FE5"/>
    <w:rsid w:val="0043384D"/>
    <w:rsid w:val="00434437"/>
    <w:rsid w:val="00434C28"/>
    <w:rsid w:val="00435F53"/>
    <w:rsid w:val="0043616B"/>
    <w:rsid w:val="00440849"/>
    <w:rsid w:val="00441960"/>
    <w:rsid w:val="00441CE5"/>
    <w:rsid w:val="00441E5C"/>
    <w:rsid w:val="0044215B"/>
    <w:rsid w:val="004424F7"/>
    <w:rsid w:val="00442B86"/>
    <w:rsid w:val="0044339F"/>
    <w:rsid w:val="004437DB"/>
    <w:rsid w:val="004437ED"/>
    <w:rsid w:val="00443E34"/>
    <w:rsid w:val="00444465"/>
    <w:rsid w:val="0044517F"/>
    <w:rsid w:val="00445413"/>
    <w:rsid w:val="004458E8"/>
    <w:rsid w:val="00445944"/>
    <w:rsid w:val="00445EA4"/>
    <w:rsid w:val="0044600B"/>
    <w:rsid w:val="00447D1C"/>
    <w:rsid w:val="00450522"/>
    <w:rsid w:val="00450612"/>
    <w:rsid w:val="00451ADC"/>
    <w:rsid w:val="00451E06"/>
    <w:rsid w:val="004536F0"/>
    <w:rsid w:val="00453F9B"/>
    <w:rsid w:val="0045467B"/>
    <w:rsid w:val="00454C91"/>
    <w:rsid w:val="00454C92"/>
    <w:rsid w:val="00455575"/>
    <w:rsid w:val="00455745"/>
    <w:rsid w:val="00455836"/>
    <w:rsid w:val="00455A7D"/>
    <w:rsid w:val="00455CC0"/>
    <w:rsid w:val="00455DB4"/>
    <w:rsid w:val="00455E9A"/>
    <w:rsid w:val="00456089"/>
    <w:rsid w:val="0045656C"/>
    <w:rsid w:val="00456D50"/>
    <w:rsid w:val="00457728"/>
    <w:rsid w:val="004578C4"/>
    <w:rsid w:val="00460720"/>
    <w:rsid w:val="004608F7"/>
    <w:rsid w:val="004609D2"/>
    <w:rsid w:val="00461724"/>
    <w:rsid w:val="0046189B"/>
    <w:rsid w:val="00462772"/>
    <w:rsid w:val="004632E7"/>
    <w:rsid w:val="00463C70"/>
    <w:rsid w:val="00463E64"/>
    <w:rsid w:val="00465405"/>
    <w:rsid w:val="00465A01"/>
    <w:rsid w:val="004663F2"/>
    <w:rsid w:val="0046687A"/>
    <w:rsid w:val="00466D5B"/>
    <w:rsid w:val="00466E47"/>
    <w:rsid w:val="00467235"/>
    <w:rsid w:val="00467C38"/>
    <w:rsid w:val="00470035"/>
    <w:rsid w:val="004723AD"/>
    <w:rsid w:val="00472645"/>
    <w:rsid w:val="00472B97"/>
    <w:rsid w:val="00473545"/>
    <w:rsid w:val="004738BE"/>
    <w:rsid w:val="00474167"/>
    <w:rsid w:val="004754F0"/>
    <w:rsid w:val="004754FC"/>
    <w:rsid w:val="00475A0D"/>
    <w:rsid w:val="00475F0E"/>
    <w:rsid w:val="0047738C"/>
    <w:rsid w:val="00477F79"/>
    <w:rsid w:val="00480217"/>
    <w:rsid w:val="00480321"/>
    <w:rsid w:val="0048079B"/>
    <w:rsid w:val="0048164F"/>
    <w:rsid w:val="00481DDE"/>
    <w:rsid w:val="004825DB"/>
    <w:rsid w:val="00482B22"/>
    <w:rsid w:val="00483210"/>
    <w:rsid w:val="0048398A"/>
    <w:rsid w:val="00484D61"/>
    <w:rsid w:val="0048538E"/>
    <w:rsid w:val="00485B29"/>
    <w:rsid w:val="00486165"/>
    <w:rsid w:val="00486177"/>
    <w:rsid w:val="004866E0"/>
    <w:rsid w:val="00486794"/>
    <w:rsid w:val="00487B39"/>
    <w:rsid w:val="004903EA"/>
    <w:rsid w:val="00493AA6"/>
    <w:rsid w:val="004947B7"/>
    <w:rsid w:val="004947C1"/>
    <w:rsid w:val="004952D7"/>
    <w:rsid w:val="0049607E"/>
    <w:rsid w:val="004960EA"/>
    <w:rsid w:val="0049633E"/>
    <w:rsid w:val="00496421"/>
    <w:rsid w:val="004969BF"/>
    <w:rsid w:val="004970D3"/>
    <w:rsid w:val="00497130"/>
    <w:rsid w:val="004A07D6"/>
    <w:rsid w:val="004A0E40"/>
    <w:rsid w:val="004A0E94"/>
    <w:rsid w:val="004A1B99"/>
    <w:rsid w:val="004A2A97"/>
    <w:rsid w:val="004A2C21"/>
    <w:rsid w:val="004A2CF8"/>
    <w:rsid w:val="004A3ADC"/>
    <w:rsid w:val="004A4347"/>
    <w:rsid w:val="004A4B9D"/>
    <w:rsid w:val="004A4D85"/>
    <w:rsid w:val="004A4F44"/>
    <w:rsid w:val="004A4FE0"/>
    <w:rsid w:val="004A5D2F"/>
    <w:rsid w:val="004A69C4"/>
    <w:rsid w:val="004A6A17"/>
    <w:rsid w:val="004A6E30"/>
    <w:rsid w:val="004A7323"/>
    <w:rsid w:val="004B04E3"/>
    <w:rsid w:val="004B0B54"/>
    <w:rsid w:val="004B0E4A"/>
    <w:rsid w:val="004B0E8B"/>
    <w:rsid w:val="004B18C8"/>
    <w:rsid w:val="004B2986"/>
    <w:rsid w:val="004B2B49"/>
    <w:rsid w:val="004B390D"/>
    <w:rsid w:val="004B399C"/>
    <w:rsid w:val="004B428B"/>
    <w:rsid w:val="004B4EAB"/>
    <w:rsid w:val="004B617B"/>
    <w:rsid w:val="004B63C3"/>
    <w:rsid w:val="004B64CF"/>
    <w:rsid w:val="004C1282"/>
    <w:rsid w:val="004C2190"/>
    <w:rsid w:val="004C22D1"/>
    <w:rsid w:val="004C2312"/>
    <w:rsid w:val="004C2485"/>
    <w:rsid w:val="004C2A1D"/>
    <w:rsid w:val="004C2EDE"/>
    <w:rsid w:val="004C31AF"/>
    <w:rsid w:val="004C39F7"/>
    <w:rsid w:val="004C3C55"/>
    <w:rsid w:val="004C41AE"/>
    <w:rsid w:val="004C4423"/>
    <w:rsid w:val="004C4A50"/>
    <w:rsid w:val="004C5309"/>
    <w:rsid w:val="004C5B8B"/>
    <w:rsid w:val="004C5BE5"/>
    <w:rsid w:val="004C5C38"/>
    <w:rsid w:val="004C5F90"/>
    <w:rsid w:val="004C6B5E"/>
    <w:rsid w:val="004C7809"/>
    <w:rsid w:val="004D03D9"/>
    <w:rsid w:val="004D1E90"/>
    <w:rsid w:val="004D2F82"/>
    <w:rsid w:val="004D3AE0"/>
    <w:rsid w:val="004D42BE"/>
    <w:rsid w:val="004D4873"/>
    <w:rsid w:val="004D4E26"/>
    <w:rsid w:val="004D4EFF"/>
    <w:rsid w:val="004D5112"/>
    <w:rsid w:val="004D515E"/>
    <w:rsid w:val="004D5401"/>
    <w:rsid w:val="004D5448"/>
    <w:rsid w:val="004D56F0"/>
    <w:rsid w:val="004D62CD"/>
    <w:rsid w:val="004D6452"/>
    <w:rsid w:val="004D6C2B"/>
    <w:rsid w:val="004D6DA1"/>
    <w:rsid w:val="004D708B"/>
    <w:rsid w:val="004E02D5"/>
    <w:rsid w:val="004E064A"/>
    <w:rsid w:val="004E0A8F"/>
    <w:rsid w:val="004E1751"/>
    <w:rsid w:val="004E1C4B"/>
    <w:rsid w:val="004E2E9C"/>
    <w:rsid w:val="004E39E5"/>
    <w:rsid w:val="004E3A48"/>
    <w:rsid w:val="004E3D72"/>
    <w:rsid w:val="004E3D7A"/>
    <w:rsid w:val="004E3E42"/>
    <w:rsid w:val="004E4159"/>
    <w:rsid w:val="004E4D39"/>
    <w:rsid w:val="004E4D69"/>
    <w:rsid w:val="004E5360"/>
    <w:rsid w:val="004E540F"/>
    <w:rsid w:val="004E6212"/>
    <w:rsid w:val="004E655B"/>
    <w:rsid w:val="004E65FD"/>
    <w:rsid w:val="004E71C0"/>
    <w:rsid w:val="004E784C"/>
    <w:rsid w:val="004E7BB3"/>
    <w:rsid w:val="004F03E7"/>
    <w:rsid w:val="004F058F"/>
    <w:rsid w:val="004F086F"/>
    <w:rsid w:val="004F0D7D"/>
    <w:rsid w:val="004F0F86"/>
    <w:rsid w:val="004F20AD"/>
    <w:rsid w:val="004F2862"/>
    <w:rsid w:val="004F2E78"/>
    <w:rsid w:val="004F2F0A"/>
    <w:rsid w:val="004F311E"/>
    <w:rsid w:val="004F413B"/>
    <w:rsid w:val="004F4411"/>
    <w:rsid w:val="004F4977"/>
    <w:rsid w:val="004F4C92"/>
    <w:rsid w:val="004F5402"/>
    <w:rsid w:val="004F62D3"/>
    <w:rsid w:val="004F67C3"/>
    <w:rsid w:val="004F69F3"/>
    <w:rsid w:val="004F6E54"/>
    <w:rsid w:val="004F761F"/>
    <w:rsid w:val="004F7EEC"/>
    <w:rsid w:val="00500251"/>
    <w:rsid w:val="00500444"/>
    <w:rsid w:val="00500572"/>
    <w:rsid w:val="005005E7"/>
    <w:rsid w:val="00501A9E"/>
    <w:rsid w:val="00501ADA"/>
    <w:rsid w:val="005020F8"/>
    <w:rsid w:val="00502140"/>
    <w:rsid w:val="00502419"/>
    <w:rsid w:val="0050248A"/>
    <w:rsid w:val="00503612"/>
    <w:rsid w:val="005038B3"/>
    <w:rsid w:val="00503EE8"/>
    <w:rsid w:val="00504765"/>
    <w:rsid w:val="005050BB"/>
    <w:rsid w:val="00505D1B"/>
    <w:rsid w:val="00506EB6"/>
    <w:rsid w:val="00506F92"/>
    <w:rsid w:val="00507EB3"/>
    <w:rsid w:val="00510024"/>
    <w:rsid w:val="00511069"/>
    <w:rsid w:val="005115FF"/>
    <w:rsid w:val="00512DD9"/>
    <w:rsid w:val="0051324F"/>
    <w:rsid w:val="005133CA"/>
    <w:rsid w:val="00513465"/>
    <w:rsid w:val="0051418A"/>
    <w:rsid w:val="0051422B"/>
    <w:rsid w:val="005143F2"/>
    <w:rsid w:val="005147E3"/>
    <w:rsid w:val="0051570E"/>
    <w:rsid w:val="00515D85"/>
    <w:rsid w:val="00516081"/>
    <w:rsid w:val="0051630F"/>
    <w:rsid w:val="00517904"/>
    <w:rsid w:val="00521606"/>
    <w:rsid w:val="0052165B"/>
    <w:rsid w:val="005219D4"/>
    <w:rsid w:val="005226E4"/>
    <w:rsid w:val="00523049"/>
    <w:rsid w:val="00523A7E"/>
    <w:rsid w:val="00523BBC"/>
    <w:rsid w:val="00523D78"/>
    <w:rsid w:val="00524253"/>
    <w:rsid w:val="005261E0"/>
    <w:rsid w:val="0052666E"/>
    <w:rsid w:val="005269E5"/>
    <w:rsid w:val="005278FB"/>
    <w:rsid w:val="00530D18"/>
    <w:rsid w:val="00531250"/>
    <w:rsid w:val="0053199A"/>
    <w:rsid w:val="00532CBE"/>
    <w:rsid w:val="00532D41"/>
    <w:rsid w:val="00533DF8"/>
    <w:rsid w:val="005340C7"/>
    <w:rsid w:val="00535A7A"/>
    <w:rsid w:val="00535CF8"/>
    <w:rsid w:val="00535EC7"/>
    <w:rsid w:val="0053648C"/>
    <w:rsid w:val="005364BB"/>
    <w:rsid w:val="00537011"/>
    <w:rsid w:val="005372DD"/>
    <w:rsid w:val="00537954"/>
    <w:rsid w:val="00537A0E"/>
    <w:rsid w:val="00540042"/>
    <w:rsid w:val="00540278"/>
    <w:rsid w:val="005410AD"/>
    <w:rsid w:val="0054150C"/>
    <w:rsid w:val="005419B2"/>
    <w:rsid w:val="00541E92"/>
    <w:rsid w:val="00542B7D"/>
    <w:rsid w:val="0054354C"/>
    <w:rsid w:val="005435E5"/>
    <w:rsid w:val="005436AE"/>
    <w:rsid w:val="00543AEF"/>
    <w:rsid w:val="0054477B"/>
    <w:rsid w:val="00544D4F"/>
    <w:rsid w:val="005450E9"/>
    <w:rsid w:val="00546186"/>
    <w:rsid w:val="0054647B"/>
    <w:rsid w:val="00546CF2"/>
    <w:rsid w:val="0054776D"/>
    <w:rsid w:val="005479AA"/>
    <w:rsid w:val="00547E2F"/>
    <w:rsid w:val="0055183A"/>
    <w:rsid w:val="00551B65"/>
    <w:rsid w:val="005535F0"/>
    <w:rsid w:val="00553C6C"/>
    <w:rsid w:val="0055438C"/>
    <w:rsid w:val="00554CBC"/>
    <w:rsid w:val="005552CF"/>
    <w:rsid w:val="005566D2"/>
    <w:rsid w:val="005566FF"/>
    <w:rsid w:val="005567D5"/>
    <w:rsid w:val="00556801"/>
    <w:rsid w:val="00556C62"/>
    <w:rsid w:val="0056027C"/>
    <w:rsid w:val="005603B7"/>
    <w:rsid w:val="00560687"/>
    <w:rsid w:val="00560B9E"/>
    <w:rsid w:val="00560FAA"/>
    <w:rsid w:val="005616F0"/>
    <w:rsid w:val="00561AF0"/>
    <w:rsid w:val="00562957"/>
    <w:rsid w:val="00562A41"/>
    <w:rsid w:val="00562C11"/>
    <w:rsid w:val="00563700"/>
    <w:rsid w:val="005646A6"/>
    <w:rsid w:val="0056493F"/>
    <w:rsid w:val="00564D53"/>
    <w:rsid w:val="00564E85"/>
    <w:rsid w:val="0056525E"/>
    <w:rsid w:val="005663C0"/>
    <w:rsid w:val="00566AB7"/>
    <w:rsid w:val="005676C2"/>
    <w:rsid w:val="00570A94"/>
    <w:rsid w:val="00570C05"/>
    <w:rsid w:val="00572B68"/>
    <w:rsid w:val="00572D15"/>
    <w:rsid w:val="00572EF5"/>
    <w:rsid w:val="005733F3"/>
    <w:rsid w:val="005746F6"/>
    <w:rsid w:val="00575978"/>
    <w:rsid w:val="005760A0"/>
    <w:rsid w:val="00577359"/>
    <w:rsid w:val="005773A7"/>
    <w:rsid w:val="00577581"/>
    <w:rsid w:val="0058046E"/>
    <w:rsid w:val="00580D8F"/>
    <w:rsid w:val="00581894"/>
    <w:rsid w:val="00581C20"/>
    <w:rsid w:val="0058376D"/>
    <w:rsid w:val="00583C8D"/>
    <w:rsid w:val="005840C9"/>
    <w:rsid w:val="00585424"/>
    <w:rsid w:val="00585754"/>
    <w:rsid w:val="00585807"/>
    <w:rsid w:val="00585B8B"/>
    <w:rsid w:val="0058623C"/>
    <w:rsid w:val="00586865"/>
    <w:rsid w:val="00586C77"/>
    <w:rsid w:val="00587034"/>
    <w:rsid w:val="00587830"/>
    <w:rsid w:val="0058784D"/>
    <w:rsid w:val="00587DE0"/>
    <w:rsid w:val="0059054A"/>
    <w:rsid w:val="0059054B"/>
    <w:rsid w:val="00590579"/>
    <w:rsid w:val="0059117B"/>
    <w:rsid w:val="00591FF4"/>
    <w:rsid w:val="00592057"/>
    <w:rsid w:val="00592245"/>
    <w:rsid w:val="00592913"/>
    <w:rsid w:val="00592B79"/>
    <w:rsid w:val="00594305"/>
    <w:rsid w:val="00595179"/>
    <w:rsid w:val="00595592"/>
    <w:rsid w:val="0059561D"/>
    <w:rsid w:val="00595F17"/>
    <w:rsid w:val="005968D7"/>
    <w:rsid w:val="00596EA7"/>
    <w:rsid w:val="00597E1E"/>
    <w:rsid w:val="005A04F8"/>
    <w:rsid w:val="005A05C3"/>
    <w:rsid w:val="005A0E64"/>
    <w:rsid w:val="005A1063"/>
    <w:rsid w:val="005A31AF"/>
    <w:rsid w:val="005A31BF"/>
    <w:rsid w:val="005A3345"/>
    <w:rsid w:val="005A379C"/>
    <w:rsid w:val="005A4B33"/>
    <w:rsid w:val="005A4B7F"/>
    <w:rsid w:val="005A4E87"/>
    <w:rsid w:val="005A50F9"/>
    <w:rsid w:val="005A5899"/>
    <w:rsid w:val="005A5F9C"/>
    <w:rsid w:val="005A6F92"/>
    <w:rsid w:val="005A79C8"/>
    <w:rsid w:val="005B0076"/>
    <w:rsid w:val="005B1258"/>
    <w:rsid w:val="005B1DB6"/>
    <w:rsid w:val="005B2F9C"/>
    <w:rsid w:val="005B2FD8"/>
    <w:rsid w:val="005B328F"/>
    <w:rsid w:val="005B4379"/>
    <w:rsid w:val="005B44B5"/>
    <w:rsid w:val="005B504C"/>
    <w:rsid w:val="005B52A8"/>
    <w:rsid w:val="005B6353"/>
    <w:rsid w:val="005B6CB3"/>
    <w:rsid w:val="005B6DE4"/>
    <w:rsid w:val="005B7152"/>
    <w:rsid w:val="005B729F"/>
    <w:rsid w:val="005B76E9"/>
    <w:rsid w:val="005B7758"/>
    <w:rsid w:val="005B7CD3"/>
    <w:rsid w:val="005B7FB9"/>
    <w:rsid w:val="005C06F9"/>
    <w:rsid w:val="005C0AE6"/>
    <w:rsid w:val="005C0FC0"/>
    <w:rsid w:val="005C10D0"/>
    <w:rsid w:val="005C1FC2"/>
    <w:rsid w:val="005C2996"/>
    <w:rsid w:val="005C2FF8"/>
    <w:rsid w:val="005C3207"/>
    <w:rsid w:val="005C3CD4"/>
    <w:rsid w:val="005C3EDA"/>
    <w:rsid w:val="005C48D2"/>
    <w:rsid w:val="005C49BC"/>
    <w:rsid w:val="005C4DB0"/>
    <w:rsid w:val="005C504D"/>
    <w:rsid w:val="005C5F9A"/>
    <w:rsid w:val="005C6166"/>
    <w:rsid w:val="005C66B1"/>
    <w:rsid w:val="005C6C8F"/>
    <w:rsid w:val="005C6D99"/>
    <w:rsid w:val="005C7012"/>
    <w:rsid w:val="005C715E"/>
    <w:rsid w:val="005C7335"/>
    <w:rsid w:val="005C7CF2"/>
    <w:rsid w:val="005D0AB0"/>
    <w:rsid w:val="005D0FC5"/>
    <w:rsid w:val="005D1060"/>
    <w:rsid w:val="005D175C"/>
    <w:rsid w:val="005D1A10"/>
    <w:rsid w:val="005D2164"/>
    <w:rsid w:val="005D2A42"/>
    <w:rsid w:val="005D435B"/>
    <w:rsid w:val="005D4E8B"/>
    <w:rsid w:val="005D5017"/>
    <w:rsid w:val="005D50FF"/>
    <w:rsid w:val="005D5468"/>
    <w:rsid w:val="005D54A0"/>
    <w:rsid w:val="005D5EA5"/>
    <w:rsid w:val="005D6261"/>
    <w:rsid w:val="005D6263"/>
    <w:rsid w:val="005D62CC"/>
    <w:rsid w:val="005D6918"/>
    <w:rsid w:val="005D6996"/>
    <w:rsid w:val="005D7588"/>
    <w:rsid w:val="005D7EC7"/>
    <w:rsid w:val="005D7FDA"/>
    <w:rsid w:val="005E03C8"/>
    <w:rsid w:val="005E0751"/>
    <w:rsid w:val="005E0998"/>
    <w:rsid w:val="005E18D9"/>
    <w:rsid w:val="005E2DEC"/>
    <w:rsid w:val="005E38CF"/>
    <w:rsid w:val="005E45C8"/>
    <w:rsid w:val="005E4924"/>
    <w:rsid w:val="005E499D"/>
    <w:rsid w:val="005E4C65"/>
    <w:rsid w:val="005E51EE"/>
    <w:rsid w:val="005E546A"/>
    <w:rsid w:val="005E65C9"/>
    <w:rsid w:val="005E6759"/>
    <w:rsid w:val="005E7C23"/>
    <w:rsid w:val="005E7FAB"/>
    <w:rsid w:val="005F08FD"/>
    <w:rsid w:val="005F0C0F"/>
    <w:rsid w:val="005F14FA"/>
    <w:rsid w:val="005F28EC"/>
    <w:rsid w:val="005F3459"/>
    <w:rsid w:val="005F3D36"/>
    <w:rsid w:val="005F5A5D"/>
    <w:rsid w:val="005F5CDF"/>
    <w:rsid w:val="005F603E"/>
    <w:rsid w:val="005F72FF"/>
    <w:rsid w:val="005F7A62"/>
    <w:rsid w:val="00600083"/>
    <w:rsid w:val="006005EC"/>
    <w:rsid w:val="006009FF"/>
    <w:rsid w:val="00600B02"/>
    <w:rsid w:val="0060161D"/>
    <w:rsid w:val="00603148"/>
    <w:rsid w:val="0060388A"/>
    <w:rsid w:val="00603E8C"/>
    <w:rsid w:val="006045E1"/>
    <w:rsid w:val="0060633A"/>
    <w:rsid w:val="00606AD4"/>
    <w:rsid w:val="00606D60"/>
    <w:rsid w:val="00606FFD"/>
    <w:rsid w:val="006078F3"/>
    <w:rsid w:val="00607CBD"/>
    <w:rsid w:val="00607DB5"/>
    <w:rsid w:val="00610680"/>
    <w:rsid w:val="00611921"/>
    <w:rsid w:val="00611E67"/>
    <w:rsid w:val="00611E99"/>
    <w:rsid w:val="00612042"/>
    <w:rsid w:val="006120D4"/>
    <w:rsid w:val="00612990"/>
    <w:rsid w:val="00612D2C"/>
    <w:rsid w:val="006132B3"/>
    <w:rsid w:val="00613B5E"/>
    <w:rsid w:val="0061418B"/>
    <w:rsid w:val="00614208"/>
    <w:rsid w:val="00614B5F"/>
    <w:rsid w:val="00614E54"/>
    <w:rsid w:val="00615655"/>
    <w:rsid w:val="00615B88"/>
    <w:rsid w:val="006162BE"/>
    <w:rsid w:val="00616684"/>
    <w:rsid w:val="00616C0E"/>
    <w:rsid w:val="00617344"/>
    <w:rsid w:val="0061784A"/>
    <w:rsid w:val="006208A7"/>
    <w:rsid w:val="00620AD5"/>
    <w:rsid w:val="00621079"/>
    <w:rsid w:val="00621457"/>
    <w:rsid w:val="00622CA8"/>
    <w:rsid w:val="00623029"/>
    <w:rsid w:val="00623AFB"/>
    <w:rsid w:val="00624E7B"/>
    <w:rsid w:val="00625C02"/>
    <w:rsid w:val="006270C8"/>
    <w:rsid w:val="0062752E"/>
    <w:rsid w:val="006303D9"/>
    <w:rsid w:val="00630BD9"/>
    <w:rsid w:val="00631878"/>
    <w:rsid w:val="00631E2E"/>
    <w:rsid w:val="006334CE"/>
    <w:rsid w:val="00633D5E"/>
    <w:rsid w:val="00634184"/>
    <w:rsid w:val="00634F35"/>
    <w:rsid w:val="00634FB0"/>
    <w:rsid w:val="006352D8"/>
    <w:rsid w:val="00635374"/>
    <w:rsid w:val="00635611"/>
    <w:rsid w:val="00635A7D"/>
    <w:rsid w:val="006361C0"/>
    <w:rsid w:val="006370C7"/>
    <w:rsid w:val="00637223"/>
    <w:rsid w:val="006374A2"/>
    <w:rsid w:val="00637A26"/>
    <w:rsid w:val="00637D6A"/>
    <w:rsid w:val="00641049"/>
    <w:rsid w:val="006412C5"/>
    <w:rsid w:val="00641FF6"/>
    <w:rsid w:val="006430F2"/>
    <w:rsid w:val="00643640"/>
    <w:rsid w:val="00643FEC"/>
    <w:rsid w:val="00644F37"/>
    <w:rsid w:val="00645776"/>
    <w:rsid w:val="00645DCA"/>
    <w:rsid w:val="006505CC"/>
    <w:rsid w:val="00650CA5"/>
    <w:rsid w:val="00650DE5"/>
    <w:rsid w:val="00651443"/>
    <w:rsid w:val="00651F9D"/>
    <w:rsid w:val="0065277F"/>
    <w:rsid w:val="00653455"/>
    <w:rsid w:val="00653747"/>
    <w:rsid w:val="00654D15"/>
    <w:rsid w:val="00655C3A"/>
    <w:rsid w:val="00655CEF"/>
    <w:rsid w:val="00657BED"/>
    <w:rsid w:val="0066146F"/>
    <w:rsid w:val="00662338"/>
    <w:rsid w:val="00664861"/>
    <w:rsid w:val="006651DD"/>
    <w:rsid w:val="006678F8"/>
    <w:rsid w:val="00670930"/>
    <w:rsid w:val="00670D1B"/>
    <w:rsid w:val="00671233"/>
    <w:rsid w:val="00671999"/>
    <w:rsid w:val="00672026"/>
    <w:rsid w:val="0067267E"/>
    <w:rsid w:val="00672845"/>
    <w:rsid w:val="00672B6A"/>
    <w:rsid w:val="006751CC"/>
    <w:rsid w:val="00675F02"/>
    <w:rsid w:val="0067614E"/>
    <w:rsid w:val="006763C0"/>
    <w:rsid w:val="0067661C"/>
    <w:rsid w:val="006768EE"/>
    <w:rsid w:val="00676BAA"/>
    <w:rsid w:val="00676F44"/>
    <w:rsid w:val="00677857"/>
    <w:rsid w:val="006778B5"/>
    <w:rsid w:val="006779A7"/>
    <w:rsid w:val="006779C6"/>
    <w:rsid w:val="0068079B"/>
    <w:rsid w:val="00680C7C"/>
    <w:rsid w:val="00680D08"/>
    <w:rsid w:val="00682278"/>
    <w:rsid w:val="00682A02"/>
    <w:rsid w:val="00683A8E"/>
    <w:rsid w:val="00684A43"/>
    <w:rsid w:val="00685E6C"/>
    <w:rsid w:val="00686AD5"/>
    <w:rsid w:val="006871D3"/>
    <w:rsid w:val="006907C1"/>
    <w:rsid w:val="006917B3"/>
    <w:rsid w:val="00692444"/>
    <w:rsid w:val="00692764"/>
    <w:rsid w:val="00692A3D"/>
    <w:rsid w:val="00692A41"/>
    <w:rsid w:val="00693E81"/>
    <w:rsid w:val="0069479A"/>
    <w:rsid w:val="00694DBC"/>
    <w:rsid w:val="00694FD4"/>
    <w:rsid w:val="006954F1"/>
    <w:rsid w:val="00696615"/>
    <w:rsid w:val="00696950"/>
    <w:rsid w:val="00697121"/>
    <w:rsid w:val="006972CB"/>
    <w:rsid w:val="006A00DC"/>
    <w:rsid w:val="006A013D"/>
    <w:rsid w:val="006A01F8"/>
    <w:rsid w:val="006A01FB"/>
    <w:rsid w:val="006A035E"/>
    <w:rsid w:val="006A0599"/>
    <w:rsid w:val="006A08AF"/>
    <w:rsid w:val="006A0B35"/>
    <w:rsid w:val="006A1CCD"/>
    <w:rsid w:val="006A1CF5"/>
    <w:rsid w:val="006A2B58"/>
    <w:rsid w:val="006A2F18"/>
    <w:rsid w:val="006A37C8"/>
    <w:rsid w:val="006A3FDC"/>
    <w:rsid w:val="006A4326"/>
    <w:rsid w:val="006A4713"/>
    <w:rsid w:val="006A496E"/>
    <w:rsid w:val="006A4A51"/>
    <w:rsid w:val="006A51A6"/>
    <w:rsid w:val="006A598C"/>
    <w:rsid w:val="006A5E84"/>
    <w:rsid w:val="006B0247"/>
    <w:rsid w:val="006B0B75"/>
    <w:rsid w:val="006B1671"/>
    <w:rsid w:val="006B16BA"/>
    <w:rsid w:val="006B1794"/>
    <w:rsid w:val="006B181A"/>
    <w:rsid w:val="006B1D74"/>
    <w:rsid w:val="006B2B8A"/>
    <w:rsid w:val="006B2C9E"/>
    <w:rsid w:val="006B2CCE"/>
    <w:rsid w:val="006B3B95"/>
    <w:rsid w:val="006B4091"/>
    <w:rsid w:val="006B4203"/>
    <w:rsid w:val="006B4D0E"/>
    <w:rsid w:val="006B532E"/>
    <w:rsid w:val="006B5578"/>
    <w:rsid w:val="006B56EA"/>
    <w:rsid w:val="006B57F9"/>
    <w:rsid w:val="006B5A96"/>
    <w:rsid w:val="006B5B65"/>
    <w:rsid w:val="006B694C"/>
    <w:rsid w:val="006C0656"/>
    <w:rsid w:val="006C1538"/>
    <w:rsid w:val="006C186D"/>
    <w:rsid w:val="006C1DAB"/>
    <w:rsid w:val="006C1F70"/>
    <w:rsid w:val="006C32D2"/>
    <w:rsid w:val="006C33F0"/>
    <w:rsid w:val="006C355E"/>
    <w:rsid w:val="006C382E"/>
    <w:rsid w:val="006C3F3D"/>
    <w:rsid w:val="006C4467"/>
    <w:rsid w:val="006C4A31"/>
    <w:rsid w:val="006C59FC"/>
    <w:rsid w:val="006C5A3C"/>
    <w:rsid w:val="006C5B77"/>
    <w:rsid w:val="006C6068"/>
    <w:rsid w:val="006C615B"/>
    <w:rsid w:val="006C69C0"/>
    <w:rsid w:val="006C6D50"/>
    <w:rsid w:val="006C735B"/>
    <w:rsid w:val="006C7C67"/>
    <w:rsid w:val="006D05A0"/>
    <w:rsid w:val="006D0D8C"/>
    <w:rsid w:val="006D1499"/>
    <w:rsid w:val="006D3130"/>
    <w:rsid w:val="006D31AB"/>
    <w:rsid w:val="006D368A"/>
    <w:rsid w:val="006D37BC"/>
    <w:rsid w:val="006D3A6E"/>
    <w:rsid w:val="006D4096"/>
    <w:rsid w:val="006D4098"/>
    <w:rsid w:val="006D473A"/>
    <w:rsid w:val="006D48DB"/>
    <w:rsid w:val="006D4E21"/>
    <w:rsid w:val="006D4EA8"/>
    <w:rsid w:val="006D56BE"/>
    <w:rsid w:val="006E1008"/>
    <w:rsid w:val="006E1234"/>
    <w:rsid w:val="006E22ED"/>
    <w:rsid w:val="006E2405"/>
    <w:rsid w:val="006E31CD"/>
    <w:rsid w:val="006E38B3"/>
    <w:rsid w:val="006E397D"/>
    <w:rsid w:val="006E40FD"/>
    <w:rsid w:val="006E4A39"/>
    <w:rsid w:val="006E537D"/>
    <w:rsid w:val="006E69E5"/>
    <w:rsid w:val="006E71DA"/>
    <w:rsid w:val="006E7507"/>
    <w:rsid w:val="006F0218"/>
    <w:rsid w:val="006F03DB"/>
    <w:rsid w:val="006F1281"/>
    <w:rsid w:val="006F17C1"/>
    <w:rsid w:val="006F17D8"/>
    <w:rsid w:val="006F2984"/>
    <w:rsid w:val="006F2F4B"/>
    <w:rsid w:val="006F3E43"/>
    <w:rsid w:val="006F3EB0"/>
    <w:rsid w:val="006F4224"/>
    <w:rsid w:val="006F47EC"/>
    <w:rsid w:val="006F4F8B"/>
    <w:rsid w:val="006F51A2"/>
    <w:rsid w:val="006F52C5"/>
    <w:rsid w:val="006F5321"/>
    <w:rsid w:val="006F568D"/>
    <w:rsid w:val="006F5D60"/>
    <w:rsid w:val="006F649A"/>
    <w:rsid w:val="006F7234"/>
    <w:rsid w:val="006F76DB"/>
    <w:rsid w:val="00700014"/>
    <w:rsid w:val="007001EC"/>
    <w:rsid w:val="0070098B"/>
    <w:rsid w:val="00701B3B"/>
    <w:rsid w:val="00702BFA"/>
    <w:rsid w:val="00702F1E"/>
    <w:rsid w:val="00703B6E"/>
    <w:rsid w:val="00703CB7"/>
    <w:rsid w:val="00704C99"/>
    <w:rsid w:val="00704CCF"/>
    <w:rsid w:val="007051F4"/>
    <w:rsid w:val="00705B7A"/>
    <w:rsid w:val="0070678E"/>
    <w:rsid w:val="00706DD1"/>
    <w:rsid w:val="0070701C"/>
    <w:rsid w:val="007074CB"/>
    <w:rsid w:val="00707C6D"/>
    <w:rsid w:val="007103C1"/>
    <w:rsid w:val="007106E7"/>
    <w:rsid w:val="00710A46"/>
    <w:rsid w:val="007111E0"/>
    <w:rsid w:val="007118DF"/>
    <w:rsid w:val="007119FA"/>
    <w:rsid w:val="00711D16"/>
    <w:rsid w:val="00711ED1"/>
    <w:rsid w:val="007123A1"/>
    <w:rsid w:val="007125BA"/>
    <w:rsid w:val="00712736"/>
    <w:rsid w:val="00712993"/>
    <w:rsid w:val="00712CDD"/>
    <w:rsid w:val="00712D39"/>
    <w:rsid w:val="00713E44"/>
    <w:rsid w:val="00713F83"/>
    <w:rsid w:val="007147F1"/>
    <w:rsid w:val="00714E61"/>
    <w:rsid w:val="0071668C"/>
    <w:rsid w:val="0071678D"/>
    <w:rsid w:val="00717E59"/>
    <w:rsid w:val="00722FE5"/>
    <w:rsid w:val="00723241"/>
    <w:rsid w:val="0072388D"/>
    <w:rsid w:val="00723D54"/>
    <w:rsid w:val="007255D7"/>
    <w:rsid w:val="0072695F"/>
    <w:rsid w:val="00726AB3"/>
    <w:rsid w:val="00726B60"/>
    <w:rsid w:val="00727856"/>
    <w:rsid w:val="00727E26"/>
    <w:rsid w:val="00730182"/>
    <w:rsid w:val="00730A5D"/>
    <w:rsid w:val="00730ED2"/>
    <w:rsid w:val="007318FB"/>
    <w:rsid w:val="00731F83"/>
    <w:rsid w:val="00732C3E"/>
    <w:rsid w:val="00734353"/>
    <w:rsid w:val="007343C1"/>
    <w:rsid w:val="007358E9"/>
    <w:rsid w:val="00735A09"/>
    <w:rsid w:val="00735D5F"/>
    <w:rsid w:val="0073652C"/>
    <w:rsid w:val="00736990"/>
    <w:rsid w:val="00737742"/>
    <w:rsid w:val="00737A81"/>
    <w:rsid w:val="00737D11"/>
    <w:rsid w:val="00737EB3"/>
    <w:rsid w:val="007403CD"/>
    <w:rsid w:val="00740463"/>
    <w:rsid w:val="007404C3"/>
    <w:rsid w:val="0074097D"/>
    <w:rsid w:val="00741895"/>
    <w:rsid w:val="00741A41"/>
    <w:rsid w:val="00742D8F"/>
    <w:rsid w:val="00743288"/>
    <w:rsid w:val="007443D4"/>
    <w:rsid w:val="00744416"/>
    <w:rsid w:val="00744589"/>
    <w:rsid w:val="00744C00"/>
    <w:rsid w:val="00744CF7"/>
    <w:rsid w:val="00745E77"/>
    <w:rsid w:val="0074768E"/>
    <w:rsid w:val="00747D6C"/>
    <w:rsid w:val="00750335"/>
    <w:rsid w:val="00750337"/>
    <w:rsid w:val="0075060E"/>
    <w:rsid w:val="0075161D"/>
    <w:rsid w:val="0075298C"/>
    <w:rsid w:val="007530FB"/>
    <w:rsid w:val="0075380B"/>
    <w:rsid w:val="00754084"/>
    <w:rsid w:val="0075425A"/>
    <w:rsid w:val="00754EC4"/>
    <w:rsid w:val="007552FA"/>
    <w:rsid w:val="007571F1"/>
    <w:rsid w:val="007575F8"/>
    <w:rsid w:val="00760A9D"/>
    <w:rsid w:val="0076180F"/>
    <w:rsid w:val="007625A8"/>
    <w:rsid w:val="00762678"/>
    <w:rsid w:val="00762E0F"/>
    <w:rsid w:val="007644E9"/>
    <w:rsid w:val="00764A2F"/>
    <w:rsid w:val="00764F3B"/>
    <w:rsid w:val="00765371"/>
    <w:rsid w:val="007660F9"/>
    <w:rsid w:val="007666BC"/>
    <w:rsid w:val="007668E8"/>
    <w:rsid w:val="00767BD9"/>
    <w:rsid w:val="00770197"/>
    <w:rsid w:val="007717DE"/>
    <w:rsid w:val="00772326"/>
    <w:rsid w:val="0077266D"/>
    <w:rsid w:val="0077397F"/>
    <w:rsid w:val="00773AEC"/>
    <w:rsid w:val="00773B1E"/>
    <w:rsid w:val="00773EAF"/>
    <w:rsid w:val="007768A3"/>
    <w:rsid w:val="007768F0"/>
    <w:rsid w:val="0077715B"/>
    <w:rsid w:val="00777338"/>
    <w:rsid w:val="007774EB"/>
    <w:rsid w:val="00777F7A"/>
    <w:rsid w:val="00780AAD"/>
    <w:rsid w:val="00780DD6"/>
    <w:rsid w:val="00781811"/>
    <w:rsid w:val="00782189"/>
    <w:rsid w:val="007824D7"/>
    <w:rsid w:val="00782E02"/>
    <w:rsid w:val="007838E4"/>
    <w:rsid w:val="00783995"/>
    <w:rsid w:val="00783F49"/>
    <w:rsid w:val="00785A0A"/>
    <w:rsid w:val="00785A17"/>
    <w:rsid w:val="00785A39"/>
    <w:rsid w:val="00785B22"/>
    <w:rsid w:val="00786207"/>
    <w:rsid w:val="00790799"/>
    <w:rsid w:val="007913FD"/>
    <w:rsid w:val="00791736"/>
    <w:rsid w:val="00791F42"/>
    <w:rsid w:val="00792C98"/>
    <w:rsid w:val="007938A1"/>
    <w:rsid w:val="00793B34"/>
    <w:rsid w:val="0079412F"/>
    <w:rsid w:val="007944C2"/>
    <w:rsid w:val="00795555"/>
    <w:rsid w:val="00795EF7"/>
    <w:rsid w:val="00797326"/>
    <w:rsid w:val="00797696"/>
    <w:rsid w:val="007A08A4"/>
    <w:rsid w:val="007A28B4"/>
    <w:rsid w:val="007A28D4"/>
    <w:rsid w:val="007A2F72"/>
    <w:rsid w:val="007A3592"/>
    <w:rsid w:val="007A3FCC"/>
    <w:rsid w:val="007A6034"/>
    <w:rsid w:val="007A6062"/>
    <w:rsid w:val="007A612A"/>
    <w:rsid w:val="007A6A22"/>
    <w:rsid w:val="007A778F"/>
    <w:rsid w:val="007A79EA"/>
    <w:rsid w:val="007A7B06"/>
    <w:rsid w:val="007A7DB7"/>
    <w:rsid w:val="007A7E04"/>
    <w:rsid w:val="007B069E"/>
    <w:rsid w:val="007B0ABD"/>
    <w:rsid w:val="007B0E2C"/>
    <w:rsid w:val="007B13C4"/>
    <w:rsid w:val="007B2557"/>
    <w:rsid w:val="007B2681"/>
    <w:rsid w:val="007B2904"/>
    <w:rsid w:val="007B2B64"/>
    <w:rsid w:val="007B3491"/>
    <w:rsid w:val="007B35AA"/>
    <w:rsid w:val="007B3E15"/>
    <w:rsid w:val="007B42CE"/>
    <w:rsid w:val="007B4A19"/>
    <w:rsid w:val="007B5251"/>
    <w:rsid w:val="007B5482"/>
    <w:rsid w:val="007B55CD"/>
    <w:rsid w:val="007B5E9B"/>
    <w:rsid w:val="007B62AA"/>
    <w:rsid w:val="007B6E4D"/>
    <w:rsid w:val="007B6E8F"/>
    <w:rsid w:val="007B794A"/>
    <w:rsid w:val="007B7C94"/>
    <w:rsid w:val="007C01C0"/>
    <w:rsid w:val="007C0363"/>
    <w:rsid w:val="007C0BCB"/>
    <w:rsid w:val="007C100B"/>
    <w:rsid w:val="007C139D"/>
    <w:rsid w:val="007C188E"/>
    <w:rsid w:val="007C2265"/>
    <w:rsid w:val="007C2AB3"/>
    <w:rsid w:val="007C39E4"/>
    <w:rsid w:val="007C3B5B"/>
    <w:rsid w:val="007C477A"/>
    <w:rsid w:val="007C58DB"/>
    <w:rsid w:val="007C5CA6"/>
    <w:rsid w:val="007C62E3"/>
    <w:rsid w:val="007C6641"/>
    <w:rsid w:val="007C73BA"/>
    <w:rsid w:val="007C7448"/>
    <w:rsid w:val="007D00A4"/>
    <w:rsid w:val="007D0615"/>
    <w:rsid w:val="007D092E"/>
    <w:rsid w:val="007D1132"/>
    <w:rsid w:val="007D1825"/>
    <w:rsid w:val="007D1D8F"/>
    <w:rsid w:val="007D2B82"/>
    <w:rsid w:val="007D3920"/>
    <w:rsid w:val="007D3EA2"/>
    <w:rsid w:val="007D473F"/>
    <w:rsid w:val="007D483D"/>
    <w:rsid w:val="007D623B"/>
    <w:rsid w:val="007D6D2E"/>
    <w:rsid w:val="007D6F77"/>
    <w:rsid w:val="007D7350"/>
    <w:rsid w:val="007D7DD8"/>
    <w:rsid w:val="007D7E11"/>
    <w:rsid w:val="007E0014"/>
    <w:rsid w:val="007E11C3"/>
    <w:rsid w:val="007E12EC"/>
    <w:rsid w:val="007E190D"/>
    <w:rsid w:val="007E1BB5"/>
    <w:rsid w:val="007E1CD7"/>
    <w:rsid w:val="007E4BEE"/>
    <w:rsid w:val="007E577C"/>
    <w:rsid w:val="007E6213"/>
    <w:rsid w:val="007E6C97"/>
    <w:rsid w:val="007E7724"/>
    <w:rsid w:val="007E7EE6"/>
    <w:rsid w:val="007F0085"/>
    <w:rsid w:val="007F125D"/>
    <w:rsid w:val="007F1F91"/>
    <w:rsid w:val="007F3077"/>
    <w:rsid w:val="007F320C"/>
    <w:rsid w:val="007F3EE6"/>
    <w:rsid w:val="007F440B"/>
    <w:rsid w:val="007F440E"/>
    <w:rsid w:val="007F44F6"/>
    <w:rsid w:val="007F570B"/>
    <w:rsid w:val="007F655D"/>
    <w:rsid w:val="007F6865"/>
    <w:rsid w:val="007F7C5D"/>
    <w:rsid w:val="0080035D"/>
    <w:rsid w:val="008004B1"/>
    <w:rsid w:val="008006E9"/>
    <w:rsid w:val="00800D15"/>
    <w:rsid w:val="00802345"/>
    <w:rsid w:val="00802517"/>
    <w:rsid w:val="00802D6A"/>
    <w:rsid w:val="008044C5"/>
    <w:rsid w:val="0080473A"/>
    <w:rsid w:val="00805517"/>
    <w:rsid w:val="00805AF3"/>
    <w:rsid w:val="00805DF0"/>
    <w:rsid w:val="0080608F"/>
    <w:rsid w:val="00806348"/>
    <w:rsid w:val="008064A5"/>
    <w:rsid w:val="00806A33"/>
    <w:rsid w:val="008071D4"/>
    <w:rsid w:val="00807AC4"/>
    <w:rsid w:val="00807BCB"/>
    <w:rsid w:val="00810234"/>
    <w:rsid w:val="0081033A"/>
    <w:rsid w:val="0081058D"/>
    <w:rsid w:val="00811B0D"/>
    <w:rsid w:val="00813C3D"/>
    <w:rsid w:val="00814E53"/>
    <w:rsid w:val="008158F3"/>
    <w:rsid w:val="008163F6"/>
    <w:rsid w:val="0081679B"/>
    <w:rsid w:val="008169EE"/>
    <w:rsid w:val="00817055"/>
    <w:rsid w:val="008177C4"/>
    <w:rsid w:val="00821336"/>
    <w:rsid w:val="008219B0"/>
    <w:rsid w:val="008223D3"/>
    <w:rsid w:val="008227F8"/>
    <w:rsid w:val="00822EB4"/>
    <w:rsid w:val="00823011"/>
    <w:rsid w:val="008231E0"/>
    <w:rsid w:val="00823ACC"/>
    <w:rsid w:val="00823B83"/>
    <w:rsid w:val="00824295"/>
    <w:rsid w:val="008247CE"/>
    <w:rsid w:val="008249CF"/>
    <w:rsid w:val="00824ADC"/>
    <w:rsid w:val="00825047"/>
    <w:rsid w:val="008270CC"/>
    <w:rsid w:val="008275BB"/>
    <w:rsid w:val="00827687"/>
    <w:rsid w:val="00827AF6"/>
    <w:rsid w:val="00827BD7"/>
    <w:rsid w:val="008302F0"/>
    <w:rsid w:val="00830C9E"/>
    <w:rsid w:val="00831DD2"/>
    <w:rsid w:val="008330A4"/>
    <w:rsid w:val="00834A30"/>
    <w:rsid w:val="00834F54"/>
    <w:rsid w:val="00835000"/>
    <w:rsid w:val="008352BA"/>
    <w:rsid w:val="00835478"/>
    <w:rsid w:val="008363B7"/>
    <w:rsid w:val="00836979"/>
    <w:rsid w:val="00836D7C"/>
    <w:rsid w:val="008375E6"/>
    <w:rsid w:val="00840CFB"/>
    <w:rsid w:val="00841E04"/>
    <w:rsid w:val="00842196"/>
    <w:rsid w:val="008434B1"/>
    <w:rsid w:val="0084355E"/>
    <w:rsid w:val="00844163"/>
    <w:rsid w:val="008444E7"/>
    <w:rsid w:val="008445BC"/>
    <w:rsid w:val="008446DD"/>
    <w:rsid w:val="00844750"/>
    <w:rsid w:val="0084475D"/>
    <w:rsid w:val="008447AD"/>
    <w:rsid w:val="00844B20"/>
    <w:rsid w:val="00845180"/>
    <w:rsid w:val="00845C27"/>
    <w:rsid w:val="00845F62"/>
    <w:rsid w:val="00846095"/>
    <w:rsid w:val="008462DA"/>
    <w:rsid w:val="008464E9"/>
    <w:rsid w:val="008469AD"/>
    <w:rsid w:val="008469B6"/>
    <w:rsid w:val="00847765"/>
    <w:rsid w:val="00847D26"/>
    <w:rsid w:val="0085037A"/>
    <w:rsid w:val="00850D32"/>
    <w:rsid w:val="0085165C"/>
    <w:rsid w:val="00851782"/>
    <w:rsid w:val="00851B7F"/>
    <w:rsid w:val="0085236E"/>
    <w:rsid w:val="00852384"/>
    <w:rsid w:val="00852962"/>
    <w:rsid w:val="00852DF0"/>
    <w:rsid w:val="00852E09"/>
    <w:rsid w:val="008538E9"/>
    <w:rsid w:val="00853EDC"/>
    <w:rsid w:val="00854103"/>
    <w:rsid w:val="0085411C"/>
    <w:rsid w:val="00854C93"/>
    <w:rsid w:val="00855CF2"/>
    <w:rsid w:val="00855D0E"/>
    <w:rsid w:val="00856D2F"/>
    <w:rsid w:val="00857593"/>
    <w:rsid w:val="0085765D"/>
    <w:rsid w:val="00861A4E"/>
    <w:rsid w:val="00862E57"/>
    <w:rsid w:val="0086547C"/>
    <w:rsid w:val="0086588E"/>
    <w:rsid w:val="00865922"/>
    <w:rsid w:val="00866B03"/>
    <w:rsid w:val="00867240"/>
    <w:rsid w:val="0087033B"/>
    <w:rsid w:val="00870CBC"/>
    <w:rsid w:val="008716D0"/>
    <w:rsid w:val="0087196F"/>
    <w:rsid w:val="00871B28"/>
    <w:rsid w:val="0087361F"/>
    <w:rsid w:val="0087465F"/>
    <w:rsid w:val="00875424"/>
    <w:rsid w:val="0087598E"/>
    <w:rsid w:val="00875E53"/>
    <w:rsid w:val="00876157"/>
    <w:rsid w:val="00876A88"/>
    <w:rsid w:val="008772B4"/>
    <w:rsid w:val="00877E16"/>
    <w:rsid w:val="0088051B"/>
    <w:rsid w:val="00881DC1"/>
    <w:rsid w:val="00883860"/>
    <w:rsid w:val="00883C08"/>
    <w:rsid w:val="008841AC"/>
    <w:rsid w:val="0088434B"/>
    <w:rsid w:val="008845AE"/>
    <w:rsid w:val="00884678"/>
    <w:rsid w:val="008848F0"/>
    <w:rsid w:val="00885B3E"/>
    <w:rsid w:val="008860F1"/>
    <w:rsid w:val="008863A2"/>
    <w:rsid w:val="0088652E"/>
    <w:rsid w:val="00886800"/>
    <w:rsid w:val="00886A2A"/>
    <w:rsid w:val="00887016"/>
    <w:rsid w:val="008879EB"/>
    <w:rsid w:val="008903D1"/>
    <w:rsid w:val="00890852"/>
    <w:rsid w:val="00891E99"/>
    <w:rsid w:val="00892170"/>
    <w:rsid w:val="008929B6"/>
    <w:rsid w:val="00893521"/>
    <w:rsid w:val="0089388B"/>
    <w:rsid w:val="00893FC5"/>
    <w:rsid w:val="00894162"/>
    <w:rsid w:val="008945A8"/>
    <w:rsid w:val="00894689"/>
    <w:rsid w:val="0089480E"/>
    <w:rsid w:val="00895226"/>
    <w:rsid w:val="00897098"/>
    <w:rsid w:val="008971F5"/>
    <w:rsid w:val="00897B84"/>
    <w:rsid w:val="008A029D"/>
    <w:rsid w:val="008A02B8"/>
    <w:rsid w:val="008A14D1"/>
    <w:rsid w:val="008A14D2"/>
    <w:rsid w:val="008A1638"/>
    <w:rsid w:val="008A18B6"/>
    <w:rsid w:val="008A214D"/>
    <w:rsid w:val="008A2C64"/>
    <w:rsid w:val="008A40CC"/>
    <w:rsid w:val="008A4260"/>
    <w:rsid w:val="008A476B"/>
    <w:rsid w:val="008A4AAB"/>
    <w:rsid w:val="008A54A8"/>
    <w:rsid w:val="008A55D6"/>
    <w:rsid w:val="008A57DF"/>
    <w:rsid w:val="008A6309"/>
    <w:rsid w:val="008A705C"/>
    <w:rsid w:val="008A70FC"/>
    <w:rsid w:val="008A7F52"/>
    <w:rsid w:val="008B183E"/>
    <w:rsid w:val="008B25BB"/>
    <w:rsid w:val="008B2819"/>
    <w:rsid w:val="008B2B0D"/>
    <w:rsid w:val="008B2BB6"/>
    <w:rsid w:val="008B311F"/>
    <w:rsid w:val="008B3B1D"/>
    <w:rsid w:val="008B3D71"/>
    <w:rsid w:val="008B5D3A"/>
    <w:rsid w:val="008B5F5C"/>
    <w:rsid w:val="008B6191"/>
    <w:rsid w:val="008B6249"/>
    <w:rsid w:val="008B6A6D"/>
    <w:rsid w:val="008B6F60"/>
    <w:rsid w:val="008B73DC"/>
    <w:rsid w:val="008B7B78"/>
    <w:rsid w:val="008C00A0"/>
    <w:rsid w:val="008C12F0"/>
    <w:rsid w:val="008C2115"/>
    <w:rsid w:val="008C2C42"/>
    <w:rsid w:val="008C30BB"/>
    <w:rsid w:val="008C3135"/>
    <w:rsid w:val="008C4AD6"/>
    <w:rsid w:val="008C4AF8"/>
    <w:rsid w:val="008C6304"/>
    <w:rsid w:val="008C6FE0"/>
    <w:rsid w:val="008C7012"/>
    <w:rsid w:val="008C765B"/>
    <w:rsid w:val="008D08D9"/>
    <w:rsid w:val="008D138E"/>
    <w:rsid w:val="008D1560"/>
    <w:rsid w:val="008D1BCF"/>
    <w:rsid w:val="008D206D"/>
    <w:rsid w:val="008D2945"/>
    <w:rsid w:val="008D2DC4"/>
    <w:rsid w:val="008D5B76"/>
    <w:rsid w:val="008D5C22"/>
    <w:rsid w:val="008D5C72"/>
    <w:rsid w:val="008D5D87"/>
    <w:rsid w:val="008D7262"/>
    <w:rsid w:val="008E0254"/>
    <w:rsid w:val="008E029C"/>
    <w:rsid w:val="008E0AFE"/>
    <w:rsid w:val="008E1760"/>
    <w:rsid w:val="008E27E3"/>
    <w:rsid w:val="008E2C89"/>
    <w:rsid w:val="008E31C0"/>
    <w:rsid w:val="008E3216"/>
    <w:rsid w:val="008E3AC8"/>
    <w:rsid w:val="008E3B5F"/>
    <w:rsid w:val="008E3DBD"/>
    <w:rsid w:val="008E43C0"/>
    <w:rsid w:val="008E58F3"/>
    <w:rsid w:val="008E6909"/>
    <w:rsid w:val="008E6CB8"/>
    <w:rsid w:val="008F19EF"/>
    <w:rsid w:val="008F1AC7"/>
    <w:rsid w:val="008F1ADC"/>
    <w:rsid w:val="008F2A65"/>
    <w:rsid w:val="008F2B09"/>
    <w:rsid w:val="008F2D72"/>
    <w:rsid w:val="008F347C"/>
    <w:rsid w:val="008F3953"/>
    <w:rsid w:val="008F3C2F"/>
    <w:rsid w:val="008F4888"/>
    <w:rsid w:val="008F58F0"/>
    <w:rsid w:val="008F5A38"/>
    <w:rsid w:val="008F5A85"/>
    <w:rsid w:val="008F5CCA"/>
    <w:rsid w:val="008F69BD"/>
    <w:rsid w:val="008F7A41"/>
    <w:rsid w:val="009001D3"/>
    <w:rsid w:val="00900452"/>
    <w:rsid w:val="009005A5"/>
    <w:rsid w:val="0090288E"/>
    <w:rsid w:val="00903EEC"/>
    <w:rsid w:val="00903EEE"/>
    <w:rsid w:val="009041AA"/>
    <w:rsid w:val="0090494D"/>
    <w:rsid w:val="00905047"/>
    <w:rsid w:val="0090564B"/>
    <w:rsid w:val="009060E4"/>
    <w:rsid w:val="00906210"/>
    <w:rsid w:val="00907741"/>
    <w:rsid w:val="00907961"/>
    <w:rsid w:val="009104EE"/>
    <w:rsid w:val="00911439"/>
    <w:rsid w:val="00911581"/>
    <w:rsid w:val="00911969"/>
    <w:rsid w:val="00911D55"/>
    <w:rsid w:val="0091246E"/>
    <w:rsid w:val="009131A8"/>
    <w:rsid w:val="00914307"/>
    <w:rsid w:val="00914E44"/>
    <w:rsid w:val="0091552E"/>
    <w:rsid w:val="009168AD"/>
    <w:rsid w:val="00916E2B"/>
    <w:rsid w:val="009173F5"/>
    <w:rsid w:val="00917878"/>
    <w:rsid w:val="00917ED0"/>
    <w:rsid w:val="00920383"/>
    <w:rsid w:val="00920E10"/>
    <w:rsid w:val="00921FD8"/>
    <w:rsid w:val="009220FD"/>
    <w:rsid w:val="00923390"/>
    <w:rsid w:val="00923656"/>
    <w:rsid w:val="00923A11"/>
    <w:rsid w:val="009244EA"/>
    <w:rsid w:val="00924D07"/>
    <w:rsid w:val="009258EA"/>
    <w:rsid w:val="00925B03"/>
    <w:rsid w:val="00926128"/>
    <w:rsid w:val="0092627B"/>
    <w:rsid w:val="009264B8"/>
    <w:rsid w:val="00926681"/>
    <w:rsid w:val="00926815"/>
    <w:rsid w:val="00926A13"/>
    <w:rsid w:val="009278D6"/>
    <w:rsid w:val="009302AF"/>
    <w:rsid w:val="009303E6"/>
    <w:rsid w:val="009309FB"/>
    <w:rsid w:val="0093166A"/>
    <w:rsid w:val="00932980"/>
    <w:rsid w:val="00932E84"/>
    <w:rsid w:val="00932FBC"/>
    <w:rsid w:val="00933BDA"/>
    <w:rsid w:val="009347E6"/>
    <w:rsid w:val="00935D2C"/>
    <w:rsid w:val="00935E8D"/>
    <w:rsid w:val="00936833"/>
    <w:rsid w:val="00936BEE"/>
    <w:rsid w:val="00936F6D"/>
    <w:rsid w:val="0093789D"/>
    <w:rsid w:val="009400F0"/>
    <w:rsid w:val="00941A84"/>
    <w:rsid w:val="00941D3C"/>
    <w:rsid w:val="00942723"/>
    <w:rsid w:val="00942B2C"/>
    <w:rsid w:val="00942C49"/>
    <w:rsid w:val="009431A3"/>
    <w:rsid w:val="00943D80"/>
    <w:rsid w:val="0094421E"/>
    <w:rsid w:val="00945819"/>
    <w:rsid w:val="00945FAC"/>
    <w:rsid w:val="0094618F"/>
    <w:rsid w:val="009464B0"/>
    <w:rsid w:val="009465A4"/>
    <w:rsid w:val="00946A43"/>
    <w:rsid w:val="00946FAE"/>
    <w:rsid w:val="009475C9"/>
    <w:rsid w:val="00947BFB"/>
    <w:rsid w:val="009509CD"/>
    <w:rsid w:val="00952AD9"/>
    <w:rsid w:val="00952F74"/>
    <w:rsid w:val="0095318B"/>
    <w:rsid w:val="00953A81"/>
    <w:rsid w:val="0095403F"/>
    <w:rsid w:val="00954688"/>
    <w:rsid w:val="009546A5"/>
    <w:rsid w:val="00954ED3"/>
    <w:rsid w:val="00955A2D"/>
    <w:rsid w:val="00955C16"/>
    <w:rsid w:val="00955E12"/>
    <w:rsid w:val="00956179"/>
    <w:rsid w:val="00956442"/>
    <w:rsid w:val="00956497"/>
    <w:rsid w:val="00956630"/>
    <w:rsid w:val="00956BB2"/>
    <w:rsid w:val="00960498"/>
    <w:rsid w:val="009604EB"/>
    <w:rsid w:val="00963019"/>
    <w:rsid w:val="00963210"/>
    <w:rsid w:val="009635E3"/>
    <w:rsid w:val="00966AAD"/>
    <w:rsid w:val="0096701B"/>
    <w:rsid w:val="009671F2"/>
    <w:rsid w:val="009675F4"/>
    <w:rsid w:val="009679BA"/>
    <w:rsid w:val="00967D94"/>
    <w:rsid w:val="00970EB3"/>
    <w:rsid w:val="009718BF"/>
    <w:rsid w:val="00971DFC"/>
    <w:rsid w:val="009733E6"/>
    <w:rsid w:val="00973F76"/>
    <w:rsid w:val="0097467D"/>
    <w:rsid w:val="00974BE7"/>
    <w:rsid w:val="009754EE"/>
    <w:rsid w:val="00975CB8"/>
    <w:rsid w:val="00976EAC"/>
    <w:rsid w:val="00977300"/>
    <w:rsid w:val="00977DFC"/>
    <w:rsid w:val="00977E61"/>
    <w:rsid w:val="00977F91"/>
    <w:rsid w:val="00980328"/>
    <w:rsid w:val="009813DF"/>
    <w:rsid w:val="0098180D"/>
    <w:rsid w:val="00981995"/>
    <w:rsid w:val="00981AD0"/>
    <w:rsid w:val="0098205C"/>
    <w:rsid w:val="0098212A"/>
    <w:rsid w:val="009836DA"/>
    <w:rsid w:val="009849B2"/>
    <w:rsid w:val="00984B92"/>
    <w:rsid w:val="00985476"/>
    <w:rsid w:val="00987587"/>
    <w:rsid w:val="0098769B"/>
    <w:rsid w:val="0098772F"/>
    <w:rsid w:val="00987F76"/>
    <w:rsid w:val="00990BBB"/>
    <w:rsid w:val="00991245"/>
    <w:rsid w:val="0099155A"/>
    <w:rsid w:val="009928E6"/>
    <w:rsid w:val="00993334"/>
    <w:rsid w:val="00993AD0"/>
    <w:rsid w:val="00993D1A"/>
    <w:rsid w:val="00994162"/>
    <w:rsid w:val="009944BB"/>
    <w:rsid w:val="00994CEB"/>
    <w:rsid w:val="00995256"/>
    <w:rsid w:val="009953D4"/>
    <w:rsid w:val="00996949"/>
    <w:rsid w:val="00996B6B"/>
    <w:rsid w:val="00996DC7"/>
    <w:rsid w:val="0099706D"/>
    <w:rsid w:val="009970A5"/>
    <w:rsid w:val="0099779E"/>
    <w:rsid w:val="00997809"/>
    <w:rsid w:val="00997854"/>
    <w:rsid w:val="009A0B22"/>
    <w:rsid w:val="009A20AC"/>
    <w:rsid w:val="009A2465"/>
    <w:rsid w:val="009A30FB"/>
    <w:rsid w:val="009A3451"/>
    <w:rsid w:val="009A4DD1"/>
    <w:rsid w:val="009A52D9"/>
    <w:rsid w:val="009A5372"/>
    <w:rsid w:val="009A6023"/>
    <w:rsid w:val="009A7C22"/>
    <w:rsid w:val="009A7D22"/>
    <w:rsid w:val="009A7F75"/>
    <w:rsid w:val="009B0D86"/>
    <w:rsid w:val="009B1EB1"/>
    <w:rsid w:val="009B266C"/>
    <w:rsid w:val="009B32ED"/>
    <w:rsid w:val="009B4505"/>
    <w:rsid w:val="009B498B"/>
    <w:rsid w:val="009B52A3"/>
    <w:rsid w:val="009B5FF5"/>
    <w:rsid w:val="009B604E"/>
    <w:rsid w:val="009B6CD6"/>
    <w:rsid w:val="009B6EA5"/>
    <w:rsid w:val="009B714E"/>
    <w:rsid w:val="009B7DF1"/>
    <w:rsid w:val="009B7F65"/>
    <w:rsid w:val="009C01C8"/>
    <w:rsid w:val="009C067F"/>
    <w:rsid w:val="009C1179"/>
    <w:rsid w:val="009C1C8F"/>
    <w:rsid w:val="009C2672"/>
    <w:rsid w:val="009C2D62"/>
    <w:rsid w:val="009C3348"/>
    <w:rsid w:val="009C350E"/>
    <w:rsid w:val="009C35D5"/>
    <w:rsid w:val="009C40A1"/>
    <w:rsid w:val="009C450F"/>
    <w:rsid w:val="009C4BED"/>
    <w:rsid w:val="009C4DB1"/>
    <w:rsid w:val="009C518D"/>
    <w:rsid w:val="009C56DA"/>
    <w:rsid w:val="009C583A"/>
    <w:rsid w:val="009C5B60"/>
    <w:rsid w:val="009C5D9B"/>
    <w:rsid w:val="009C63BD"/>
    <w:rsid w:val="009C6A12"/>
    <w:rsid w:val="009C730B"/>
    <w:rsid w:val="009C7E00"/>
    <w:rsid w:val="009D01FD"/>
    <w:rsid w:val="009D0923"/>
    <w:rsid w:val="009D154E"/>
    <w:rsid w:val="009D3228"/>
    <w:rsid w:val="009D38B1"/>
    <w:rsid w:val="009D4393"/>
    <w:rsid w:val="009D49C4"/>
    <w:rsid w:val="009D4D14"/>
    <w:rsid w:val="009D5609"/>
    <w:rsid w:val="009D58E2"/>
    <w:rsid w:val="009D6E32"/>
    <w:rsid w:val="009D71AC"/>
    <w:rsid w:val="009D7267"/>
    <w:rsid w:val="009D73B2"/>
    <w:rsid w:val="009D7633"/>
    <w:rsid w:val="009D7C34"/>
    <w:rsid w:val="009E0E59"/>
    <w:rsid w:val="009E1122"/>
    <w:rsid w:val="009E119F"/>
    <w:rsid w:val="009E1524"/>
    <w:rsid w:val="009E17DE"/>
    <w:rsid w:val="009E2126"/>
    <w:rsid w:val="009E235A"/>
    <w:rsid w:val="009E2454"/>
    <w:rsid w:val="009E264B"/>
    <w:rsid w:val="009E2DB2"/>
    <w:rsid w:val="009E425B"/>
    <w:rsid w:val="009E4474"/>
    <w:rsid w:val="009E4559"/>
    <w:rsid w:val="009E457F"/>
    <w:rsid w:val="009E4A1E"/>
    <w:rsid w:val="009E4D73"/>
    <w:rsid w:val="009E5FAD"/>
    <w:rsid w:val="009E6364"/>
    <w:rsid w:val="009E69AD"/>
    <w:rsid w:val="009E6DDF"/>
    <w:rsid w:val="009E780A"/>
    <w:rsid w:val="009E7D95"/>
    <w:rsid w:val="009F0406"/>
    <w:rsid w:val="009F0410"/>
    <w:rsid w:val="009F06CC"/>
    <w:rsid w:val="009F0902"/>
    <w:rsid w:val="009F0FB8"/>
    <w:rsid w:val="009F11D4"/>
    <w:rsid w:val="009F1283"/>
    <w:rsid w:val="009F2004"/>
    <w:rsid w:val="009F2007"/>
    <w:rsid w:val="009F2010"/>
    <w:rsid w:val="009F2EF3"/>
    <w:rsid w:val="009F4665"/>
    <w:rsid w:val="009F485B"/>
    <w:rsid w:val="009F4FB1"/>
    <w:rsid w:val="009F56C2"/>
    <w:rsid w:val="009F59CF"/>
    <w:rsid w:val="009F5B70"/>
    <w:rsid w:val="009F611D"/>
    <w:rsid w:val="009F6565"/>
    <w:rsid w:val="009F6673"/>
    <w:rsid w:val="009F771E"/>
    <w:rsid w:val="00A00A3B"/>
    <w:rsid w:val="00A01705"/>
    <w:rsid w:val="00A017B0"/>
    <w:rsid w:val="00A01D55"/>
    <w:rsid w:val="00A02387"/>
    <w:rsid w:val="00A02FC0"/>
    <w:rsid w:val="00A036DD"/>
    <w:rsid w:val="00A0559F"/>
    <w:rsid w:val="00A0621A"/>
    <w:rsid w:val="00A0649F"/>
    <w:rsid w:val="00A06AA5"/>
    <w:rsid w:val="00A06B76"/>
    <w:rsid w:val="00A07335"/>
    <w:rsid w:val="00A0771D"/>
    <w:rsid w:val="00A11607"/>
    <w:rsid w:val="00A116C8"/>
    <w:rsid w:val="00A141A3"/>
    <w:rsid w:val="00A155EB"/>
    <w:rsid w:val="00A1563B"/>
    <w:rsid w:val="00A162C8"/>
    <w:rsid w:val="00A200B9"/>
    <w:rsid w:val="00A21214"/>
    <w:rsid w:val="00A216D1"/>
    <w:rsid w:val="00A217A8"/>
    <w:rsid w:val="00A22130"/>
    <w:rsid w:val="00A2285F"/>
    <w:rsid w:val="00A22907"/>
    <w:rsid w:val="00A23DE0"/>
    <w:rsid w:val="00A23F48"/>
    <w:rsid w:val="00A243CA"/>
    <w:rsid w:val="00A24A0E"/>
    <w:rsid w:val="00A24FD2"/>
    <w:rsid w:val="00A25080"/>
    <w:rsid w:val="00A2522F"/>
    <w:rsid w:val="00A25382"/>
    <w:rsid w:val="00A25883"/>
    <w:rsid w:val="00A25B93"/>
    <w:rsid w:val="00A2615F"/>
    <w:rsid w:val="00A262D7"/>
    <w:rsid w:val="00A275A8"/>
    <w:rsid w:val="00A27C22"/>
    <w:rsid w:val="00A306A3"/>
    <w:rsid w:val="00A30940"/>
    <w:rsid w:val="00A30E58"/>
    <w:rsid w:val="00A3110D"/>
    <w:rsid w:val="00A313A1"/>
    <w:rsid w:val="00A31999"/>
    <w:rsid w:val="00A3209C"/>
    <w:rsid w:val="00A3266B"/>
    <w:rsid w:val="00A32984"/>
    <w:rsid w:val="00A32F15"/>
    <w:rsid w:val="00A3499D"/>
    <w:rsid w:val="00A35207"/>
    <w:rsid w:val="00A3669F"/>
    <w:rsid w:val="00A368D6"/>
    <w:rsid w:val="00A37555"/>
    <w:rsid w:val="00A379C2"/>
    <w:rsid w:val="00A37B26"/>
    <w:rsid w:val="00A4004C"/>
    <w:rsid w:val="00A40247"/>
    <w:rsid w:val="00A405F5"/>
    <w:rsid w:val="00A40A25"/>
    <w:rsid w:val="00A41ED4"/>
    <w:rsid w:val="00A42376"/>
    <w:rsid w:val="00A424EA"/>
    <w:rsid w:val="00A4262A"/>
    <w:rsid w:val="00A427A1"/>
    <w:rsid w:val="00A42A89"/>
    <w:rsid w:val="00A439A1"/>
    <w:rsid w:val="00A43A26"/>
    <w:rsid w:val="00A43EEE"/>
    <w:rsid w:val="00A44997"/>
    <w:rsid w:val="00A470D4"/>
    <w:rsid w:val="00A479CE"/>
    <w:rsid w:val="00A50720"/>
    <w:rsid w:val="00A50E6E"/>
    <w:rsid w:val="00A51B60"/>
    <w:rsid w:val="00A52434"/>
    <w:rsid w:val="00A5299E"/>
    <w:rsid w:val="00A52F1E"/>
    <w:rsid w:val="00A52F81"/>
    <w:rsid w:val="00A52FD1"/>
    <w:rsid w:val="00A53775"/>
    <w:rsid w:val="00A53EEB"/>
    <w:rsid w:val="00A546B3"/>
    <w:rsid w:val="00A54A9F"/>
    <w:rsid w:val="00A55037"/>
    <w:rsid w:val="00A55D44"/>
    <w:rsid w:val="00A565DF"/>
    <w:rsid w:val="00A56B1A"/>
    <w:rsid w:val="00A56CCD"/>
    <w:rsid w:val="00A56E9A"/>
    <w:rsid w:val="00A57677"/>
    <w:rsid w:val="00A60596"/>
    <w:rsid w:val="00A611F1"/>
    <w:rsid w:val="00A619FE"/>
    <w:rsid w:val="00A61DB2"/>
    <w:rsid w:val="00A62DA9"/>
    <w:rsid w:val="00A63C6B"/>
    <w:rsid w:val="00A6463B"/>
    <w:rsid w:val="00A6492D"/>
    <w:rsid w:val="00A65A56"/>
    <w:rsid w:val="00A65B28"/>
    <w:rsid w:val="00A65CC8"/>
    <w:rsid w:val="00A66D18"/>
    <w:rsid w:val="00A6701C"/>
    <w:rsid w:val="00A678A2"/>
    <w:rsid w:val="00A70A22"/>
    <w:rsid w:val="00A70D56"/>
    <w:rsid w:val="00A71378"/>
    <w:rsid w:val="00A7140D"/>
    <w:rsid w:val="00A7237F"/>
    <w:rsid w:val="00A72750"/>
    <w:rsid w:val="00A764B4"/>
    <w:rsid w:val="00A76BD9"/>
    <w:rsid w:val="00A76CD7"/>
    <w:rsid w:val="00A77A99"/>
    <w:rsid w:val="00A77B8D"/>
    <w:rsid w:val="00A77EDA"/>
    <w:rsid w:val="00A80232"/>
    <w:rsid w:val="00A8079E"/>
    <w:rsid w:val="00A820B7"/>
    <w:rsid w:val="00A8230F"/>
    <w:rsid w:val="00A8245F"/>
    <w:rsid w:val="00A827DB"/>
    <w:rsid w:val="00A82EA0"/>
    <w:rsid w:val="00A82F8F"/>
    <w:rsid w:val="00A836B1"/>
    <w:rsid w:val="00A84081"/>
    <w:rsid w:val="00A84304"/>
    <w:rsid w:val="00A843C0"/>
    <w:rsid w:val="00A84440"/>
    <w:rsid w:val="00A844FB"/>
    <w:rsid w:val="00A84C4A"/>
    <w:rsid w:val="00A87D20"/>
    <w:rsid w:val="00A906E8"/>
    <w:rsid w:val="00A91520"/>
    <w:rsid w:val="00A91F3A"/>
    <w:rsid w:val="00A92462"/>
    <w:rsid w:val="00A9275A"/>
    <w:rsid w:val="00A9333F"/>
    <w:rsid w:val="00A9341A"/>
    <w:rsid w:val="00A9354C"/>
    <w:rsid w:val="00A93B3C"/>
    <w:rsid w:val="00A93DE7"/>
    <w:rsid w:val="00A9466F"/>
    <w:rsid w:val="00A94C87"/>
    <w:rsid w:val="00A94D19"/>
    <w:rsid w:val="00A95E8A"/>
    <w:rsid w:val="00A96613"/>
    <w:rsid w:val="00A96915"/>
    <w:rsid w:val="00A96DCF"/>
    <w:rsid w:val="00A96FFA"/>
    <w:rsid w:val="00A973F5"/>
    <w:rsid w:val="00AA0012"/>
    <w:rsid w:val="00AA0872"/>
    <w:rsid w:val="00AA1155"/>
    <w:rsid w:val="00AA14FC"/>
    <w:rsid w:val="00AA1560"/>
    <w:rsid w:val="00AA1791"/>
    <w:rsid w:val="00AA183B"/>
    <w:rsid w:val="00AA1F69"/>
    <w:rsid w:val="00AA2D37"/>
    <w:rsid w:val="00AA3128"/>
    <w:rsid w:val="00AA5339"/>
    <w:rsid w:val="00AA5515"/>
    <w:rsid w:val="00AA57DF"/>
    <w:rsid w:val="00AA58D9"/>
    <w:rsid w:val="00AA5B2C"/>
    <w:rsid w:val="00AA6407"/>
    <w:rsid w:val="00AA65FF"/>
    <w:rsid w:val="00AA699D"/>
    <w:rsid w:val="00AA6F38"/>
    <w:rsid w:val="00AA7F95"/>
    <w:rsid w:val="00AB019C"/>
    <w:rsid w:val="00AB0412"/>
    <w:rsid w:val="00AB052D"/>
    <w:rsid w:val="00AB136B"/>
    <w:rsid w:val="00AB1FA0"/>
    <w:rsid w:val="00AB1FF6"/>
    <w:rsid w:val="00AB24F3"/>
    <w:rsid w:val="00AB2B75"/>
    <w:rsid w:val="00AB2E8D"/>
    <w:rsid w:val="00AB3A8C"/>
    <w:rsid w:val="00AB5283"/>
    <w:rsid w:val="00AB5419"/>
    <w:rsid w:val="00AB651A"/>
    <w:rsid w:val="00AB6657"/>
    <w:rsid w:val="00AB6F1A"/>
    <w:rsid w:val="00AB7750"/>
    <w:rsid w:val="00AB7B00"/>
    <w:rsid w:val="00AB7DA9"/>
    <w:rsid w:val="00AC0DF2"/>
    <w:rsid w:val="00AC1503"/>
    <w:rsid w:val="00AC16E8"/>
    <w:rsid w:val="00AC235D"/>
    <w:rsid w:val="00AC255D"/>
    <w:rsid w:val="00AC3889"/>
    <w:rsid w:val="00AC4C91"/>
    <w:rsid w:val="00AC5ED7"/>
    <w:rsid w:val="00AC6175"/>
    <w:rsid w:val="00AC77D3"/>
    <w:rsid w:val="00AC79BC"/>
    <w:rsid w:val="00AC7F30"/>
    <w:rsid w:val="00AD0366"/>
    <w:rsid w:val="00AD04ED"/>
    <w:rsid w:val="00AD0E15"/>
    <w:rsid w:val="00AD3195"/>
    <w:rsid w:val="00AD4158"/>
    <w:rsid w:val="00AD5133"/>
    <w:rsid w:val="00AD534C"/>
    <w:rsid w:val="00AD5477"/>
    <w:rsid w:val="00AD5940"/>
    <w:rsid w:val="00AD59B4"/>
    <w:rsid w:val="00AD5F4C"/>
    <w:rsid w:val="00AD5F7B"/>
    <w:rsid w:val="00AD6742"/>
    <w:rsid w:val="00AD68AE"/>
    <w:rsid w:val="00AD79ED"/>
    <w:rsid w:val="00AD7CDB"/>
    <w:rsid w:val="00AE1AB8"/>
    <w:rsid w:val="00AE1BE1"/>
    <w:rsid w:val="00AE2125"/>
    <w:rsid w:val="00AE2470"/>
    <w:rsid w:val="00AE31A0"/>
    <w:rsid w:val="00AE361B"/>
    <w:rsid w:val="00AE44DE"/>
    <w:rsid w:val="00AE45A2"/>
    <w:rsid w:val="00AE4E46"/>
    <w:rsid w:val="00AE605A"/>
    <w:rsid w:val="00AE6CD0"/>
    <w:rsid w:val="00AE6FCC"/>
    <w:rsid w:val="00AE73D6"/>
    <w:rsid w:val="00AE7CC9"/>
    <w:rsid w:val="00AE7F6F"/>
    <w:rsid w:val="00AF026F"/>
    <w:rsid w:val="00AF051B"/>
    <w:rsid w:val="00AF1312"/>
    <w:rsid w:val="00AF1ABA"/>
    <w:rsid w:val="00AF1E2D"/>
    <w:rsid w:val="00AF2750"/>
    <w:rsid w:val="00AF2AF7"/>
    <w:rsid w:val="00AF2B07"/>
    <w:rsid w:val="00AF2B3F"/>
    <w:rsid w:val="00AF2E8B"/>
    <w:rsid w:val="00AF3719"/>
    <w:rsid w:val="00AF429A"/>
    <w:rsid w:val="00AF54F2"/>
    <w:rsid w:val="00AF57C7"/>
    <w:rsid w:val="00AF5999"/>
    <w:rsid w:val="00AF5F38"/>
    <w:rsid w:val="00AF610D"/>
    <w:rsid w:val="00AF6A27"/>
    <w:rsid w:val="00AF6DC0"/>
    <w:rsid w:val="00AF70E6"/>
    <w:rsid w:val="00B002F7"/>
    <w:rsid w:val="00B004FA"/>
    <w:rsid w:val="00B00ADF"/>
    <w:rsid w:val="00B00FA9"/>
    <w:rsid w:val="00B016EA"/>
    <w:rsid w:val="00B024AC"/>
    <w:rsid w:val="00B037D4"/>
    <w:rsid w:val="00B0404E"/>
    <w:rsid w:val="00B0462C"/>
    <w:rsid w:val="00B054F4"/>
    <w:rsid w:val="00B05B49"/>
    <w:rsid w:val="00B0618E"/>
    <w:rsid w:val="00B06EFC"/>
    <w:rsid w:val="00B0763E"/>
    <w:rsid w:val="00B07665"/>
    <w:rsid w:val="00B07BC8"/>
    <w:rsid w:val="00B1025A"/>
    <w:rsid w:val="00B10335"/>
    <w:rsid w:val="00B11B88"/>
    <w:rsid w:val="00B1213A"/>
    <w:rsid w:val="00B12185"/>
    <w:rsid w:val="00B1242A"/>
    <w:rsid w:val="00B130D2"/>
    <w:rsid w:val="00B1385A"/>
    <w:rsid w:val="00B13934"/>
    <w:rsid w:val="00B157A3"/>
    <w:rsid w:val="00B159A7"/>
    <w:rsid w:val="00B160E3"/>
    <w:rsid w:val="00B16834"/>
    <w:rsid w:val="00B17202"/>
    <w:rsid w:val="00B17928"/>
    <w:rsid w:val="00B17AA5"/>
    <w:rsid w:val="00B17C8F"/>
    <w:rsid w:val="00B20453"/>
    <w:rsid w:val="00B216D8"/>
    <w:rsid w:val="00B21E85"/>
    <w:rsid w:val="00B223F5"/>
    <w:rsid w:val="00B235E4"/>
    <w:rsid w:val="00B23D6F"/>
    <w:rsid w:val="00B2429E"/>
    <w:rsid w:val="00B246DA"/>
    <w:rsid w:val="00B24753"/>
    <w:rsid w:val="00B25307"/>
    <w:rsid w:val="00B254F9"/>
    <w:rsid w:val="00B25BF6"/>
    <w:rsid w:val="00B26969"/>
    <w:rsid w:val="00B3063D"/>
    <w:rsid w:val="00B30CC1"/>
    <w:rsid w:val="00B326E1"/>
    <w:rsid w:val="00B32731"/>
    <w:rsid w:val="00B332A2"/>
    <w:rsid w:val="00B34A7A"/>
    <w:rsid w:val="00B369B6"/>
    <w:rsid w:val="00B3757F"/>
    <w:rsid w:val="00B40851"/>
    <w:rsid w:val="00B41F28"/>
    <w:rsid w:val="00B422E0"/>
    <w:rsid w:val="00B4232B"/>
    <w:rsid w:val="00B42498"/>
    <w:rsid w:val="00B424EC"/>
    <w:rsid w:val="00B43197"/>
    <w:rsid w:val="00B431F1"/>
    <w:rsid w:val="00B4430B"/>
    <w:rsid w:val="00B4430E"/>
    <w:rsid w:val="00B44B37"/>
    <w:rsid w:val="00B45C29"/>
    <w:rsid w:val="00B45DAE"/>
    <w:rsid w:val="00B466E0"/>
    <w:rsid w:val="00B51333"/>
    <w:rsid w:val="00B51B80"/>
    <w:rsid w:val="00B5253C"/>
    <w:rsid w:val="00B52CA5"/>
    <w:rsid w:val="00B536BB"/>
    <w:rsid w:val="00B5408C"/>
    <w:rsid w:val="00B55952"/>
    <w:rsid w:val="00B563B8"/>
    <w:rsid w:val="00B5642D"/>
    <w:rsid w:val="00B566D4"/>
    <w:rsid w:val="00B5712D"/>
    <w:rsid w:val="00B60758"/>
    <w:rsid w:val="00B60CAB"/>
    <w:rsid w:val="00B620DF"/>
    <w:rsid w:val="00B62111"/>
    <w:rsid w:val="00B63826"/>
    <w:rsid w:val="00B639FF"/>
    <w:rsid w:val="00B63EFB"/>
    <w:rsid w:val="00B642A5"/>
    <w:rsid w:val="00B64654"/>
    <w:rsid w:val="00B64DD4"/>
    <w:rsid w:val="00B65005"/>
    <w:rsid w:val="00B65428"/>
    <w:rsid w:val="00B65470"/>
    <w:rsid w:val="00B65933"/>
    <w:rsid w:val="00B72241"/>
    <w:rsid w:val="00B73302"/>
    <w:rsid w:val="00B735E4"/>
    <w:rsid w:val="00B74782"/>
    <w:rsid w:val="00B74CF2"/>
    <w:rsid w:val="00B74EC9"/>
    <w:rsid w:val="00B756F1"/>
    <w:rsid w:val="00B76734"/>
    <w:rsid w:val="00B77283"/>
    <w:rsid w:val="00B80214"/>
    <w:rsid w:val="00B80A50"/>
    <w:rsid w:val="00B80B21"/>
    <w:rsid w:val="00B80FC3"/>
    <w:rsid w:val="00B810D2"/>
    <w:rsid w:val="00B81AB0"/>
    <w:rsid w:val="00B81E32"/>
    <w:rsid w:val="00B822BB"/>
    <w:rsid w:val="00B83AD3"/>
    <w:rsid w:val="00B83F3E"/>
    <w:rsid w:val="00B8407F"/>
    <w:rsid w:val="00B84324"/>
    <w:rsid w:val="00B84B68"/>
    <w:rsid w:val="00B84F07"/>
    <w:rsid w:val="00B85848"/>
    <w:rsid w:val="00B85956"/>
    <w:rsid w:val="00B861EB"/>
    <w:rsid w:val="00B862C5"/>
    <w:rsid w:val="00B87F0B"/>
    <w:rsid w:val="00B91809"/>
    <w:rsid w:val="00B91C28"/>
    <w:rsid w:val="00B92790"/>
    <w:rsid w:val="00B9321B"/>
    <w:rsid w:val="00B94802"/>
    <w:rsid w:val="00B94BFE"/>
    <w:rsid w:val="00B95FD5"/>
    <w:rsid w:val="00B96BC1"/>
    <w:rsid w:val="00B96DD3"/>
    <w:rsid w:val="00B971B5"/>
    <w:rsid w:val="00B97A72"/>
    <w:rsid w:val="00BA02ED"/>
    <w:rsid w:val="00BA047F"/>
    <w:rsid w:val="00BA1767"/>
    <w:rsid w:val="00BA18BC"/>
    <w:rsid w:val="00BA18C8"/>
    <w:rsid w:val="00BA1917"/>
    <w:rsid w:val="00BA1A4C"/>
    <w:rsid w:val="00BA1AD2"/>
    <w:rsid w:val="00BA1D50"/>
    <w:rsid w:val="00BA2F47"/>
    <w:rsid w:val="00BA31D7"/>
    <w:rsid w:val="00BA46A0"/>
    <w:rsid w:val="00BA4804"/>
    <w:rsid w:val="00BA4997"/>
    <w:rsid w:val="00BA4D42"/>
    <w:rsid w:val="00BA66C7"/>
    <w:rsid w:val="00BA7095"/>
    <w:rsid w:val="00BA7BDF"/>
    <w:rsid w:val="00BB0817"/>
    <w:rsid w:val="00BB0CF7"/>
    <w:rsid w:val="00BB122F"/>
    <w:rsid w:val="00BB1C35"/>
    <w:rsid w:val="00BB216F"/>
    <w:rsid w:val="00BB2490"/>
    <w:rsid w:val="00BB2AF0"/>
    <w:rsid w:val="00BB2E00"/>
    <w:rsid w:val="00BB5C7C"/>
    <w:rsid w:val="00BB5E9C"/>
    <w:rsid w:val="00BB6DF2"/>
    <w:rsid w:val="00BB74A2"/>
    <w:rsid w:val="00BB771C"/>
    <w:rsid w:val="00BB7974"/>
    <w:rsid w:val="00BB7C79"/>
    <w:rsid w:val="00BC00FD"/>
    <w:rsid w:val="00BC01B2"/>
    <w:rsid w:val="00BC0DB7"/>
    <w:rsid w:val="00BC139F"/>
    <w:rsid w:val="00BC249D"/>
    <w:rsid w:val="00BC3107"/>
    <w:rsid w:val="00BC3754"/>
    <w:rsid w:val="00BC4A9B"/>
    <w:rsid w:val="00BC4F8F"/>
    <w:rsid w:val="00BC53EC"/>
    <w:rsid w:val="00BC54B3"/>
    <w:rsid w:val="00BC568B"/>
    <w:rsid w:val="00BC5A7F"/>
    <w:rsid w:val="00BC6FD0"/>
    <w:rsid w:val="00BC736D"/>
    <w:rsid w:val="00BC7B2A"/>
    <w:rsid w:val="00BD00CB"/>
    <w:rsid w:val="00BD02EB"/>
    <w:rsid w:val="00BD0564"/>
    <w:rsid w:val="00BD11D9"/>
    <w:rsid w:val="00BD326A"/>
    <w:rsid w:val="00BD32EB"/>
    <w:rsid w:val="00BD3659"/>
    <w:rsid w:val="00BD43F8"/>
    <w:rsid w:val="00BD4658"/>
    <w:rsid w:val="00BD51FF"/>
    <w:rsid w:val="00BD5B29"/>
    <w:rsid w:val="00BD5B3A"/>
    <w:rsid w:val="00BD6240"/>
    <w:rsid w:val="00BD6C13"/>
    <w:rsid w:val="00BD7241"/>
    <w:rsid w:val="00BE0726"/>
    <w:rsid w:val="00BE0A49"/>
    <w:rsid w:val="00BE1D89"/>
    <w:rsid w:val="00BE2022"/>
    <w:rsid w:val="00BE2F39"/>
    <w:rsid w:val="00BE2FB6"/>
    <w:rsid w:val="00BE3102"/>
    <w:rsid w:val="00BE3C94"/>
    <w:rsid w:val="00BE51F0"/>
    <w:rsid w:val="00BE5232"/>
    <w:rsid w:val="00BE646D"/>
    <w:rsid w:val="00BE79CC"/>
    <w:rsid w:val="00BF05C9"/>
    <w:rsid w:val="00BF0A20"/>
    <w:rsid w:val="00BF16DB"/>
    <w:rsid w:val="00BF3088"/>
    <w:rsid w:val="00BF3485"/>
    <w:rsid w:val="00BF359D"/>
    <w:rsid w:val="00BF37B1"/>
    <w:rsid w:val="00BF3823"/>
    <w:rsid w:val="00BF3880"/>
    <w:rsid w:val="00BF3DD2"/>
    <w:rsid w:val="00BF3F66"/>
    <w:rsid w:val="00BF4829"/>
    <w:rsid w:val="00BF6F2F"/>
    <w:rsid w:val="00BF6FD3"/>
    <w:rsid w:val="00BF7921"/>
    <w:rsid w:val="00BF7ED0"/>
    <w:rsid w:val="00C004C2"/>
    <w:rsid w:val="00C009C7"/>
    <w:rsid w:val="00C00EED"/>
    <w:rsid w:val="00C0105C"/>
    <w:rsid w:val="00C02373"/>
    <w:rsid w:val="00C02863"/>
    <w:rsid w:val="00C039C8"/>
    <w:rsid w:val="00C03E7D"/>
    <w:rsid w:val="00C0407D"/>
    <w:rsid w:val="00C0462B"/>
    <w:rsid w:val="00C04777"/>
    <w:rsid w:val="00C05DA8"/>
    <w:rsid w:val="00C06014"/>
    <w:rsid w:val="00C07FAC"/>
    <w:rsid w:val="00C103AB"/>
    <w:rsid w:val="00C1119F"/>
    <w:rsid w:val="00C11BB3"/>
    <w:rsid w:val="00C12E80"/>
    <w:rsid w:val="00C13466"/>
    <w:rsid w:val="00C13D7F"/>
    <w:rsid w:val="00C14651"/>
    <w:rsid w:val="00C146A4"/>
    <w:rsid w:val="00C14EDB"/>
    <w:rsid w:val="00C15DDF"/>
    <w:rsid w:val="00C168B9"/>
    <w:rsid w:val="00C17394"/>
    <w:rsid w:val="00C1759D"/>
    <w:rsid w:val="00C175B1"/>
    <w:rsid w:val="00C175B4"/>
    <w:rsid w:val="00C177C2"/>
    <w:rsid w:val="00C17A57"/>
    <w:rsid w:val="00C17BDB"/>
    <w:rsid w:val="00C20398"/>
    <w:rsid w:val="00C20F6B"/>
    <w:rsid w:val="00C21065"/>
    <w:rsid w:val="00C21737"/>
    <w:rsid w:val="00C21747"/>
    <w:rsid w:val="00C21ED0"/>
    <w:rsid w:val="00C223B3"/>
    <w:rsid w:val="00C22E06"/>
    <w:rsid w:val="00C2515B"/>
    <w:rsid w:val="00C25531"/>
    <w:rsid w:val="00C26812"/>
    <w:rsid w:val="00C26D94"/>
    <w:rsid w:val="00C270F7"/>
    <w:rsid w:val="00C30364"/>
    <w:rsid w:val="00C30EEF"/>
    <w:rsid w:val="00C31ED3"/>
    <w:rsid w:val="00C322E6"/>
    <w:rsid w:val="00C32317"/>
    <w:rsid w:val="00C323A1"/>
    <w:rsid w:val="00C324D9"/>
    <w:rsid w:val="00C32D02"/>
    <w:rsid w:val="00C330A1"/>
    <w:rsid w:val="00C343C1"/>
    <w:rsid w:val="00C3442D"/>
    <w:rsid w:val="00C35762"/>
    <w:rsid w:val="00C35866"/>
    <w:rsid w:val="00C35B3F"/>
    <w:rsid w:val="00C35C0A"/>
    <w:rsid w:val="00C35F0A"/>
    <w:rsid w:val="00C3661C"/>
    <w:rsid w:val="00C369DD"/>
    <w:rsid w:val="00C378BC"/>
    <w:rsid w:val="00C379B9"/>
    <w:rsid w:val="00C37A4B"/>
    <w:rsid w:val="00C37B8C"/>
    <w:rsid w:val="00C37D5D"/>
    <w:rsid w:val="00C4071A"/>
    <w:rsid w:val="00C40926"/>
    <w:rsid w:val="00C40946"/>
    <w:rsid w:val="00C415B2"/>
    <w:rsid w:val="00C4184D"/>
    <w:rsid w:val="00C42D78"/>
    <w:rsid w:val="00C43464"/>
    <w:rsid w:val="00C43623"/>
    <w:rsid w:val="00C44408"/>
    <w:rsid w:val="00C4501D"/>
    <w:rsid w:val="00C45F00"/>
    <w:rsid w:val="00C46329"/>
    <w:rsid w:val="00C46695"/>
    <w:rsid w:val="00C476A7"/>
    <w:rsid w:val="00C47B69"/>
    <w:rsid w:val="00C47D7A"/>
    <w:rsid w:val="00C47E70"/>
    <w:rsid w:val="00C509D2"/>
    <w:rsid w:val="00C51766"/>
    <w:rsid w:val="00C51969"/>
    <w:rsid w:val="00C51EDA"/>
    <w:rsid w:val="00C53002"/>
    <w:rsid w:val="00C5389E"/>
    <w:rsid w:val="00C53D0A"/>
    <w:rsid w:val="00C541B6"/>
    <w:rsid w:val="00C5453B"/>
    <w:rsid w:val="00C54638"/>
    <w:rsid w:val="00C5477C"/>
    <w:rsid w:val="00C560E4"/>
    <w:rsid w:val="00C5698A"/>
    <w:rsid w:val="00C57862"/>
    <w:rsid w:val="00C6028A"/>
    <w:rsid w:val="00C6070D"/>
    <w:rsid w:val="00C60BC1"/>
    <w:rsid w:val="00C616BF"/>
    <w:rsid w:val="00C62C73"/>
    <w:rsid w:val="00C631F6"/>
    <w:rsid w:val="00C63A84"/>
    <w:rsid w:val="00C63EEE"/>
    <w:rsid w:val="00C645D0"/>
    <w:rsid w:val="00C658BD"/>
    <w:rsid w:val="00C65BB8"/>
    <w:rsid w:val="00C6657C"/>
    <w:rsid w:val="00C66FA5"/>
    <w:rsid w:val="00C671D3"/>
    <w:rsid w:val="00C6761F"/>
    <w:rsid w:val="00C67B35"/>
    <w:rsid w:val="00C67C8B"/>
    <w:rsid w:val="00C708DD"/>
    <w:rsid w:val="00C70976"/>
    <w:rsid w:val="00C7136C"/>
    <w:rsid w:val="00C71BE6"/>
    <w:rsid w:val="00C72663"/>
    <w:rsid w:val="00C7415B"/>
    <w:rsid w:val="00C74181"/>
    <w:rsid w:val="00C74D77"/>
    <w:rsid w:val="00C75041"/>
    <w:rsid w:val="00C755A3"/>
    <w:rsid w:val="00C759F7"/>
    <w:rsid w:val="00C76358"/>
    <w:rsid w:val="00C775C3"/>
    <w:rsid w:val="00C800C9"/>
    <w:rsid w:val="00C80DCE"/>
    <w:rsid w:val="00C811AA"/>
    <w:rsid w:val="00C81282"/>
    <w:rsid w:val="00C81668"/>
    <w:rsid w:val="00C81DE0"/>
    <w:rsid w:val="00C82059"/>
    <w:rsid w:val="00C8261E"/>
    <w:rsid w:val="00C82E24"/>
    <w:rsid w:val="00C830A1"/>
    <w:rsid w:val="00C83144"/>
    <w:rsid w:val="00C83673"/>
    <w:rsid w:val="00C837E2"/>
    <w:rsid w:val="00C844F3"/>
    <w:rsid w:val="00C84CE9"/>
    <w:rsid w:val="00C8510C"/>
    <w:rsid w:val="00C86CAB"/>
    <w:rsid w:val="00C87080"/>
    <w:rsid w:val="00C8723A"/>
    <w:rsid w:val="00C92C9F"/>
    <w:rsid w:val="00C93945"/>
    <w:rsid w:val="00C94146"/>
    <w:rsid w:val="00C9426B"/>
    <w:rsid w:val="00C94428"/>
    <w:rsid w:val="00C94835"/>
    <w:rsid w:val="00C95133"/>
    <w:rsid w:val="00C956FE"/>
    <w:rsid w:val="00C9596F"/>
    <w:rsid w:val="00C95C42"/>
    <w:rsid w:val="00C96B15"/>
    <w:rsid w:val="00C970FA"/>
    <w:rsid w:val="00C97705"/>
    <w:rsid w:val="00C977ED"/>
    <w:rsid w:val="00CA04CA"/>
    <w:rsid w:val="00CA090D"/>
    <w:rsid w:val="00CA0DF7"/>
    <w:rsid w:val="00CA163B"/>
    <w:rsid w:val="00CA264C"/>
    <w:rsid w:val="00CA2671"/>
    <w:rsid w:val="00CA35B9"/>
    <w:rsid w:val="00CA3C3B"/>
    <w:rsid w:val="00CA400C"/>
    <w:rsid w:val="00CA44DC"/>
    <w:rsid w:val="00CA46A5"/>
    <w:rsid w:val="00CA4F80"/>
    <w:rsid w:val="00CA60CB"/>
    <w:rsid w:val="00CA6477"/>
    <w:rsid w:val="00CA6947"/>
    <w:rsid w:val="00CA7171"/>
    <w:rsid w:val="00CA7A31"/>
    <w:rsid w:val="00CB0038"/>
    <w:rsid w:val="00CB03B0"/>
    <w:rsid w:val="00CB0B85"/>
    <w:rsid w:val="00CB1128"/>
    <w:rsid w:val="00CB1B44"/>
    <w:rsid w:val="00CB2096"/>
    <w:rsid w:val="00CB2361"/>
    <w:rsid w:val="00CB30A5"/>
    <w:rsid w:val="00CB350B"/>
    <w:rsid w:val="00CB3C52"/>
    <w:rsid w:val="00CB3C89"/>
    <w:rsid w:val="00CB42BE"/>
    <w:rsid w:val="00CB436A"/>
    <w:rsid w:val="00CB49C2"/>
    <w:rsid w:val="00CB4D10"/>
    <w:rsid w:val="00CB58DC"/>
    <w:rsid w:val="00CB597F"/>
    <w:rsid w:val="00CB5CFE"/>
    <w:rsid w:val="00CB64DC"/>
    <w:rsid w:val="00CB65D9"/>
    <w:rsid w:val="00CB69F9"/>
    <w:rsid w:val="00CB6CE9"/>
    <w:rsid w:val="00CB73D0"/>
    <w:rsid w:val="00CB7CA6"/>
    <w:rsid w:val="00CC01C0"/>
    <w:rsid w:val="00CC17AE"/>
    <w:rsid w:val="00CC1F72"/>
    <w:rsid w:val="00CC20D8"/>
    <w:rsid w:val="00CC27A6"/>
    <w:rsid w:val="00CC28CA"/>
    <w:rsid w:val="00CC303F"/>
    <w:rsid w:val="00CC39B1"/>
    <w:rsid w:val="00CC3D52"/>
    <w:rsid w:val="00CC43B5"/>
    <w:rsid w:val="00CC44D8"/>
    <w:rsid w:val="00CC452E"/>
    <w:rsid w:val="00CC4B08"/>
    <w:rsid w:val="00CC52AC"/>
    <w:rsid w:val="00CC5BD1"/>
    <w:rsid w:val="00CC65FD"/>
    <w:rsid w:val="00CC66D5"/>
    <w:rsid w:val="00CC6B5F"/>
    <w:rsid w:val="00CD1AF7"/>
    <w:rsid w:val="00CD2DB8"/>
    <w:rsid w:val="00CD3400"/>
    <w:rsid w:val="00CD35CC"/>
    <w:rsid w:val="00CD3B20"/>
    <w:rsid w:val="00CD3C0E"/>
    <w:rsid w:val="00CD3C26"/>
    <w:rsid w:val="00CD3DA3"/>
    <w:rsid w:val="00CD3F30"/>
    <w:rsid w:val="00CD4389"/>
    <w:rsid w:val="00CD518F"/>
    <w:rsid w:val="00CD659C"/>
    <w:rsid w:val="00CD66E3"/>
    <w:rsid w:val="00CD6E24"/>
    <w:rsid w:val="00CD73FF"/>
    <w:rsid w:val="00CD7552"/>
    <w:rsid w:val="00CD7799"/>
    <w:rsid w:val="00CD79BB"/>
    <w:rsid w:val="00CE043D"/>
    <w:rsid w:val="00CE0639"/>
    <w:rsid w:val="00CE180C"/>
    <w:rsid w:val="00CE1A68"/>
    <w:rsid w:val="00CE22D7"/>
    <w:rsid w:val="00CE26F7"/>
    <w:rsid w:val="00CE2864"/>
    <w:rsid w:val="00CE2CD7"/>
    <w:rsid w:val="00CE3128"/>
    <w:rsid w:val="00CE3AFB"/>
    <w:rsid w:val="00CE3BDB"/>
    <w:rsid w:val="00CE4282"/>
    <w:rsid w:val="00CE45EC"/>
    <w:rsid w:val="00CE4ED2"/>
    <w:rsid w:val="00CE6045"/>
    <w:rsid w:val="00CE629C"/>
    <w:rsid w:val="00CE7790"/>
    <w:rsid w:val="00CE77FC"/>
    <w:rsid w:val="00CE7AC0"/>
    <w:rsid w:val="00CF05AD"/>
    <w:rsid w:val="00CF0B3D"/>
    <w:rsid w:val="00CF0DAF"/>
    <w:rsid w:val="00CF1678"/>
    <w:rsid w:val="00CF1C8A"/>
    <w:rsid w:val="00CF1E9B"/>
    <w:rsid w:val="00CF2B10"/>
    <w:rsid w:val="00CF2E91"/>
    <w:rsid w:val="00CF3230"/>
    <w:rsid w:val="00CF34FB"/>
    <w:rsid w:val="00CF3BB0"/>
    <w:rsid w:val="00CF3C58"/>
    <w:rsid w:val="00CF58B8"/>
    <w:rsid w:val="00CF5C78"/>
    <w:rsid w:val="00CF6796"/>
    <w:rsid w:val="00CF7ED6"/>
    <w:rsid w:val="00CF7F96"/>
    <w:rsid w:val="00D001C8"/>
    <w:rsid w:val="00D004B1"/>
    <w:rsid w:val="00D00625"/>
    <w:rsid w:val="00D00C1A"/>
    <w:rsid w:val="00D01638"/>
    <w:rsid w:val="00D02D7F"/>
    <w:rsid w:val="00D02EFE"/>
    <w:rsid w:val="00D03087"/>
    <w:rsid w:val="00D03168"/>
    <w:rsid w:val="00D031F7"/>
    <w:rsid w:val="00D03796"/>
    <w:rsid w:val="00D03F56"/>
    <w:rsid w:val="00D03FBE"/>
    <w:rsid w:val="00D04920"/>
    <w:rsid w:val="00D04E78"/>
    <w:rsid w:val="00D05203"/>
    <w:rsid w:val="00D056B9"/>
    <w:rsid w:val="00D0595F"/>
    <w:rsid w:val="00D05D46"/>
    <w:rsid w:val="00D0623B"/>
    <w:rsid w:val="00D0793C"/>
    <w:rsid w:val="00D07A29"/>
    <w:rsid w:val="00D10488"/>
    <w:rsid w:val="00D10FA0"/>
    <w:rsid w:val="00D11512"/>
    <w:rsid w:val="00D1170D"/>
    <w:rsid w:val="00D11988"/>
    <w:rsid w:val="00D1199F"/>
    <w:rsid w:val="00D119CB"/>
    <w:rsid w:val="00D121D8"/>
    <w:rsid w:val="00D12A58"/>
    <w:rsid w:val="00D133B3"/>
    <w:rsid w:val="00D13641"/>
    <w:rsid w:val="00D143FB"/>
    <w:rsid w:val="00D1605A"/>
    <w:rsid w:val="00D16D5F"/>
    <w:rsid w:val="00D20396"/>
    <w:rsid w:val="00D20658"/>
    <w:rsid w:val="00D20FA9"/>
    <w:rsid w:val="00D21DD7"/>
    <w:rsid w:val="00D21E69"/>
    <w:rsid w:val="00D22193"/>
    <w:rsid w:val="00D22194"/>
    <w:rsid w:val="00D22489"/>
    <w:rsid w:val="00D225FF"/>
    <w:rsid w:val="00D226B6"/>
    <w:rsid w:val="00D227B7"/>
    <w:rsid w:val="00D23A3B"/>
    <w:rsid w:val="00D23FB6"/>
    <w:rsid w:val="00D244BC"/>
    <w:rsid w:val="00D24625"/>
    <w:rsid w:val="00D24B7F"/>
    <w:rsid w:val="00D25B12"/>
    <w:rsid w:val="00D25E8D"/>
    <w:rsid w:val="00D25F55"/>
    <w:rsid w:val="00D25FC4"/>
    <w:rsid w:val="00D27CE3"/>
    <w:rsid w:val="00D30A77"/>
    <w:rsid w:val="00D3100E"/>
    <w:rsid w:val="00D31038"/>
    <w:rsid w:val="00D31B25"/>
    <w:rsid w:val="00D31C6F"/>
    <w:rsid w:val="00D31EAE"/>
    <w:rsid w:val="00D3223C"/>
    <w:rsid w:val="00D3293D"/>
    <w:rsid w:val="00D333BE"/>
    <w:rsid w:val="00D33A99"/>
    <w:rsid w:val="00D33EE5"/>
    <w:rsid w:val="00D34A9C"/>
    <w:rsid w:val="00D3507E"/>
    <w:rsid w:val="00D354EC"/>
    <w:rsid w:val="00D362BC"/>
    <w:rsid w:val="00D41C99"/>
    <w:rsid w:val="00D41CC9"/>
    <w:rsid w:val="00D436FA"/>
    <w:rsid w:val="00D44216"/>
    <w:rsid w:val="00D456EA"/>
    <w:rsid w:val="00D45DDA"/>
    <w:rsid w:val="00D46486"/>
    <w:rsid w:val="00D46605"/>
    <w:rsid w:val="00D46F23"/>
    <w:rsid w:val="00D475BD"/>
    <w:rsid w:val="00D50195"/>
    <w:rsid w:val="00D50B10"/>
    <w:rsid w:val="00D50B44"/>
    <w:rsid w:val="00D51335"/>
    <w:rsid w:val="00D5143B"/>
    <w:rsid w:val="00D515AD"/>
    <w:rsid w:val="00D51A2F"/>
    <w:rsid w:val="00D51EE9"/>
    <w:rsid w:val="00D52BEB"/>
    <w:rsid w:val="00D52CC9"/>
    <w:rsid w:val="00D53C36"/>
    <w:rsid w:val="00D53CE6"/>
    <w:rsid w:val="00D55255"/>
    <w:rsid w:val="00D55CEA"/>
    <w:rsid w:val="00D56236"/>
    <w:rsid w:val="00D56541"/>
    <w:rsid w:val="00D56761"/>
    <w:rsid w:val="00D569A6"/>
    <w:rsid w:val="00D60305"/>
    <w:rsid w:val="00D6097E"/>
    <w:rsid w:val="00D619A9"/>
    <w:rsid w:val="00D61E7E"/>
    <w:rsid w:val="00D62550"/>
    <w:rsid w:val="00D62628"/>
    <w:rsid w:val="00D62642"/>
    <w:rsid w:val="00D62F9A"/>
    <w:rsid w:val="00D63AFE"/>
    <w:rsid w:val="00D63E99"/>
    <w:rsid w:val="00D64A06"/>
    <w:rsid w:val="00D64B9B"/>
    <w:rsid w:val="00D654B1"/>
    <w:rsid w:val="00D65FAB"/>
    <w:rsid w:val="00D67DAA"/>
    <w:rsid w:val="00D70469"/>
    <w:rsid w:val="00D70D60"/>
    <w:rsid w:val="00D70F3F"/>
    <w:rsid w:val="00D72634"/>
    <w:rsid w:val="00D73681"/>
    <w:rsid w:val="00D73783"/>
    <w:rsid w:val="00D73BD4"/>
    <w:rsid w:val="00D76357"/>
    <w:rsid w:val="00D768D6"/>
    <w:rsid w:val="00D76AA9"/>
    <w:rsid w:val="00D77572"/>
    <w:rsid w:val="00D77A8D"/>
    <w:rsid w:val="00D77B9B"/>
    <w:rsid w:val="00D77D25"/>
    <w:rsid w:val="00D8107B"/>
    <w:rsid w:val="00D816F8"/>
    <w:rsid w:val="00D819D8"/>
    <w:rsid w:val="00D82591"/>
    <w:rsid w:val="00D83059"/>
    <w:rsid w:val="00D834AA"/>
    <w:rsid w:val="00D85CDD"/>
    <w:rsid w:val="00D86AD6"/>
    <w:rsid w:val="00D870A2"/>
    <w:rsid w:val="00D87144"/>
    <w:rsid w:val="00D879E0"/>
    <w:rsid w:val="00D911CA"/>
    <w:rsid w:val="00D91844"/>
    <w:rsid w:val="00D91847"/>
    <w:rsid w:val="00D91CCD"/>
    <w:rsid w:val="00D92491"/>
    <w:rsid w:val="00D92835"/>
    <w:rsid w:val="00D9352F"/>
    <w:rsid w:val="00D93699"/>
    <w:rsid w:val="00D93EDA"/>
    <w:rsid w:val="00D94607"/>
    <w:rsid w:val="00D94AF6"/>
    <w:rsid w:val="00D95078"/>
    <w:rsid w:val="00D95616"/>
    <w:rsid w:val="00D9568A"/>
    <w:rsid w:val="00D9595D"/>
    <w:rsid w:val="00D959CE"/>
    <w:rsid w:val="00D95B94"/>
    <w:rsid w:val="00D95D56"/>
    <w:rsid w:val="00D963A1"/>
    <w:rsid w:val="00D9671C"/>
    <w:rsid w:val="00D96FB5"/>
    <w:rsid w:val="00D97C36"/>
    <w:rsid w:val="00DA0974"/>
    <w:rsid w:val="00DA0F84"/>
    <w:rsid w:val="00DA10F6"/>
    <w:rsid w:val="00DA170B"/>
    <w:rsid w:val="00DA1C7C"/>
    <w:rsid w:val="00DA2B2E"/>
    <w:rsid w:val="00DA2E61"/>
    <w:rsid w:val="00DA3A0A"/>
    <w:rsid w:val="00DA3F86"/>
    <w:rsid w:val="00DA446A"/>
    <w:rsid w:val="00DA4616"/>
    <w:rsid w:val="00DA5405"/>
    <w:rsid w:val="00DA6CF3"/>
    <w:rsid w:val="00DA6D69"/>
    <w:rsid w:val="00DA72A1"/>
    <w:rsid w:val="00DB191B"/>
    <w:rsid w:val="00DB21F4"/>
    <w:rsid w:val="00DB21F6"/>
    <w:rsid w:val="00DB2AE1"/>
    <w:rsid w:val="00DB2B0E"/>
    <w:rsid w:val="00DB2B1F"/>
    <w:rsid w:val="00DB30A4"/>
    <w:rsid w:val="00DB3D9E"/>
    <w:rsid w:val="00DB3E17"/>
    <w:rsid w:val="00DB3E97"/>
    <w:rsid w:val="00DB4078"/>
    <w:rsid w:val="00DB4CE3"/>
    <w:rsid w:val="00DB5470"/>
    <w:rsid w:val="00DB5938"/>
    <w:rsid w:val="00DB7164"/>
    <w:rsid w:val="00DC0CD0"/>
    <w:rsid w:val="00DC1114"/>
    <w:rsid w:val="00DC124F"/>
    <w:rsid w:val="00DC22D8"/>
    <w:rsid w:val="00DC2EE3"/>
    <w:rsid w:val="00DC3465"/>
    <w:rsid w:val="00DC482F"/>
    <w:rsid w:val="00DC5757"/>
    <w:rsid w:val="00DC5A8B"/>
    <w:rsid w:val="00DC6295"/>
    <w:rsid w:val="00DC63C9"/>
    <w:rsid w:val="00DC75AB"/>
    <w:rsid w:val="00DC7B29"/>
    <w:rsid w:val="00DD04DF"/>
    <w:rsid w:val="00DD0A75"/>
    <w:rsid w:val="00DD0DFF"/>
    <w:rsid w:val="00DD11E8"/>
    <w:rsid w:val="00DD317D"/>
    <w:rsid w:val="00DD38D1"/>
    <w:rsid w:val="00DD4595"/>
    <w:rsid w:val="00DD4964"/>
    <w:rsid w:val="00DD5268"/>
    <w:rsid w:val="00DD528B"/>
    <w:rsid w:val="00DD570F"/>
    <w:rsid w:val="00DD5C34"/>
    <w:rsid w:val="00DD6A32"/>
    <w:rsid w:val="00DD71B1"/>
    <w:rsid w:val="00DD727F"/>
    <w:rsid w:val="00DD7299"/>
    <w:rsid w:val="00DE0083"/>
    <w:rsid w:val="00DE065B"/>
    <w:rsid w:val="00DE0B75"/>
    <w:rsid w:val="00DE0E67"/>
    <w:rsid w:val="00DE10D7"/>
    <w:rsid w:val="00DE2672"/>
    <w:rsid w:val="00DE37D1"/>
    <w:rsid w:val="00DE37DD"/>
    <w:rsid w:val="00DE43BF"/>
    <w:rsid w:val="00DE47BA"/>
    <w:rsid w:val="00DE4A24"/>
    <w:rsid w:val="00DE59DC"/>
    <w:rsid w:val="00DE6849"/>
    <w:rsid w:val="00DE7364"/>
    <w:rsid w:val="00DE73A9"/>
    <w:rsid w:val="00DF031A"/>
    <w:rsid w:val="00DF0FB8"/>
    <w:rsid w:val="00DF1708"/>
    <w:rsid w:val="00DF19F7"/>
    <w:rsid w:val="00DF1B31"/>
    <w:rsid w:val="00DF1CE4"/>
    <w:rsid w:val="00DF3955"/>
    <w:rsid w:val="00DF3C83"/>
    <w:rsid w:val="00DF4AA5"/>
    <w:rsid w:val="00DF61C6"/>
    <w:rsid w:val="00DF72DB"/>
    <w:rsid w:val="00DF7743"/>
    <w:rsid w:val="00E00EA0"/>
    <w:rsid w:val="00E01C0D"/>
    <w:rsid w:val="00E01CA3"/>
    <w:rsid w:val="00E0322E"/>
    <w:rsid w:val="00E032DB"/>
    <w:rsid w:val="00E036E8"/>
    <w:rsid w:val="00E0375E"/>
    <w:rsid w:val="00E05984"/>
    <w:rsid w:val="00E05A71"/>
    <w:rsid w:val="00E05C83"/>
    <w:rsid w:val="00E0626A"/>
    <w:rsid w:val="00E0691F"/>
    <w:rsid w:val="00E06B28"/>
    <w:rsid w:val="00E074E8"/>
    <w:rsid w:val="00E100DF"/>
    <w:rsid w:val="00E1051E"/>
    <w:rsid w:val="00E10B20"/>
    <w:rsid w:val="00E11E57"/>
    <w:rsid w:val="00E1241F"/>
    <w:rsid w:val="00E1269E"/>
    <w:rsid w:val="00E12722"/>
    <w:rsid w:val="00E13742"/>
    <w:rsid w:val="00E137AD"/>
    <w:rsid w:val="00E13FF9"/>
    <w:rsid w:val="00E146E1"/>
    <w:rsid w:val="00E14B1B"/>
    <w:rsid w:val="00E15208"/>
    <w:rsid w:val="00E16144"/>
    <w:rsid w:val="00E16F42"/>
    <w:rsid w:val="00E16F50"/>
    <w:rsid w:val="00E176ED"/>
    <w:rsid w:val="00E17CAA"/>
    <w:rsid w:val="00E20199"/>
    <w:rsid w:val="00E207FA"/>
    <w:rsid w:val="00E20ABA"/>
    <w:rsid w:val="00E20B05"/>
    <w:rsid w:val="00E21501"/>
    <w:rsid w:val="00E215B2"/>
    <w:rsid w:val="00E23E17"/>
    <w:rsid w:val="00E2442E"/>
    <w:rsid w:val="00E24524"/>
    <w:rsid w:val="00E24596"/>
    <w:rsid w:val="00E24BAD"/>
    <w:rsid w:val="00E24E5D"/>
    <w:rsid w:val="00E250EC"/>
    <w:rsid w:val="00E2716F"/>
    <w:rsid w:val="00E27838"/>
    <w:rsid w:val="00E278D1"/>
    <w:rsid w:val="00E30F32"/>
    <w:rsid w:val="00E317F6"/>
    <w:rsid w:val="00E319EA"/>
    <w:rsid w:val="00E349C9"/>
    <w:rsid w:val="00E352A1"/>
    <w:rsid w:val="00E359BA"/>
    <w:rsid w:val="00E361C2"/>
    <w:rsid w:val="00E3642B"/>
    <w:rsid w:val="00E36E52"/>
    <w:rsid w:val="00E376D5"/>
    <w:rsid w:val="00E37A45"/>
    <w:rsid w:val="00E37AD3"/>
    <w:rsid w:val="00E401E3"/>
    <w:rsid w:val="00E4068C"/>
    <w:rsid w:val="00E40F54"/>
    <w:rsid w:val="00E41450"/>
    <w:rsid w:val="00E417E1"/>
    <w:rsid w:val="00E417E5"/>
    <w:rsid w:val="00E42110"/>
    <w:rsid w:val="00E42326"/>
    <w:rsid w:val="00E42608"/>
    <w:rsid w:val="00E436C0"/>
    <w:rsid w:val="00E450B9"/>
    <w:rsid w:val="00E45892"/>
    <w:rsid w:val="00E462E8"/>
    <w:rsid w:val="00E4663E"/>
    <w:rsid w:val="00E467C1"/>
    <w:rsid w:val="00E468B2"/>
    <w:rsid w:val="00E46BFF"/>
    <w:rsid w:val="00E46D53"/>
    <w:rsid w:val="00E47895"/>
    <w:rsid w:val="00E503E2"/>
    <w:rsid w:val="00E50B6F"/>
    <w:rsid w:val="00E5134A"/>
    <w:rsid w:val="00E514FB"/>
    <w:rsid w:val="00E51980"/>
    <w:rsid w:val="00E52405"/>
    <w:rsid w:val="00E52B10"/>
    <w:rsid w:val="00E53FB0"/>
    <w:rsid w:val="00E54088"/>
    <w:rsid w:val="00E54A54"/>
    <w:rsid w:val="00E54A71"/>
    <w:rsid w:val="00E54D4F"/>
    <w:rsid w:val="00E551FA"/>
    <w:rsid w:val="00E5594D"/>
    <w:rsid w:val="00E55E7B"/>
    <w:rsid w:val="00E5627F"/>
    <w:rsid w:val="00E56422"/>
    <w:rsid w:val="00E56ABC"/>
    <w:rsid w:val="00E57145"/>
    <w:rsid w:val="00E571A7"/>
    <w:rsid w:val="00E572FB"/>
    <w:rsid w:val="00E57360"/>
    <w:rsid w:val="00E60398"/>
    <w:rsid w:val="00E61499"/>
    <w:rsid w:val="00E61E3E"/>
    <w:rsid w:val="00E62175"/>
    <w:rsid w:val="00E6223F"/>
    <w:rsid w:val="00E62A43"/>
    <w:rsid w:val="00E63216"/>
    <w:rsid w:val="00E63308"/>
    <w:rsid w:val="00E63CBD"/>
    <w:rsid w:val="00E642D1"/>
    <w:rsid w:val="00E64586"/>
    <w:rsid w:val="00E649DF"/>
    <w:rsid w:val="00E65D99"/>
    <w:rsid w:val="00E66366"/>
    <w:rsid w:val="00E66426"/>
    <w:rsid w:val="00E66E14"/>
    <w:rsid w:val="00E66F34"/>
    <w:rsid w:val="00E67165"/>
    <w:rsid w:val="00E672CC"/>
    <w:rsid w:val="00E675CA"/>
    <w:rsid w:val="00E6789D"/>
    <w:rsid w:val="00E67956"/>
    <w:rsid w:val="00E67CEB"/>
    <w:rsid w:val="00E67D68"/>
    <w:rsid w:val="00E706DD"/>
    <w:rsid w:val="00E70A2C"/>
    <w:rsid w:val="00E71703"/>
    <w:rsid w:val="00E718B8"/>
    <w:rsid w:val="00E7208B"/>
    <w:rsid w:val="00E72E97"/>
    <w:rsid w:val="00E73914"/>
    <w:rsid w:val="00E7468D"/>
    <w:rsid w:val="00E749DB"/>
    <w:rsid w:val="00E75442"/>
    <w:rsid w:val="00E75CC4"/>
    <w:rsid w:val="00E75D9A"/>
    <w:rsid w:val="00E76F36"/>
    <w:rsid w:val="00E772A6"/>
    <w:rsid w:val="00E775ED"/>
    <w:rsid w:val="00E77E03"/>
    <w:rsid w:val="00E77EAE"/>
    <w:rsid w:val="00E81733"/>
    <w:rsid w:val="00E81747"/>
    <w:rsid w:val="00E833AB"/>
    <w:rsid w:val="00E83A34"/>
    <w:rsid w:val="00E84B04"/>
    <w:rsid w:val="00E84B3F"/>
    <w:rsid w:val="00E84F8D"/>
    <w:rsid w:val="00E85106"/>
    <w:rsid w:val="00E8569D"/>
    <w:rsid w:val="00E86FF6"/>
    <w:rsid w:val="00E87694"/>
    <w:rsid w:val="00E877D4"/>
    <w:rsid w:val="00E877E5"/>
    <w:rsid w:val="00E879AC"/>
    <w:rsid w:val="00E87E33"/>
    <w:rsid w:val="00E90DEF"/>
    <w:rsid w:val="00E91EA5"/>
    <w:rsid w:val="00E922C4"/>
    <w:rsid w:val="00E924B0"/>
    <w:rsid w:val="00E928F6"/>
    <w:rsid w:val="00E92E4D"/>
    <w:rsid w:val="00E94A2D"/>
    <w:rsid w:val="00E94B3D"/>
    <w:rsid w:val="00E94D21"/>
    <w:rsid w:val="00E9574B"/>
    <w:rsid w:val="00E960DC"/>
    <w:rsid w:val="00E96184"/>
    <w:rsid w:val="00E96336"/>
    <w:rsid w:val="00E9686B"/>
    <w:rsid w:val="00E97E7D"/>
    <w:rsid w:val="00EA01A7"/>
    <w:rsid w:val="00EA0889"/>
    <w:rsid w:val="00EA09B1"/>
    <w:rsid w:val="00EA0D49"/>
    <w:rsid w:val="00EA0EE4"/>
    <w:rsid w:val="00EA13C7"/>
    <w:rsid w:val="00EA15F0"/>
    <w:rsid w:val="00EA242B"/>
    <w:rsid w:val="00EA29F4"/>
    <w:rsid w:val="00EA30A2"/>
    <w:rsid w:val="00EA5AB6"/>
    <w:rsid w:val="00EA6359"/>
    <w:rsid w:val="00EA78C6"/>
    <w:rsid w:val="00EA7A56"/>
    <w:rsid w:val="00EA7E83"/>
    <w:rsid w:val="00EB0332"/>
    <w:rsid w:val="00EB1222"/>
    <w:rsid w:val="00EB15A3"/>
    <w:rsid w:val="00EB4421"/>
    <w:rsid w:val="00EB5572"/>
    <w:rsid w:val="00EB5AA9"/>
    <w:rsid w:val="00EB6E6A"/>
    <w:rsid w:val="00EB7A1F"/>
    <w:rsid w:val="00EB7FCD"/>
    <w:rsid w:val="00EC1BB0"/>
    <w:rsid w:val="00EC22AD"/>
    <w:rsid w:val="00EC22D1"/>
    <w:rsid w:val="00EC2564"/>
    <w:rsid w:val="00EC29DD"/>
    <w:rsid w:val="00EC324C"/>
    <w:rsid w:val="00EC3674"/>
    <w:rsid w:val="00EC39F5"/>
    <w:rsid w:val="00EC56A4"/>
    <w:rsid w:val="00EC609B"/>
    <w:rsid w:val="00EC62A9"/>
    <w:rsid w:val="00EC698F"/>
    <w:rsid w:val="00EC7215"/>
    <w:rsid w:val="00EC7B73"/>
    <w:rsid w:val="00EC7E6C"/>
    <w:rsid w:val="00EC7E8D"/>
    <w:rsid w:val="00ED08E6"/>
    <w:rsid w:val="00ED0DC1"/>
    <w:rsid w:val="00ED113D"/>
    <w:rsid w:val="00ED28F7"/>
    <w:rsid w:val="00ED3150"/>
    <w:rsid w:val="00ED3459"/>
    <w:rsid w:val="00ED3950"/>
    <w:rsid w:val="00ED39F3"/>
    <w:rsid w:val="00ED4023"/>
    <w:rsid w:val="00ED42B2"/>
    <w:rsid w:val="00ED47D2"/>
    <w:rsid w:val="00ED4868"/>
    <w:rsid w:val="00ED542A"/>
    <w:rsid w:val="00ED5ADB"/>
    <w:rsid w:val="00ED5ECB"/>
    <w:rsid w:val="00ED6351"/>
    <w:rsid w:val="00ED7A42"/>
    <w:rsid w:val="00ED7F59"/>
    <w:rsid w:val="00EE0512"/>
    <w:rsid w:val="00EE05A2"/>
    <w:rsid w:val="00EE0712"/>
    <w:rsid w:val="00EE09CB"/>
    <w:rsid w:val="00EE1905"/>
    <w:rsid w:val="00EE1C35"/>
    <w:rsid w:val="00EE1D1F"/>
    <w:rsid w:val="00EE2824"/>
    <w:rsid w:val="00EE2BB9"/>
    <w:rsid w:val="00EE320A"/>
    <w:rsid w:val="00EE3609"/>
    <w:rsid w:val="00EE407F"/>
    <w:rsid w:val="00EE535A"/>
    <w:rsid w:val="00EE5F9B"/>
    <w:rsid w:val="00EE6637"/>
    <w:rsid w:val="00EE6D0F"/>
    <w:rsid w:val="00EE7862"/>
    <w:rsid w:val="00EE7C83"/>
    <w:rsid w:val="00EE7E0F"/>
    <w:rsid w:val="00EF0155"/>
    <w:rsid w:val="00EF03D3"/>
    <w:rsid w:val="00EF1F9E"/>
    <w:rsid w:val="00EF2577"/>
    <w:rsid w:val="00EF28AC"/>
    <w:rsid w:val="00EF30FA"/>
    <w:rsid w:val="00EF3526"/>
    <w:rsid w:val="00EF36B1"/>
    <w:rsid w:val="00EF52A0"/>
    <w:rsid w:val="00EF58C4"/>
    <w:rsid w:val="00EF5A43"/>
    <w:rsid w:val="00EF5A9C"/>
    <w:rsid w:val="00EF6EDC"/>
    <w:rsid w:val="00EF72B0"/>
    <w:rsid w:val="00EF7F7C"/>
    <w:rsid w:val="00F0084F"/>
    <w:rsid w:val="00F009AE"/>
    <w:rsid w:val="00F0154E"/>
    <w:rsid w:val="00F02618"/>
    <w:rsid w:val="00F02865"/>
    <w:rsid w:val="00F04498"/>
    <w:rsid w:val="00F04DFE"/>
    <w:rsid w:val="00F06B6C"/>
    <w:rsid w:val="00F10884"/>
    <w:rsid w:val="00F11098"/>
    <w:rsid w:val="00F115DE"/>
    <w:rsid w:val="00F11AB0"/>
    <w:rsid w:val="00F12B2A"/>
    <w:rsid w:val="00F12FFA"/>
    <w:rsid w:val="00F13FDB"/>
    <w:rsid w:val="00F1467D"/>
    <w:rsid w:val="00F14DC9"/>
    <w:rsid w:val="00F14E1A"/>
    <w:rsid w:val="00F14ECA"/>
    <w:rsid w:val="00F150EF"/>
    <w:rsid w:val="00F1585A"/>
    <w:rsid w:val="00F1630A"/>
    <w:rsid w:val="00F176D8"/>
    <w:rsid w:val="00F17ACA"/>
    <w:rsid w:val="00F206E4"/>
    <w:rsid w:val="00F20D99"/>
    <w:rsid w:val="00F21807"/>
    <w:rsid w:val="00F21927"/>
    <w:rsid w:val="00F221B6"/>
    <w:rsid w:val="00F22A24"/>
    <w:rsid w:val="00F231D6"/>
    <w:rsid w:val="00F23357"/>
    <w:rsid w:val="00F240DE"/>
    <w:rsid w:val="00F24DB3"/>
    <w:rsid w:val="00F24F9A"/>
    <w:rsid w:val="00F25388"/>
    <w:rsid w:val="00F2543D"/>
    <w:rsid w:val="00F255B6"/>
    <w:rsid w:val="00F25950"/>
    <w:rsid w:val="00F25A7E"/>
    <w:rsid w:val="00F26007"/>
    <w:rsid w:val="00F26D02"/>
    <w:rsid w:val="00F26FB0"/>
    <w:rsid w:val="00F27010"/>
    <w:rsid w:val="00F2703C"/>
    <w:rsid w:val="00F279BD"/>
    <w:rsid w:val="00F279CA"/>
    <w:rsid w:val="00F30656"/>
    <w:rsid w:val="00F30671"/>
    <w:rsid w:val="00F314C4"/>
    <w:rsid w:val="00F31AB8"/>
    <w:rsid w:val="00F31B26"/>
    <w:rsid w:val="00F32332"/>
    <w:rsid w:val="00F32C2C"/>
    <w:rsid w:val="00F334AA"/>
    <w:rsid w:val="00F336BC"/>
    <w:rsid w:val="00F33D78"/>
    <w:rsid w:val="00F364CD"/>
    <w:rsid w:val="00F36CAB"/>
    <w:rsid w:val="00F37732"/>
    <w:rsid w:val="00F37B6B"/>
    <w:rsid w:val="00F408EB"/>
    <w:rsid w:val="00F40F24"/>
    <w:rsid w:val="00F41990"/>
    <w:rsid w:val="00F41F2B"/>
    <w:rsid w:val="00F4215B"/>
    <w:rsid w:val="00F4216F"/>
    <w:rsid w:val="00F42782"/>
    <w:rsid w:val="00F42A56"/>
    <w:rsid w:val="00F42C23"/>
    <w:rsid w:val="00F42F76"/>
    <w:rsid w:val="00F43166"/>
    <w:rsid w:val="00F433A5"/>
    <w:rsid w:val="00F44589"/>
    <w:rsid w:val="00F45870"/>
    <w:rsid w:val="00F45E14"/>
    <w:rsid w:val="00F46E9B"/>
    <w:rsid w:val="00F472EF"/>
    <w:rsid w:val="00F47FA1"/>
    <w:rsid w:val="00F50050"/>
    <w:rsid w:val="00F50519"/>
    <w:rsid w:val="00F50B68"/>
    <w:rsid w:val="00F51CE1"/>
    <w:rsid w:val="00F5309F"/>
    <w:rsid w:val="00F54243"/>
    <w:rsid w:val="00F54EDD"/>
    <w:rsid w:val="00F55690"/>
    <w:rsid w:val="00F559E4"/>
    <w:rsid w:val="00F56010"/>
    <w:rsid w:val="00F56CF3"/>
    <w:rsid w:val="00F57589"/>
    <w:rsid w:val="00F57F00"/>
    <w:rsid w:val="00F616B3"/>
    <w:rsid w:val="00F618E5"/>
    <w:rsid w:val="00F61C14"/>
    <w:rsid w:val="00F62B9F"/>
    <w:rsid w:val="00F6332F"/>
    <w:rsid w:val="00F6422F"/>
    <w:rsid w:val="00F65233"/>
    <w:rsid w:val="00F6532F"/>
    <w:rsid w:val="00F6616A"/>
    <w:rsid w:val="00F67017"/>
    <w:rsid w:val="00F707C8"/>
    <w:rsid w:val="00F7164A"/>
    <w:rsid w:val="00F7186F"/>
    <w:rsid w:val="00F71AF3"/>
    <w:rsid w:val="00F71FDE"/>
    <w:rsid w:val="00F72618"/>
    <w:rsid w:val="00F7307D"/>
    <w:rsid w:val="00F734D5"/>
    <w:rsid w:val="00F739C3"/>
    <w:rsid w:val="00F73FA6"/>
    <w:rsid w:val="00F744F1"/>
    <w:rsid w:val="00F7451F"/>
    <w:rsid w:val="00F748C8"/>
    <w:rsid w:val="00F75A95"/>
    <w:rsid w:val="00F75DFE"/>
    <w:rsid w:val="00F7616A"/>
    <w:rsid w:val="00F762C3"/>
    <w:rsid w:val="00F76759"/>
    <w:rsid w:val="00F76CAE"/>
    <w:rsid w:val="00F77267"/>
    <w:rsid w:val="00F80016"/>
    <w:rsid w:val="00F81171"/>
    <w:rsid w:val="00F819C2"/>
    <w:rsid w:val="00F81B07"/>
    <w:rsid w:val="00F82210"/>
    <w:rsid w:val="00F82D3D"/>
    <w:rsid w:val="00F834E5"/>
    <w:rsid w:val="00F839C3"/>
    <w:rsid w:val="00F83FA4"/>
    <w:rsid w:val="00F84929"/>
    <w:rsid w:val="00F8534B"/>
    <w:rsid w:val="00F85AF8"/>
    <w:rsid w:val="00F86BF7"/>
    <w:rsid w:val="00F87319"/>
    <w:rsid w:val="00F87DEF"/>
    <w:rsid w:val="00F90ECD"/>
    <w:rsid w:val="00F91048"/>
    <w:rsid w:val="00F9241E"/>
    <w:rsid w:val="00F931C9"/>
    <w:rsid w:val="00F93389"/>
    <w:rsid w:val="00F938F6"/>
    <w:rsid w:val="00F939CA"/>
    <w:rsid w:val="00F93F30"/>
    <w:rsid w:val="00F941D4"/>
    <w:rsid w:val="00F9421D"/>
    <w:rsid w:val="00F9540F"/>
    <w:rsid w:val="00F95636"/>
    <w:rsid w:val="00F9601E"/>
    <w:rsid w:val="00F964BA"/>
    <w:rsid w:val="00F969DB"/>
    <w:rsid w:val="00F977B8"/>
    <w:rsid w:val="00F97B3A"/>
    <w:rsid w:val="00FA0FFB"/>
    <w:rsid w:val="00FA1E90"/>
    <w:rsid w:val="00FA1FE4"/>
    <w:rsid w:val="00FA2778"/>
    <w:rsid w:val="00FA4039"/>
    <w:rsid w:val="00FA4053"/>
    <w:rsid w:val="00FA43C5"/>
    <w:rsid w:val="00FA4A5F"/>
    <w:rsid w:val="00FA6419"/>
    <w:rsid w:val="00FA6F1E"/>
    <w:rsid w:val="00FA6F37"/>
    <w:rsid w:val="00FA7C62"/>
    <w:rsid w:val="00FA7F2A"/>
    <w:rsid w:val="00FA7FA7"/>
    <w:rsid w:val="00FB0432"/>
    <w:rsid w:val="00FB074D"/>
    <w:rsid w:val="00FB0D24"/>
    <w:rsid w:val="00FB0FDA"/>
    <w:rsid w:val="00FB2F29"/>
    <w:rsid w:val="00FB331F"/>
    <w:rsid w:val="00FB3E86"/>
    <w:rsid w:val="00FB5763"/>
    <w:rsid w:val="00FB5846"/>
    <w:rsid w:val="00FB64FF"/>
    <w:rsid w:val="00FB6928"/>
    <w:rsid w:val="00FB6AA8"/>
    <w:rsid w:val="00FC02B2"/>
    <w:rsid w:val="00FC03AF"/>
    <w:rsid w:val="00FC0735"/>
    <w:rsid w:val="00FC0E27"/>
    <w:rsid w:val="00FC1569"/>
    <w:rsid w:val="00FC1876"/>
    <w:rsid w:val="00FC24A9"/>
    <w:rsid w:val="00FC2526"/>
    <w:rsid w:val="00FC298C"/>
    <w:rsid w:val="00FC29F7"/>
    <w:rsid w:val="00FC2C9F"/>
    <w:rsid w:val="00FC2EA5"/>
    <w:rsid w:val="00FC3554"/>
    <w:rsid w:val="00FC4354"/>
    <w:rsid w:val="00FC4FA9"/>
    <w:rsid w:val="00FC58BA"/>
    <w:rsid w:val="00FC7462"/>
    <w:rsid w:val="00FC7AAF"/>
    <w:rsid w:val="00FC7C94"/>
    <w:rsid w:val="00FC7D35"/>
    <w:rsid w:val="00FC7EE6"/>
    <w:rsid w:val="00FD0428"/>
    <w:rsid w:val="00FD0F5C"/>
    <w:rsid w:val="00FD212F"/>
    <w:rsid w:val="00FD24F1"/>
    <w:rsid w:val="00FD27F6"/>
    <w:rsid w:val="00FD2819"/>
    <w:rsid w:val="00FD4038"/>
    <w:rsid w:val="00FD43D2"/>
    <w:rsid w:val="00FD44E0"/>
    <w:rsid w:val="00FD4882"/>
    <w:rsid w:val="00FD4FD4"/>
    <w:rsid w:val="00FD54F6"/>
    <w:rsid w:val="00FD6E63"/>
    <w:rsid w:val="00FD7DA0"/>
    <w:rsid w:val="00FE1358"/>
    <w:rsid w:val="00FE1871"/>
    <w:rsid w:val="00FE1C9B"/>
    <w:rsid w:val="00FE2323"/>
    <w:rsid w:val="00FE2DCC"/>
    <w:rsid w:val="00FE319C"/>
    <w:rsid w:val="00FE4019"/>
    <w:rsid w:val="00FE418F"/>
    <w:rsid w:val="00FE4443"/>
    <w:rsid w:val="00FE49E5"/>
    <w:rsid w:val="00FE4A09"/>
    <w:rsid w:val="00FE4A1D"/>
    <w:rsid w:val="00FE4C43"/>
    <w:rsid w:val="00FE4F93"/>
    <w:rsid w:val="00FE50EE"/>
    <w:rsid w:val="00FE5645"/>
    <w:rsid w:val="00FE6409"/>
    <w:rsid w:val="00FE675D"/>
    <w:rsid w:val="00FE6D01"/>
    <w:rsid w:val="00FE72B0"/>
    <w:rsid w:val="00FE7417"/>
    <w:rsid w:val="00FE7931"/>
    <w:rsid w:val="00FF0029"/>
    <w:rsid w:val="00FF017D"/>
    <w:rsid w:val="00FF09E2"/>
    <w:rsid w:val="00FF15D7"/>
    <w:rsid w:val="00FF215F"/>
    <w:rsid w:val="00FF297B"/>
    <w:rsid w:val="00FF2F89"/>
    <w:rsid w:val="00FF350F"/>
    <w:rsid w:val="00FF382B"/>
    <w:rsid w:val="00FF47B2"/>
    <w:rsid w:val="00FF5814"/>
    <w:rsid w:val="00FF5F40"/>
    <w:rsid w:val="00FF5F67"/>
    <w:rsid w:val="00FF67AA"/>
    <w:rsid w:val="00FF6922"/>
    <w:rsid w:val="00FF6B8C"/>
    <w:rsid w:val="00FF79B2"/>
    <w:rsid w:val="00FF7E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B916F6"/>
  <w15:docId w15:val="{BEDC11A3-BA94-4EC2-87BC-151918B5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5E1F"/>
    <w:pPr>
      <w:spacing w:before="120" w:after="120" w:line="276" w:lineRule="auto"/>
      <w:jc w:val="both"/>
    </w:pPr>
    <w:rPr>
      <w:rFonts w:ascii="Calibri" w:hAnsi="Calibri"/>
      <w:sz w:val="24"/>
      <w:szCs w:val="22"/>
      <w:lang w:eastAsia="en-US"/>
    </w:rPr>
  </w:style>
  <w:style w:type="paragraph" w:styleId="Nadpis1">
    <w:name w:val="heading 1"/>
    <w:basedOn w:val="Odstavecseseznamem"/>
    <w:next w:val="Normln"/>
    <w:link w:val="Nadpis1Char"/>
    <w:uiPriority w:val="9"/>
    <w:qFormat/>
    <w:rsid w:val="0075425A"/>
    <w:pPr>
      <w:keepNext/>
      <w:numPr>
        <w:numId w:val="4"/>
      </w:numPr>
      <w:spacing w:before="480" w:after="240" w:line="240" w:lineRule="auto"/>
      <w:ind w:left="714" w:hanging="357"/>
      <w:jc w:val="left"/>
      <w:outlineLvl w:val="0"/>
    </w:pPr>
    <w:rPr>
      <w:rFonts w:asciiTheme="minorHAnsi" w:hAnsiTheme="minorHAnsi" w:cstheme="minorHAnsi"/>
      <w:b/>
      <w:sz w:val="28"/>
      <w:szCs w:val="28"/>
    </w:rPr>
  </w:style>
  <w:style w:type="paragraph" w:styleId="Nadpis2">
    <w:name w:val="heading 2"/>
    <w:basedOn w:val="Normln"/>
    <w:next w:val="Normln"/>
    <w:link w:val="Nadpis2Char"/>
    <w:rsid w:val="006B5578"/>
    <w:pPr>
      <w:keepNext/>
      <w:spacing w:after="0" w:line="240" w:lineRule="auto"/>
      <w:outlineLvl w:val="1"/>
    </w:pPr>
    <w:rPr>
      <w:rFonts w:ascii="Times New Roman" w:eastAsia="Times New Roman" w:hAnsi="Times New Roman" w:cs="Times New Roman"/>
      <w:szCs w:val="24"/>
      <w:u w:val="single"/>
      <w:lang w:eastAsia="cs-CZ"/>
    </w:rPr>
  </w:style>
  <w:style w:type="paragraph" w:styleId="Nadpis3">
    <w:name w:val="heading 3"/>
    <w:basedOn w:val="Odstavecseseznamem"/>
    <w:next w:val="Normln"/>
    <w:link w:val="Nadpis3Char"/>
    <w:autoRedefine/>
    <w:uiPriority w:val="9"/>
    <w:unhideWhenUsed/>
    <w:qFormat/>
    <w:rsid w:val="008971F5"/>
    <w:pPr>
      <w:keepNext/>
      <w:widowControl w:val="0"/>
      <w:numPr>
        <w:numId w:val="3"/>
      </w:numPr>
      <w:spacing w:before="480" w:line="240" w:lineRule="auto"/>
      <w:ind w:left="357" w:hanging="357"/>
      <w:outlineLvl w:val="2"/>
    </w:pPr>
    <w:rPr>
      <w:b/>
    </w:rPr>
  </w:style>
  <w:style w:type="paragraph" w:styleId="Nadpis4">
    <w:name w:val="heading 4"/>
    <w:basedOn w:val="Odstavecseseznamem"/>
    <w:next w:val="Normln"/>
    <w:link w:val="Nadpis4Char"/>
    <w:uiPriority w:val="9"/>
    <w:unhideWhenUsed/>
    <w:qFormat/>
    <w:rsid w:val="00305B17"/>
    <w:pPr>
      <w:keepNext/>
      <w:numPr>
        <w:ilvl w:val="1"/>
        <w:numId w:val="3"/>
      </w:numPr>
      <w:spacing w:before="240" w:line="240" w:lineRule="auto"/>
      <w:ind w:left="0" w:firstLine="0"/>
      <w:outlineLvl w:val="3"/>
    </w:pPr>
    <w:rPr>
      <w:rFonts w:cstheme="minorHAnsi"/>
      <w:i/>
      <w:u w:val="single"/>
    </w:rPr>
  </w:style>
  <w:style w:type="paragraph" w:styleId="Nadpis5">
    <w:name w:val="heading 5"/>
    <w:basedOn w:val="Normln"/>
    <w:next w:val="Normln"/>
    <w:link w:val="Nadpis5Char"/>
    <w:uiPriority w:val="9"/>
    <w:semiHidden/>
    <w:unhideWhenUsed/>
    <w:rsid w:val="006B5578"/>
    <w:pPr>
      <w:keepNext/>
      <w:keepLines/>
      <w:spacing w:before="200" w:after="0"/>
      <w:outlineLvl w:val="4"/>
    </w:pPr>
    <w:rPr>
      <w:rFonts w:ascii="Cambria" w:eastAsia="Times New Roman" w:hAnsi="Cambria" w:cs="Times New Roman"/>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pis pro KZ,odrážky,List Paragraph (Czech Tourism),List Paragraph1,List Paragraph2,List Paragraph_0,List Paragraph_0_0,List Paragraph_0_0_0,Nad,Nad1,Nad2,Odstavec se seznamem1,Odstavec se seznamem2,Odstavec_muj,Odstavec_muj1"/>
    <w:basedOn w:val="Normln"/>
    <w:link w:val="OdstavecseseznamemChar"/>
    <w:uiPriority w:val="34"/>
    <w:qFormat/>
    <w:rsid w:val="009E6DDF"/>
    <w:pPr>
      <w:spacing w:before="360"/>
      <w:ind w:left="720"/>
      <w:contextualSpacing/>
    </w:pPr>
  </w:style>
  <w:style w:type="paragraph" w:styleId="Textbubliny">
    <w:name w:val="Balloon Text"/>
    <w:basedOn w:val="Normln"/>
    <w:link w:val="TextbublinyChar"/>
    <w:uiPriority w:val="99"/>
    <w:semiHidden/>
    <w:unhideWhenUsed/>
    <w:rsid w:val="00A43EEE"/>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43EEE"/>
    <w:rPr>
      <w:rFonts w:ascii="Tahoma" w:hAnsi="Tahoma" w:cs="Tahoma"/>
      <w:sz w:val="16"/>
      <w:szCs w:val="16"/>
    </w:rPr>
  </w:style>
  <w:style w:type="paragraph" w:styleId="Zhlav">
    <w:name w:val="header"/>
    <w:basedOn w:val="Normln"/>
    <w:link w:val="ZhlavChar"/>
    <w:uiPriority w:val="99"/>
    <w:unhideWhenUsed/>
    <w:rsid w:val="003947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47E5"/>
  </w:style>
  <w:style w:type="paragraph" w:styleId="Zpat">
    <w:name w:val="footer"/>
    <w:basedOn w:val="Normln"/>
    <w:link w:val="ZpatChar"/>
    <w:uiPriority w:val="99"/>
    <w:unhideWhenUsed/>
    <w:rsid w:val="003947E5"/>
    <w:pPr>
      <w:tabs>
        <w:tab w:val="center" w:pos="4536"/>
        <w:tab w:val="right" w:pos="9072"/>
      </w:tabs>
      <w:spacing w:after="0" w:line="240" w:lineRule="auto"/>
    </w:pPr>
  </w:style>
  <w:style w:type="character" w:customStyle="1" w:styleId="ZpatChar">
    <w:name w:val="Zápatí Char"/>
    <w:basedOn w:val="Standardnpsmoodstavce"/>
    <w:link w:val="Zpat"/>
    <w:uiPriority w:val="99"/>
    <w:rsid w:val="003947E5"/>
  </w:style>
  <w:style w:type="character" w:styleId="Odkaznakoment">
    <w:name w:val="annotation reference"/>
    <w:uiPriority w:val="99"/>
    <w:semiHidden/>
    <w:unhideWhenUsed/>
    <w:rsid w:val="00FE72B0"/>
    <w:rPr>
      <w:sz w:val="16"/>
      <w:szCs w:val="16"/>
    </w:rPr>
  </w:style>
  <w:style w:type="paragraph" w:styleId="Textkomente">
    <w:name w:val="annotation text"/>
    <w:basedOn w:val="Normln"/>
    <w:link w:val="TextkomenteChar"/>
    <w:uiPriority w:val="99"/>
    <w:semiHidden/>
    <w:unhideWhenUsed/>
    <w:rsid w:val="00FE72B0"/>
    <w:pPr>
      <w:spacing w:line="240" w:lineRule="auto"/>
    </w:pPr>
    <w:rPr>
      <w:sz w:val="20"/>
      <w:szCs w:val="20"/>
    </w:rPr>
  </w:style>
  <w:style w:type="character" w:customStyle="1" w:styleId="TextkomenteChar">
    <w:name w:val="Text komentáře Char"/>
    <w:link w:val="Textkomente"/>
    <w:uiPriority w:val="99"/>
    <w:semiHidden/>
    <w:rsid w:val="00FE72B0"/>
    <w:rPr>
      <w:sz w:val="20"/>
      <w:szCs w:val="20"/>
    </w:rPr>
  </w:style>
  <w:style w:type="paragraph" w:styleId="Pedmtkomente">
    <w:name w:val="annotation subject"/>
    <w:basedOn w:val="Textkomente"/>
    <w:next w:val="Textkomente"/>
    <w:link w:val="PedmtkomenteChar"/>
    <w:uiPriority w:val="99"/>
    <w:semiHidden/>
    <w:unhideWhenUsed/>
    <w:rsid w:val="00FE72B0"/>
    <w:rPr>
      <w:b/>
      <w:bCs/>
    </w:rPr>
  </w:style>
  <w:style w:type="character" w:customStyle="1" w:styleId="PedmtkomenteChar">
    <w:name w:val="Předmět komentáře Char"/>
    <w:link w:val="Pedmtkomente"/>
    <w:uiPriority w:val="99"/>
    <w:semiHidden/>
    <w:rsid w:val="00FE72B0"/>
    <w:rPr>
      <w:b/>
      <w:bCs/>
      <w:sz w:val="20"/>
      <w:szCs w:val="20"/>
    </w:rPr>
  </w:style>
  <w:style w:type="table" w:styleId="Mkatabulky">
    <w:name w:val="Table Grid"/>
    <w:basedOn w:val="Normlntabulka"/>
    <w:uiPriority w:val="39"/>
    <w:rsid w:val="007B6E8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pis pro KZ Char,odrážky Char,List Paragraph (Czech Tourism) Char,List Paragraph1 Char,List Paragraph2 Char,List Paragraph_0 Char,List Paragraph_0_0 Char,List Paragraph_0_0_0 Char,Nad Char,Nad1 Char,Nad2 Char"/>
    <w:link w:val="Odstavecseseznamem"/>
    <w:uiPriority w:val="34"/>
    <w:locked/>
    <w:rsid w:val="009E6DDF"/>
    <w:rPr>
      <w:rFonts w:ascii="Calibri" w:hAnsi="Calibri"/>
      <w:sz w:val="24"/>
      <w:szCs w:val="22"/>
      <w:lang w:eastAsia="en-US"/>
    </w:rPr>
  </w:style>
  <w:style w:type="paragraph" w:styleId="Textvysvtlivek">
    <w:name w:val="endnote text"/>
    <w:basedOn w:val="Normln"/>
    <w:link w:val="TextvysvtlivekChar"/>
    <w:uiPriority w:val="99"/>
    <w:semiHidden/>
    <w:unhideWhenUsed/>
    <w:rsid w:val="00E05984"/>
    <w:pPr>
      <w:spacing w:after="0" w:line="240" w:lineRule="auto"/>
    </w:pPr>
    <w:rPr>
      <w:sz w:val="20"/>
      <w:szCs w:val="20"/>
    </w:rPr>
  </w:style>
  <w:style w:type="character" w:customStyle="1" w:styleId="TextvysvtlivekChar">
    <w:name w:val="Text vysvětlivek Char"/>
    <w:link w:val="Textvysvtlivek"/>
    <w:uiPriority w:val="99"/>
    <w:semiHidden/>
    <w:rsid w:val="00E05984"/>
    <w:rPr>
      <w:sz w:val="20"/>
      <w:szCs w:val="20"/>
    </w:rPr>
  </w:style>
  <w:style w:type="character" w:styleId="Odkaznavysvtlivky">
    <w:name w:val="endnote reference"/>
    <w:uiPriority w:val="99"/>
    <w:semiHidden/>
    <w:unhideWhenUsed/>
    <w:rsid w:val="00E05984"/>
    <w:rPr>
      <w:vertAlign w:val="superscript"/>
    </w:rPr>
  </w:style>
  <w:style w:type="paragraph" w:styleId="Textpoznpodarou">
    <w:name w:val="footnote text"/>
    <w:aliases w:val="Text pozn. pod čarou times,Text poznámky pod čiarou 007,Footnote,pozn. pod čarou,Schriftart: 9 pt,Schriftart: 10 pt,Schriftart: 8 pt,Podrozdział,Podrozdzia3,Fußnotentextf,Geneva 9,Font: Geneva 9,Boston 10,f,Poznámky pod čarou"/>
    <w:basedOn w:val="Normln"/>
    <w:link w:val="TextpoznpodarouChar"/>
    <w:uiPriority w:val="99"/>
    <w:unhideWhenUsed/>
    <w:qFormat/>
    <w:rsid w:val="00E05984"/>
    <w:pPr>
      <w:spacing w:after="0" w:line="240" w:lineRule="auto"/>
    </w:pPr>
    <w:rPr>
      <w:sz w:val="20"/>
      <w:szCs w:val="20"/>
    </w:rPr>
  </w:style>
  <w:style w:type="character" w:customStyle="1" w:styleId="TextpoznpodarouChar">
    <w:name w:val="Text pozn. pod čarou Char"/>
    <w:aliases w:val="Text pozn. pod čarou times Char,Text poznámky pod čiarou 007 Char,Footnote Char,pozn. pod čarou Char,Schriftart: 9 pt Char,Schriftart: 10 pt Char,Schriftart: 8 pt Char,Podrozdział Char,Podrozdzia3 Char,Fußnotentextf Char,f Char"/>
    <w:link w:val="Textpoznpodarou"/>
    <w:uiPriority w:val="99"/>
    <w:qFormat/>
    <w:rsid w:val="00E05984"/>
    <w:rPr>
      <w:sz w:val="20"/>
      <w:szCs w:val="20"/>
    </w:rPr>
  </w:style>
  <w:style w:type="character" w:styleId="Znakapoznpodarou">
    <w:name w:val="footnote reference"/>
    <w:aliases w:val="number,PGI Fußnote Ziffer + Times New Roman,12 b.,Zúžené o ...,PGI Fußnote Ziffer,Footnote call,Appel note de bas de p,Appel note de bas de page,BVI fnr,Char Car Car Car Car,Footnote Reference Superscript,Footnote reference number"/>
    <w:link w:val="BVIfnrCharChar"/>
    <w:uiPriority w:val="99"/>
    <w:unhideWhenUsed/>
    <w:qFormat/>
    <w:rsid w:val="00E05984"/>
    <w:rPr>
      <w:vertAlign w:val="superscript"/>
    </w:rPr>
  </w:style>
  <w:style w:type="paragraph" w:styleId="Titulek">
    <w:name w:val="caption"/>
    <w:basedOn w:val="Normln"/>
    <w:next w:val="Normln"/>
    <w:link w:val="TitulekChar"/>
    <w:uiPriority w:val="35"/>
    <w:qFormat/>
    <w:rsid w:val="000E1129"/>
    <w:pPr>
      <w:keepNext/>
      <w:keepLines/>
      <w:framePr w:w="5460" w:hSpace="142" w:wrap="auto" w:vAnchor="text" w:hAnchor="page" w:x="1888" w:y="49"/>
      <w:tabs>
        <w:tab w:val="left" w:pos="2127"/>
        <w:tab w:val="left" w:pos="7797"/>
        <w:tab w:val="left" w:pos="8080"/>
        <w:tab w:val="left" w:pos="8789"/>
      </w:tabs>
      <w:spacing w:after="0" w:line="240" w:lineRule="auto"/>
    </w:pPr>
    <w:rPr>
      <w:rFonts w:ascii="Times New Roman" w:eastAsia="Times New Roman" w:hAnsi="Times New Roman" w:cs="Times New Roman"/>
      <w:b/>
      <w:szCs w:val="20"/>
      <w:lang w:eastAsia="cs-CZ"/>
    </w:rPr>
  </w:style>
  <w:style w:type="paragraph" w:styleId="Bezmezer">
    <w:name w:val="No Spacing"/>
    <w:uiPriority w:val="1"/>
    <w:qFormat/>
    <w:rsid w:val="00905047"/>
    <w:rPr>
      <w:rFonts w:ascii="Calibri" w:hAnsi="Calibri" w:cs="Times New Roman"/>
      <w:sz w:val="22"/>
      <w:szCs w:val="22"/>
      <w:lang w:eastAsia="en-US"/>
    </w:rPr>
  </w:style>
  <w:style w:type="character" w:customStyle="1" w:styleId="Nadpis2Char">
    <w:name w:val="Nadpis 2 Char"/>
    <w:link w:val="Nadpis2"/>
    <w:rsid w:val="006B5578"/>
    <w:rPr>
      <w:rFonts w:ascii="Times New Roman" w:eastAsia="Times New Roman" w:hAnsi="Times New Roman" w:cs="Times New Roman"/>
      <w:sz w:val="24"/>
      <w:szCs w:val="24"/>
      <w:u w:val="single"/>
      <w:lang w:eastAsia="cs-CZ"/>
    </w:rPr>
  </w:style>
  <w:style w:type="paragraph" w:styleId="Zkladntext">
    <w:name w:val="Body Text"/>
    <w:basedOn w:val="Normln"/>
    <w:link w:val="ZkladntextChar"/>
    <w:semiHidden/>
    <w:rsid w:val="006B5578"/>
    <w:pPr>
      <w:spacing w:after="0" w:line="240" w:lineRule="auto"/>
      <w:jc w:val="center"/>
    </w:pPr>
    <w:rPr>
      <w:rFonts w:eastAsia="Times New Roman"/>
      <w:b/>
      <w:bCs/>
      <w:szCs w:val="24"/>
    </w:rPr>
  </w:style>
  <w:style w:type="character" w:customStyle="1" w:styleId="ZkladntextChar">
    <w:name w:val="Základní text Char"/>
    <w:link w:val="Zkladntext"/>
    <w:semiHidden/>
    <w:rsid w:val="006B5578"/>
    <w:rPr>
      <w:rFonts w:eastAsia="Times New Roman"/>
      <w:b/>
      <w:bCs/>
      <w:sz w:val="24"/>
      <w:szCs w:val="24"/>
    </w:rPr>
  </w:style>
  <w:style w:type="paragraph" w:styleId="Zkladntext2">
    <w:name w:val="Body Text 2"/>
    <w:basedOn w:val="Normln"/>
    <w:link w:val="Zkladntext2Char"/>
    <w:uiPriority w:val="99"/>
    <w:semiHidden/>
    <w:unhideWhenUsed/>
    <w:rsid w:val="006B5578"/>
    <w:pPr>
      <w:spacing w:line="480" w:lineRule="auto"/>
    </w:pPr>
  </w:style>
  <w:style w:type="character" w:customStyle="1" w:styleId="Zkladntext2Char">
    <w:name w:val="Základní text 2 Char"/>
    <w:basedOn w:val="Standardnpsmoodstavce"/>
    <w:link w:val="Zkladntext2"/>
    <w:uiPriority w:val="99"/>
    <w:semiHidden/>
    <w:rsid w:val="006B5578"/>
  </w:style>
  <w:style w:type="character" w:customStyle="1" w:styleId="Nadpis1Char">
    <w:name w:val="Nadpis 1 Char"/>
    <w:link w:val="Nadpis1"/>
    <w:uiPriority w:val="9"/>
    <w:rsid w:val="0075425A"/>
    <w:rPr>
      <w:rFonts w:asciiTheme="minorHAnsi" w:hAnsiTheme="minorHAnsi" w:cstheme="minorHAnsi"/>
      <w:b/>
      <w:sz w:val="28"/>
      <w:szCs w:val="28"/>
      <w:lang w:eastAsia="en-US"/>
    </w:rPr>
  </w:style>
  <w:style w:type="character" w:customStyle="1" w:styleId="Nadpis5Char">
    <w:name w:val="Nadpis 5 Char"/>
    <w:link w:val="Nadpis5"/>
    <w:uiPriority w:val="9"/>
    <w:semiHidden/>
    <w:rsid w:val="006B5578"/>
    <w:rPr>
      <w:rFonts w:ascii="Cambria" w:eastAsia="Times New Roman" w:hAnsi="Cambria" w:cs="Times New Roman"/>
      <w:color w:val="243F60"/>
    </w:rPr>
  </w:style>
  <w:style w:type="paragraph" w:customStyle="1" w:styleId="Nadpis22">
    <w:name w:val="Nadpis 2.2"/>
    <w:basedOn w:val="Normln"/>
    <w:rsid w:val="00440849"/>
    <w:pPr>
      <w:numPr>
        <w:numId w:val="2"/>
      </w:numPr>
      <w:spacing w:after="0" w:line="240" w:lineRule="auto"/>
    </w:pPr>
    <w:rPr>
      <w:rFonts w:ascii="Times New Roman" w:eastAsia="Times New Roman" w:hAnsi="Times New Roman" w:cs="Times New Roman"/>
      <w:szCs w:val="24"/>
      <w:lang w:eastAsia="cs-CZ"/>
    </w:rPr>
  </w:style>
  <w:style w:type="paragraph" w:styleId="Nzev">
    <w:name w:val="Title"/>
    <w:basedOn w:val="Normln"/>
    <w:link w:val="NzevChar"/>
    <w:rsid w:val="001A10D9"/>
    <w:pPr>
      <w:autoSpaceDE w:val="0"/>
      <w:autoSpaceDN w:val="0"/>
      <w:adjustRightInd w:val="0"/>
      <w:spacing w:before="100" w:beforeAutospacing="1" w:after="100" w:afterAutospacing="1" w:line="240" w:lineRule="auto"/>
      <w:jc w:val="center"/>
    </w:pPr>
    <w:rPr>
      <w:rFonts w:eastAsia="Times New Roman" w:cs="Times New Roman"/>
      <w:b/>
      <w:bCs/>
      <w:color w:val="000000"/>
      <w:sz w:val="28"/>
      <w:szCs w:val="28"/>
      <w:lang w:val="en-US"/>
    </w:rPr>
  </w:style>
  <w:style w:type="character" w:customStyle="1" w:styleId="NzevChar">
    <w:name w:val="Název Char"/>
    <w:link w:val="Nzev"/>
    <w:rsid w:val="001A10D9"/>
    <w:rPr>
      <w:rFonts w:eastAsia="Times New Roman" w:cs="Times New Roman"/>
      <w:b/>
      <w:bCs/>
      <w:color w:val="000000"/>
      <w:sz w:val="28"/>
      <w:szCs w:val="28"/>
      <w:lang w:val="en-US"/>
    </w:rPr>
  </w:style>
  <w:style w:type="paragraph" w:styleId="Normlnweb">
    <w:name w:val="Normal (Web)"/>
    <w:basedOn w:val="Normln"/>
    <w:uiPriority w:val="99"/>
    <w:rsid w:val="00CB64DC"/>
    <w:pPr>
      <w:spacing w:after="0" w:line="240" w:lineRule="auto"/>
    </w:pPr>
    <w:rPr>
      <w:rFonts w:ascii="Times New Roman" w:eastAsia="Times New Roman" w:hAnsi="Times New Roman" w:cs="Times New Roman"/>
      <w:szCs w:val="24"/>
    </w:rPr>
  </w:style>
  <w:style w:type="character" w:styleId="Siln">
    <w:name w:val="Strong"/>
    <w:uiPriority w:val="22"/>
    <w:qFormat/>
    <w:rsid w:val="009220FD"/>
    <w:rPr>
      <w:b/>
      <w:bCs/>
    </w:rPr>
  </w:style>
  <w:style w:type="paragraph" w:styleId="Revize">
    <w:name w:val="Revision"/>
    <w:hidden/>
    <w:uiPriority w:val="99"/>
    <w:semiHidden/>
    <w:rsid w:val="00B05B49"/>
    <w:rPr>
      <w:sz w:val="22"/>
      <w:szCs w:val="22"/>
      <w:lang w:eastAsia="en-US"/>
    </w:rPr>
  </w:style>
  <w:style w:type="character" w:styleId="Hypertextovodkaz">
    <w:name w:val="Hyperlink"/>
    <w:uiPriority w:val="99"/>
    <w:unhideWhenUsed/>
    <w:rsid w:val="004228F4"/>
    <w:rPr>
      <w:color w:val="0000FF"/>
      <w:u w:val="single"/>
    </w:rPr>
  </w:style>
  <w:style w:type="character" w:styleId="Sledovanodkaz">
    <w:name w:val="FollowedHyperlink"/>
    <w:uiPriority w:val="99"/>
    <w:semiHidden/>
    <w:unhideWhenUsed/>
    <w:rsid w:val="00655CEF"/>
    <w:rPr>
      <w:color w:val="800080"/>
      <w:u w:val="single"/>
    </w:rPr>
  </w:style>
  <w:style w:type="paragraph" w:customStyle="1" w:styleId="Pa25">
    <w:name w:val="Pa25"/>
    <w:basedOn w:val="Normln"/>
    <w:next w:val="Normln"/>
    <w:uiPriority w:val="99"/>
    <w:rsid w:val="009C56DA"/>
    <w:pPr>
      <w:autoSpaceDE w:val="0"/>
      <w:autoSpaceDN w:val="0"/>
      <w:adjustRightInd w:val="0"/>
      <w:spacing w:after="0" w:line="211" w:lineRule="atLeast"/>
    </w:pPr>
    <w:rPr>
      <w:rFonts w:cs="Times New Roman"/>
      <w:szCs w:val="24"/>
    </w:rPr>
  </w:style>
  <w:style w:type="paragraph" w:customStyle="1" w:styleId="Default">
    <w:name w:val="Default"/>
    <w:rsid w:val="00613B5E"/>
    <w:pPr>
      <w:autoSpaceDE w:val="0"/>
      <w:autoSpaceDN w:val="0"/>
      <w:adjustRightInd w:val="0"/>
    </w:pPr>
    <w:rPr>
      <w:rFonts w:eastAsia="Times New Roman"/>
      <w:color w:val="000000"/>
      <w:sz w:val="24"/>
      <w:szCs w:val="24"/>
    </w:rPr>
  </w:style>
  <w:style w:type="character" w:customStyle="1" w:styleId="Nadpis3Char">
    <w:name w:val="Nadpis 3 Char"/>
    <w:basedOn w:val="Standardnpsmoodstavce"/>
    <w:link w:val="Nadpis3"/>
    <w:uiPriority w:val="9"/>
    <w:rsid w:val="008971F5"/>
    <w:rPr>
      <w:rFonts w:ascii="Calibri" w:hAnsi="Calibri"/>
      <w:b/>
      <w:sz w:val="24"/>
      <w:szCs w:val="22"/>
      <w:lang w:eastAsia="en-US"/>
    </w:rPr>
  </w:style>
  <w:style w:type="character" w:customStyle="1" w:styleId="Nadpis4Char">
    <w:name w:val="Nadpis 4 Char"/>
    <w:basedOn w:val="Standardnpsmoodstavce"/>
    <w:link w:val="Nadpis4"/>
    <w:uiPriority w:val="9"/>
    <w:rsid w:val="00305B17"/>
    <w:rPr>
      <w:rFonts w:ascii="Calibri" w:hAnsi="Calibri" w:cstheme="minorHAnsi"/>
      <w:i/>
      <w:sz w:val="24"/>
      <w:szCs w:val="22"/>
      <w:u w:val="single"/>
      <w:lang w:eastAsia="en-US"/>
    </w:rPr>
  </w:style>
  <w:style w:type="paragraph" w:customStyle="1" w:styleId="Pramen">
    <w:name w:val="Pramen"/>
    <w:next w:val="Normln"/>
    <w:link w:val="PramenChar"/>
    <w:autoRedefine/>
    <w:rsid w:val="00203413"/>
    <w:pPr>
      <w:jc w:val="both"/>
    </w:pPr>
    <w:rPr>
      <w:rFonts w:asciiTheme="minorHAnsi" w:eastAsia="MS Mincho" w:hAnsiTheme="minorHAnsi" w:cstheme="minorHAnsi"/>
      <w:iCs/>
      <w:sz w:val="22"/>
      <w:szCs w:val="22"/>
    </w:rPr>
  </w:style>
  <w:style w:type="character" w:customStyle="1" w:styleId="PramenChar">
    <w:name w:val="Pramen Char"/>
    <w:link w:val="Pramen"/>
    <w:rsid w:val="00203413"/>
    <w:rPr>
      <w:rFonts w:asciiTheme="minorHAnsi" w:eastAsia="MS Mincho" w:hAnsiTheme="minorHAnsi" w:cstheme="minorHAnsi"/>
      <w:iCs/>
      <w:sz w:val="22"/>
      <w:szCs w:val="22"/>
    </w:rPr>
  </w:style>
  <w:style w:type="paragraph" w:customStyle="1" w:styleId="Styl2">
    <w:name w:val="Styl2"/>
    <w:basedOn w:val="Odstavecseseznamem"/>
    <w:link w:val="Styl2Char"/>
    <w:rsid w:val="00F21927"/>
    <w:pPr>
      <w:numPr>
        <w:numId w:val="6"/>
      </w:numPr>
      <w:spacing w:after="0" w:line="259" w:lineRule="auto"/>
      <w:jc w:val="left"/>
    </w:pPr>
    <w:rPr>
      <w:rFonts w:asciiTheme="minorHAnsi" w:eastAsiaTheme="minorHAnsi" w:hAnsiTheme="minorHAnsi" w:cstheme="minorBidi"/>
      <w:b/>
      <w:color w:val="365F91" w:themeColor="accent1" w:themeShade="BF"/>
      <w:szCs w:val="24"/>
    </w:rPr>
  </w:style>
  <w:style w:type="character" w:customStyle="1" w:styleId="Styl2Char">
    <w:name w:val="Styl2 Char"/>
    <w:basedOn w:val="OdstavecseseznamemChar"/>
    <w:link w:val="Styl2"/>
    <w:rsid w:val="00F21927"/>
    <w:rPr>
      <w:rFonts w:asciiTheme="minorHAnsi" w:eastAsiaTheme="minorHAnsi" w:hAnsiTheme="minorHAnsi" w:cstheme="minorBidi"/>
      <w:b/>
      <w:color w:val="365F91" w:themeColor="accent1" w:themeShade="BF"/>
      <w:sz w:val="24"/>
      <w:szCs w:val="24"/>
      <w:lang w:eastAsia="en-US"/>
    </w:rPr>
  </w:style>
  <w:style w:type="paragraph" w:styleId="Podnadpis">
    <w:name w:val="Subtitle"/>
    <w:basedOn w:val="Normln"/>
    <w:next w:val="Normln"/>
    <w:link w:val="PodnadpisChar"/>
    <w:uiPriority w:val="11"/>
    <w:rsid w:val="00F50050"/>
    <w:pPr>
      <w:keepNext/>
      <w:tabs>
        <w:tab w:val="left" w:pos="1478"/>
      </w:tabs>
      <w:spacing w:after="0"/>
    </w:pPr>
  </w:style>
  <w:style w:type="character" w:customStyle="1" w:styleId="PodnadpisChar">
    <w:name w:val="Podnadpis Char"/>
    <w:basedOn w:val="Standardnpsmoodstavce"/>
    <w:link w:val="Podnadpis"/>
    <w:uiPriority w:val="11"/>
    <w:rsid w:val="00F50050"/>
    <w:rPr>
      <w:rFonts w:ascii="Calibri" w:hAnsi="Calibri"/>
      <w:sz w:val="24"/>
      <w:szCs w:val="22"/>
      <w:lang w:eastAsia="en-US"/>
    </w:rPr>
  </w:style>
  <w:style w:type="character" w:styleId="Zdraznnjemn">
    <w:name w:val="Subtle Emphasis"/>
    <w:uiPriority w:val="19"/>
    <w:rsid w:val="00597E1E"/>
  </w:style>
  <w:style w:type="paragraph" w:styleId="Nadpisobsahu">
    <w:name w:val="TOC Heading"/>
    <w:basedOn w:val="Nadpis1"/>
    <w:next w:val="Normln"/>
    <w:uiPriority w:val="39"/>
    <w:unhideWhenUsed/>
    <w:qFormat/>
    <w:rsid w:val="00597E1E"/>
    <w:pPr>
      <w:keepLines/>
      <w:numPr>
        <w:numId w:val="0"/>
      </w:numPr>
      <w:spacing w:before="240" w:after="0" w:line="259" w:lineRule="auto"/>
      <w:contextualSpacing w:val="0"/>
      <w:outlineLvl w:val="9"/>
    </w:pPr>
    <w:rPr>
      <w:rFonts w:asciiTheme="majorHAnsi" w:eastAsiaTheme="majorEastAsia" w:hAnsiTheme="majorHAnsi" w:cstheme="majorBidi"/>
      <w:b w:val="0"/>
      <w:color w:val="365F91" w:themeColor="accent1" w:themeShade="BF"/>
      <w:sz w:val="32"/>
      <w:szCs w:val="32"/>
      <w:lang w:eastAsia="cs-CZ"/>
    </w:rPr>
  </w:style>
  <w:style w:type="paragraph" w:styleId="Obsah1">
    <w:name w:val="toc 1"/>
    <w:basedOn w:val="Normln"/>
    <w:next w:val="Normln"/>
    <w:autoRedefine/>
    <w:uiPriority w:val="39"/>
    <w:unhideWhenUsed/>
    <w:rsid w:val="003E7FCF"/>
    <w:pPr>
      <w:tabs>
        <w:tab w:val="left" w:pos="851"/>
        <w:tab w:val="right" w:leader="dot" w:pos="9062"/>
      </w:tabs>
      <w:spacing w:after="0"/>
      <w:jc w:val="left"/>
    </w:pPr>
    <w:rPr>
      <w:rFonts w:asciiTheme="minorHAnsi" w:hAnsiTheme="minorHAnsi"/>
      <w:b/>
      <w:bCs/>
      <w:i/>
      <w:iCs/>
      <w:szCs w:val="24"/>
    </w:rPr>
  </w:style>
  <w:style w:type="paragraph" w:styleId="Obsah2">
    <w:name w:val="toc 2"/>
    <w:basedOn w:val="Normln"/>
    <w:next w:val="Normln"/>
    <w:autoRedefine/>
    <w:uiPriority w:val="39"/>
    <w:unhideWhenUsed/>
    <w:rsid w:val="007668E8"/>
    <w:pPr>
      <w:tabs>
        <w:tab w:val="left" w:pos="851"/>
        <w:tab w:val="right" w:leader="dot" w:pos="9062"/>
      </w:tabs>
      <w:spacing w:after="0"/>
      <w:ind w:firstLine="426"/>
      <w:jc w:val="left"/>
    </w:pPr>
    <w:rPr>
      <w:rFonts w:asciiTheme="minorHAnsi" w:hAnsiTheme="minorHAnsi"/>
      <w:b/>
      <w:bCs/>
      <w:sz w:val="22"/>
    </w:rPr>
  </w:style>
  <w:style w:type="paragraph" w:styleId="Obsah3">
    <w:name w:val="toc 3"/>
    <w:basedOn w:val="Normln"/>
    <w:next w:val="Normln"/>
    <w:autoRedefine/>
    <w:uiPriority w:val="39"/>
    <w:unhideWhenUsed/>
    <w:rsid w:val="007668E8"/>
    <w:pPr>
      <w:tabs>
        <w:tab w:val="left" w:pos="1276"/>
        <w:tab w:val="right" w:leader="dot" w:pos="9062"/>
      </w:tabs>
      <w:spacing w:before="0" w:after="0"/>
      <w:ind w:left="851"/>
      <w:jc w:val="left"/>
    </w:pPr>
    <w:rPr>
      <w:rFonts w:asciiTheme="minorHAnsi" w:hAnsiTheme="minorHAnsi"/>
      <w:sz w:val="20"/>
      <w:szCs w:val="20"/>
    </w:rPr>
  </w:style>
  <w:style w:type="paragraph" w:customStyle="1" w:styleId="Tun">
    <w:name w:val="Tučně"/>
    <w:basedOn w:val="Normln"/>
    <w:next w:val="Normln"/>
    <w:link w:val="TunChar"/>
    <w:autoRedefine/>
    <w:qFormat/>
    <w:rsid w:val="001E4EB0"/>
    <w:rPr>
      <w:b/>
      <w:sz w:val="28"/>
      <w:szCs w:val="28"/>
    </w:rPr>
  </w:style>
  <w:style w:type="paragraph" w:customStyle="1" w:styleId="Nzevstan">
    <w:name w:val="Název_stan"/>
    <w:link w:val="NzevstanChar"/>
    <w:qFormat/>
    <w:rsid w:val="00597E1E"/>
    <w:pPr>
      <w:spacing w:line="360" w:lineRule="auto"/>
      <w:jc w:val="center"/>
    </w:pPr>
    <w:rPr>
      <w:rFonts w:asciiTheme="minorHAnsi" w:eastAsia="Times New Roman" w:hAnsiTheme="minorHAnsi" w:cstheme="minorHAnsi"/>
      <w:b/>
      <w:bCs/>
      <w:sz w:val="36"/>
      <w:szCs w:val="36"/>
    </w:rPr>
  </w:style>
  <w:style w:type="character" w:customStyle="1" w:styleId="TunChar">
    <w:name w:val="Tučně Char"/>
    <w:basedOn w:val="Nadpis1Char"/>
    <w:link w:val="Tun"/>
    <w:rsid w:val="001E4EB0"/>
    <w:rPr>
      <w:rFonts w:ascii="Calibri" w:hAnsi="Calibri" w:cstheme="minorHAnsi"/>
      <w:b/>
      <w:sz w:val="28"/>
      <w:szCs w:val="28"/>
      <w:lang w:eastAsia="en-US"/>
    </w:rPr>
  </w:style>
  <w:style w:type="paragraph" w:customStyle="1" w:styleId="Poznazdroj">
    <w:name w:val="Pozn. a zdroj"/>
    <w:basedOn w:val="Normln"/>
    <w:next w:val="Normln"/>
    <w:link w:val="PoznazdrojChar"/>
    <w:autoRedefine/>
    <w:qFormat/>
    <w:rsid w:val="002C4F38"/>
    <w:pPr>
      <w:spacing w:before="0" w:after="0" w:line="240" w:lineRule="auto"/>
      <w:ind w:left="567" w:hanging="567"/>
      <w:contextualSpacing/>
    </w:pPr>
    <w:rPr>
      <w:sz w:val="20"/>
    </w:rPr>
  </w:style>
  <w:style w:type="character" w:customStyle="1" w:styleId="NzevstanChar">
    <w:name w:val="Název_stan Char"/>
    <w:basedOn w:val="Nadpis2Char"/>
    <w:link w:val="Nzevstan"/>
    <w:rsid w:val="00597E1E"/>
    <w:rPr>
      <w:rFonts w:asciiTheme="minorHAnsi" w:eastAsia="Times New Roman" w:hAnsiTheme="minorHAnsi" w:cstheme="minorHAnsi"/>
      <w:b/>
      <w:bCs/>
      <w:sz w:val="36"/>
      <w:szCs w:val="36"/>
      <w:u w:val="single"/>
      <w:lang w:eastAsia="cs-CZ"/>
    </w:rPr>
  </w:style>
  <w:style w:type="paragraph" w:customStyle="1" w:styleId="Titulky">
    <w:name w:val="Titulky"/>
    <w:basedOn w:val="Normln"/>
    <w:link w:val="TitulkyChar"/>
    <w:rsid w:val="00BC7B2A"/>
    <w:pPr>
      <w:spacing w:before="100" w:beforeAutospacing="1" w:after="100" w:afterAutospacing="1" w:line="240" w:lineRule="auto"/>
      <w:outlineLvl w:val="1"/>
    </w:pPr>
    <w:rPr>
      <w:rFonts w:eastAsia="Times New Roman" w:cstheme="minorHAnsi"/>
      <w:bCs/>
      <w:szCs w:val="24"/>
      <w:lang w:eastAsia="cs-CZ"/>
    </w:rPr>
  </w:style>
  <w:style w:type="character" w:customStyle="1" w:styleId="PoznazdrojChar">
    <w:name w:val="Pozn. a zdroj Char"/>
    <w:basedOn w:val="Standardnpsmoodstavce"/>
    <w:link w:val="Poznazdroj"/>
    <w:qFormat/>
    <w:rsid w:val="002C4F38"/>
    <w:rPr>
      <w:rFonts w:ascii="Calibri" w:hAnsi="Calibri"/>
      <w:szCs w:val="22"/>
      <w:lang w:eastAsia="en-US"/>
    </w:rPr>
  </w:style>
  <w:style w:type="paragraph" w:customStyle="1" w:styleId="Nadpis20">
    <w:name w:val="Nadpis2"/>
    <w:basedOn w:val="Nadpis4"/>
    <w:link w:val="Nadpis2Char0"/>
    <w:rsid w:val="002D6F50"/>
  </w:style>
  <w:style w:type="character" w:customStyle="1" w:styleId="TitulkyChar">
    <w:name w:val="Titulky Char"/>
    <w:basedOn w:val="Standardnpsmoodstavce"/>
    <w:link w:val="Titulky"/>
    <w:rsid w:val="00BC7B2A"/>
    <w:rPr>
      <w:rFonts w:ascii="Calibri" w:eastAsia="Times New Roman" w:hAnsi="Calibri" w:cstheme="minorHAnsi"/>
      <w:bCs/>
      <w:sz w:val="24"/>
      <w:szCs w:val="24"/>
    </w:rPr>
  </w:style>
  <w:style w:type="paragraph" w:styleId="Obsah4">
    <w:name w:val="toc 4"/>
    <w:basedOn w:val="Normln"/>
    <w:next w:val="Normln"/>
    <w:autoRedefine/>
    <w:uiPriority w:val="39"/>
    <w:unhideWhenUsed/>
    <w:rsid w:val="00B72241"/>
    <w:pPr>
      <w:spacing w:before="0" w:after="0"/>
      <w:ind w:left="720"/>
      <w:jc w:val="left"/>
    </w:pPr>
    <w:rPr>
      <w:rFonts w:asciiTheme="minorHAnsi" w:hAnsiTheme="minorHAnsi"/>
      <w:sz w:val="20"/>
      <w:szCs w:val="20"/>
    </w:rPr>
  </w:style>
  <w:style w:type="character" w:customStyle="1" w:styleId="Nadpis2Char0">
    <w:name w:val="Nadpis2 Char"/>
    <w:basedOn w:val="Nadpis4Char"/>
    <w:link w:val="Nadpis20"/>
    <w:rsid w:val="002D6F50"/>
    <w:rPr>
      <w:rFonts w:ascii="Calibri" w:hAnsi="Calibri" w:cstheme="minorHAnsi"/>
      <w:i/>
      <w:sz w:val="24"/>
      <w:szCs w:val="22"/>
      <w:u w:val="single"/>
      <w:lang w:eastAsia="en-US"/>
    </w:rPr>
  </w:style>
  <w:style w:type="paragraph" w:customStyle="1" w:styleId="poznmkapodarou">
    <w:name w:val="poznámka pod čarou"/>
    <w:basedOn w:val="Textpoznpodarou"/>
    <w:link w:val="poznmkapodarouChar"/>
    <w:qFormat/>
    <w:rsid w:val="006E1234"/>
    <w:pPr>
      <w:spacing w:before="0"/>
      <w:ind w:left="284" w:hanging="284"/>
    </w:pPr>
  </w:style>
  <w:style w:type="paragraph" w:customStyle="1" w:styleId="ramecek">
    <w:name w:val="ramecek"/>
    <w:basedOn w:val="Normln"/>
    <w:next w:val="Normln"/>
    <w:link w:val="ramecekChar"/>
    <w:qFormat/>
    <w:rsid w:val="00CC1F72"/>
    <w:pPr>
      <w:shd w:val="clear" w:color="auto" w:fill="D9EAFF"/>
      <w:spacing w:before="240" w:after="240"/>
    </w:pPr>
    <w:rPr>
      <w:rFonts w:cs="Times New Roman"/>
      <w:b/>
      <w:bCs/>
      <w:szCs w:val="24"/>
    </w:rPr>
  </w:style>
  <w:style w:type="character" w:customStyle="1" w:styleId="poznmkapodarouChar">
    <w:name w:val="poznámka pod čarou Char"/>
    <w:basedOn w:val="TextpoznpodarouChar"/>
    <w:link w:val="poznmkapodarou"/>
    <w:rsid w:val="006E1234"/>
    <w:rPr>
      <w:rFonts w:ascii="Calibri" w:hAnsi="Calibri"/>
      <w:sz w:val="20"/>
      <w:szCs w:val="20"/>
      <w:lang w:eastAsia="en-US"/>
    </w:rPr>
  </w:style>
  <w:style w:type="paragraph" w:customStyle="1" w:styleId="tunnadpis">
    <w:name w:val="tučný nadpis"/>
    <w:basedOn w:val="Normln"/>
    <w:link w:val="tunnadpisChar"/>
    <w:autoRedefine/>
    <w:qFormat/>
    <w:rsid w:val="00C40946"/>
    <w:pPr>
      <w:keepNext/>
      <w:spacing w:before="360"/>
    </w:pPr>
    <w:rPr>
      <w:b/>
      <w:lang w:eastAsia="cs-CZ"/>
    </w:rPr>
  </w:style>
  <w:style w:type="character" w:customStyle="1" w:styleId="ramecekChar">
    <w:name w:val="ramecek Char"/>
    <w:basedOn w:val="Standardnpsmoodstavce"/>
    <w:link w:val="ramecek"/>
    <w:rsid w:val="00CC1F72"/>
    <w:rPr>
      <w:rFonts w:ascii="Calibri" w:hAnsi="Calibri" w:cs="Times New Roman"/>
      <w:b/>
      <w:bCs/>
      <w:sz w:val="24"/>
      <w:szCs w:val="24"/>
      <w:shd w:val="clear" w:color="auto" w:fill="D9EAFF"/>
      <w:lang w:eastAsia="en-US"/>
    </w:rPr>
  </w:style>
  <w:style w:type="character" w:customStyle="1" w:styleId="tunnadpisChar">
    <w:name w:val="tučný nadpis Char"/>
    <w:basedOn w:val="Standardnpsmoodstavce"/>
    <w:link w:val="tunnadpis"/>
    <w:rsid w:val="00C40946"/>
    <w:rPr>
      <w:rFonts w:ascii="Calibri" w:hAnsi="Calibri"/>
      <w:b/>
      <w:sz w:val="24"/>
      <w:szCs w:val="22"/>
    </w:rPr>
  </w:style>
  <w:style w:type="table" w:customStyle="1" w:styleId="Mkatabulky1">
    <w:name w:val="Mřížka tabulky1"/>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
    <w:next w:val="Normln"/>
    <w:autoRedefine/>
    <w:uiPriority w:val="39"/>
    <w:unhideWhenUsed/>
    <w:rsid w:val="00A94C87"/>
    <w:pPr>
      <w:spacing w:before="0" w:after="0"/>
      <w:ind w:left="960"/>
      <w:jc w:val="left"/>
    </w:pPr>
    <w:rPr>
      <w:rFonts w:asciiTheme="minorHAnsi" w:hAnsiTheme="minorHAnsi"/>
      <w:sz w:val="20"/>
      <w:szCs w:val="20"/>
    </w:rPr>
  </w:style>
  <w:style w:type="paragraph" w:styleId="Obsah6">
    <w:name w:val="toc 6"/>
    <w:basedOn w:val="Normln"/>
    <w:next w:val="Normln"/>
    <w:autoRedefine/>
    <w:uiPriority w:val="39"/>
    <w:unhideWhenUsed/>
    <w:rsid w:val="00A94C87"/>
    <w:pPr>
      <w:spacing w:before="0" w:after="0"/>
      <w:ind w:left="1200"/>
      <w:jc w:val="left"/>
    </w:pPr>
    <w:rPr>
      <w:rFonts w:asciiTheme="minorHAnsi" w:hAnsiTheme="minorHAnsi"/>
      <w:sz w:val="20"/>
      <w:szCs w:val="20"/>
    </w:rPr>
  </w:style>
  <w:style w:type="paragraph" w:styleId="Obsah7">
    <w:name w:val="toc 7"/>
    <w:basedOn w:val="Normln"/>
    <w:next w:val="Normln"/>
    <w:autoRedefine/>
    <w:uiPriority w:val="39"/>
    <w:unhideWhenUsed/>
    <w:rsid w:val="00A94C87"/>
    <w:pPr>
      <w:spacing w:before="0" w:after="0"/>
      <w:ind w:left="1440"/>
      <w:jc w:val="left"/>
    </w:pPr>
    <w:rPr>
      <w:rFonts w:asciiTheme="minorHAnsi" w:hAnsiTheme="minorHAnsi"/>
      <w:sz w:val="20"/>
      <w:szCs w:val="20"/>
    </w:rPr>
  </w:style>
  <w:style w:type="paragraph" w:styleId="Obsah8">
    <w:name w:val="toc 8"/>
    <w:basedOn w:val="Normln"/>
    <w:next w:val="Normln"/>
    <w:autoRedefine/>
    <w:uiPriority w:val="39"/>
    <w:unhideWhenUsed/>
    <w:rsid w:val="00A94C87"/>
    <w:pPr>
      <w:spacing w:before="0" w:after="0"/>
      <w:ind w:left="1680"/>
      <w:jc w:val="left"/>
    </w:pPr>
    <w:rPr>
      <w:rFonts w:asciiTheme="minorHAnsi" w:hAnsiTheme="minorHAnsi"/>
      <w:sz w:val="20"/>
      <w:szCs w:val="20"/>
    </w:rPr>
  </w:style>
  <w:style w:type="paragraph" w:styleId="Obsah9">
    <w:name w:val="toc 9"/>
    <w:basedOn w:val="Normln"/>
    <w:next w:val="Normln"/>
    <w:autoRedefine/>
    <w:uiPriority w:val="39"/>
    <w:unhideWhenUsed/>
    <w:rsid w:val="00A94C87"/>
    <w:pPr>
      <w:spacing w:before="0" w:after="0"/>
      <w:ind w:left="1920"/>
      <w:jc w:val="left"/>
    </w:pPr>
    <w:rPr>
      <w:rFonts w:asciiTheme="minorHAnsi" w:hAnsiTheme="minorHAnsi"/>
      <w:sz w:val="20"/>
      <w:szCs w:val="20"/>
    </w:rPr>
  </w:style>
  <w:style w:type="paragraph" w:customStyle="1" w:styleId="Tituleknadgrafy10-99">
    <w:name w:val="Titulek nad grafy 10-99"/>
    <w:basedOn w:val="Normln"/>
    <w:link w:val="Tituleknadgrafy10-99Char"/>
    <w:autoRedefine/>
    <w:qFormat/>
    <w:rsid w:val="00D3507E"/>
    <w:pPr>
      <w:keepNext/>
      <w:spacing w:before="0" w:after="0" w:line="240" w:lineRule="auto"/>
      <w:ind w:left="1191" w:hanging="1191"/>
      <w:jc w:val="left"/>
    </w:pPr>
    <w:rPr>
      <w:rFonts w:eastAsia="Times New Roman" w:cs="Times New Roman"/>
      <w:b/>
      <w:noProof/>
      <w:szCs w:val="20"/>
      <w:lang w:eastAsia="cs-CZ"/>
    </w:rPr>
  </w:style>
  <w:style w:type="paragraph" w:styleId="Seznamobrzk">
    <w:name w:val="table of figures"/>
    <w:basedOn w:val="Normln"/>
    <w:next w:val="Normln"/>
    <w:uiPriority w:val="99"/>
    <w:unhideWhenUsed/>
    <w:rsid w:val="00FF79B2"/>
    <w:pPr>
      <w:spacing w:after="0"/>
    </w:pPr>
  </w:style>
  <w:style w:type="character" w:customStyle="1" w:styleId="Tituleknadgrafy10-99Char">
    <w:name w:val="Titulek nad grafy 10-99 Char"/>
    <w:basedOn w:val="Standardnpsmoodstavce"/>
    <w:link w:val="Tituleknadgrafy10-99"/>
    <w:qFormat/>
    <w:rsid w:val="00D3507E"/>
    <w:rPr>
      <w:rFonts w:ascii="Calibri" w:eastAsia="Times New Roman" w:hAnsi="Calibri" w:cs="Times New Roman"/>
      <w:b/>
      <w:noProof/>
      <w:sz w:val="24"/>
    </w:rPr>
  </w:style>
  <w:style w:type="paragraph" w:customStyle="1" w:styleId="odrkya">
    <w:name w:val="odrážky a č"/>
    <w:basedOn w:val="Odstavecseseznamem"/>
    <w:link w:val="odrkyaChar"/>
    <w:qFormat/>
    <w:rsid w:val="00F231D6"/>
    <w:pPr>
      <w:numPr>
        <w:numId w:val="7"/>
      </w:numPr>
      <w:spacing w:before="0" w:after="0"/>
      <w:ind w:left="284" w:hanging="284"/>
    </w:pPr>
  </w:style>
  <w:style w:type="character" w:customStyle="1" w:styleId="odrkyaChar">
    <w:name w:val="odrážky a č Char"/>
    <w:basedOn w:val="OdstavecseseznamemChar"/>
    <w:link w:val="odrkya"/>
    <w:rsid w:val="00F231D6"/>
    <w:rPr>
      <w:rFonts w:ascii="Calibri" w:hAnsi="Calibri"/>
      <w:sz w:val="24"/>
      <w:szCs w:val="22"/>
      <w:lang w:eastAsia="en-US"/>
    </w:rPr>
  </w:style>
  <w:style w:type="table" w:customStyle="1" w:styleId="Mkatabulky7">
    <w:name w:val="Mřížka tabulky7"/>
    <w:basedOn w:val="Normlntabulka"/>
    <w:next w:val="Mkatabulky"/>
    <w:uiPriority w:val="39"/>
    <w:rsid w:val="00A4262A"/>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yveshrnuti">
    <w:name w:val="odrazky ve shrnuti"/>
    <w:basedOn w:val="Normln"/>
    <w:link w:val="odrazkyveshrnutiChar"/>
    <w:qFormat/>
    <w:rsid w:val="00C811AA"/>
    <w:pPr>
      <w:numPr>
        <w:numId w:val="8"/>
      </w:numPr>
      <w:spacing w:before="0" w:after="0"/>
      <w:ind w:left="397" w:hanging="397"/>
    </w:pPr>
  </w:style>
  <w:style w:type="paragraph" w:customStyle="1" w:styleId="odrazky2">
    <w:name w:val="odrazky2"/>
    <w:basedOn w:val="odrazkyveshrnuti"/>
    <w:link w:val="odrazky2Char"/>
    <w:qFormat/>
    <w:rsid w:val="00C811AA"/>
    <w:pPr>
      <w:numPr>
        <w:numId w:val="9"/>
      </w:numPr>
      <w:ind w:left="397" w:hanging="397"/>
    </w:pPr>
  </w:style>
  <w:style w:type="character" w:customStyle="1" w:styleId="odrazkyveshrnutiChar">
    <w:name w:val="odrazky ve shrnuti Char"/>
    <w:basedOn w:val="Standardnpsmoodstavce"/>
    <w:link w:val="odrazkyveshrnuti"/>
    <w:rsid w:val="00C811AA"/>
    <w:rPr>
      <w:rFonts w:ascii="Calibri" w:hAnsi="Calibri"/>
      <w:sz w:val="24"/>
      <w:szCs w:val="22"/>
      <w:lang w:eastAsia="en-US"/>
    </w:rPr>
  </w:style>
  <w:style w:type="character" w:customStyle="1" w:styleId="odrazky2Char">
    <w:name w:val="odrazky2 Char"/>
    <w:basedOn w:val="odrazkyveshrnutiChar"/>
    <w:link w:val="odrazky2"/>
    <w:rsid w:val="00C811AA"/>
    <w:rPr>
      <w:rFonts w:ascii="Calibri" w:hAnsi="Calibri"/>
      <w:sz w:val="24"/>
      <w:szCs w:val="22"/>
      <w:lang w:eastAsia="en-US"/>
    </w:rPr>
  </w:style>
  <w:style w:type="paragraph" w:customStyle="1" w:styleId="Odstavecnormal">
    <w:name w:val="Odstavec normal"/>
    <w:basedOn w:val="Normln"/>
    <w:autoRedefine/>
    <w:rsid w:val="00E42608"/>
    <w:pPr>
      <w:spacing w:before="0" w:after="0" w:line="240" w:lineRule="auto"/>
      <w:jc w:val="center"/>
    </w:pPr>
    <w:rPr>
      <w:rFonts w:ascii="Arial" w:eastAsia="Times New Roman" w:hAnsi="Arial"/>
      <w:b/>
      <w:bCs/>
      <w:color w:val="000000"/>
      <w:szCs w:val="20"/>
    </w:rPr>
  </w:style>
  <w:style w:type="paragraph" w:customStyle="1" w:styleId="Tituleknadtabulkou">
    <w:name w:val="Titulek nad tabulkou"/>
    <w:basedOn w:val="Tituleknadgrafy10-99"/>
    <w:link w:val="TituleknadtabulkouChar"/>
    <w:autoRedefine/>
    <w:qFormat/>
    <w:rsid w:val="00523049"/>
    <w:pPr>
      <w:tabs>
        <w:tab w:val="right" w:pos="9072"/>
      </w:tabs>
      <w:ind w:left="1418" w:hanging="1418"/>
    </w:pPr>
  </w:style>
  <w:style w:type="character" w:customStyle="1" w:styleId="TituleknadtabulkouChar">
    <w:name w:val="Titulek nad tabulkou Char"/>
    <w:basedOn w:val="Tituleknadgrafy10-99Char"/>
    <w:link w:val="Tituleknadtabulkou"/>
    <w:rsid w:val="00523049"/>
    <w:rPr>
      <w:rFonts w:ascii="Calibri" w:eastAsia="Times New Roman" w:hAnsi="Calibri" w:cs="Times New Roman"/>
      <w:b/>
      <w:noProof/>
      <w:sz w:val="24"/>
    </w:rPr>
  </w:style>
  <w:style w:type="paragraph" w:customStyle="1" w:styleId="Pa41">
    <w:name w:val="Pa4+1"/>
    <w:basedOn w:val="Normln"/>
    <w:next w:val="Normln"/>
    <w:uiPriority w:val="99"/>
    <w:rsid w:val="00671233"/>
    <w:pPr>
      <w:autoSpaceDE w:val="0"/>
      <w:autoSpaceDN w:val="0"/>
      <w:adjustRightInd w:val="0"/>
      <w:spacing w:before="0" w:after="0" w:line="221" w:lineRule="atLeast"/>
      <w:jc w:val="left"/>
    </w:pPr>
    <w:rPr>
      <w:rFonts w:eastAsiaTheme="minorHAnsi" w:cstheme="minorBidi"/>
      <w:szCs w:val="24"/>
    </w:rPr>
  </w:style>
  <w:style w:type="paragraph" w:customStyle="1" w:styleId="BVIfnrCharChar">
    <w:name w:val="BVI fnr Char Char"/>
    <w:aliases w:val="Char1 Char Char,Exposant 3 Point Char Char,Footnote Char Char,Footnote reference number Char Char,Footnote symbol Char Char,Ref Char Char,Times 10 Point Char Char,de nota al pie Char Char"/>
    <w:basedOn w:val="Normln"/>
    <w:link w:val="Znakapoznpodarou"/>
    <w:uiPriority w:val="99"/>
    <w:rsid w:val="00671233"/>
    <w:pPr>
      <w:spacing w:before="0" w:after="160" w:line="240" w:lineRule="exact"/>
      <w:jc w:val="left"/>
    </w:pPr>
    <w:rPr>
      <w:rFonts w:ascii="Arial" w:hAnsi="Arial"/>
      <w:sz w:val="20"/>
      <w:szCs w:val="20"/>
      <w:vertAlign w:val="superscript"/>
      <w:lang w:eastAsia="cs-CZ"/>
    </w:rPr>
  </w:style>
  <w:style w:type="character" w:customStyle="1" w:styleId="TitulekChar">
    <w:name w:val="Titulek Char"/>
    <w:link w:val="Titulek"/>
    <w:qFormat/>
    <w:rsid w:val="007A79EA"/>
    <w:rPr>
      <w:rFonts w:ascii="Times New Roman" w:eastAsia="Times New Roman" w:hAnsi="Times New Roman" w:cs="Times New Roman"/>
      <w:b/>
      <w:sz w:val="24"/>
    </w:rPr>
  </w:style>
  <w:style w:type="paragraph" w:customStyle="1" w:styleId="Titulekschma">
    <w:name w:val="Titulek_schéma"/>
    <w:basedOn w:val="Tituleknadgrafy10-99"/>
    <w:link w:val="TitulekschmaChar"/>
    <w:qFormat/>
    <w:rsid w:val="00390342"/>
    <w:pPr>
      <w:ind w:left="1418" w:hanging="1418"/>
    </w:pPr>
  </w:style>
  <w:style w:type="character" w:customStyle="1" w:styleId="TitulekschmaChar">
    <w:name w:val="Titulek_schéma Char"/>
    <w:basedOn w:val="Tituleknadgrafy10-99Char"/>
    <w:link w:val="Titulekschma"/>
    <w:rsid w:val="00390342"/>
    <w:rPr>
      <w:rFonts w:ascii="Calibri" w:eastAsia="Times New Roman" w:hAnsi="Calibri" w:cs="Times New Roman"/>
      <w:b/>
      <w:noProof/>
      <w:sz w:val="24"/>
    </w:rPr>
  </w:style>
  <w:style w:type="table" w:customStyle="1" w:styleId="Mkatabulky8">
    <w:name w:val="Mřížka tabulky8"/>
    <w:basedOn w:val="Normlntabulka"/>
    <w:next w:val="Mkatabulky"/>
    <w:uiPriority w:val="39"/>
    <w:rsid w:val="00A71378"/>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eknadgrafy1-9">
    <w:name w:val="Titulek nad grafy 1-9"/>
    <w:basedOn w:val="Tituleknadgrafy10-99"/>
    <w:next w:val="Normln"/>
    <w:qFormat/>
    <w:rsid w:val="001E4EB0"/>
    <w:pPr>
      <w:ind w:left="1077" w:hanging="1077"/>
    </w:pPr>
  </w:style>
  <w:style w:type="paragraph" w:customStyle="1" w:styleId="Text">
    <w:name w:val="Text"/>
    <w:rsid w:val="001A7CD7"/>
    <w:rPr>
      <w:rFonts w:ascii="Helvetica Neue" w:eastAsia="Arial Unicode MS" w:hAnsi="Helvetica Neue" w:cs="Arial Unicode MS"/>
      <w:color w:val="000000"/>
      <w:sz w:val="22"/>
      <w:szCs w:val="22"/>
      <w14:textOutline w14:w="0" w14:cap="flat" w14:cmpd="sng" w14:algn="ctr">
        <w14:noFill/>
        <w14:prstDash w14:val="solid"/>
        <w14:bevel/>
      </w14:textOutline>
    </w:rPr>
  </w:style>
  <w:style w:type="paragraph" w:customStyle="1" w:styleId="Vchoz">
    <w:name w:val="Výchozí"/>
    <w:rsid w:val="001A7CD7"/>
    <w:rPr>
      <w:rFonts w:ascii="Helvetica Neue" w:eastAsia="Arial Unicode MS"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14867">
      <w:bodyDiv w:val="1"/>
      <w:marLeft w:val="0"/>
      <w:marRight w:val="0"/>
      <w:marTop w:val="0"/>
      <w:marBottom w:val="0"/>
      <w:divBdr>
        <w:top w:val="none" w:sz="0" w:space="0" w:color="auto"/>
        <w:left w:val="none" w:sz="0" w:space="0" w:color="auto"/>
        <w:bottom w:val="none" w:sz="0" w:space="0" w:color="auto"/>
        <w:right w:val="none" w:sz="0" w:space="0" w:color="auto"/>
      </w:divBdr>
    </w:div>
    <w:div w:id="81227163">
      <w:bodyDiv w:val="1"/>
      <w:marLeft w:val="0"/>
      <w:marRight w:val="0"/>
      <w:marTop w:val="0"/>
      <w:marBottom w:val="0"/>
      <w:divBdr>
        <w:top w:val="none" w:sz="0" w:space="0" w:color="auto"/>
        <w:left w:val="none" w:sz="0" w:space="0" w:color="auto"/>
        <w:bottom w:val="none" w:sz="0" w:space="0" w:color="auto"/>
        <w:right w:val="none" w:sz="0" w:space="0" w:color="auto"/>
      </w:divBdr>
    </w:div>
    <w:div w:id="109515703">
      <w:bodyDiv w:val="1"/>
      <w:marLeft w:val="0"/>
      <w:marRight w:val="0"/>
      <w:marTop w:val="0"/>
      <w:marBottom w:val="0"/>
      <w:divBdr>
        <w:top w:val="none" w:sz="0" w:space="0" w:color="auto"/>
        <w:left w:val="none" w:sz="0" w:space="0" w:color="auto"/>
        <w:bottom w:val="none" w:sz="0" w:space="0" w:color="auto"/>
        <w:right w:val="none" w:sz="0" w:space="0" w:color="auto"/>
      </w:divBdr>
    </w:div>
    <w:div w:id="127095421">
      <w:bodyDiv w:val="1"/>
      <w:marLeft w:val="0"/>
      <w:marRight w:val="0"/>
      <w:marTop w:val="0"/>
      <w:marBottom w:val="0"/>
      <w:divBdr>
        <w:top w:val="none" w:sz="0" w:space="0" w:color="auto"/>
        <w:left w:val="none" w:sz="0" w:space="0" w:color="auto"/>
        <w:bottom w:val="none" w:sz="0" w:space="0" w:color="auto"/>
        <w:right w:val="none" w:sz="0" w:space="0" w:color="auto"/>
      </w:divBdr>
    </w:div>
    <w:div w:id="137384744">
      <w:bodyDiv w:val="1"/>
      <w:marLeft w:val="0"/>
      <w:marRight w:val="0"/>
      <w:marTop w:val="0"/>
      <w:marBottom w:val="0"/>
      <w:divBdr>
        <w:top w:val="none" w:sz="0" w:space="0" w:color="auto"/>
        <w:left w:val="none" w:sz="0" w:space="0" w:color="auto"/>
        <w:bottom w:val="none" w:sz="0" w:space="0" w:color="auto"/>
        <w:right w:val="none" w:sz="0" w:space="0" w:color="auto"/>
      </w:divBdr>
    </w:div>
    <w:div w:id="185754413">
      <w:bodyDiv w:val="1"/>
      <w:marLeft w:val="0"/>
      <w:marRight w:val="0"/>
      <w:marTop w:val="0"/>
      <w:marBottom w:val="0"/>
      <w:divBdr>
        <w:top w:val="none" w:sz="0" w:space="0" w:color="auto"/>
        <w:left w:val="none" w:sz="0" w:space="0" w:color="auto"/>
        <w:bottom w:val="none" w:sz="0" w:space="0" w:color="auto"/>
        <w:right w:val="none" w:sz="0" w:space="0" w:color="auto"/>
      </w:divBdr>
    </w:div>
    <w:div w:id="212354937">
      <w:bodyDiv w:val="1"/>
      <w:marLeft w:val="0"/>
      <w:marRight w:val="0"/>
      <w:marTop w:val="0"/>
      <w:marBottom w:val="0"/>
      <w:divBdr>
        <w:top w:val="none" w:sz="0" w:space="0" w:color="auto"/>
        <w:left w:val="none" w:sz="0" w:space="0" w:color="auto"/>
        <w:bottom w:val="none" w:sz="0" w:space="0" w:color="auto"/>
        <w:right w:val="none" w:sz="0" w:space="0" w:color="auto"/>
      </w:divBdr>
    </w:div>
    <w:div w:id="233664584">
      <w:bodyDiv w:val="1"/>
      <w:marLeft w:val="0"/>
      <w:marRight w:val="0"/>
      <w:marTop w:val="0"/>
      <w:marBottom w:val="0"/>
      <w:divBdr>
        <w:top w:val="none" w:sz="0" w:space="0" w:color="auto"/>
        <w:left w:val="none" w:sz="0" w:space="0" w:color="auto"/>
        <w:bottom w:val="none" w:sz="0" w:space="0" w:color="auto"/>
        <w:right w:val="none" w:sz="0" w:space="0" w:color="auto"/>
      </w:divBdr>
    </w:div>
    <w:div w:id="320624696">
      <w:bodyDiv w:val="1"/>
      <w:marLeft w:val="0"/>
      <w:marRight w:val="0"/>
      <w:marTop w:val="0"/>
      <w:marBottom w:val="0"/>
      <w:divBdr>
        <w:top w:val="none" w:sz="0" w:space="0" w:color="auto"/>
        <w:left w:val="none" w:sz="0" w:space="0" w:color="auto"/>
        <w:bottom w:val="none" w:sz="0" w:space="0" w:color="auto"/>
        <w:right w:val="none" w:sz="0" w:space="0" w:color="auto"/>
      </w:divBdr>
    </w:div>
    <w:div w:id="525220501">
      <w:bodyDiv w:val="1"/>
      <w:marLeft w:val="0"/>
      <w:marRight w:val="0"/>
      <w:marTop w:val="0"/>
      <w:marBottom w:val="0"/>
      <w:divBdr>
        <w:top w:val="none" w:sz="0" w:space="0" w:color="auto"/>
        <w:left w:val="none" w:sz="0" w:space="0" w:color="auto"/>
        <w:bottom w:val="none" w:sz="0" w:space="0" w:color="auto"/>
        <w:right w:val="none" w:sz="0" w:space="0" w:color="auto"/>
      </w:divBdr>
    </w:div>
    <w:div w:id="568923526">
      <w:bodyDiv w:val="1"/>
      <w:marLeft w:val="0"/>
      <w:marRight w:val="0"/>
      <w:marTop w:val="0"/>
      <w:marBottom w:val="0"/>
      <w:divBdr>
        <w:top w:val="none" w:sz="0" w:space="0" w:color="auto"/>
        <w:left w:val="none" w:sz="0" w:space="0" w:color="auto"/>
        <w:bottom w:val="none" w:sz="0" w:space="0" w:color="auto"/>
        <w:right w:val="none" w:sz="0" w:space="0" w:color="auto"/>
      </w:divBdr>
    </w:div>
    <w:div w:id="661280728">
      <w:bodyDiv w:val="1"/>
      <w:marLeft w:val="0"/>
      <w:marRight w:val="0"/>
      <w:marTop w:val="0"/>
      <w:marBottom w:val="0"/>
      <w:divBdr>
        <w:top w:val="none" w:sz="0" w:space="0" w:color="auto"/>
        <w:left w:val="none" w:sz="0" w:space="0" w:color="auto"/>
        <w:bottom w:val="none" w:sz="0" w:space="0" w:color="auto"/>
        <w:right w:val="none" w:sz="0" w:space="0" w:color="auto"/>
      </w:divBdr>
    </w:div>
    <w:div w:id="970088390">
      <w:bodyDiv w:val="1"/>
      <w:marLeft w:val="0"/>
      <w:marRight w:val="0"/>
      <w:marTop w:val="0"/>
      <w:marBottom w:val="0"/>
      <w:divBdr>
        <w:top w:val="none" w:sz="0" w:space="0" w:color="auto"/>
        <w:left w:val="none" w:sz="0" w:space="0" w:color="auto"/>
        <w:bottom w:val="none" w:sz="0" w:space="0" w:color="auto"/>
        <w:right w:val="none" w:sz="0" w:space="0" w:color="auto"/>
      </w:divBdr>
    </w:div>
    <w:div w:id="982389984">
      <w:bodyDiv w:val="1"/>
      <w:marLeft w:val="0"/>
      <w:marRight w:val="0"/>
      <w:marTop w:val="0"/>
      <w:marBottom w:val="0"/>
      <w:divBdr>
        <w:top w:val="none" w:sz="0" w:space="0" w:color="auto"/>
        <w:left w:val="none" w:sz="0" w:space="0" w:color="auto"/>
        <w:bottom w:val="none" w:sz="0" w:space="0" w:color="auto"/>
        <w:right w:val="none" w:sz="0" w:space="0" w:color="auto"/>
      </w:divBdr>
    </w:div>
    <w:div w:id="1075011536">
      <w:bodyDiv w:val="1"/>
      <w:marLeft w:val="0"/>
      <w:marRight w:val="0"/>
      <w:marTop w:val="0"/>
      <w:marBottom w:val="0"/>
      <w:divBdr>
        <w:top w:val="none" w:sz="0" w:space="0" w:color="auto"/>
        <w:left w:val="none" w:sz="0" w:space="0" w:color="auto"/>
        <w:bottom w:val="none" w:sz="0" w:space="0" w:color="auto"/>
        <w:right w:val="none" w:sz="0" w:space="0" w:color="auto"/>
      </w:divBdr>
    </w:div>
    <w:div w:id="1080256377">
      <w:bodyDiv w:val="1"/>
      <w:marLeft w:val="0"/>
      <w:marRight w:val="0"/>
      <w:marTop w:val="0"/>
      <w:marBottom w:val="0"/>
      <w:divBdr>
        <w:top w:val="none" w:sz="0" w:space="0" w:color="auto"/>
        <w:left w:val="none" w:sz="0" w:space="0" w:color="auto"/>
        <w:bottom w:val="none" w:sz="0" w:space="0" w:color="auto"/>
        <w:right w:val="none" w:sz="0" w:space="0" w:color="auto"/>
      </w:divBdr>
    </w:div>
    <w:div w:id="1141072391">
      <w:bodyDiv w:val="1"/>
      <w:marLeft w:val="0"/>
      <w:marRight w:val="0"/>
      <w:marTop w:val="0"/>
      <w:marBottom w:val="0"/>
      <w:divBdr>
        <w:top w:val="none" w:sz="0" w:space="0" w:color="auto"/>
        <w:left w:val="none" w:sz="0" w:space="0" w:color="auto"/>
        <w:bottom w:val="none" w:sz="0" w:space="0" w:color="auto"/>
        <w:right w:val="none" w:sz="0" w:space="0" w:color="auto"/>
      </w:divBdr>
    </w:div>
    <w:div w:id="1152019375">
      <w:bodyDiv w:val="1"/>
      <w:marLeft w:val="0"/>
      <w:marRight w:val="0"/>
      <w:marTop w:val="0"/>
      <w:marBottom w:val="0"/>
      <w:divBdr>
        <w:top w:val="none" w:sz="0" w:space="0" w:color="auto"/>
        <w:left w:val="none" w:sz="0" w:space="0" w:color="auto"/>
        <w:bottom w:val="none" w:sz="0" w:space="0" w:color="auto"/>
        <w:right w:val="none" w:sz="0" w:space="0" w:color="auto"/>
      </w:divBdr>
    </w:div>
    <w:div w:id="1232693520">
      <w:bodyDiv w:val="1"/>
      <w:marLeft w:val="0"/>
      <w:marRight w:val="0"/>
      <w:marTop w:val="0"/>
      <w:marBottom w:val="0"/>
      <w:divBdr>
        <w:top w:val="none" w:sz="0" w:space="0" w:color="auto"/>
        <w:left w:val="none" w:sz="0" w:space="0" w:color="auto"/>
        <w:bottom w:val="none" w:sz="0" w:space="0" w:color="auto"/>
        <w:right w:val="none" w:sz="0" w:space="0" w:color="auto"/>
      </w:divBdr>
    </w:div>
    <w:div w:id="1351253784">
      <w:bodyDiv w:val="1"/>
      <w:marLeft w:val="0"/>
      <w:marRight w:val="0"/>
      <w:marTop w:val="0"/>
      <w:marBottom w:val="0"/>
      <w:divBdr>
        <w:top w:val="none" w:sz="0" w:space="0" w:color="auto"/>
        <w:left w:val="none" w:sz="0" w:space="0" w:color="auto"/>
        <w:bottom w:val="none" w:sz="0" w:space="0" w:color="auto"/>
        <w:right w:val="none" w:sz="0" w:space="0" w:color="auto"/>
      </w:divBdr>
    </w:div>
    <w:div w:id="1369913350">
      <w:bodyDiv w:val="1"/>
      <w:marLeft w:val="0"/>
      <w:marRight w:val="0"/>
      <w:marTop w:val="0"/>
      <w:marBottom w:val="0"/>
      <w:divBdr>
        <w:top w:val="none" w:sz="0" w:space="0" w:color="auto"/>
        <w:left w:val="none" w:sz="0" w:space="0" w:color="auto"/>
        <w:bottom w:val="none" w:sz="0" w:space="0" w:color="auto"/>
        <w:right w:val="none" w:sz="0" w:space="0" w:color="auto"/>
      </w:divBdr>
    </w:div>
    <w:div w:id="1433552223">
      <w:bodyDiv w:val="1"/>
      <w:marLeft w:val="0"/>
      <w:marRight w:val="0"/>
      <w:marTop w:val="0"/>
      <w:marBottom w:val="0"/>
      <w:divBdr>
        <w:top w:val="none" w:sz="0" w:space="0" w:color="auto"/>
        <w:left w:val="none" w:sz="0" w:space="0" w:color="auto"/>
        <w:bottom w:val="none" w:sz="0" w:space="0" w:color="auto"/>
        <w:right w:val="none" w:sz="0" w:space="0" w:color="auto"/>
      </w:divBdr>
    </w:div>
    <w:div w:id="1484665300">
      <w:bodyDiv w:val="1"/>
      <w:marLeft w:val="0"/>
      <w:marRight w:val="0"/>
      <w:marTop w:val="0"/>
      <w:marBottom w:val="0"/>
      <w:divBdr>
        <w:top w:val="none" w:sz="0" w:space="0" w:color="auto"/>
        <w:left w:val="none" w:sz="0" w:space="0" w:color="auto"/>
        <w:bottom w:val="none" w:sz="0" w:space="0" w:color="auto"/>
        <w:right w:val="none" w:sz="0" w:space="0" w:color="auto"/>
      </w:divBdr>
    </w:div>
    <w:div w:id="1512990486">
      <w:bodyDiv w:val="1"/>
      <w:marLeft w:val="0"/>
      <w:marRight w:val="0"/>
      <w:marTop w:val="0"/>
      <w:marBottom w:val="0"/>
      <w:divBdr>
        <w:top w:val="none" w:sz="0" w:space="0" w:color="auto"/>
        <w:left w:val="none" w:sz="0" w:space="0" w:color="auto"/>
        <w:bottom w:val="none" w:sz="0" w:space="0" w:color="auto"/>
        <w:right w:val="none" w:sz="0" w:space="0" w:color="auto"/>
      </w:divBdr>
    </w:div>
    <w:div w:id="1562206632">
      <w:bodyDiv w:val="1"/>
      <w:marLeft w:val="0"/>
      <w:marRight w:val="0"/>
      <w:marTop w:val="0"/>
      <w:marBottom w:val="0"/>
      <w:divBdr>
        <w:top w:val="none" w:sz="0" w:space="0" w:color="auto"/>
        <w:left w:val="none" w:sz="0" w:space="0" w:color="auto"/>
        <w:bottom w:val="none" w:sz="0" w:space="0" w:color="auto"/>
        <w:right w:val="none" w:sz="0" w:space="0" w:color="auto"/>
      </w:divBdr>
    </w:div>
    <w:div w:id="1638142932">
      <w:bodyDiv w:val="1"/>
      <w:marLeft w:val="0"/>
      <w:marRight w:val="0"/>
      <w:marTop w:val="0"/>
      <w:marBottom w:val="0"/>
      <w:divBdr>
        <w:top w:val="none" w:sz="0" w:space="0" w:color="auto"/>
        <w:left w:val="none" w:sz="0" w:space="0" w:color="auto"/>
        <w:bottom w:val="none" w:sz="0" w:space="0" w:color="auto"/>
        <w:right w:val="none" w:sz="0" w:space="0" w:color="auto"/>
      </w:divBdr>
    </w:div>
    <w:div w:id="1739209412">
      <w:bodyDiv w:val="1"/>
      <w:marLeft w:val="0"/>
      <w:marRight w:val="0"/>
      <w:marTop w:val="0"/>
      <w:marBottom w:val="0"/>
      <w:divBdr>
        <w:top w:val="none" w:sz="0" w:space="0" w:color="auto"/>
        <w:left w:val="none" w:sz="0" w:space="0" w:color="auto"/>
        <w:bottom w:val="none" w:sz="0" w:space="0" w:color="auto"/>
        <w:right w:val="none" w:sz="0" w:space="0" w:color="auto"/>
      </w:divBdr>
      <w:divsChild>
        <w:div w:id="1252540917">
          <w:marLeft w:val="547"/>
          <w:marRight w:val="0"/>
          <w:marTop w:val="0"/>
          <w:marBottom w:val="0"/>
          <w:divBdr>
            <w:top w:val="none" w:sz="0" w:space="0" w:color="auto"/>
            <w:left w:val="none" w:sz="0" w:space="0" w:color="auto"/>
            <w:bottom w:val="none" w:sz="0" w:space="0" w:color="auto"/>
            <w:right w:val="none" w:sz="0" w:space="0" w:color="auto"/>
          </w:divBdr>
        </w:div>
      </w:divsChild>
    </w:div>
    <w:div w:id="1750925826">
      <w:bodyDiv w:val="1"/>
      <w:marLeft w:val="0"/>
      <w:marRight w:val="0"/>
      <w:marTop w:val="0"/>
      <w:marBottom w:val="0"/>
      <w:divBdr>
        <w:top w:val="none" w:sz="0" w:space="0" w:color="auto"/>
        <w:left w:val="none" w:sz="0" w:space="0" w:color="auto"/>
        <w:bottom w:val="none" w:sz="0" w:space="0" w:color="auto"/>
        <w:right w:val="none" w:sz="0" w:space="0" w:color="auto"/>
      </w:divBdr>
    </w:div>
    <w:div w:id="1815441889">
      <w:bodyDiv w:val="1"/>
      <w:marLeft w:val="0"/>
      <w:marRight w:val="0"/>
      <w:marTop w:val="0"/>
      <w:marBottom w:val="0"/>
      <w:divBdr>
        <w:top w:val="none" w:sz="0" w:space="0" w:color="auto"/>
        <w:left w:val="none" w:sz="0" w:space="0" w:color="auto"/>
        <w:bottom w:val="none" w:sz="0" w:space="0" w:color="auto"/>
        <w:right w:val="none" w:sz="0" w:space="0" w:color="auto"/>
      </w:divBdr>
      <w:divsChild>
        <w:div w:id="566495502">
          <w:marLeft w:val="547"/>
          <w:marRight w:val="0"/>
          <w:marTop w:val="0"/>
          <w:marBottom w:val="0"/>
          <w:divBdr>
            <w:top w:val="none" w:sz="0" w:space="0" w:color="auto"/>
            <w:left w:val="none" w:sz="0" w:space="0" w:color="auto"/>
            <w:bottom w:val="none" w:sz="0" w:space="0" w:color="auto"/>
            <w:right w:val="none" w:sz="0" w:space="0" w:color="auto"/>
          </w:divBdr>
        </w:div>
      </w:divsChild>
    </w:div>
    <w:div w:id="1862207167">
      <w:bodyDiv w:val="1"/>
      <w:marLeft w:val="0"/>
      <w:marRight w:val="0"/>
      <w:marTop w:val="0"/>
      <w:marBottom w:val="0"/>
      <w:divBdr>
        <w:top w:val="none" w:sz="0" w:space="0" w:color="auto"/>
        <w:left w:val="none" w:sz="0" w:space="0" w:color="auto"/>
        <w:bottom w:val="none" w:sz="0" w:space="0" w:color="auto"/>
        <w:right w:val="none" w:sz="0" w:space="0" w:color="auto"/>
      </w:divBdr>
    </w:div>
    <w:div w:id="1863281525">
      <w:bodyDiv w:val="1"/>
      <w:marLeft w:val="0"/>
      <w:marRight w:val="0"/>
      <w:marTop w:val="0"/>
      <w:marBottom w:val="0"/>
      <w:divBdr>
        <w:top w:val="none" w:sz="0" w:space="0" w:color="auto"/>
        <w:left w:val="none" w:sz="0" w:space="0" w:color="auto"/>
        <w:bottom w:val="none" w:sz="0" w:space="0" w:color="auto"/>
        <w:right w:val="none" w:sz="0" w:space="0" w:color="auto"/>
      </w:divBdr>
    </w:div>
    <w:div w:id="1879780099">
      <w:bodyDiv w:val="1"/>
      <w:marLeft w:val="0"/>
      <w:marRight w:val="0"/>
      <w:marTop w:val="0"/>
      <w:marBottom w:val="0"/>
      <w:divBdr>
        <w:top w:val="none" w:sz="0" w:space="0" w:color="auto"/>
        <w:left w:val="none" w:sz="0" w:space="0" w:color="auto"/>
        <w:bottom w:val="none" w:sz="0" w:space="0" w:color="auto"/>
        <w:right w:val="none" w:sz="0" w:space="0" w:color="auto"/>
      </w:divBdr>
    </w:div>
    <w:div w:id="1939092599">
      <w:bodyDiv w:val="1"/>
      <w:marLeft w:val="0"/>
      <w:marRight w:val="0"/>
      <w:marTop w:val="0"/>
      <w:marBottom w:val="0"/>
      <w:divBdr>
        <w:top w:val="none" w:sz="0" w:space="0" w:color="auto"/>
        <w:left w:val="none" w:sz="0" w:space="0" w:color="auto"/>
        <w:bottom w:val="none" w:sz="0" w:space="0" w:color="auto"/>
        <w:right w:val="none" w:sz="0" w:space="0" w:color="auto"/>
      </w:divBdr>
    </w:div>
    <w:div w:id="1941839781">
      <w:bodyDiv w:val="1"/>
      <w:marLeft w:val="0"/>
      <w:marRight w:val="0"/>
      <w:marTop w:val="0"/>
      <w:marBottom w:val="0"/>
      <w:divBdr>
        <w:top w:val="none" w:sz="0" w:space="0" w:color="auto"/>
        <w:left w:val="none" w:sz="0" w:space="0" w:color="auto"/>
        <w:bottom w:val="none" w:sz="0" w:space="0" w:color="auto"/>
        <w:right w:val="none" w:sz="0" w:space="0" w:color="auto"/>
      </w:divBdr>
      <w:divsChild>
        <w:div w:id="2021354179">
          <w:marLeft w:val="0"/>
          <w:marRight w:val="0"/>
          <w:marTop w:val="0"/>
          <w:marBottom w:val="0"/>
          <w:divBdr>
            <w:top w:val="none" w:sz="0" w:space="0" w:color="auto"/>
            <w:left w:val="none" w:sz="0" w:space="0" w:color="auto"/>
            <w:bottom w:val="none" w:sz="0" w:space="0" w:color="auto"/>
            <w:right w:val="none" w:sz="0" w:space="0" w:color="auto"/>
          </w:divBdr>
          <w:divsChild>
            <w:div w:id="968052358">
              <w:marLeft w:val="0"/>
              <w:marRight w:val="0"/>
              <w:marTop w:val="0"/>
              <w:marBottom w:val="0"/>
              <w:divBdr>
                <w:top w:val="none" w:sz="0" w:space="0" w:color="auto"/>
                <w:left w:val="none" w:sz="0" w:space="0" w:color="auto"/>
                <w:bottom w:val="none" w:sz="0" w:space="0" w:color="auto"/>
                <w:right w:val="none" w:sz="0" w:space="0" w:color="auto"/>
              </w:divBdr>
              <w:divsChild>
                <w:div w:id="1511522936">
                  <w:marLeft w:val="0"/>
                  <w:marRight w:val="0"/>
                  <w:marTop w:val="0"/>
                  <w:marBottom w:val="0"/>
                  <w:divBdr>
                    <w:top w:val="none" w:sz="0" w:space="0" w:color="auto"/>
                    <w:left w:val="none" w:sz="0" w:space="0" w:color="auto"/>
                    <w:bottom w:val="none" w:sz="0" w:space="0" w:color="auto"/>
                    <w:right w:val="none" w:sz="0" w:space="0" w:color="auto"/>
                  </w:divBdr>
                  <w:divsChild>
                    <w:div w:id="209460832">
                      <w:marLeft w:val="0"/>
                      <w:marRight w:val="0"/>
                      <w:marTop w:val="0"/>
                      <w:marBottom w:val="0"/>
                      <w:divBdr>
                        <w:top w:val="none" w:sz="0" w:space="0" w:color="auto"/>
                        <w:left w:val="none" w:sz="0" w:space="0" w:color="auto"/>
                        <w:bottom w:val="none" w:sz="0" w:space="0" w:color="auto"/>
                        <w:right w:val="none" w:sz="0" w:space="0" w:color="auto"/>
                      </w:divBdr>
                      <w:divsChild>
                        <w:div w:id="1989938938">
                          <w:marLeft w:val="0"/>
                          <w:marRight w:val="0"/>
                          <w:marTop w:val="45"/>
                          <w:marBottom w:val="0"/>
                          <w:divBdr>
                            <w:top w:val="none" w:sz="0" w:space="0" w:color="auto"/>
                            <w:left w:val="none" w:sz="0" w:space="0" w:color="auto"/>
                            <w:bottom w:val="none" w:sz="0" w:space="0" w:color="auto"/>
                            <w:right w:val="none" w:sz="0" w:space="0" w:color="auto"/>
                          </w:divBdr>
                          <w:divsChild>
                            <w:div w:id="421880241">
                              <w:marLeft w:val="0"/>
                              <w:marRight w:val="0"/>
                              <w:marTop w:val="0"/>
                              <w:marBottom w:val="0"/>
                              <w:divBdr>
                                <w:top w:val="none" w:sz="0" w:space="0" w:color="auto"/>
                                <w:left w:val="none" w:sz="0" w:space="0" w:color="auto"/>
                                <w:bottom w:val="none" w:sz="0" w:space="0" w:color="auto"/>
                                <w:right w:val="none" w:sz="0" w:space="0" w:color="auto"/>
                              </w:divBdr>
                              <w:divsChild>
                                <w:div w:id="1220239577">
                                  <w:marLeft w:val="11850"/>
                                  <w:marRight w:val="0"/>
                                  <w:marTop w:val="0"/>
                                  <w:marBottom w:val="0"/>
                                  <w:divBdr>
                                    <w:top w:val="none" w:sz="0" w:space="0" w:color="auto"/>
                                    <w:left w:val="none" w:sz="0" w:space="0" w:color="auto"/>
                                    <w:bottom w:val="none" w:sz="0" w:space="0" w:color="auto"/>
                                    <w:right w:val="none" w:sz="0" w:space="0" w:color="auto"/>
                                  </w:divBdr>
                                  <w:divsChild>
                                    <w:div w:id="987903382">
                                      <w:marLeft w:val="0"/>
                                      <w:marRight w:val="0"/>
                                      <w:marTop w:val="0"/>
                                      <w:marBottom w:val="0"/>
                                      <w:divBdr>
                                        <w:top w:val="none" w:sz="0" w:space="0" w:color="auto"/>
                                        <w:left w:val="none" w:sz="0" w:space="0" w:color="auto"/>
                                        <w:bottom w:val="none" w:sz="0" w:space="0" w:color="auto"/>
                                        <w:right w:val="none" w:sz="0" w:space="0" w:color="auto"/>
                                      </w:divBdr>
                                      <w:divsChild>
                                        <w:div w:id="1683627465">
                                          <w:marLeft w:val="0"/>
                                          <w:marRight w:val="0"/>
                                          <w:marTop w:val="0"/>
                                          <w:marBottom w:val="345"/>
                                          <w:divBdr>
                                            <w:top w:val="none" w:sz="0" w:space="0" w:color="auto"/>
                                            <w:left w:val="none" w:sz="0" w:space="0" w:color="auto"/>
                                            <w:bottom w:val="none" w:sz="0" w:space="0" w:color="auto"/>
                                            <w:right w:val="none" w:sz="0" w:space="0" w:color="auto"/>
                                          </w:divBdr>
                                          <w:divsChild>
                                            <w:div w:id="2021657603">
                                              <w:marLeft w:val="0"/>
                                              <w:marRight w:val="0"/>
                                              <w:marTop w:val="0"/>
                                              <w:marBottom w:val="0"/>
                                              <w:divBdr>
                                                <w:top w:val="none" w:sz="0" w:space="0" w:color="auto"/>
                                                <w:left w:val="none" w:sz="0" w:space="0" w:color="auto"/>
                                                <w:bottom w:val="none" w:sz="0" w:space="0" w:color="auto"/>
                                                <w:right w:val="none" w:sz="0" w:space="0" w:color="auto"/>
                                              </w:divBdr>
                                              <w:divsChild>
                                                <w:div w:id="1048069211">
                                                  <w:marLeft w:val="0"/>
                                                  <w:marRight w:val="0"/>
                                                  <w:marTop w:val="0"/>
                                                  <w:marBottom w:val="0"/>
                                                  <w:divBdr>
                                                    <w:top w:val="none" w:sz="0" w:space="0" w:color="auto"/>
                                                    <w:left w:val="none" w:sz="0" w:space="0" w:color="auto"/>
                                                    <w:bottom w:val="none" w:sz="0" w:space="0" w:color="auto"/>
                                                    <w:right w:val="none" w:sz="0" w:space="0" w:color="auto"/>
                                                  </w:divBdr>
                                                  <w:divsChild>
                                                    <w:div w:id="1696806407">
                                                      <w:marLeft w:val="0"/>
                                                      <w:marRight w:val="0"/>
                                                      <w:marTop w:val="0"/>
                                                      <w:marBottom w:val="0"/>
                                                      <w:divBdr>
                                                        <w:top w:val="none" w:sz="0" w:space="0" w:color="auto"/>
                                                        <w:left w:val="none" w:sz="0" w:space="0" w:color="auto"/>
                                                        <w:bottom w:val="none" w:sz="0" w:space="0" w:color="auto"/>
                                                        <w:right w:val="none" w:sz="0" w:space="0" w:color="auto"/>
                                                      </w:divBdr>
                                                      <w:divsChild>
                                                        <w:div w:id="1074663604">
                                                          <w:marLeft w:val="0"/>
                                                          <w:marRight w:val="0"/>
                                                          <w:marTop w:val="0"/>
                                                          <w:marBottom w:val="0"/>
                                                          <w:divBdr>
                                                            <w:top w:val="none" w:sz="0" w:space="0" w:color="auto"/>
                                                            <w:left w:val="none" w:sz="0" w:space="0" w:color="auto"/>
                                                            <w:bottom w:val="none" w:sz="0" w:space="0" w:color="auto"/>
                                                            <w:right w:val="none" w:sz="0" w:space="0" w:color="auto"/>
                                                          </w:divBdr>
                                                          <w:divsChild>
                                                            <w:div w:id="2134863374">
                                                              <w:marLeft w:val="0"/>
                                                              <w:marRight w:val="0"/>
                                                              <w:marTop w:val="0"/>
                                                              <w:marBottom w:val="0"/>
                                                              <w:divBdr>
                                                                <w:top w:val="none" w:sz="0" w:space="0" w:color="auto"/>
                                                                <w:left w:val="none" w:sz="0" w:space="0" w:color="auto"/>
                                                                <w:bottom w:val="none" w:sz="0" w:space="0" w:color="auto"/>
                                                                <w:right w:val="none" w:sz="0" w:space="0" w:color="auto"/>
                                                              </w:divBdr>
                                                              <w:divsChild>
                                                                <w:div w:id="1634674480">
                                                                  <w:marLeft w:val="0"/>
                                                                  <w:marRight w:val="0"/>
                                                                  <w:marTop w:val="0"/>
                                                                  <w:marBottom w:val="0"/>
                                                                  <w:divBdr>
                                                                    <w:top w:val="none" w:sz="0" w:space="0" w:color="auto"/>
                                                                    <w:left w:val="none" w:sz="0" w:space="0" w:color="auto"/>
                                                                    <w:bottom w:val="none" w:sz="0" w:space="0" w:color="auto"/>
                                                                    <w:right w:val="none" w:sz="0" w:space="0" w:color="auto"/>
                                                                  </w:divBdr>
                                                                  <w:divsChild>
                                                                    <w:div w:id="1625572246">
                                                                      <w:marLeft w:val="0"/>
                                                                      <w:marRight w:val="0"/>
                                                                      <w:marTop w:val="0"/>
                                                                      <w:marBottom w:val="0"/>
                                                                      <w:divBdr>
                                                                        <w:top w:val="none" w:sz="0" w:space="0" w:color="auto"/>
                                                                        <w:left w:val="none" w:sz="0" w:space="0" w:color="auto"/>
                                                                        <w:bottom w:val="none" w:sz="0" w:space="0" w:color="auto"/>
                                                                        <w:right w:val="none" w:sz="0" w:space="0" w:color="auto"/>
                                                                      </w:divBdr>
                                                                      <w:divsChild>
                                                                        <w:div w:id="1233085169">
                                                                          <w:marLeft w:val="0"/>
                                                                          <w:marRight w:val="0"/>
                                                                          <w:marTop w:val="0"/>
                                                                          <w:marBottom w:val="0"/>
                                                                          <w:divBdr>
                                                                            <w:top w:val="none" w:sz="0" w:space="0" w:color="auto"/>
                                                                            <w:left w:val="none" w:sz="0" w:space="0" w:color="auto"/>
                                                                            <w:bottom w:val="none" w:sz="0" w:space="0" w:color="auto"/>
                                                                            <w:right w:val="none" w:sz="0" w:space="0" w:color="auto"/>
                                                                          </w:divBdr>
                                                                          <w:divsChild>
                                                                            <w:div w:id="1753625545">
                                                                              <w:marLeft w:val="0"/>
                                                                              <w:marRight w:val="0"/>
                                                                              <w:marTop w:val="0"/>
                                                                              <w:marBottom w:val="0"/>
                                                                              <w:divBdr>
                                                                                <w:top w:val="none" w:sz="0" w:space="0" w:color="auto"/>
                                                                                <w:left w:val="none" w:sz="0" w:space="0" w:color="auto"/>
                                                                                <w:bottom w:val="none" w:sz="0" w:space="0" w:color="auto"/>
                                                                                <w:right w:val="none" w:sz="0" w:space="0" w:color="auto"/>
                                                                              </w:divBdr>
                                                                              <w:divsChild>
                                                                                <w:div w:id="275454440">
                                                                                  <w:marLeft w:val="0"/>
                                                                                  <w:marRight w:val="0"/>
                                                                                  <w:marTop w:val="0"/>
                                                                                  <w:marBottom w:val="0"/>
                                                                                  <w:divBdr>
                                                                                    <w:top w:val="none" w:sz="0" w:space="0" w:color="auto"/>
                                                                                    <w:left w:val="none" w:sz="0" w:space="0" w:color="auto"/>
                                                                                    <w:bottom w:val="none" w:sz="0" w:space="0" w:color="auto"/>
                                                                                    <w:right w:val="none" w:sz="0" w:space="0" w:color="auto"/>
                                                                                  </w:divBdr>
                                                                                  <w:divsChild>
                                                                                    <w:div w:id="8702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8155011">
      <w:bodyDiv w:val="1"/>
      <w:marLeft w:val="0"/>
      <w:marRight w:val="0"/>
      <w:marTop w:val="0"/>
      <w:marBottom w:val="0"/>
      <w:divBdr>
        <w:top w:val="none" w:sz="0" w:space="0" w:color="auto"/>
        <w:left w:val="none" w:sz="0" w:space="0" w:color="auto"/>
        <w:bottom w:val="none" w:sz="0" w:space="0" w:color="auto"/>
        <w:right w:val="none" w:sz="0" w:space="0" w:color="auto"/>
      </w:divBdr>
      <w:divsChild>
        <w:div w:id="2045597255">
          <w:marLeft w:val="0"/>
          <w:marRight w:val="0"/>
          <w:marTop w:val="0"/>
          <w:marBottom w:val="0"/>
          <w:divBdr>
            <w:top w:val="none" w:sz="0" w:space="0" w:color="auto"/>
            <w:left w:val="none" w:sz="0" w:space="0" w:color="auto"/>
            <w:bottom w:val="none" w:sz="0" w:space="0" w:color="auto"/>
            <w:right w:val="none" w:sz="0" w:space="0" w:color="auto"/>
          </w:divBdr>
          <w:divsChild>
            <w:div w:id="1412660513">
              <w:marLeft w:val="0"/>
              <w:marRight w:val="0"/>
              <w:marTop w:val="0"/>
              <w:marBottom w:val="0"/>
              <w:divBdr>
                <w:top w:val="none" w:sz="0" w:space="0" w:color="auto"/>
                <w:left w:val="none" w:sz="0" w:space="0" w:color="auto"/>
                <w:bottom w:val="none" w:sz="0" w:space="0" w:color="auto"/>
                <w:right w:val="none" w:sz="0" w:space="0" w:color="auto"/>
              </w:divBdr>
              <w:divsChild>
                <w:div w:id="1390495274">
                  <w:marLeft w:val="0"/>
                  <w:marRight w:val="0"/>
                  <w:marTop w:val="0"/>
                  <w:marBottom w:val="0"/>
                  <w:divBdr>
                    <w:top w:val="none" w:sz="0" w:space="0" w:color="auto"/>
                    <w:left w:val="none" w:sz="0" w:space="0" w:color="auto"/>
                    <w:bottom w:val="none" w:sz="0" w:space="0" w:color="auto"/>
                    <w:right w:val="none" w:sz="0" w:space="0" w:color="auto"/>
                  </w:divBdr>
                  <w:divsChild>
                    <w:div w:id="2054234477">
                      <w:marLeft w:val="0"/>
                      <w:marRight w:val="0"/>
                      <w:marTop w:val="0"/>
                      <w:marBottom w:val="0"/>
                      <w:divBdr>
                        <w:top w:val="none" w:sz="0" w:space="0" w:color="auto"/>
                        <w:left w:val="none" w:sz="0" w:space="0" w:color="auto"/>
                        <w:bottom w:val="none" w:sz="0" w:space="0" w:color="auto"/>
                        <w:right w:val="none" w:sz="0" w:space="0" w:color="auto"/>
                      </w:divBdr>
                      <w:divsChild>
                        <w:div w:id="2022930457">
                          <w:marLeft w:val="0"/>
                          <w:marRight w:val="0"/>
                          <w:marTop w:val="15"/>
                          <w:marBottom w:val="0"/>
                          <w:divBdr>
                            <w:top w:val="none" w:sz="0" w:space="0" w:color="auto"/>
                            <w:left w:val="none" w:sz="0" w:space="0" w:color="auto"/>
                            <w:bottom w:val="none" w:sz="0" w:space="0" w:color="auto"/>
                            <w:right w:val="none" w:sz="0" w:space="0" w:color="auto"/>
                          </w:divBdr>
                          <w:divsChild>
                            <w:div w:id="575819294">
                              <w:marLeft w:val="0"/>
                              <w:marRight w:val="0"/>
                              <w:marTop w:val="0"/>
                              <w:marBottom w:val="0"/>
                              <w:divBdr>
                                <w:top w:val="none" w:sz="0" w:space="0" w:color="auto"/>
                                <w:left w:val="none" w:sz="0" w:space="0" w:color="auto"/>
                                <w:bottom w:val="none" w:sz="0" w:space="0" w:color="auto"/>
                                <w:right w:val="none" w:sz="0" w:space="0" w:color="auto"/>
                              </w:divBdr>
                              <w:divsChild>
                                <w:div w:id="2052920642">
                                  <w:marLeft w:val="0"/>
                                  <w:marRight w:val="0"/>
                                  <w:marTop w:val="0"/>
                                  <w:marBottom w:val="0"/>
                                  <w:divBdr>
                                    <w:top w:val="none" w:sz="0" w:space="0" w:color="auto"/>
                                    <w:left w:val="none" w:sz="0" w:space="0" w:color="auto"/>
                                    <w:bottom w:val="none" w:sz="0" w:space="0" w:color="auto"/>
                                    <w:right w:val="none" w:sz="0" w:space="0" w:color="auto"/>
                                  </w:divBdr>
                                </w:div>
                                <w:div w:id="332923511">
                                  <w:marLeft w:val="0"/>
                                  <w:marRight w:val="0"/>
                                  <w:marTop w:val="0"/>
                                  <w:marBottom w:val="0"/>
                                  <w:divBdr>
                                    <w:top w:val="none" w:sz="0" w:space="0" w:color="auto"/>
                                    <w:left w:val="none" w:sz="0" w:space="0" w:color="auto"/>
                                    <w:bottom w:val="none" w:sz="0" w:space="0" w:color="auto"/>
                                    <w:right w:val="none" w:sz="0" w:space="0" w:color="auto"/>
                                  </w:divBdr>
                                </w:div>
                                <w:div w:id="68683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6243624">
      <w:bodyDiv w:val="1"/>
      <w:marLeft w:val="0"/>
      <w:marRight w:val="0"/>
      <w:marTop w:val="0"/>
      <w:marBottom w:val="0"/>
      <w:divBdr>
        <w:top w:val="none" w:sz="0" w:space="0" w:color="auto"/>
        <w:left w:val="none" w:sz="0" w:space="0" w:color="auto"/>
        <w:bottom w:val="none" w:sz="0" w:space="0" w:color="auto"/>
        <w:right w:val="none" w:sz="0" w:space="0" w:color="auto"/>
      </w:divBdr>
    </w:div>
    <w:div w:id="2029865676">
      <w:bodyDiv w:val="1"/>
      <w:marLeft w:val="0"/>
      <w:marRight w:val="0"/>
      <w:marTop w:val="0"/>
      <w:marBottom w:val="0"/>
      <w:divBdr>
        <w:top w:val="none" w:sz="0" w:space="0" w:color="auto"/>
        <w:left w:val="none" w:sz="0" w:space="0" w:color="auto"/>
        <w:bottom w:val="none" w:sz="0" w:space="0" w:color="auto"/>
        <w:right w:val="none" w:sz="0" w:space="0" w:color="auto"/>
      </w:divBdr>
    </w:div>
    <w:div w:id="209335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ku.cz/assets/kon-zavery/K17005.pdf" TargetMode="External"/><Relationship Id="rId21" Type="http://schemas.openxmlformats.org/officeDocument/2006/relationships/diagramQuickStyle" Target="diagrams/quickStyle1.xml"/><Relationship Id="rId42" Type="http://schemas.openxmlformats.org/officeDocument/2006/relationships/chart" Target="charts/chart13.xml"/><Relationship Id="rId47" Type="http://schemas.openxmlformats.org/officeDocument/2006/relationships/diagramColors" Target="diagrams/colors4.xml"/><Relationship Id="rId63" Type="http://schemas.openxmlformats.org/officeDocument/2006/relationships/chart" Target="charts/chart24.xml"/><Relationship Id="rId68" Type="http://schemas.openxmlformats.org/officeDocument/2006/relationships/chart" Target="charts/chart29.xml"/><Relationship Id="rId84" Type="http://schemas.openxmlformats.org/officeDocument/2006/relationships/chart" Target="charts/chart40.xml"/><Relationship Id="rId89" Type="http://schemas.openxmlformats.org/officeDocument/2006/relationships/diagramColors" Target="diagrams/colors7.xml"/><Relationship Id="rId112" Type="http://schemas.openxmlformats.org/officeDocument/2006/relationships/hyperlink" Target="https://www.nku.cz/assets/kon-zavery/K14006.pdf" TargetMode="External"/><Relationship Id="rId16" Type="http://schemas.openxmlformats.org/officeDocument/2006/relationships/chart" Target="charts/chart3.xml"/><Relationship Id="rId107" Type="http://schemas.openxmlformats.org/officeDocument/2006/relationships/hyperlink" Target="https://www.mfcr.cz/cs/aktualne/tiskove-zpravy/2018/oecd-zverejnilo-hospodarsky-prehled-cr-2-32423" TargetMode="External"/><Relationship Id="rId11" Type="http://schemas.openxmlformats.org/officeDocument/2006/relationships/endnotes" Target="endnotes.xml"/><Relationship Id="rId32" Type="http://schemas.openxmlformats.org/officeDocument/2006/relationships/chart" Target="charts/chart8.xml"/><Relationship Id="rId37" Type="http://schemas.openxmlformats.org/officeDocument/2006/relationships/diagramLayout" Target="diagrams/layout3.xml"/><Relationship Id="rId53" Type="http://schemas.microsoft.com/office/2007/relationships/diagramDrawing" Target="diagrams/drawing5.xml"/><Relationship Id="rId58" Type="http://schemas.openxmlformats.org/officeDocument/2006/relationships/chart" Target="charts/chart19.xml"/><Relationship Id="rId74" Type="http://schemas.openxmlformats.org/officeDocument/2006/relationships/chart" Target="charts/chart35.xml"/><Relationship Id="rId79" Type="http://schemas.openxmlformats.org/officeDocument/2006/relationships/diagramQuickStyle" Target="diagrams/quickStyle6.xml"/><Relationship Id="rId102" Type="http://schemas.openxmlformats.org/officeDocument/2006/relationships/hyperlink" Target="https://cslav.justice.cz/InfoData/prehledy-statistickych-listu.html" TargetMode="External"/><Relationship Id="rId123" Type="http://schemas.openxmlformats.org/officeDocument/2006/relationships/hyperlink" Target="https://www.nku.cz/assets/kon-zavery/K17031.pdf" TargetMode="External"/><Relationship Id="rId128" Type="http://schemas.openxmlformats.org/officeDocument/2006/relationships/hyperlink" Target="https://www.nku.cz/assets/kon-zavery/K18034.pdf" TargetMode="External"/><Relationship Id="rId5" Type="http://schemas.openxmlformats.org/officeDocument/2006/relationships/customXml" Target="../customXml/item5.xml"/><Relationship Id="rId90" Type="http://schemas.microsoft.com/office/2007/relationships/diagramDrawing" Target="diagrams/drawing7.xml"/><Relationship Id="rId95" Type="http://schemas.microsoft.com/office/2007/relationships/diagramDrawing" Target="diagrams/drawing8.xml"/><Relationship Id="rId22" Type="http://schemas.openxmlformats.org/officeDocument/2006/relationships/diagramColors" Target="diagrams/colors1.xml"/><Relationship Id="rId27" Type="http://schemas.openxmlformats.org/officeDocument/2006/relationships/diagramQuickStyle" Target="diagrams/quickStyle2.xml"/><Relationship Id="rId43" Type="http://schemas.openxmlformats.org/officeDocument/2006/relationships/chart" Target="charts/chart14.xml"/><Relationship Id="rId48" Type="http://schemas.microsoft.com/office/2007/relationships/diagramDrawing" Target="diagrams/drawing4.xml"/><Relationship Id="rId64" Type="http://schemas.openxmlformats.org/officeDocument/2006/relationships/chart" Target="charts/chart25.xml"/><Relationship Id="rId69" Type="http://schemas.openxmlformats.org/officeDocument/2006/relationships/chart" Target="charts/chart30.xml"/><Relationship Id="rId113" Type="http://schemas.openxmlformats.org/officeDocument/2006/relationships/hyperlink" Target="https://www.nku.cz/assets/kon-zavery/K15033.pdf" TargetMode="External"/><Relationship Id="rId118" Type="http://schemas.openxmlformats.org/officeDocument/2006/relationships/hyperlink" Target="https://www.nku.cz/assets/kon-zavery/K17008.pdf" TargetMode="External"/><Relationship Id="rId80" Type="http://schemas.openxmlformats.org/officeDocument/2006/relationships/diagramColors" Target="diagrams/colors6.xml"/><Relationship Id="rId85" Type="http://schemas.openxmlformats.org/officeDocument/2006/relationships/chart" Target="charts/chart41.xml"/><Relationship Id="rId12" Type="http://schemas.openxmlformats.org/officeDocument/2006/relationships/image" Target="media/image1.png"/><Relationship Id="rId17" Type="http://schemas.openxmlformats.org/officeDocument/2006/relationships/chart" Target="charts/chart4.xml"/><Relationship Id="rId33" Type="http://schemas.openxmlformats.org/officeDocument/2006/relationships/chart" Target="charts/chart9.xml"/><Relationship Id="rId38" Type="http://schemas.openxmlformats.org/officeDocument/2006/relationships/diagramQuickStyle" Target="diagrams/quickStyle3.xml"/><Relationship Id="rId59" Type="http://schemas.openxmlformats.org/officeDocument/2006/relationships/chart" Target="charts/chart20.xml"/><Relationship Id="rId103" Type="http://schemas.openxmlformats.org/officeDocument/2006/relationships/hyperlink" Target="https://www.coe.int/en/web/human-rights-rule-of-law/-/publication-of-the-2018-edition-of-the-report-on-efficiency-and-quality-of-european-judicial-systems-by-the-cepej" TargetMode="External"/><Relationship Id="rId108" Type="http://schemas.openxmlformats.org/officeDocument/2006/relationships/hyperlink" Target="http://www.iheta.org/p69-spolecenske-naklady-konzumace-alkoholu-v-ceske-republice-report" TargetMode="External"/><Relationship Id="rId124" Type="http://schemas.openxmlformats.org/officeDocument/2006/relationships/hyperlink" Target="https://www.nku.cz/assets/kon-zavery/K17036.pdf" TargetMode="External"/><Relationship Id="rId129" Type="http://schemas.openxmlformats.org/officeDocument/2006/relationships/header" Target="header1.xml"/><Relationship Id="rId54" Type="http://schemas.openxmlformats.org/officeDocument/2006/relationships/chart" Target="charts/chart15.xml"/><Relationship Id="rId70" Type="http://schemas.openxmlformats.org/officeDocument/2006/relationships/chart" Target="charts/chart31.xml"/><Relationship Id="rId75" Type="http://schemas.openxmlformats.org/officeDocument/2006/relationships/chart" Target="charts/chart36.xml"/><Relationship Id="rId91" Type="http://schemas.openxmlformats.org/officeDocument/2006/relationships/diagramData" Target="diagrams/data8.xml"/><Relationship Id="rId96" Type="http://schemas.openxmlformats.org/officeDocument/2006/relationships/hyperlink" Target="https://cohesiondata.ec.europa.eu/" TargetMode="External"/><Relationship Id="rId1" Type="http://schemas.openxmlformats.org/officeDocument/2006/relationships/customXml" Target="../customXml/item1.xml"/><Relationship Id="rId6" Type="http://schemas.openxmlformats.org/officeDocument/2006/relationships/numbering" Target="numbering.xml"/><Relationship Id="rId23" Type="http://schemas.microsoft.com/office/2007/relationships/diagramDrawing" Target="diagrams/drawing1.xml"/><Relationship Id="rId28" Type="http://schemas.openxmlformats.org/officeDocument/2006/relationships/diagramColors" Target="diagrams/colors2.xml"/><Relationship Id="rId49" Type="http://schemas.openxmlformats.org/officeDocument/2006/relationships/diagramData" Target="diagrams/data5.xml"/><Relationship Id="rId114" Type="http://schemas.openxmlformats.org/officeDocument/2006/relationships/hyperlink" Target="https://www.nku.cz/assets/kon-zavery/K16009.pdf" TargetMode="External"/><Relationship Id="rId119" Type="http://schemas.openxmlformats.org/officeDocument/2006/relationships/hyperlink" Target="https://www.nku.cz/assets/kon-zavery/K17018.pdf" TargetMode="External"/><Relationship Id="rId44" Type="http://schemas.openxmlformats.org/officeDocument/2006/relationships/diagramData" Target="diagrams/data4.xml"/><Relationship Id="rId60" Type="http://schemas.openxmlformats.org/officeDocument/2006/relationships/chart" Target="charts/chart21.xml"/><Relationship Id="rId65" Type="http://schemas.openxmlformats.org/officeDocument/2006/relationships/chart" Target="charts/chart26.xml"/><Relationship Id="rId81" Type="http://schemas.microsoft.com/office/2007/relationships/diagramDrawing" Target="diagrams/drawing6.xml"/><Relationship Id="rId86" Type="http://schemas.openxmlformats.org/officeDocument/2006/relationships/diagramData" Target="diagrams/data7.xml"/><Relationship Id="rId130"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chart" Target="charts/chart5.xml"/><Relationship Id="rId39" Type="http://schemas.openxmlformats.org/officeDocument/2006/relationships/diagramColors" Target="diagrams/colors3.xml"/><Relationship Id="rId109" Type="http://schemas.openxmlformats.org/officeDocument/2006/relationships/hyperlink" Target="https://www.dotaceeu.cz/cs/Evropske-fondy-v-CR/KOHEZNI-POLITIKA-PO-ROCE-2020/Koncepce-CR-pro-politiku-soudrznosti-2021" TargetMode="External"/><Relationship Id="rId34" Type="http://schemas.openxmlformats.org/officeDocument/2006/relationships/chart" Target="charts/chart10.xml"/><Relationship Id="rId50" Type="http://schemas.openxmlformats.org/officeDocument/2006/relationships/diagramLayout" Target="diagrams/layout5.xml"/><Relationship Id="rId55" Type="http://schemas.openxmlformats.org/officeDocument/2006/relationships/chart" Target="charts/chart16.xml"/><Relationship Id="rId76" Type="http://schemas.openxmlformats.org/officeDocument/2006/relationships/chart" Target="charts/chart37.xml"/><Relationship Id="rId97" Type="http://schemas.openxmlformats.org/officeDocument/2006/relationships/hyperlink" Target="http://ec.europa.eu/budget/graphs/revenue_expediture.html" TargetMode="External"/><Relationship Id="rId104" Type="http://schemas.openxmlformats.org/officeDocument/2006/relationships/hyperlink" Target="https://ec.europa.eu/growth/industry/innovation/facts-figures/scoreboards_en" TargetMode="External"/><Relationship Id="rId120" Type="http://schemas.openxmlformats.org/officeDocument/2006/relationships/hyperlink" Target="https://www.nku.cz/assets/kon-zavery/K17019.pdf" TargetMode="External"/><Relationship Id="rId125" Type="http://schemas.openxmlformats.org/officeDocument/2006/relationships/hyperlink" Target="https://www.nku.cz/assets/kon-zavery/K18004.pdf" TargetMode="External"/><Relationship Id="rId7" Type="http://schemas.openxmlformats.org/officeDocument/2006/relationships/styles" Target="styles.xml"/><Relationship Id="rId71" Type="http://schemas.openxmlformats.org/officeDocument/2006/relationships/chart" Target="charts/chart32.xml"/><Relationship Id="rId92" Type="http://schemas.openxmlformats.org/officeDocument/2006/relationships/diagramLayout" Target="diagrams/layout8.xml"/><Relationship Id="rId2" Type="http://schemas.openxmlformats.org/officeDocument/2006/relationships/customXml" Target="../customXml/item2.xml"/><Relationship Id="rId29" Type="http://schemas.microsoft.com/office/2007/relationships/diagramDrawing" Target="diagrams/drawing2.xml"/><Relationship Id="rId24" Type="http://schemas.openxmlformats.org/officeDocument/2006/relationships/chart" Target="charts/chart6.xml"/><Relationship Id="rId40" Type="http://schemas.microsoft.com/office/2007/relationships/diagramDrawing" Target="diagrams/drawing3.xml"/><Relationship Id="rId45" Type="http://schemas.openxmlformats.org/officeDocument/2006/relationships/diagramLayout" Target="diagrams/layout4.xml"/><Relationship Id="rId66" Type="http://schemas.openxmlformats.org/officeDocument/2006/relationships/chart" Target="charts/chart27.xml"/><Relationship Id="rId87" Type="http://schemas.openxmlformats.org/officeDocument/2006/relationships/diagramLayout" Target="diagrams/layout7.xml"/><Relationship Id="rId110" Type="http://schemas.openxmlformats.org/officeDocument/2006/relationships/hyperlink" Target="https://publications.europa.eu/en/publication-detail/-/publication/d94c9a87-5269-11e8-be1d-01aa75ed71a1/language-cs" TargetMode="External"/><Relationship Id="rId115" Type="http://schemas.openxmlformats.org/officeDocument/2006/relationships/hyperlink" Target="https://www.nku.cz/assets/kon-zavery/K16021.pdf" TargetMode="External"/><Relationship Id="rId131" Type="http://schemas.openxmlformats.org/officeDocument/2006/relationships/fontTable" Target="fontTable.xml"/><Relationship Id="rId61" Type="http://schemas.openxmlformats.org/officeDocument/2006/relationships/chart" Target="charts/chart22.xml"/><Relationship Id="rId82" Type="http://schemas.openxmlformats.org/officeDocument/2006/relationships/chart" Target="charts/chart38.xml"/><Relationship Id="rId19" Type="http://schemas.openxmlformats.org/officeDocument/2006/relationships/diagramData" Target="diagrams/data1.xml"/><Relationship Id="rId14" Type="http://schemas.openxmlformats.org/officeDocument/2006/relationships/chart" Target="charts/chart1.xml"/><Relationship Id="rId30" Type="http://schemas.openxmlformats.org/officeDocument/2006/relationships/chart" Target="charts/chart7.xml"/><Relationship Id="rId35" Type="http://schemas.openxmlformats.org/officeDocument/2006/relationships/chart" Target="charts/chart11.xml"/><Relationship Id="rId56" Type="http://schemas.openxmlformats.org/officeDocument/2006/relationships/chart" Target="charts/chart17.xml"/><Relationship Id="rId77" Type="http://schemas.openxmlformats.org/officeDocument/2006/relationships/diagramData" Target="diagrams/data6.xml"/><Relationship Id="rId100" Type="http://schemas.openxmlformats.org/officeDocument/2006/relationships/hyperlink" Target="https://www.ceer.eu/documents/104400/-/-/80ff3127-8328-52c3-4d01-0acbdb2d3bed" TargetMode="External"/><Relationship Id="rId105" Type="http://schemas.openxmlformats.org/officeDocument/2006/relationships/hyperlink" Target="https://epi.envirocenter.yale.edu/epi-report-2018/executive-summary" TargetMode="External"/><Relationship Id="rId126" Type="http://schemas.openxmlformats.org/officeDocument/2006/relationships/hyperlink" Target="https://www.nku.cz/assets/kon-zavery/K18008.pdf" TargetMode="External"/><Relationship Id="rId8" Type="http://schemas.openxmlformats.org/officeDocument/2006/relationships/settings" Target="settings.xml"/><Relationship Id="rId51" Type="http://schemas.openxmlformats.org/officeDocument/2006/relationships/diagramQuickStyle" Target="diagrams/quickStyle5.xml"/><Relationship Id="rId72" Type="http://schemas.openxmlformats.org/officeDocument/2006/relationships/chart" Target="charts/chart33.xml"/><Relationship Id="rId93" Type="http://schemas.openxmlformats.org/officeDocument/2006/relationships/diagramQuickStyle" Target="diagrams/quickStyle8.xml"/><Relationship Id="rId98" Type="http://schemas.openxmlformats.org/officeDocument/2006/relationships/hyperlink" Target="https://ec.europa.eu/transport/facts-fundings/scoreboard/compare/investments-infrastructure/quality-roads_en" TargetMode="External"/><Relationship Id="rId121" Type="http://schemas.openxmlformats.org/officeDocument/2006/relationships/hyperlink" Target="https://www.nku.cz/assets/kon-zavery/K17026.pdf" TargetMode="External"/><Relationship Id="rId3" Type="http://schemas.openxmlformats.org/officeDocument/2006/relationships/customXml" Target="../customXml/item3.xml"/><Relationship Id="rId25" Type="http://schemas.openxmlformats.org/officeDocument/2006/relationships/diagramData" Target="diagrams/data2.xml"/><Relationship Id="rId46" Type="http://schemas.openxmlformats.org/officeDocument/2006/relationships/diagramQuickStyle" Target="diagrams/quickStyle4.xml"/><Relationship Id="rId67" Type="http://schemas.openxmlformats.org/officeDocument/2006/relationships/chart" Target="charts/chart28.xml"/><Relationship Id="rId116" Type="http://schemas.openxmlformats.org/officeDocument/2006/relationships/hyperlink" Target="https://www.nku.cz/assets/kon-zavery/K16029.pdf" TargetMode="External"/><Relationship Id="rId20" Type="http://schemas.openxmlformats.org/officeDocument/2006/relationships/diagramLayout" Target="diagrams/layout1.xml"/><Relationship Id="rId41" Type="http://schemas.openxmlformats.org/officeDocument/2006/relationships/chart" Target="charts/chart12.xml"/><Relationship Id="rId62" Type="http://schemas.openxmlformats.org/officeDocument/2006/relationships/chart" Target="charts/chart23.xml"/><Relationship Id="rId83" Type="http://schemas.openxmlformats.org/officeDocument/2006/relationships/chart" Target="charts/chart39.xml"/><Relationship Id="rId88" Type="http://schemas.openxmlformats.org/officeDocument/2006/relationships/diagramQuickStyle" Target="diagrams/quickStyle7.xml"/><Relationship Id="rId111" Type="http://schemas.openxmlformats.org/officeDocument/2006/relationships/hyperlink" Target="https://www.mzp.cz/cz/hodnoceni_politiky_zivotni_prostredi_cr" TargetMode="External"/><Relationship Id="rId132" Type="http://schemas.openxmlformats.org/officeDocument/2006/relationships/theme" Target="theme/theme1.xml"/><Relationship Id="rId15" Type="http://schemas.openxmlformats.org/officeDocument/2006/relationships/chart" Target="charts/chart2.xml"/><Relationship Id="rId36" Type="http://schemas.openxmlformats.org/officeDocument/2006/relationships/diagramData" Target="diagrams/data3.xml"/><Relationship Id="rId57" Type="http://schemas.openxmlformats.org/officeDocument/2006/relationships/chart" Target="charts/chart18.xml"/><Relationship Id="rId106" Type="http://schemas.openxmlformats.org/officeDocument/2006/relationships/hyperlink" Target="https://ec.europa.eu/eurostat/web/products-datasets/-/tec00115&amp;lang=en" TargetMode="External"/><Relationship Id="rId127" Type="http://schemas.openxmlformats.org/officeDocument/2006/relationships/hyperlink" Target="https://www.nku.cz/assets/kon-zavery/K18013.pdf" TargetMode="External"/><Relationship Id="rId10" Type="http://schemas.openxmlformats.org/officeDocument/2006/relationships/footnotes" Target="footnotes.xml"/><Relationship Id="rId31" Type="http://schemas.openxmlformats.org/officeDocument/2006/relationships/image" Target="media/image3.png"/><Relationship Id="rId52" Type="http://schemas.openxmlformats.org/officeDocument/2006/relationships/diagramColors" Target="diagrams/colors5.xml"/><Relationship Id="rId73" Type="http://schemas.openxmlformats.org/officeDocument/2006/relationships/chart" Target="charts/chart34.xml"/><Relationship Id="rId78" Type="http://schemas.openxmlformats.org/officeDocument/2006/relationships/diagramLayout" Target="diagrams/layout6.xml"/><Relationship Id="rId94" Type="http://schemas.openxmlformats.org/officeDocument/2006/relationships/diagramColors" Target="diagrams/colors8.xml"/><Relationship Id="rId99" Type="http://schemas.openxmlformats.org/officeDocument/2006/relationships/hyperlink" Target="https://www.ote-cr.cz/cs/statistika/narodni-energeticky-mix" TargetMode="External"/><Relationship Id="rId101" Type="http://schemas.openxmlformats.org/officeDocument/2006/relationships/hyperlink" Target="http://appsso.eurostat.ec.europa.eu/nui/show.do?dataset=nrg_105m&amp;lang=en" TargetMode="External"/><Relationship Id="rId122" Type="http://schemas.openxmlformats.org/officeDocument/2006/relationships/hyperlink" Target="https://www.nku.cz/assets/kon-zavery/K17030.pdf" TargetMode="External"/><Relationship Id="rId4" Type="http://schemas.openxmlformats.org/officeDocument/2006/relationships/customXml" Target="../customXml/item4.xml"/><Relationship Id="rId9" Type="http://schemas.openxmlformats.org/officeDocument/2006/relationships/webSettings" Target="webSettings.xml"/><Relationship Id="rId26" Type="http://schemas.openxmlformats.org/officeDocument/2006/relationships/diagramLayout" Target="diagrams/layout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graphs/revenue_expeditur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charts/_rels/chart1.xml.rels><?xml version="1.0" encoding="UTF-8" standalone="yes"?>
<Relationships xmlns="http://schemas.openxmlformats.org/package/2006/relationships"><Relationship Id="rId3" Type="http://schemas.openxmlformats.org/officeDocument/2006/relationships/oleObject" Target="file:///\\F1\BANA\03%20Stanovisko%20k%20SZ&#218;%202018\Kapitoly%20do%20stanoviska\Ek%20v&#253;voj%20a%20rozpo&#269;tov&#225;%20politika\G%20-%20E%20v&#253;voj.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Prace\Ukoly\2019\Stanovisko\&#268;&#225;sti\Zdenda\Kopie%20-%20G_do_stanoviska_zd.xlsx" TargetMode="External"/><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3" Type="http://schemas.openxmlformats.org/officeDocument/2006/relationships/oleObject" Target="file:///\\F1\BANA\03%20Stanovisko%20k%20SZ&#218;%202018\Kapitoly%20do%20stanoviska\P&#345;&#237;jmy\Trend%20v&#253;voje%20dan&#237;%20-%20p&#345;&#237;m&#233;%20a%20nep&#345;&#237;m&#233;%20_citlivost%20na%20ekonomick&#253;%20v&#253;voj.xlsx" TargetMode="External"/><Relationship Id="rId2" Type="http://schemas.microsoft.com/office/2011/relationships/chartColorStyle" Target="colors8.xml"/><Relationship Id="rId1" Type="http://schemas.microsoft.com/office/2011/relationships/chartStyle" Target="style8.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KEPRT\AppData\Local\Microsoft\Windows\INetCache\Content.Outlook\I0RDBY9E\V&#253;daje%20Graf%20&#269;.%201%20(002).xlsx" TargetMode="External"/><Relationship Id="rId2" Type="http://schemas.microsoft.com/office/2011/relationships/chartColorStyle" Target="colors9.xml"/><Relationship Id="rId1" Type="http://schemas.microsoft.com/office/2011/relationships/chartStyle" Target="style9.xml"/></Relationships>
</file>

<file path=word/charts/_rels/chart13.xml.rels><?xml version="1.0" encoding="UTF-8" standalone="yes"?>
<Relationships xmlns="http://schemas.openxmlformats.org/package/2006/relationships"><Relationship Id="rId3" Type="http://schemas.openxmlformats.org/officeDocument/2006/relationships/oleObject" Target="file:///D:\V&#253;daje_Grafy%20&#269;.%202%20a%20&#269;.%203.xlsx" TargetMode="External"/><Relationship Id="rId2" Type="http://schemas.microsoft.com/office/2011/relationships/chartColorStyle" Target="colors10.xml"/><Relationship Id="rId1" Type="http://schemas.microsoft.com/office/2011/relationships/chartStyle" Target="style10.xml"/></Relationships>
</file>

<file path=word/charts/_rels/chart14.xml.rels><?xml version="1.0" encoding="UTF-8" standalone="yes"?>
<Relationships xmlns="http://schemas.openxmlformats.org/package/2006/relationships"><Relationship Id="rId3" Type="http://schemas.openxmlformats.org/officeDocument/2006/relationships/oleObject" Target="file:///D:\V&#253;daje_Grafy%20&#269;.%202%20a%20&#269;.%203.xlsx" TargetMode="External"/><Relationship Id="rId2" Type="http://schemas.microsoft.com/office/2011/relationships/chartColorStyle" Target="colors11.xml"/><Relationship Id="rId1" Type="http://schemas.microsoft.com/office/2011/relationships/chartStyle" Target="style11.xml"/></Relationships>
</file>

<file path=word/charts/_rels/chart15.xml.rels><?xml version="1.0" encoding="UTF-8" standalone="yes"?>
<Relationships xmlns="http://schemas.openxmlformats.org/package/2006/relationships"><Relationship Id="rId3" Type="http://schemas.openxmlformats.org/officeDocument/2006/relationships/oleObject" Target="file:///D:\Prijmy_vydaje_SR_2014_2018.xlsx" TargetMode="External"/><Relationship Id="rId2" Type="http://schemas.microsoft.com/office/2011/relationships/chartColorStyle" Target="colors12.xml"/><Relationship Id="rId1" Type="http://schemas.microsoft.com/office/2011/relationships/chartStyle" Target="style12.xml"/></Relationships>
</file>

<file path=word/charts/_rels/chart16.xml.rels><?xml version="1.0" encoding="UTF-8" standalone="yes"?>
<Relationships xmlns="http://schemas.openxmlformats.org/package/2006/relationships"><Relationship Id="rId3" Type="http://schemas.openxmlformats.org/officeDocument/2006/relationships/oleObject" Target="file:///D:\Graf%20mezin&#225;rodn&#237;%20srovn&#225;n&#237;,%20sch&#233;ma%20P%20a%20V%20EU,FM.xlsx" TargetMode="External"/><Relationship Id="rId2" Type="http://schemas.microsoft.com/office/2011/relationships/chartColorStyle" Target="colors13.xml"/><Relationship Id="rId1" Type="http://schemas.microsoft.com/office/2011/relationships/chartStyle" Target="style13.xml"/></Relationships>
</file>

<file path=word/charts/_rels/chart17.xml.rels><?xml version="1.0" encoding="UTF-8" standalone="yes"?>
<Relationships xmlns="http://schemas.openxmlformats.org/package/2006/relationships"><Relationship Id="rId3" Type="http://schemas.openxmlformats.org/officeDocument/2006/relationships/oleObject" Target="file:///D:\model_brexit.xlsx" TargetMode="External"/><Relationship Id="rId2" Type="http://schemas.microsoft.com/office/2011/relationships/chartColorStyle" Target="colors14.xml"/><Relationship Id="rId1" Type="http://schemas.microsoft.com/office/2011/relationships/chartStyle" Target="style14.xml"/></Relationships>
</file>

<file path=word/charts/_rels/chart18.xml.rels><?xml version="1.0" encoding="UTF-8" standalone="yes"?>
<Relationships xmlns="http://schemas.openxmlformats.org/package/2006/relationships"><Relationship Id="rId3" Type="http://schemas.openxmlformats.org/officeDocument/2006/relationships/oleObject" Target="file:///D:\ROK%202019\Doprava\Doprava_oddily.xlsx" TargetMode="External"/><Relationship Id="rId2" Type="http://schemas.microsoft.com/office/2011/relationships/chartColorStyle" Target="colors15.xml"/><Relationship Id="rId1" Type="http://schemas.microsoft.com/office/2011/relationships/chartStyle" Target="style15.xml"/></Relationships>
</file>

<file path=word/charts/_rels/chart19.xml.rels><?xml version="1.0" encoding="UTF-8" standalone="yes"?>
<Relationships xmlns="http://schemas.openxmlformats.org/package/2006/relationships"><Relationship Id="rId3" Type="http://schemas.openxmlformats.org/officeDocument/2006/relationships/oleObject" Target="file:///D:\Kvalita_silnic_EU.xlsx" TargetMode="Externa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D:\Prace\Ukoly\2019\Stanovisko\&#268;&#225;sti\Kam&#269;a\Presun_nakladu.xlsx" TargetMode="External"/><Relationship Id="rId2" Type="http://schemas.microsoft.com/office/2011/relationships/chartColorStyle" Target="colors17.xml"/><Relationship Id="rId1" Type="http://schemas.microsoft.com/office/2011/relationships/chartStyle" Target="style17.xml"/></Relationships>
</file>

<file path=word/charts/_rels/chart21.xml.rels><?xml version="1.0" encoding="UTF-8" standalone="yes"?>
<Relationships xmlns="http://schemas.openxmlformats.org/package/2006/relationships"><Relationship Id="rId3" Type="http://schemas.openxmlformats.org/officeDocument/2006/relationships/oleObject" Target="file:///D:\Graf_Zdroje_elektricke_energie.xlsx" TargetMode="External"/><Relationship Id="rId2" Type="http://schemas.microsoft.com/office/2011/relationships/chartColorStyle" Target="colors18.xml"/><Relationship Id="rId1" Type="http://schemas.microsoft.com/office/2011/relationships/chartStyle" Target="style18.xml"/></Relationships>
</file>

<file path=word/charts/_rels/chart22.xml.rels><?xml version="1.0" encoding="UTF-8" standalone="yes"?>
<Relationships xmlns="http://schemas.openxmlformats.org/package/2006/relationships"><Relationship Id="rId3" Type="http://schemas.openxmlformats.org/officeDocument/2006/relationships/oleObject" Target="file:///D:\Stanovisko%20k%20SZ&#218;\2018\J&#225;dro\Data.xlsx" TargetMode="External"/><Relationship Id="rId2" Type="http://schemas.microsoft.com/office/2011/relationships/chartColorStyle" Target="colors19.xml"/><Relationship Id="rId1" Type="http://schemas.microsoft.com/office/2011/relationships/chartStyle" Target="style19.xml"/></Relationships>
</file>

<file path=word/charts/_rels/chart23.xml.rels><?xml version="1.0" encoding="UTF-8" standalone="yes"?>
<Relationships xmlns="http://schemas.openxmlformats.org/package/2006/relationships"><Relationship Id="rId3" Type="http://schemas.openxmlformats.org/officeDocument/2006/relationships/oleObject" Target="file:///D:\Energeticky_mix_2018_Evropa.xlsx" TargetMode="External"/><Relationship Id="rId2" Type="http://schemas.microsoft.com/office/2011/relationships/chartColorStyle" Target="colors20.xml"/><Relationship Id="rId1" Type="http://schemas.microsoft.com/office/2011/relationships/chartStyle" Target="style20.xml"/></Relationships>
</file>

<file path=word/charts/_rels/chart24.xml.rels><?xml version="1.0" encoding="UTF-8" standalone="yes"?>
<Relationships xmlns="http://schemas.openxmlformats.org/package/2006/relationships"><Relationship Id="rId3" Type="http://schemas.openxmlformats.org/officeDocument/2006/relationships/oleObject" Target="file:///\\F1\KOVAROVAM\Analytick&#225;%20&#269;innost\2019\Spravedlnost\V&#253;po&#269;ty\Spravedlnost.xlsx" TargetMode="External"/><Relationship Id="rId2" Type="http://schemas.microsoft.com/office/2011/relationships/chartColorStyle" Target="colors21.xml"/><Relationship Id="rId1" Type="http://schemas.microsoft.com/office/2011/relationships/chartStyle" Target="style21.xml"/></Relationships>
</file>

<file path=word/charts/_rels/chart25.xml.rels><?xml version="1.0" encoding="UTF-8" standalone="yes"?>
<Relationships xmlns="http://schemas.openxmlformats.org/package/2006/relationships"><Relationship Id="rId3" Type="http://schemas.openxmlformats.org/officeDocument/2006/relationships/oleObject" Target="file:///D:\Efektivnost.xlsx" TargetMode="External"/><Relationship Id="rId2" Type="http://schemas.microsoft.com/office/2011/relationships/chartColorStyle" Target="colors22.xml"/><Relationship Id="rId1" Type="http://schemas.microsoft.com/office/2011/relationships/chartStyle" Target="style22.xml"/></Relationships>
</file>

<file path=word/charts/_rels/chart26.xml.rels><?xml version="1.0" encoding="UTF-8" standalone="yes"?>
<Relationships xmlns="http://schemas.openxmlformats.org/package/2006/relationships"><Relationship Id="rId3" Type="http://schemas.openxmlformats.org/officeDocument/2006/relationships/oleObject" Target="file:///D:\Grafy_VaVaI.xlsx" TargetMode="External"/><Relationship Id="rId2" Type="http://schemas.microsoft.com/office/2011/relationships/chartColorStyle" Target="colors23.xml"/><Relationship Id="rId1" Type="http://schemas.microsoft.com/office/2011/relationships/chartStyle" Target="style23.xml"/></Relationships>
</file>

<file path=word/charts/_rels/chart27.xml.rels><?xml version="1.0" encoding="UTF-8" standalone="yes"?>
<Relationships xmlns="http://schemas.openxmlformats.org/package/2006/relationships"><Relationship Id="rId3" Type="http://schemas.openxmlformats.org/officeDocument/2006/relationships/oleObject" Target="file:///D:\Grafy_VaVaI.xlsx" TargetMode="External"/><Relationship Id="rId2" Type="http://schemas.microsoft.com/office/2011/relationships/chartColorStyle" Target="colors24.xml"/><Relationship Id="rId1" Type="http://schemas.microsoft.com/office/2011/relationships/chartStyle" Target="style24.xml"/></Relationships>
</file>

<file path=word/charts/_rels/chart28.xml.rels><?xml version="1.0" encoding="UTF-8" standalone="yes"?>
<Relationships xmlns="http://schemas.openxmlformats.org/package/2006/relationships"><Relationship Id="rId3" Type="http://schemas.openxmlformats.org/officeDocument/2006/relationships/oleObject" Target="file:///D:\Stanovisko%20k%20SZ&#218;\2018\VaVaI\Data.xlsx" TargetMode="External"/><Relationship Id="rId2" Type="http://schemas.microsoft.com/office/2011/relationships/chartColorStyle" Target="colors25.xml"/><Relationship Id="rId1" Type="http://schemas.microsoft.com/office/2011/relationships/chartStyle" Target="style25.xml"/></Relationships>
</file>

<file path=word/charts/_rels/chart29.xml.rels><?xml version="1.0" encoding="UTF-8" standalone="yes"?>
<Relationships xmlns="http://schemas.openxmlformats.org/package/2006/relationships"><Relationship Id="rId3" Type="http://schemas.openxmlformats.org/officeDocument/2006/relationships/oleObject" Target="file:///\\F1\BANA\03%20Stanovisko%20k%20SZ&#218;%202018\Kapitoly%20do%20stanoviska\MZd\G.xlsx" TargetMode="External"/><Relationship Id="rId2" Type="http://schemas.microsoft.com/office/2011/relationships/chartColorStyle" Target="colors26.xml"/><Relationship Id="rId1" Type="http://schemas.microsoft.com/office/2011/relationships/chartStyle" Target="style26.xml"/></Relationships>
</file>

<file path=word/charts/_rels/chart3.xml.rels><?xml version="1.0" encoding="UTF-8" standalone="yes"?>
<Relationships xmlns="http://schemas.openxmlformats.org/package/2006/relationships"><Relationship Id="rId3" Type="http://schemas.openxmlformats.org/officeDocument/2006/relationships/oleObject" Target="file:///D:\G%20-%20inflace.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oleObject" Target="file:///D:\Se&#353;it1.xlsx" TargetMode="External"/><Relationship Id="rId2" Type="http://schemas.microsoft.com/office/2011/relationships/chartColorStyle" Target="colors27.xml"/><Relationship Id="rId1" Type="http://schemas.microsoft.com/office/2011/relationships/chartStyle" Target="style27.xml"/></Relationships>
</file>

<file path=word/charts/_rels/chart31.xml.rels><?xml version="1.0" encoding="UTF-8" standalone="yes"?>
<Relationships xmlns="http://schemas.openxmlformats.org/package/2006/relationships"><Relationship Id="rId3" Type="http://schemas.openxmlformats.org/officeDocument/2006/relationships/oleObject" Target="file:///D:\Kopie%20-%20G_do_stanoviska_zd.xlsx" TargetMode="External"/><Relationship Id="rId2" Type="http://schemas.microsoft.com/office/2011/relationships/chartColorStyle" Target="colors28.xml"/><Relationship Id="rId1" Type="http://schemas.microsoft.com/office/2011/relationships/chartStyle" Target="style28.xml"/></Relationships>
</file>

<file path=word/charts/_rels/chart32.xml.rels><?xml version="1.0" encoding="UTF-8" standalone="yes"?>
<Relationships xmlns="http://schemas.openxmlformats.org/package/2006/relationships"><Relationship Id="rId3" Type="http://schemas.openxmlformats.org/officeDocument/2006/relationships/oleObject" Target="file:///D:\Kopie%20-%20G_do_stanoviska_zd.xlsx" TargetMode="External"/><Relationship Id="rId2" Type="http://schemas.microsoft.com/office/2011/relationships/chartColorStyle" Target="colors29.xml"/><Relationship Id="rId1" Type="http://schemas.microsoft.com/office/2011/relationships/chartStyle" Target="style29.xml"/><Relationship Id="rId4" Type="http://schemas.openxmlformats.org/officeDocument/2006/relationships/chartUserShapes" Target="../drawings/drawing2.xml"/></Relationships>
</file>

<file path=word/charts/_rels/chart33.xml.rels><?xml version="1.0" encoding="UTF-8" standalone="yes"?>
<Relationships xmlns="http://schemas.openxmlformats.org/package/2006/relationships"><Relationship Id="rId3" Type="http://schemas.openxmlformats.org/officeDocument/2006/relationships/oleObject" Target="file:///D:\Kopie%20-%20G_do_stanoviska_zd.xlsx" TargetMode="External"/><Relationship Id="rId2" Type="http://schemas.microsoft.com/office/2011/relationships/chartColorStyle" Target="colors30.xml"/><Relationship Id="rId1" Type="http://schemas.microsoft.com/office/2011/relationships/chartStyle" Target="style30.xml"/></Relationships>
</file>

<file path=word/charts/_rels/chart34.xml.rels><?xml version="1.0" encoding="UTF-8" standalone="yes"?>
<Relationships xmlns="http://schemas.openxmlformats.org/package/2006/relationships"><Relationship Id="rId3" Type="http://schemas.openxmlformats.org/officeDocument/2006/relationships/oleObject" Target="file:///D:\Graf%20p&#367;da.xlsx" TargetMode="External"/><Relationship Id="rId2" Type="http://schemas.microsoft.com/office/2011/relationships/chartColorStyle" Target="colors31.xml"/><Relationship Id="rId1" Type="http://schemas.microsoft.com/office/2011/relationships/chartStyle" Target="style31.xml"/></Relationships>
</file>

<file path=word/charts/_rels/chart35.xml.rels><?xml version="1.0" encoding="UTF-8" standalone="yes"?>
<Relationships xmlns="http://schemas.openxmlformats.org/package/2006/relationships"><Relationship Id="rId3" Type="http://schemas.openxmlformats.org/officeDocument/2006/relationships/oleObject" Target="file:///C:\Users\KEPRT\AppData\Local\Microsoft\Windows\INetCache\Content.Outlook\U8Q6M16Y\G_do_stanoviska_zd.xlsx" TargetMode="External"/><Relationship Id="rId2" Type="http://schemas.microsoft.com/office/2011/relationships/chartColorStyle" Target="colors32.xml"/><Relationship Id="rId1" Type="http://schemas.microsoft.com/office/2011/relationships/chartStyle" Target="style32.xml"/></Relationships>
</file>

<file path=word/charts/_rels/chart36.xml.rels><?xml version="1.0" encoding="UTF-8" standalone="yes"?>
<Relationships xmlns="http://schemas.openxmlformats.org/package/2006/relationships"><Relationship Id="rId3" Type="http://schemas.openxmlformats.org/officeDocument/2006/relationships/oleObject" Target="file:///D:\Stanovisko%202018\&#381;ivotn&#237;%20prost&#345;ed&#237;\Grafy%20a%20tabulky%20&#381;P.xlsx" TargetMode="External"/><Relationship Id="rId2" Type="http://schemas.microsoft.com/office/2011/relationships/chartColorStyle" Target="colors33.xml"/><Relationship Id="rId1" Type="http://schemas.microsoft.com/office/2011/relationships/chartStyle" Target="style33.xml"/></Relationships>
</file>

<file path=word/charts/_rels/chart37.xml.rels><?xml version="1.0" encoding="UTF-8" standalone="yes"?>
<Relationships xmlns="http://schemas.openxmlformats.org/package/2006/relationships"><Relationship Id="rId3" Type="http://schemas.openxmlformats.org/officeDocument/2006/relationships/oleObject" Target="file:///D:\Stanovisko%202018\&#381;ivotn&#237;%20prost&#345;ed&#237;\&#381;P%20-%20Graf%20&#269;.%202.xlsx" TargetMode="External"/><Relationship Id="rId2" Type="http://schemas.microsoft.com/office/2011/relationships/chartColorStyle" Target="colors34.xml"/><Relationship Id="rId1" Type="http://schemas.microsoft.com/office/2011/relationships/chartStyle" Target="style34.xml"/></Relationships>
</file>

<file path=word/charts/_rels/chart38.xml.rels><?xml version="1.0" encoding="UTF-8" standalone="yes"?>
<Relationships xmlns="http://schemas.openxmlformats.org/package/2006/relationships"><Relationship Id="rId3" Type="http://schemas.openxmlformats.org/officeDocument/2006/relationships/oleObject" Target="file:///D:\Dokumenty\Graf_prijmy_obce_kraje.xlsx" TargetMode="External"/><Relationship Id="rId2" Type="http://schemas.microsoft.com/office/2011/relationships/chartColorStyle" Target="colors35.xml"/><Relationship Id="rId1" Type="http://schemas.microsoft.com/office/2011/relationships/chartStyle" Target="style35.xml"/></Relationships>
</file>

<file path=word/charts/_rels/chart39.xml.rels><?xml version="1.0" encoding="UTF-8" standalone="yes"?>
<Relationships xmlns="http://schemas.openxmlformats.org/package/2006/relationships"><Relationship Id="rId3" Type="http://schemas.openxmlformats.org/officeDocument/2006/relationships/oleObject" Target="file:///D:\Prace\Ukoly\2019\Stanovisko\&#268;&#225;sti\USC\grafy_transfery_podil_KV.xlsx" TargetMode="External"/><Relationship Id="rId2" Type="http://schemas.microsoft.com/office/2011/relationships/chartColorStyle" Target="colors36.xml"/><Relationship Id="rId1" Type="http://schemas.microsoft.com/office/2011/relationships/chartStyle" Target="style36.xml"/></Relationships>
</file>

<file path=word/charts/_rels/chart4.xml.rels><?xml version="1.0" encoding="UTF-8" standalone="yes"?>
<Relationships xmlns="http://schemas.openxmlformats.org/package/2006/relationships"><Relationship Id="rId3" Type="http://schemas.openxmlformats.org/officeDocument/2006/relationships/oleObject" Target="file:///D:\Prace\Ukoly\2019\Stanovisko\&#268;&#225;sti\Zdenda\G_do_stanoviska_zd.xlsx" TargetMode="External"/><Relationship Id="rId2" Type="http://schemas.microsoft.com/office/2011/relationships/chartColorStyle" Target="colors4.xml"/><Relationship Id="rId1" Type="http://schemas.microsoft.com/office/2011/relationships/chartStyle" Target="style4.xml"/></Relationships>
</file>

<file path=word/charts/_rels/chart40.xml.rels><?xml version="1.0" encoding="UTF-8" standalone="yes"?>
<Relationships xmlns="http://schemas.openxmlformats.org/package/2006/relationships"><Relationship Id="rId3" Type="http://schemas.openxmlformats.org/officeDocument/2006/relationships/oleObject" Target="file:///D:\Prace\Ukoly\2019\Stanovisko\&#268;&#225;sti\USC\graf_Podil_KV_kraju.xlsx" TargetMode="External"/><Relationship Id="rId2" Type="http://schemas.microsoft.com/office/2011/relationships/chartColorStyle" Target="colors37.xml"/><Relationship Id="rId1" Type="http://schemas.microsoft.com/office/2011/relationships/chartStyle" Target="style37.xml"/></Relationships>
</file>

<file path=word/charts/_rels/chart41.xml.rels><?xml version="1.0" encoding="UTF-8" standalone="yes"?>
<Relationships xmlns="http://schemas.openxmlformats.org/package/2006/relationships"><Relationship Id="rId3" Type="http://schemas.openxmlformats.org/officeDocument/2006/relationships/oleObject" Target="file:///\\F1\KOVAROVAM\Analytick&#225;%20&#269;innost\2019\St&#225;tn&#237;%20fondy\SF%20celkem%202016-2018.xlsx" TargetMode="External"/><Relationship Id="rId2" Type="http://schemas.microsoft.com/office/2011/relationships/chartColorStyle" Target="colors38.xml"/><Relationship Id="rId1" Type="http://schemas.microsoft.com/office/2011/relationships/chartStyle" Target="style38.xml"/></Relationships>
</file>

<file path=word/charts/_rels/chart5.xml.rels><?xml version="1.0" encoding="UTF-8" standalone="yes"?>
<Relationships xmlns="http://schemas.openxmlformats.org/package/2006/relationships"><Relationship Id="rId3" Type="http://schemas.openxmlformats.org/officeDocument/2006/relationships/oleObject" Target="file:///D:\Predikce%20propadu%20p&#345;&#237;m&#367;.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Prace\Ukoly\2019\Stanovisko\&#268;&#225;sti\Martin\Graf_rozpoctovani_1.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oleObject" Target="file:///\\F1\BANA\03%20Stanovisko%20k%20SZ&#218;%202018\Kapitoly%20do%20stanoviska\P&#345;&#237;jmy\Trend%20v&#253;voje%20dan&#237;%20-%20p&#345;&#237;m&#233;%20a%20nep&#345;&#237;m&#233;%20_citlivost%20na%20ekonomick&#253;%20v&#253;voj.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F1\BANA\03%20Stanovisko%20k%20SZ&#218;%202018\Kapitoly%20do%20stanoviska\P&#345;&#237;jmy\Trend%20v&#253;voje%20dan&#237;%20-%20p&#345;&#237;m&#233;%20a%20nep&#345;&#237;m&#233;%20_citlivost%20na%20ekonomick&#253;%20v&#253;voj.xlsx" TargetMode="External"/><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1" Type="http://schemas.openxmlformats.org/officeDocument/2006/relationships/oleObject" Target="file:///\\F1\BANA\03%20Stanovisko%20k%20SZ&#218;%202018\Kapitoly%20do%20stanoviska\P&#345;&#237;jmy\Trend%20v&#253;voje%20dan&#237;%20-%20p&#345;&#237;m&#233;%20a%20nep&#345;&#237;m&#233;%20_citlivost%20na%20ekonomick&#253;%20v&#253;voj.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2093123861566482E-2"/>
          <c:y val="0.18811718388142659"/>
          <c:w val="0.98048428961748635"/>
          <c:h val="0.52858344912768251"/>
        </c:manualLayout>
      </c:layout>
      <c:barChart>
        <c:barDir val="col"/>
        <c:grouping val="clustered"/>
        <c:varyColors val="0"/>
        <c:ser>
          <c:idx val="0"/>
          <c:order val="0"/>
          <c:spPr>
            <a:solidFill>
              <a:srgbClr val="BD2A33"/>
            </a:solidFill>
            <a:ln>
              <a:noFill/>
            </a:ln>
            <a:effectLst/>
          </c:spPr>
          <c:invertIfNegative val="0"/>
          <c:dPt>
            <c:idx val="6"/>
            <c:invertIfNegative val="0"/>
            <c:bubble3D val="0"/>
            <c:spPr>
              <a:solidFill>
                <a:srgbClr val="BD2A33"/>
              </a:solidFill>
              <a:ln>
                <a:noFill/>
              </a:ln>
              <a:effectLst/>
            </c:spPr>
            <c:extLst>
              <c:ext xmlns:c16="http://schemas.microsoft.com/office/drawing/2014/chart" uri="{C3380CC4-5D6E-409C-BE32-E72D297353CC}">
                <c16:uniqueId val="{00000001-21E2-497E-B795-F2C8C924037C}"/>
              </c:ext>
            </c:extLst>
          </c:dPt>
          <c:dPt>
            <c:idx val="7"/>
            <c:invertIfNegative val="0"/>
            <c:bubble3D val="0"/>
            <c:spPr>
              <a:solidFill>
                <a:srgbClr val="BD2A33">
                  <a:alpha val="60000"/>
                </a:srgbClr>
              </a:solidFill>
              <a:ln>
                <a:noFill/>
              </a:ln>
              <a:effectLst/>
            </c:spPr>
            <c:extLst>
              <c:ext xmlns:c16="http://schemas.microsoft.com/office/drawing/2014/chart" uri="{C3380CC4-5D6E-409C-BE32-E72D297353CC}">
                <c16:uniqueId val="{00000003-21E2-497E-B795-F2C8C924037C}"/>
              </c:ext>
            </c:extLst>
          </c:dPt>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'MAE '!$B$137:$I$138</c:f>
              <c:multiLvlStrCache>
                <c:ptCount val="8"/>
                <c:lvl>
                  <c:pt idx="0">
                    <c:v>III.</c:v>
                  </c:pt>
                  <c:pt idx="1">
                    <c:v>IV.</c:v>
                  </c:pt>
                  <c:pt idx="2">
                    <c:v>I.</c:v>
                  </c:pt>
                  <c:pt idx="3">
                    <c:v>II.</c:v>
                  </c:pt>
                  <c:pt idx="4">
                    <c:v>III.</c:v>
                  </c:pt>
                  <c:pt idx="5">
                    <c:v>IV.</c:v>
                  </c:pt>
                  <c:pt idx="6">
                    <c:v>I. </c:v>
                  </c:pt>
                  <c:pt idx="7">
                    <c:v>II.</c:v>
                  </c:pt>
                </c:lvl>
                <c:lvl>
                  <c:pt idx="0">
                    <c:v>2017</c:v>
                  </c:pt>
                  <c:pt idx="2">
                    <c:v>2018</c:v>
                  </c:pt>
                  <c:pt idx="6">
                    <c:v>2019</c:v>
                  </c:pt>
                </c:lvl>
              </c:multiLvlStrCache>
            </c:multiLvlStrRef>
          </c:cat>
          <c:val>
            <c:numRef>
              <c:f>'MAE '!$B$139:$I$139</c:f>
              <c:numCache>
                <c:formatCode>0.0</c:formatCode>
                <c:ptCount val="8"/>
                <c:pt idx="0">
                  <c:v>5.2</c:v>
                </c:pt>
                <c:pt idx="1">
                  <c:v>5</c:v>
                </c:pt>
                <c:pt idx="2">
                  <c:v>4.2</c:v>
                </c:pt>
                <c:pt idx="3">
                  <c:v>2.2999999999999998</c:v>
                </c:pt>
                <c:pt idx="4">
                  <c:v>2.4</c:v>
                </c:pt>
                <c:pt idx="5">
                  <c:v>2.6</c:v>
                </c:pt>
                <c:pt idx="6">
                  <c:v>2.8</c:v>
                </c:pt>
                <c:pt idx="7">
                  <c:v>2.5</c:v>
                </c:pt>
              </c:numCache>
            </c:numRef>
          </c:val>
          <c:extLst>
            <c:ext xmlns:c16="http://schemas.microsoft.com/office/drawing/2014/chart" uri="{C3380CC4-5D6E-409C-BE32-E72D297353CC}">
              <c16:uniqueId val="{00000004-21E2-497E-B795-F2C8C924037C}"/>
            </c:ext>
          </c:extLst>
        </c:ser>
        <c:dLbls>
          <c:dLblPos val="outEnd"/>
          <c:showLegendKey val="0"/>
          <c:showVal val="1"/>
          <c:showCatName val="0"/>
          <c:showSerName val="0"/>
          <c:showPercent val="0"/>
          <c:showBubbleSize val="0"/>
        </c:dLbls>
        <c:gapWidth val="219"/>
        <c:overlap val="-27"/>
        <c:axId val="1356998928"/>
        <c:axId val="1357001840"/>
      </c:barChart>
      <c:catAx>
        <c:axId val="1356998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357001840"/>
        <c:crosses val="autoZero"/>
        <c:auto val="1"/>
        <c:lblAlgn val="ctr"/>
        <c:lblOffset val="0"/>
        <c:tickLblSkip val="1"/>
        <c:noMultiLvlLbl val="0"/>
      </c:catAx>
      <c:valAx>
        <c:axId val="1357001840"/>
        <c:scaling>
          <c:orientation val="minMax"/>
          <c:max val="5.2"/>
          <c:min val="0"/>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3569989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rot="0"/>
    <a:lstStyle/>
    <a:p>
      <a:pPr>
        <a:defRPr>
          <a:solidFill>
            <a:sysClr val="windowText" lastClr="000000"/>
          </a:solidFill>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902774562957065E-2"/>
          <c:y val="7.7601410934744264E-2"/>
          <c:w val="0.89953208387161909"/>
          <c:h val="0.56679728987364952"/>
        </c:manualLayout>
      </c:layout>
      <c:barChart>
        <c:barDir val="col"/>
        <c:grouping val="clustered"/>
        <c:varyColors val="0"/>
        <c:ser>
          <c:idx val="0"/>
          <c:order val="0"/>
          <c:tx>
            <c:strRef>
              <c:f>' G 6,7 - SD'!$B$19</c:f>
              <c:strCache>
                <c:ptCount val="1"/>
                <c:pt idx="0">
                  <c:v>2010</c:v>
                </c:pt>
              </c:strCache>
            </c:strRef>
          </c:tx>
          <c:spPr>
            <a:solidFill>
              <a:srgbClr val="004595">
                <a:alpha val="20000"/>
              </a:srgbClr>
            </a:solidFill>
            <a:ln>
              <a:noFill/>
            </a:ln>
            <a:effectLst/>
          </c:spPr>
          <c:invertIfNegative val="0"/>
          <c:cat>
            <c:strRef>
              <c:f>' G 6,7 - SD'!$A$20:$A$24</c:f>
              <c:strCache>
                <c:ptCount val="5"/>
                <c:pt idx="0">
                  <c:v>Spotřební daň 
z minerálních olejů</c:v>
                </c:pt>
                <c:pt idx="1">
                  <c:v>Spotřební daň 
z tabákových výrobků</c:v>
                </c:pt>
                <c:pt idx="2">
                  <c:v>Spotřební daň z lihu</c:v>
                </c:pt>
                <c:pt idx="3">
                  <c:v>Spotřební daň z piva</c:v>
                </c:pt>
                <c:pt idx="4">
                  <c:v>Spotřební daň z vína 
a meziproduktů</c:v>
                </c:pt>
              </c:strCache>
            </c:strRef>
          </c:cat>
          <c:val>
            <c:numRef>
              <c:f>' G 6,7 - SD'!$B$20:$B$24</c:f>
              <c:numCache>
                <c:formatCode>0.0</c:formatCode>
                <c:ptCount val="5"/>
                <c:pt idx="0">
                  <c:v>73.995992790000003</c:v>
                </c:pt>
                <c:pt idx="1">
                  <c:v>42.466999999999999</c:v>
                </c:pt>
                <c:pt idx="2">
                  <c:v>6.5279999999999996</c:v>
                </c:pt>
                <c:pt idx="3">
                  <c:v>4.2969999999999997</c:v>
                </c:pt>
                <c:pt idx="4">
                  <c:v>0.32</c:v>
                </c:pt>
              </c:numCache>
            </c:numRef>
          </c:val>
          <c:extLst>
            <c:ext xmlns:c16="http://schemas.microsoft.com/office/drawing/2014/chart" uri="{C3380CC4-5D6E-409C-BE32-E72D297353CC}">
              <c16:uniqueId val="{00000000-8282-4D08-9EF5-307A3870CAC5}"/>
            </c:ext>
          </c:extLst>
        </c:ser>
        <c:ser>
          <c:idx val="1"/>
          <c:order val="1"/>
          <c:tx>
            <c:strRef>
              <c:f>' G 6,7 - SD'!$C$19</c:f>
              <c:strCache>
                <c:ptCount val="1"/>
                <c:pt idx="0">
                  <c:v>2015</c:v>
                </c:pt>
              </c:strCache>
            </c:strRef>
          </c:tx>
          <c:spPr>
            <a:solidFill>
              <a:srgbClr val="004595">
                <a:alpha val="40000"/>
              </a:srgbClr>
            </a:solidFill>
            <a:ln>
              <a:noFill/>
            </a:ln>
            <a:effectLst/>
          </c:spPr>
          <c:invertIfNegative val="0"/>
          <c:dPt>
            <c:idx val="0"/>
            <c:invertIfNegative val="0"/>
            <c:bubble3D val="0"/>
            <c:spPr>
              <a:solidFill>
                <a:srgbClr val="004595">
                  <a:alpha val="40000"/>
                </a:srgbClr>
              </a:solidFill>
              <a:ln>
                <a:noFill/>
              </a:ln>
              <a:effectLst/>
            </c:spPr>
            <c:extLst>
              <c:ext xmlns:c16="http://schemas.microsoft.com/office/drawing/2014/chart" uri="{C3380CC4-5D6E-409C-BE32-E72D297353CC}">
                <c16:uniqueId val="{00000002-8282-4D08-9EF5-307A3870CAC5}"/>
              </c:ext>
            </c:extLst>
          </c:dPt>
          <c:cat>
            <c:strRef>
              <c:f>' G 6,7 - SD'!$A$20:$A$24</c:f>
              <c:strCache>
                <c:ptCount val="5"/>
                <c:pt idx="0">
                  <c:v>Spotřební daň 
z minerálních olejů</c:v>
                </c:pt>
                <c:pt idx="1">
                  <c:v>Spotřební daň 
z tabákových výrobků</c:v>
                </c:pt>
                <c:pt idx="2">
                  <c:v>Spotřební daň z lihu</c:v>
                </c:pt>
                <c:pt idx="3">
                  <c:v>Spotřební daň z piva</c:v>
                </c:pt>
                <c:pt idx="4">
                  <c:v>Spotřební daň z vína 
a meziproduktů</c:v>
                </c:pt>
              </c:strCache>
            </c:strRef>
          </c:cat>
          <c:val>
            <c:numRef>
              <c:f>' G 6,7 - SD'!$C$20:$C$24</c:f>
              <c:numCache>
                <c:formatCode>0.0</c:formatCode>
                <c:ptCount val="5"/>
                <c:pt idx="0">
                  <c:v>75.219060867419998</c:v>
                </c:pt>
                <c:pt idx="1">
                  <c:v>50.863647038449997</c:v>
                </c:pt>
                <c:pt idx="2">
                  <c:v>7.1324430417299993</c:v>
                </c:pt>
                <c:pt idx="3">
                  <c:v>4.7088764503999991</c:v>
                </c:pt>
                <c:pt idx="4">
                  <c:v>0.32084122002999999</c:v>
                </c:pt>
              </c:numCache>
            </c:numRef>
          </c:val>
          <c:extLst>
            <c:ext xmlns:c16="http://schemas.microsoft.com/office/drawing/2014/chart" uri="{C3380CC4-5D6E-409C-BE32-E72D297353CC}">
              <c16:uniqueId val="{00000003-8282-4D08-9EF5-307A3870CAC5}"/>
            </c:ext>
          </c:extLst>
        </c:ser>
        <c:ser>
          <c:idx val="2"/>
          <c:order val="2"/>
          <c:tx>
            <c:strRef>
              <c:f>' G 6,7 - SD'!$D$19</c:f>
              <c:strCache>
                <c:ptCount val="1"/>
                <c:pt idx="0">
                  <c:v>2016</c:v>
                </c:pt>
              </c:strCache>
            </c:strRef>
          </c:tx>
          <c:spPr>
            <a:solidFill>
              <a:srgbClr val="004595">
                <a:alpha val="60000"/>
              </a:srgbClr>
            </a:solidFill>
            <a:ln>
              <a:noFill/>
            </a:ln>
            <a:effectLst/>
          </c:spPr>
          <c:invertIfNegative val="0"/>
          <c:cat>
            <c:strRef>
              <c:f>' G 6,7 - SD'!$A$20:$A$24</c:f>
              <c:strCache>
                <c:ptCount val="5"/>
                <c:pt idx="0">
                  <c:v>Spotřební daň 
z minerálních olejů</c:v>
                </c:pt>
                <c:pt idx="1">
                  <c:v>Spotřební daň 
z tabákových výrobků</c:v>
                </c:pt>
                <c:pt idx="2">
                  <c:v>Spotřební daň z lihu</c:v>
                </c:pt>
                <c:pt idx="3">
                  <c:v>Spotřební daň z piva</c:v>
                </c:pt>
                <c:pt idx="4">
                  <c:v>Spotřební daň z vína 
a meziproduktů</c:v>
                </c:pt>
              </c:strCache>
            </c:strRef>
          </c:cat>
          <c:val>
            <c:numRef>
              <c:f>' G 6,7 - SD'!$D$20:$D$24</c:f>
              <c:numCache>
                <c:formatCode>0.0</c:formatCode>
                <c:ptCount val="5"/>
                <c:pt idx="0">
                  <c:v>78.789939454500001</c:v>
                </c:pt>
                <c:pt idx="1">
                  <c:v>54.41562989234</c:v>
                </c:pt>
                <c:pt idx="2">
                  <c:v>7.2057237029399994</c:v>
                </c:pt>
                <c:pt idx="3">
                  <c:v>4.6049965878800005</c:v>
                </c:pt>
                <c:pt idx="4">
                  <c:v>0.35787377777000001</c:v>
                </c:pt>
              </c:numCache>
            </c:numRef>
          </c:val>
          <c:extLst>
            <c:ext xmlns:c16="http://schemas.microsoft.com/office/drawing/2014/chart" uri="{C3380CC4-5D6E-409C-BE32-E72D297353CC}">
              <c16:uniqueId val="{00000004-8282-4D08-9EF5-307A3870CAC5}"/>
            </c:ext>
          </c:extLst>
        </c:ser>
        <c:ser>
          <c:idx val="3"/>
          <c:order val="3"/>
          <c:tx>
            <c:strRef>
              <c:f>' G 6,7 - SD'!$E$19</c:f>
              <c:strCache>
                <c:ptCount val="1"/>
                <c:pt idx="0">
                  <c:v>2017</c:v>
                </c:pt>
              </c:strCache>
            </c:strRef>
          </c:tx>
          <c:spPr>
            <a:solidFill>
              <a:srgbClr val="004595">
                <a:alpha val="80000"/>
              </a:srgbClr>
            </a:solidFill>
            <a:ln>
              <a:noFill/>
            </a:ln>
            <a:effectLst/>
          </c:spPr>
          <c:invertIfNegative val="0"/>
          <c:cat>
            <c:strRef>
              <c:f>' G 6,7 - SD'!$A$20:$A$24</c:f>
              <c:strCache>
                <c:ptCount val="5"/>
                <c:pt idx="0">
                  <c:v>Spotřební daň 
z minerálních olejů</c:v>
                </c:pt>
                <c:pt idx="1">
                  <c:v>Spotřební daň 
z tabákových výrobků</c:v>
                </c:pt>
                <c:pt idx="2">
                  <c:v>Spotřební daň z lihu</c:v>
                </c:pt>
                <c:pt idx="3">
                  <c:v>Spotřební daň z piva</c:v>
                </c:pt>
                <c:pt idx="4">
                  <c:v>Spotřební daň z vína 
a meziproduktů</c:v>
                </c:pt>
              </c:strCache>
            </c:strRef>
          </c:cat>
          <c:val>
            <c:numRef>
              <c:f>' G 6,7 - SD'!$E$20:$E$24</c:f>
              <c:numCache>
                <c:formatCode>0.0</c:formatCode>
                <c:ptCount val="5"/>
                <c:pt idx="0">
                  <c:v>80.822675990389996</c:v>
                </c:pt>
                <c:pt idx="1">
                  <c:v>56.219311722169998</c:v>
                </c:pt>
                <c:pt idx="2">
                  <c:v>7.3443326405100002</c:v>
                </c:pt>
                <c:pt idx="3">
                  <c:v>4.6345603147299999</c:v>
                </c:pt>
                <c:pt idx="4">
                  <c:v>0.38072983800999999</c:v>
                </c:pt>
              </c:numCache>
            </c:numRef>
          </c:val>
          <c:extLst>
            <c:ext xmlns:c16="http://schemas.microsoft.com/office/drawing/2014/chart" uri="{C3380CC4-5D6E-409C-BE32-E72D297353CC}">
              <c16:uniqueId val="{00000005-8282-4D08-9EF5-307A3870CAC5}"/>
            </c:ext>
          </c:extLst>
        </c:ser>
        <c:ser>
          <c:idx val="4"/>
          <c:order val="4"/>
          <c:tx>
            <c:strRef>
              <c:f>' G 6,7 - SD'!$F$19</c:f>
              <c:strCache>
                <c:ptCount val="1"/>
                <c:pt idx="0">
                  <c:v>2018</c:v>
                </c:pt>
              </c:strCache>
            </c:strRef>
          </c:tx>
          <c:spPr>
            <a:solidFill>
              <a:srgbClr val="004595"/>
            </a:solidFill>
            <a:ln>
              <a:noFill/>
            </a:ln>
            <a:effectLst/>
          </c:spPr>
          <c:invertIfNegative val="0"/>
          <c:cat>
            <c:strRef>
              <c:f>' G 6,7 - SD'!$A$20:$A$24</c:f>
              <c:strCache>
                <c:ptCount val="5"/>
                <c:pt idx="0">
                  <c:v>Spotřební daň 
z minerálních olejů</c:v>
                </c:pt>
                <c:pt idx="1">
                  <c:v>Spotřební daň 
z tabákových výrobků</c:v>
                </c:pt>
                <c:pt idx="2">
                  <c:v>Spotřební daň z lihu</c:v>
                </c:pt>
                <c:pt idx="3">
                  <c:v>Spotřební daň z piva</c:v>
                </c:pt>
                <c:pt idx="4">
                  <c:v>Spotřební daň z vína 
a meziproduktů</c:v>
                </c:pt>
              </c:strCache>
            </c:strRef>
          </c:cat>
          <c:val>
            <c:numRef>
              <c:f>' G 6,7 - SD'!$F$20:$F$24</c:f>
              <c:numCache>
                <c:formatCode>0.0</c:formatCode>
                <c:ptCount val="5"/>
                <c:pt idx="0">
                  <c:v>81.830035517119995</c:v>
                </c:pt>
                <c:pt idx="1">
                  <c:v>58.811113205250003</c:v>
                </c:pt>
                <c:pt idx="2">
                  <c:v>7.9431461382999995</c:v>
                </c:pt>
                <c:pt idx="3">
                  <c:v>4.7755278847899998</c:v>
                </c:pt>
                <c:pt idx="4">
                  <c:v>0.40829973638</c:v>
                </c:pt>
              </c:numCache>
            </c:numRef>
          </c:val>
          <c:extLst>
            <c:ext xmlns:c16="http://schemas.microsoft.com/office/drawing/2014/chart" uri="{C3380CC4-5D6E-409C-BE32-E72D297353CC}">
              <c16:uniqueId val="{00000006-8282-4D08-9EF5-307A3870CAC5}"/>
            </c:ext>
          </c:extLst>
        </c:ser>
        <c:dLbls>
          <c:showLegendKey val="0"/>
          <c:showVal val="0"/>
          <c:showCatName val="0"/>
          <c:showSerName val="0"/>
          <c:showPercent val="0"/>
          <c:showBubbleSize val="0"/>
        </c:dLbls>
        <c:gapWidth val="219"/>
        <c:overlap val="-27"/>
        <c:axId val="1109389168"/>
        <c:axId val="1109390832"/>
      </c:barChart>
      <c:scatterChart>
        <c:scatterStyle val="lineMarker"/>
        <c:varyColors val="0"/>
        <c:ser>
          <c:idx val="5"/>
          <c:order val="5"/>
          <c:tx>
            <c:strRef>
              <c:f>' G 6,7 - SD'!$G$19</c:f>
              <c:strCache>
                <c:ptCount val="1"/>
                <c:pt idx="0">
                  <c:v>Rozdíl inkasa mezi rokem 2010 a 2018</c:v>
                </c:pt>
              </c:strCache>
            </c:strRef>
          </c:tx>
          <c:spPr>
            <a:ln w="25400" cap="rnd">
              <a:noFill/>
              <a:round/>
            </a:ln>
            <a:effectLst/>
          </c:spPr>
          <c:marker>
            <c:symbol val="square"/>
            <c:size val="18"/>
            <c:spPr>
              <a:solidFill>
                <a:srgbClr val="BD2A33"/>
              </a:solidFill>
              <a:ln w="9525">
                <a:solidFill>
                  <a:srgbClr val="BD2A3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xVal>
            <c:strRef>
              <c:f>' G 6,7 - SD'!$A$20:$A$24</c:f>
              <c:strCache>
                <c:ptCount val="5"/>
                <c:pt idx="0">
                  <c:v>Spotřební daň 
z minerálních olejů</c:v>
                </c:pt>
                <c:pt idx="1">
                  <c:v>Spotřební daň 
z tabákových výrobků</c:v>
                </c:pt>
                <c:pt idx="2">
                  <c:v>Spotřební daň z lihu</c:v>
                </c:pt>
                <c:pt idx="3">
                  <c:v>Spotřební daň z piva</c:v>
                </c:pt>
                <c:pt idx="4">
                  <c:v>Spotřební daň z vína 
a meziproduktů</c:v>
                </c:pt>
              </c:strCache>
            </c:strRef>
          </c:xVal>
          <c:yVal>
            <c:numRef>
              <c:f>' G 6,7 - SD'!$G$20:$G$24</c:f>
              <c:numCache>
                <c:formatCode>0.0</c:formatCode>
                <c:ptCount val="5"/>
                <c:pt idx="0">
                  <c:v>7.8340427271199928</c:v>
                </c:pt>
                <c:pt idx="1">
                  <c:v>16.344113205250004</c:v>
                </c:pt>
                <c:pt idx="2">
                  <c:v>1.4151461382999999</c:v>
                </c:pt>
                <c:pt idx="3">
                  <c:v>0.47852788479000008</c:v>
                </c:pt>
                <c:pt idx="4">
                  <c:v>8.8299736379999993E-2</c:v>
                </c:pt>
              </c:numCache>
            </c:numRef>
          </c:yVal>
          <c:smooth val="0"/>
          <c:extLst>
            <c:ext xmlns:c16="http://schemas.microsoft.com/office/drawing/2014/chart" uri="{C3380CC4-5D6E-409C-BE32-E72D297353CC}">
              <c16:uniqueId val="{00000007-8282-4D08-9EF5-307A3870CAC5}"/>
            </c:ext>
          </c:extLst>
        </c:ser>
        <c:dLbls>
          <c:showLegendKey val="0"/>
          <c:showVal val="0"/>
          <c:showCatName val="0"/>
          <c:showSerName val="0"/>
          <c:showPercent val="0"/>
          <c:showBubbleSize val="0"/>
        </c:dLbls>
        <c:axId val="950447952"/>
        <c:axId val="950445456"/>
      </c:scatterChart>
      <c:catAx>
        <c:axId val="1109389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109390832"/>
        <c:crosses val="autoZero"/>
        <c:auto val="1"/>
        <c:lblAlgn val="ctr"/>
        <c:lblOffset val="100"/>
        <c:noMultiLvlLbl val="0"/>
      </c:catAx>
      <c:valAx>
        <c:axId val="1109390832"/>
        <c:scaling>
          <c:orientation val="minMax"/>
          <c:max val="85"/>
          <c:min val="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109389168"/>
        <c:crosses val="autoZero"/>
        <c:crossBetween val="between"/>
        <c:majorUnit val="20"/>
      </c:valAx>
      <c:valAx>
        <c:axId val="950445456"/>
        <c:scaling>
          <c:orientation val="minMax"/>
          <c:max val="19"/>
          <c:min val="-10"/>
        </c:scaling>
        <c:delete val="0"/>
        <c:axPos val="r"/>
        <c:numFmt formatCode="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50447952"/>
        <c:crosses val="max"/>
        <c:crossBetween val="midCat"/>
        <c:majorUnit val="10"/>
      </c:valAx>
      <c:valAx>
        <c:axId val="950447952"/>
        <c:scaling>
          <c:orientation val="minMax"/>
        </c:scaling>
        <c:delete val="1"/>
        <c:axPos val="b"/>
        <c:numFmt formatCode="General" sourceLinked="1"/>
        <c:majorTickMark val="out"/>
        <c:minorTickMark val="none"/>
        <c:tickLblPos val="nextTo"/>
        <c:crossAx val="950445456"/>
        <c:crosses val="autoZero"/>
        <c:crossBetween val="midCat"/>
      </c:valAx>
      <c:spPr>
        <a:noFill/>
        <a:ln>
          <a:noFill/>
        </a:ln>
        <a:effectLst/>
      </c:spPr>
    </c:plotArea>
    <c:legend>
      <c:legendPos val="b"/>
      <c:layout>
        <c:manualLayout>
          <c:xMode val="edge"/>
          <c:yMode val="edge"/>
          <c:x val="1.6902719010855147E-2"/>
          <c:y val="0.90820591870460632"/>
          <c:w val="0.9437755905511813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608501118568233E-2"/>
          <c:y val="0.12845144356955382"/>
          <c:w val="0.96644295302013428"/>
          <c:h val="0.57471719160104984"/>
        </c:manualLayout>
      </c:layout>
      <c:barChart>
        <c:barDir val="col"/>
        <c:grouping val="clustered"/>
        <c:varyColors val="0"/>
        <c:ser>
          <c:idx val="0"/>
          <c:order val="0"/>
          <c:tx>
            <c:strRef>
              <c:f>'Analýza DPH'!$A$6</c:f>
              <c:strCache>
                <c:ptCount val="1"/>
                <c:pt idx="0">
                  <c:v>Příjmy z DPH</c:v>
                </c:pt>
              </c:strCache>
            </c:strRef>
          </c:tx>
          <c:spPr>
            <a:solidFill>
              <a:srgbClr val="004595"/>
            </a:solidFill>
            <a:ln>
              <a:noFill/>
            </a:ln>
            <a:effectLst/>
          </c:spPr>
          <c:invertIfNegative val="0"/>
          <c:dPt>
            <c:idx val="0"/>
            <c:invertIfNegative val="0"/>
            <c:bubble3D val="0"/>
            <c:spPr>
              <a:solidFill>
                <a:srgbClr val="004595"/>
              </a:solidFill>
              <a:ln>
                <a:noFill/>
              </a:ln>
              <a:effectLst/>
            </c:spPr>
            <c:extLst>
              <c:ext xmlns:c16="http://schemas.microsoft.com/office/drawing/2014/chart" uri="{C3380CC4-5D6E-409C-BE32-E72D297353CC}">
                <c16:uniqueId val="{00000001-CF5F-4305-A8BA-15940BF457D8}"/>
              </c:ext>
            </c:extLst>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'Analýza DPH'!$B$5:$F$5</c:f>
              <c:numCache>
                <c:formatCode>General</c:formatCode>
                <c:ptCount val="5"/>
                <c:pt idx="0">
                  <c:v>2014</c:v>
                </c:pt>
                <c:pt idx="1">
                  <c:v>2015</c:v>
                </c:pt>
                <c:pt idx="2">
                  <c:v>2016</c:v>
                </c:pt>
                <c:pt idx="3">
                  <c:v>2017</c:v>
                </c:pt>
                <c:pt idx="4">
                  <c:v>2018</c:v>
                </c:pt>
              </c:numCache>
            </c:numRef>
          </c:cat>
          <c:val>
            <c:numRef>
              <c:f>'Analýza DPH'!$B$6:$F$6</c:f>
              <c:numCache>
                <c:formatCode>#\ ##0.0</c:formatCode>
                <c:ptCount val="5"/>
                <c:pt idx="0">
                  <c:v>230.24525866701001</c:v>
                </c:pt>
                <c:pt idx="1">
                  <c:v>236.63244123342002</c:v>
                </c:pt>
                <c:pt idx="2">
                  <c:v>245.67992214082997</c:v>
                </c:pt>
                <c:pt idx="3">
                  <c:v>265.95789616379</c:v>
                </c:pt>
                <c:pt idx="4">
                  <c:v>278.97763516415</c:v>
                </c:pt>
              </c:numCache>
            </c:numRef>
          </c:val>
          <c:extLst>
            <c:ext xmlns:c16="http://schemas.microsoft.com/office/drawing/2014/chart" uri="{C3380CC4-5D6E-409C-BE32-E72D297353CC}">
              <c16:uniqueId val="{00000002-CF5F-4305-A8BA-15940BF457D8}"/>
            </c:ext>
          </c:extLst>
        </c:ser>
        <c:ser>
          <c:idx val="1"/>
          <c:order val="1"/>
          <c:tx>
            <c:strRef>
              <c:f>'Analýza DPH'!$A$7</c:f>
              <c:strCache>
                <c:ptCount val="1"/>
                <c:pt idx="0">
                  <c:v>Meziroční přírůstek inkasa z DPH</c:v>
                </c:pt>
              </c:strCache>
            </c:strRef>
          </c:tx>
          <c:spPr>
            <a:solidFill>
              <a:srgbClr val="D9EAFF"/>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'Analýza DPH'!$B$5:$F$5</c:f>
              <c:numCache>
                <c:formatCode>General</c:formatCode>
                <c:ptCount val="5"/>
                <c:pt idx="0">
                  <c:v>2014</c:v>
                </c:pt>
                <c:pt idx="1">
                  <c:v>2015</c:v>
                </c:pt>
                <c:pt idx="2">
                  <c:v>2016</c:v>
                </c:pt>
                <c:pt idx="3">
                  <c:v>2017</c:v>
                </c:pt>
                <c:pt idx="4">
                  <c:v>2018</c:v>
                </c:pt>
              </c:numCache>
            </c:numRef>
          </c:cat>
          <c:val>
            <c:numRef>
              <c:f>'Analýza DPH'!$B$7:$F$7</c:f>
              <c:numCache>
                <c:formatCode>#\ ##0.0</c:formatCode>
                <c:ptCount val="5"/>
                <c:pt idx="0">
                  <c:v>10.281258667010007</c:v>
                </c:pt>
                <c:pt idx="1">
                  <c:v>6.3871825664100186</c:v>
                </c:pt>
                <c:pt idx="2">
                  <c:v>9.0474809074099483</c:v>
                </c:pt>
                <c:pt idx="3">
                  <c:v>20.277974022960024</c:v>
                </c:pt>
                <c:pt idx="4">
                  <c:v>13.019739000360005</c:v>
                </c:pt>
              </c:numCache>
            </c:numRef>
          </c:val>
          <c:extLst>
            <c:ext xmlns:c16="http://schemas.microsoft.com/office/drawing/2014/chart" uri="{C3380CC4-5D6E-409C-BE32-E72D297353CC}">
              <c16:uniqueId val="{00000003-CF5F-4305-A8BA-15940BF457D8}"/>
            </c:ext>
          </c:extLst>
        </c:ser>
        <c:dLbls>
          <c:showLegendKey val="0"/>
          <c:showVal val="0"/>
          <c:showCatName val="0"/>
          <c:showSerName val="0"/>
          <c:showPercent val="0"/>
          <c:showBubbleSize val="0"/>
        </c:dLbls>
        <c:gapWidth val="48"/>
        <c:overlap val="-29"/>
        <c:axId val="992936928"/>
        <c:axId val="992937760"/>
      </c:barChart>
      <c:lineChart>
        <c:grouping val="standard"/>
        <c:varyColors val="0"/>
        <c:ser>
          <c:idx val="2"/>
          <c:order val="2"/>
          <c:tx>
            <c:strRef>
              <c:f>'Analýza DPH'!$A$8</c:f>
              <c:strCache>
                <c:ptCount val="1"/>
                <c:pt idx="0">
                  <c:v>Podíl příjmů z DPH na daňových příjmech</c:v>
                </c:pt>
              </c:strCache>
            </c:strRef>
          </c:tx>
          <c:spPr>
            <a:ln w="28575" cap="rnd">
              <a:solidFill>
                <a:srgbClr val="BD2A33"/>
              </a:solidFill>
              <a:round/>
            </a:ln>
            <a:effectLst/>
          </c:spPr>
          <c:marker>
            <c:symbol val="none"/>
          </c:marker>
          <c:dLbls>
            <c:dLbl>
              <c:idx val="0"/>
              <c:layout>
                <c:manualLayout>
                  <c:x val="-8.9485458612975598E-3"/>
                  <c:y val="-6.667110273187681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F5F-4305-A8BA-15940BF457D8}"/>
                </c:ext>
              </c:extLst>
            </c:dLbl>
            <c:dLbl>
              <c:idx val="1"/>
              <c:layout>
                <c:manualLayout>
                  <c:x val="-2.2371364653243847E-3"/>
                  <c:y val="-4.563602084950648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F5F-4305-A8BA-15940BF457D8}"/>
                </c:ext>
              </c:extLst>
            </c:dLbl>
            <c:dLbl>
              <c:idx val="2"/>
              <c:layout>
                <c:manualLayout>
                  <c:x val="-8.948545861297539E-3"/>
                  <c:y val="-5.240174672489082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F5F-4305-A8BA-15940BF457D8}"/>
                </c:ext>
              </c:extLst>
            </c:dLbl>
            <c:dLbl>
              <c:idx val="3"/>
              <c:layout>
                <c:manualLayout>
                  <c:x val="-6.7114093959731542E-3"/>
                  <c:y val="-5.822416302765647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F5F-4305-A8BA-15940BF457D8}"/>
                </c:ext>
              </c:extLst>
            </c:dLbl>
            <c:dLbl>
              <c:idx val="4"/>
              <c:layout>
                <c:manualLayout>
                  <c:x val="-1.1185682326622006E-2"/>
                  <c:y val="-5.63380281690140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F5F-4305-A8BA-15940BF457D8}"/>
                </c:ext>
              </c:extLst>
            </c:dLbl>
            <c:numFmt formatCode="0.0_i%"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'Analýza DPH'!$B$5:$F$5</c:f>
              <c:numCache>
                <c:formatCode>General</c:formatCode>
                <c:ptCount val="5"/>
                <c:pt idx="0">
                  <c:v>2014</c:v>
                </c:pt>
                <c:pt idx="1">
                  <c:v>2015</c:v>
                </c:pt>
                <c:pt idx="2">
                  <c:v>2016</c:v>
                </c:pt>
                <c:pt idx="3">
                  <c:v>2017</c:v>
                </c:pt>
                <c:pt idx="4">
                  <c:v>2018</c:v>
                </c:pt>
              </c:numCache>
            </c:numRef>
          </c:cat>
          <c:val>
            <c:numRef>
              <c:f>'Analýza DPH'!$B$8:$F$8</c:f>
              <c:numCache>
                <c:formatCode>0.0%</c:formatCode>
                <c:ptCount val="5"/>
                <c:pt idx="0">
                  <c:v>0.24172283596341376</c:v>
                </c:pt>
                <c:pt idx="1">
                  <c:v>0.23612924220669157</c:v>
                </c:pt>
                <c:pt idx="2">
                  <c:v>0.22928863020845541</c:v>
                </c:pt>
                <c:pt idx="3">
                  <c:v>0.23014419189464502</c:v>
                </c:pt>
                <c:pt idx="4">
                  <c:v>0.22491470712448686</c:v>
                </c:pt>
              </c:numCache>
            </c:numRef>
          </c:val>
          <c:smooth val="0"/>
          <c:extLst>
            <c:ext xmlns:c16="http://schemas.microsoft.com/office/drawing/2014/chart" uri="{C3380CC4-5D6E-409C-BE32-E72D297353CC}">
              <c16:uniqueId val="{00000009-CF5F-4305-A8BA-15940BF457D8}"/>
            </c:ext>
          </c:extLst>
        </c:ser>
        <c:dLbls>
          <c:showLegendKey val="0"/>
          <c:showVal val="0"/>
          <c:showCatName val="0"/>
          <c:showSerName val="0"/>
          <c:showPercent val="0"/>
          <c:showBubbleSize val="0"/>
        </c:dLbls>
        <c:marker val="1"/>
        <c:smooth val="0"/>
        <c:axId val="992945664"/>
        <c:axId val="992942336"/>
      </c:lineChart>
      <c:catAx>
        <c:axId val="992936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992937760"/>
        <c:crosses val="autoZero"/>
        <c:auto val="1"/>
        <c:lblAlgn val="ctr"/>
        <c:lblOffset val="100"/>
        <c:noMultiLvlLbl val="0"/>
      </c:catAx>
      <c:valAx>
        <c:axId val="992937760"/>
        <c:scaling>
          <c:orientation val="minMax"/>
        </c:scaling>
        <c:delete val="0"/>
        <c:axPos val="l"/>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992936928"/>
        <c:crosses val="autoZero"/>
        <c:crossBetween val="between"/>
      </c:valAx>
      <c:valAx>
        <c:axId val="992942336"/>
        <c:scaling>
          <c:orientation val="minMax"/>
        </c:scaling>
        <c:delete val="0"/>
        <c:axPos val="r"/>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992945664"/>
        <c:crosses val="max"/>
        <c:crossBetween val="between"/>
      </c:valAx>
      <c:catAx>
        <c:axId val="992945664"/>
        <c:scaling>
          <c:orientation val="minMax"/>
        </c:scaling>
        <c:delete val="1"/>
        <c:axPos val="b"/>
        <c:numFmt formatCode="General" sourceLinked="1"/>
        <c:majorTickMark val="none"/>
        <c:minorTickMark val="none"/>
        <c:tickLblPos val="nextTo"/>
        <c:crossAx val="992942336"/>
        <c:crosses val="autoZero"/>
        <c:auto val="1"/>
        <c:lblAlgn val="ctr"/>
        <c:lblOffset val="100"/>
        <c:noMultiLvlLbl val="0"/>
      </c:catAx>
      <c:spPr>
        <a:noFill/>
        <a:ln>
          <a:noFill/>
        </a:ln>
        <a:effectLst/>
      </c:spPr>
    </c:plotArea>
    <c:legend>
      <c:legendPos val="b"/>
      <c:layout>
        <c:manualLayout>
          <c:xMode val="edge"/>
          <c:yMode val="edge"/>
          <c:x val="2.3154362416107389E-2"/>
          <c:y val="0.86686297348926056"/>
          <c:w val="0.88657718120805373"/>
          <c:h val="0.1331370265107394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5788313120176E-2"/>
          <c:y val="4.9400141143260412E-2"/>
          <c:w val="0.95148842337375961"/>
          <c:h val="0.68689274636125019"/>
        </c:manualLayout>
      </c:layout>
      <c:barChart>
        <c:barDir val="col"/>
        <c:grouping val="percentStacked"/>
        <c:varyColors val="0"/>
        <c:ser>
          <c:idx val="0"/>
          <c:order val="0"/>
          <c:tx>
            <c:strRef>
              <c:f>'Graf č. 1'!$A$2</c:f>
              <c:strCache>
                <c:ptCount val="1"/>
                <c:pt idx="0">
                  <c:v>Kapitálové výdaje z tuzemských zdrojů</c:v>
                </c:pt>
              </c:strCache>
            </c:strRef>
          </c:tx>
          <c:spPr>
            <a:solidFill>
              <a:srgbClr val="BD2A3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'Graf č. 1'!$B$1:$F$1</c:f>
              <c:numCache>
                <c:formatCode>General</c:formatCode>
                <c:ptCount val="5"/>
                <c:pt idx="0">
                  <c:v>2014</c:v>
                </c:pt>
                <c:pt idx="1">
                  <c:v>2015</c:v>
                </c:pt>
                <c:pt idx="2">
                  <c:v>2016</c:v>
                </c:pt>
                <c:pt idx="3">
                  <c:v>2017</c:v>
                </c:pt>
                <c:pt idx="4">
                  <c:v>2018</c:v>
                </c:pt>
              </c:numCache>
            </c:numRef>
          </c:cat>
          <c:val>
            <c:numRef>
              <c:f>'Graf č. 1'!$B$2:$F$2</c:f>
              <c:numCache>
                <c:formatCode>#\ ##0.0_ ;[Red]\-#\ ##0.0\ </c:formatCode>
                <c:ptCount val="5"/>
                <c:pt idx="0">
                  <c:v>27.1</c:v>
                </c:pt>
                <c:pt idx="1">
                  <c:v>21</c:v>
                </c:pt>
                <c:pt idx="2">
                  <c:v>54.7</c:v>
                </c:pt>
                <c:pt idx="3">
                  <c:v>57.9</c:v>
                </c:pt>
                <c:pt idx="4">
                  <c:v>50.3</c:v>
                </c:pt>
              </c:numCache>
            </c:numRef>
          </c:val>
          <c:extLst>
            <c:ext xmlns:c16="http://schemas.microsoft.com/office/drawing/2014/chart" uri="{C3380CC4-5D6E-409C-BE32-E72D297353CC}">
              <c16:uniqueId val="{00000000-D2B6-47D7-B233-1E07F0E9E294}"/>
            </c:ext>
          </c:extLst>
        </c:ser>
        <c:ser>
          <c:idx val="1"/>
          <c:order val="1"/>
          <c:tx>
            <c:strRef>
              <c:f>'Graf č. 1'!$A$3</c:f>
              <c:strCache>
                <c:ptCount val="1"/>
                <c:pt idx="0">
                  <c:v>Kapitálové výdaje ze zahraničních zdrojů</c:v>
                </c:pt>
              </c:strCache>
            </c:strRef>
          </c:tx>
          <c:spPr>
            <a:solidFill>
              <a:srgbClr val="00459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'Graf č. 1'!$B$1:$F$1</c:f>
              <c:numCache>
                <c:formatCode>General</c:formatCode>
                <c:ptCount val="5"/>
                <c:pt idx="0">
                  <c:v>2014</c:v>
                </c:pt>
                <c:pt idx="1">
                  <c:v>2015</c:v>
                </c:pt>
                <c:pt idx="2">
                  <c:v>2016</c:v>
                </c:pt>
                <c:pt idx="3">
                  <c:v>2017</c:v>
                </c:pt>
                <c:pt idx="4">
                  <c:v>2018</c:v>
                </c:pt>
              </c:numCache>
            </c:numRef>
          </c:cat>
          <c:val>
            <c:numRef>
              <c:f>'Graf č. 1'!$B$3:$F$3</c:f>
              <c:numCache>
                <c:formatCode>#\ ##0.0_ ;[Red]\-#\ ##0.0\ </c:formatCode>
                <c:ptCount val="5"/>
                <c:pt idx="0">
                  <c:v>72.900000000000006</c:v>
                </c:pt>
                <c:pt idx="1">
                  <c:v>79</c:v>
                </c:pt>
                <c:pt idx="2">
                  <c:v>45.3</c:v>
                </c:pt>
                <c:pt idx="3">
                  <c:v>42.1</c:v>
                </c:pt>
                <c:pt idx="4">
                  <c:v>49.7</c:v>
                </c:pt>
              </c:numCache>
            </c:numRef>
          </c:val>
          <c:extLst>
            <c:ext xmlns:c16="http://schemas.microsoft.com/office/drawing/2014/chart" uri="{C3380CC4-5D6E-409C-BE32-E72D297353CC}">
              <c16:uniqueId val="{00000001-D2B6-47D7-B233-1E07F0E9E294}"/>
            </c:ext>
          </c:extLst>
        </c:ser>
        <c:dLbls>
          <c:showLegendKey val="0"/>
          <c:showVal val="0"/>
          <c:showCatName val="0"/>
          <c:showSerName val="0"/>
          <c:showPercent val="0"/>
          <c:showBubbleSize val="0"/>
        </c:dLbls>
        <c:gapWidth val="150"/>
        <c:overlap val="100"/>
        <c:axId val="1148185839"/>
        <c:axId val="1148175023"/>
      </c:barChart>
      <c:catAx>
        <c:axId val="11481858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148175023"/>
        <c:crosses val="autoZero"/>
        <c:auto val="1"/>
        <c:lblAlgn val="ctr"/>
        <c:lblOffset val="100"/>
        <c:noMultiLvlLbl val="0"/>
      </c:catAx>
      <c:valAx>
        <c:axId val="1148175023"/>
        <c:scaling>
          <c:orientation val="minMax"/>
        </c:scaling>
        <c:delete val="1"/>
        <c:axPos val="l"/>
        <c:numFmt formatCode="0%" sourceLinked="1"/>
        <c:majorTickMark val="none"/>
        <c:minorTickMark val="none"/>
        <c:tickLblPos val="nextTo"/>
        <c:crossAx val="1148185839"/>
        <c:crosses val="autoZero"/>
        <c:crossBetween val="between"/>
      </c:valAx>
      <c:spPr>
        <a:noFill/>
        <a:ln>
          <a:noFill/>
        </a:ln>
        <a:effectLst/>
      </c:spPr>
    </c:plotArea>
    <c:legend>
      <c:legendPos val="b"/>
      <c:layout>
        <c:manualLayout>
          <c:xMode val="edge"/>
          <c:yMode val="edge"/>
          <c:x val="9.3204212207762899E-2"/>
          <c:y val="0.87385237748598288"/>
          <c:w val="0.81359140195678403"/>
          <c:h val="0.1190904594935513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3472222222221E-2"/>
          <c:y val="9.7222222222222224E-2"/>
          <c:w val="0.9506017361111111"/>
          <c:h val="0.70653650902332865"/>
        </c:manualLayout>
      </c:layout>
      <c:barChart>
        <c:barDir val="col"/>
        <c:grouping val="clustered"/>
        <c:varyColors val="0"/>
        <c:ser>
          <c:idx val="0"/>
          <c:order val="0"/>
          <c:tx>
            <c:strRef>
              <c:f>'Graf č. 2'!$A$2</c:f>
              <c:strCache>
                <c:ptCount val="1"/>
                <c:pt idx="0">
                  <c:v>Státní fondy</c:v>
                </c:pt>
              </c:strCache>
            </c:strRef>
          </c:tx>
          <c:spPr>
            <a:solidFill>
              <a:srgbClr val="C3C5C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'Graf č. 2'!$B$1:$F$1</c:f>
              <c:numCache>
                <c:formatCode>General</c:formatCode>
                <c:ptCount val="5"/>
                <c:pt idx="0">
                  <c:v>2014</c:v>
                </c:pt>
                <c:pt idx="1">
                  <c:v>2015</c:v>
                </c:pt>
                <c:pt idx="2">
                  <c:v>2016</c:v>
                </c:pt>
                <c:pt idx="3">
                  <c:v>2017</c:v>
                </c:pt>
                <c:pt idx="4">
                  <c:v>2018</c:v>
                </c:pt>
              </c:numCache>
            </c:numRef>
          </c:cat>
          <c:val>
            <c:numRef>
              <c:f>'Graf č. 2'!$B$2:$F$2</c:f>
              <c:numCache>
                <c:formatCode>#\ ##0.0_ ;[Red]\-#\ ##0.0\ </c:formatCode>
                <c:ptCount val="5"/>
                <c:pt idx="0">
                  <c:v>22.106299606540002</c:v>
                </c:pt>
                <c:pt idx="1">
                  <c:v>44.657979042329991</c:v>
                </c:pt>
                <c:pt idx="2">
                  <c:v>27.662970466889998</c:v>
                </c:pt>
                <c:pt idx="3">
                  <c:v>35.39268926938</c:v>
                </c:pt>
                <c:pt idx="4">
                  <c:v>38.200043450819997</c:v>
                </c:pt>
              </c:numCache>
            </c:numRef>
          </c:val>
          <c:extLst>
            <c:ext xmlns:c16="http://schemas.microsoft.com/office/drawing/2014/chart" uri="{C3380CC4-5D6E-409C-BE32-E72D297353CC}">
              <c16:uniqueId val="{00000000-B89B-4C5A-B9C2-0BCEE3A4E1E1}"/>
            </c:ext>
          </c:extLst>
        </c:ser>
        <c:ser>
          <c:idx val="1"/>
          <c:order val="1"/>
          <c:tx>
            <c:strRef>
              <c:f>'Graf č. 2'!$A$3</c:f>
              <c:strCache>
                <c:ptCount val="1"/>
                <c:pt idx="0">
                  <c:v>Kraje a obce</c:v>
                </c:pt>
              </c:strCache>
            </c:strRef>
          </c:tx>
          <c:spPr>
            <a:solidFill>
              <a:srgbClr val="BD2A3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'Graf č. 2'!$B$1:$F$1</c:f>
              <c:numCache>
                <c:formatCode>General</c:formatCode>
                <c:ptCount val="5"/>
                <c:pt idx="0">
                  <c:v>2014</c:v>
                </c:pt>
                <c:pt idx="1">
                  <c:v>2015</c:v>
                </c:pt>
                <c:pt idx="2">
                  <c:v>2016</c:v>
                </c:pt>
                <c:pt idx="3">
                  <c:v>2017</c:v>
                </c:pt>
                <c:pt idx="4">
                  <c:v>2018</c:v>
                </c:pt>
              </c:numCache>
            </c:numRef>
          </c:cat>
          <c:val>
            <c:numRef>
              <c:f>'Graf č. 2'!$B$3:$F$3</c:f>
              <c:numCache>
                <c:formatCode>#\ ##0.0_ ;[Red]\-#\ ##0.0\ </c:formatCode>
                <c:ptCount val="5"/>
                <c:pt idx="0">
                  <c:v>20.154854602339999</c:v>
                </c:pt>
                <c:pt idx="1">
                  <c:v>21.760132618729994</c:v>
                </c:pt>
                <c:pt idx="2">
                  <c:v>11.384406047300002</c:v>
                </c:pt>
                <c:pt idx="3">
                  <c:v>11.76564633051</c:v>
                </c:pt>
                <c:pt idx="4">
                  <c:v>20.704337156259999</c:v>
                </c:pt>
              </c:numCache>
            </c:numRef>
          </c:val>
          <c:extLst>
            <c:ext xmlns:c16="http://schemas.microsoft.com/office/drawing/2014/chart" uri="{C3380CC4-5D6E-409C-BE32-E72D297353CC}">
              <c16:uniqueId val="{00000001-B89B-4C5A-B9C2-0BCEE3A4E1E1}"/>
            </c:ext>
          </c:extLst>
        </c:ser>
        <c:ser>
          <c:idx val="2"/>
          <c:order val="2"/>
          <c:tx>
            <c:strRef>
              <c:f>'Graf č. 2'!$A$4</c:f>
              <c:strCache>
                <c:ptCount val="1"/>
                <c:pt idx="0">
                  <c:v>Podnikatelské subjekty</c:v>
                </c:pt>
              </c:strCache>
            </c:strRef>
          </c:tx>
          <c:spPr>
            <a:solidFill>
              <a:srgbClr val="00459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'Graf č. 2'!$B$1:$F$1</c:f>
              <c:numCache>
                <c:formatCode>General</c:formatCode>
                <c:ptCount val="5"/>
                <c:pt idx="0">
                  <c:v>2014</c:v>
                </c:pt>
                <c:pt idx="1">
                  <c:v>2015</c:v>
                </c:pt>
                <c:pt idx="2">
                  <c:v>2016</c:v>
                </c:pt>
                <c:pt idx="3">
                  <c:v>2017</c:v>
                </c:pt>
                <c:pt idx="4">
                  <c:v>2018</c:v>
                </c:pt>
              </c:numCache>
            </c:numRef>
          </c:cat>
          <c:val>
            <c:numRef>
              <c:f>'Graf č. 2'!$B$4:$F$4</c:f>
              <c:numCache>
                <c:formatCode>#\ ##0.0_ ;[Red]\-#\ ##0.0\ </c:formatCode>
                <c:ptCount val="5"/>
                <c:pt idx="0">
                  <c:v>27.08578037169999</c:v>
                </c:pt>
                <c:pt idx="1">
                  <c:v>44.312457703410033</c:v>
                </c:pt>
                <c:pt idx="2">
                  <c:v>10.584364869810004</c:v>
                </c:pt>
                <c:pt idx="3">
                  <c:v>7.1716149655599999</c:v>
                </c:pt>
                <c:pt idx="4">
                  <c:v>16.924723237599999</c:v>
                </c:pt>
              </c:numCache>
            </c:numRef>
          </c:val>
          <c:extLst>
            <c:ext xmlns:c16="http://schemas.microsoft.com/office/drawing/2014/chart" uri="{C3380CC4-5D6E-409C-BE32-E72D297353CC}">
              <c16:uniqueId val="{00000002-B89B-4C5A-B9C2-0BCEE3A4E1E1}"/>
            </c:ext>
          </c:extLst>
        </c:ser>
        <c:ser>
          <c:idx val="3"/>
          <c:order val="3"/>
          <c:tx>
            <c:strRef>
              <c:f>'Graf č. 2'!$A$5</c:f>
              <c:strCache>
                <c:ptCount val="1"/>
                <c:pt idx="0">
                  <c:v>Ostatní</c:v>
                </c:pt>
              </c:strCache>
            </c:strRef>
          </c:tx>
          <c:spPr>
            <a:solidFill>
              <a:srgbClr val="BD2A33">
                <a:alpha val="6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'Graf č. 2'!$B$1:$F$1</c:f>
              <c:numCache>
                <c:formatCode>General</c:formatCode>
                <c:ptCount val="5"/>
                <c:pt idx="0">
                  <c:v>2014</c:v>
                </c:pt>
                <c:pt idx="1">
                  <c:v>2015</c:v>
                </c:pt>
                <c:pt idx="2">
                  <c:v>2016</c:v>
                </c:pt>
                <c:pt idx="3">
                  <c:v>2017</c:v>
                </c:pt>
                <c:pt idx="4">
                  <c:v>2018</c:v>
                </c:pt>
              </c:numCache>
            </c:numRef>
          </c:cat>
          <c:val>
            <c:numRef>
              <c:f>'Graf č. 2'!$B$5:$F$5</c:f>
              <c:numCache>
                <c:formatCode>#\ ##0.0_ ;[Red]\-#\ ##0.0\ </c:formatCode>
                <c:ptCount val="5"/>
                <c:pt idx="0">
                  <c:v>29.862400434679998</c:v>
                </c:pt>
                <c:pt idx="1">
                  <c:v>45.010805136800045</c:v>
                </c:pt>
                <c:pt idx="2">
                  <c:v>20.627331503640001</c:v>
                </c:pt>
                <c:pt idx="3">
                  <c:v>12.358705943659984</c:v>
                </c:pt>
                <c:pt idx="4">
                  <c:v>22.987801541249979</c:v>
                </c:pt>
              </c:numCache>
            </c:numRef>
          </c:val>
          <c:extLst>
            <c:ext xmlns:c16="http://schemas.microsoft.com/office/drawing/2014/chart" uri="{C3380CC4-5D6E-409C-BE32-E72D297353CC}">
              <c16:uniqueId val="{00000003-B89B-4C5A-B9C2-0BCEE3A4E1E1}"/>
            </c:ext>
          </c:extLst>
        </c:ser>
        <c:dLbls>
          <c:showLegendKey val="0"/>
          <c:showVal val="1"/>
          <c:showCatName val="0"/>
          <c:showSerName val="0"/>
          <c:showPercent val="0"/>
          <c:showBubbleSize val="0"/>
        </c:dLbls>
        <c:gapWidth val="56"/>
        <c:overlap val="-12"/>
        <c:axId val="1224300575"/>
        <c:axId val="1224304735"/>
      </c:barChart>
      <c:lineChart>
        <c:grouping val="standard"/>
        <c:varyColors val="0"/>
        <c:ser>
          <c:idx val="4"/>
          <c:order val="4"/>
          <c:tx>
            <c:strRef>
              <c:f>'Graf č. 2'!$A$6</c:f>
              <c:strCache>
                <c:ptCount val="1"/>
                <c:pt idx="0">
                  <c:v>Celkové investiční transfery</c:v>
                </c:pt>
              </c:strCache>
            </c:strRef>
          </c:tx>
          <c:spPr>
            <a:ln w="28575" cap="rnd">
              <a:solidFill>
                <a:srgbClr val="004595">
                  <a:alpha val="80000"/>
                </a:srgbClr>
              </a:solidFill>
              <a:round/>
            </a:ln>
            <a:effectLst/>
          </c:spPr>
          <c:marker>
            <c:symbol val="circle"/>
            <c:size val="5"/>
            <c:spPr>
              <a:solidFill>
                <a:srgbClr val="004595">
                  <a:alpha val="80000"/>
                </a:srgbClr>
              </a:solidFill>
              <a:ln w="9525">
                <a:no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2'!$B$1:$F$1</c:f>
              <c:numCache>
                <c:formatCode>General</c:formatCode>
                <c:ptCount val="5"/>
                <c:pt idx="0">
                  <c:v>2014</c:v>
                </c:pt>
                <c:pt idx="1">
                  <c:v>2015</c:v>
                </c:pt>
                <c:pt idx="2">
                  <c:v>2016</c:v>
                </c:pt>
                <c:pt idx="3">
                  <c:v>2017</c:v>
                </c:pt>
                <c:pt idx="4">
                  <c:v>2018</c:v>
                </c:pt>
              </c:numCache>
            </c:numRef>
          </c:cat>
          <c:val>
            <c:numRef>
              <c:f>'Graf č. 2'!$B$6:$F$6</c:f>
              <c:numCache>
                <c:formatCode>#\ ##0.0_ ;[Red]\-#\ ##0.0\ </c:formatCode>
                <c:ptCount val="5"/>
                <c:pt idx="0">
                  <c:v>99.209335015259981</c:v>
                </c:pt>
                <c:pt idx="1">
                  <c:v>155.74137450127006</c:v>
                </c:pt>
                <c:pt idx="2">
                  <c:v>70.259072887640002</c:v>
                </c:pt>
                <c:pt idx="3">
                  <c:v>66.68865650910999</c:v>
                </c:pt>
                <c:pt idx="4">
                  <c:v>98.816905385929971</c:v>
                </c:pt>
              </c:numCache>
            </c:numRef>
          </c:val>
          <c:smooth val="0"/>
          <c:extLst>
            <c:ext xmlns:c16="http://schemas.microsoft.com/office/drawing/2014/chart" uri="{C3380CC4-5D6E-409C-BE32-E72D297353CC}">
              <c16:uniqueId val="{00000004-B89B-4C5A-B9C2-0BCEE3A4E1E1}"/>
            </c:ext>
          </c:extLst>
        </c:ser>
        <c:dLbls>
          <c:showLegendKey val="0"/>
          <c:showVal val="1"/>
          <c:showCatName val="0"/>
          <c:showSerName val="0"/>
          <c:showPercent val="0"/>
          <c:showBubbleSize val="0"/>
        </c:dLbls>
        <c:marker val="1"/>
        <c:smooth val="0"/>
        <c:axId val="1599652543"/>
        <c:axId val="1599670431"/>
      </c:lineChart>
      <c:catAx>
        <c:axId val="12243005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24304735"/>
        <c:crosses val="autoZero"/>
        <c:auto val="1"/>
        <c:lblAlgn val="ctr"/>
        <c:lblOffset val="100"/>
        <c:noMultiLvlLbl val="0"/>
      </c:catAx>
      <c:valAx>
        <c:axId val="1224304735"/>
        <c:scaling>
          <c:orientation val="minMax"/>
          <c:max val="80"/>
          <c:min val="0"/>
        </c:scaling>
        <c:delete val="0"/>
        <c:axPos val="l"/>
        <c:numFmt formatCode="#\ ##0.0_ ;[Red]\-#\ ##0.0\ "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24300575"/>
        <c:crosses val="autoZero"/>
        <c:crossBetween val="between"/>
        <c:majorUnit val="40"/>
      </c:valAx>
      <c:valAx>
        <c:axId val="1599670431"/>
        <c:scaling>
          <c:orientation val="minMax"/>
          <c:max val="160"/>
          <c:min val="-100"/>
        </c:scaling>
        <c:delete val="0"/>
        <c:axPos val="r"/>
        <c:numFmt formatCode="#\ ##0.0_ ;[Red]\-#\ ##0.0\ "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599652543"/>
        <c:crosses val="max"/>
        <c:crossBetween val="between"/>
      </c:valAx>
      <c:catAx>
        <c:axId val="1599652543"/>
        <c:scaling>
          <c:orientation val="minMax"/>
        </c:scaling>
        <c:delete val="1"/>
        <c:axPos val="b"/>
        <c:numFmt formatCode="General" sourceLinked="1"/>
        <c:majorTickMark val="out"/>
        <c:minorTickMark val="none"/>
        <c:tickLblPos val="nextTo"/>
        <c:crossAx val="1599670431"/>
        <c:crosses val="autoZero"/>
        <c:auto val="1"/>
        <c:lblAlgn val="ctr"/>
        <c:lblOffset val="100"/>
        <c:noMultiLvlLbl val="0"/>
      </c:catAx>
      <c:spPr>
        <a:noFill/>
        <a:ln>
          <a:noFill/>
        </a:ln>
        <a:effectLst/>
      </c:spPr>
    </c:plotArea>
    <c:legend>
      <c:legendPos val="b"/>
      <c:layout>
        <c:manualLayout>
          <c:xMode val="edge"/>
          <c:yMode val="edge"/>
          <c:x val="0"/>
          <c:y val="0.90006397026458651"/>
          <c:w val="1"/>
          <c:h val="8.6625519636132436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3472222222221E-2"/>
          <c:y val="9.7222222222222224E-2"/>
          <c:w val="0.95149305555555552"/>
          <c:h val="0.68947506561679794"/>
        </c:manualLayout>
      </c:layout>
      <c:barChart>
        <c:barDir val="col"/>
        <c:grouping val="clustered"/>
        <c:varyColors val="0"/>
        <c:ser>
          <c:idx val="0"/>
          <c:order val="0"/>
          <c:tx>
            <c:strRef>
              <c:f>'Graf č. 3'!$A$2</c:f>
              <c:strCache>
                <c:ptCount val="1"/>
                <c:pt idx="0">
                  <c:v>1. čtvrtletí</c:v>
                </c:pt>
              </c:strCache>
            </c:strRef>
          </c:tx>
          <c:spPr>
            <a:solidFill>
              <a:srgbClr val="BD2A33">
                <a:alpha val="60000"/>
              </a:srgbClr>
            </a:solidFill>
            <a:ln>
              <a:noFill/>
            </a:ln>
            <a:effectLst/>
          </c:spPr>
          <c:invertIfNegative val="0"/>
          <c:dLbls>
            <c:dLbl>
              <c:idx val="0"/>
              <c:layout>
                <c:manualLayout>
                  <c:x val="-1.9843750000000004E-2"/>
                  <c:y val="-1.388888888888888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AC0-4115-B146-1E8292ACD6B1}"/>
                </c:ext>
              </c:extLst>
            </c:dLbl>
            <c:dLbl>
              <c:idx val="2"/>
              <c:layout>
                <c:manualLayout>
                  <c:x val="-2.204861111111111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AC0-4115-B146-1E8292ACD6B1}"/>
                </c:ext>
              </c:extLst>
            </c:dLbl>
            <c:dLbl>
              <c:idx val="4"/>
              <c:layout>
                <c:manualLayout>
                  <c:x val="-1.8264840182648401E-2"/>
                  <c:y val="-1.230768833185928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AC0-4115-B146-1E8292ACD6B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3'!$B$1:$F$1</c:f>
              <c:numCache>
                <c:formatCode>General</c:formatCode>
                <c:ptCount val="5"/>
                <c:pt idx="0">
                  <c:v>2014</c:v>
                </c:pt>
                <c:pt idx="1">
                  <c:v>2015</c:v>
                </c:pt>
                <c:pt idx="2">
                  <c:v>2016</c:v>
                </c:pt>
                <c:pt idx="3">
                  <c:v>2017</c:v>
                </c:pt>
                <c:pt idx="4">
                  <c:v>2018</c:v>
                </c:pt>
              </c:numCache>
            </c:numRef>
          </c:cat>
          <c:val>
            <c:numRef>
              <c:f>'Graf č. 3'!$B$2:$F$2</c:f>
              <c:numCache>
                <c:formatCode>#\ ##0.0_ ;[Red]\-#\ ##0.0\ </c:formatCode>
                <c:ptCount val="5"/>
                <c:pt idx="0">
                  <c:v>13.9</c:v>
                </c:pt>
                <c:pt idx="1">
                  <c:v>11.7</c:v>
                </c:pt>
                <c:pt idx="2">
                  <c:v>24.8</c:v>
                </c:pt>
                <c:pt idx="3">
                  <c:v>8</c:v>
                </c:pt>
                <c:pt idx="4">
                  <c:v>10.5</c:v>
                </c:pt>
              </c:numCache>
            </c:numRef>
          </c:val>
          <c:extLst>
            <c:ext xmlns:c16="http://schemas.microsoft.com/office/drawing/2014/chart" uri="{C3380CC4-5D6E-409C-BE32-E72D297353CC}">
              <c16:uniqueId val="{00000003-0AC0-4115-B146-1E8292ACD6B1}"/>
            </c:ext>
          </c:extLst>
        </c:ser>
        <c:ser>
          <c:idx val="1"/>
          <c:order val="1"/>
          <c:tx>
            <c:strRef>
              <c:f>'Graf č. 3'!$A$3</c:f>
              <c:strCache>
                <c:ptCount val="1"/>
                <c:pt idx="0">
                  <c:v>2. čtvrtletí</c:v>
                </c:pt>
              </c:strCache>
            </c:strRef>
          </c:tx>
          <c:spPr>
            <a:solidFill>
              <a:srgbClr val="C3C5C6"/>
            </a:solidFill>
            <a:ln>
              <a:noFill/>
            </a:ln>
            <a:effectLst/>
          </c:spPr>
          <c:invertIfNegative val="0"/>
          <c:dLbls>
            <c:dLbl>
              <c:idx val="1"/>
              <c:layout>
                <c:manualLayout>
                  <c:x val="0"/>
                  <c:y val="-2.461537666371842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0AC0-4115-B146-1E8292ACD6B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3'!$B$1:$F$1</c:f>
              <c:numCache>
                <c:formatCode>General</c:formatCode>
                <c:ptCount val="5"/>
                <c:pt idx="0">
                  <c:v>2014</c:v>
                </c:pt>
                <c:pt idx="1">
                  <c:v>2015</c:v>
                </c:pt>
                <c:pt idx="2">
                  <c:v>2016</c:v>
                </c:pt>
                <c:pt idx="3">
                  <c:v>2017</c:v>
                </c:pt>
                <c:pt idx="4">
                  <c:v>2018</c:v>
                </c:pt>
              </c:numCache>
            </c:numRef>
          </c:cat>
          <c:val>
            <c:numRef>
              <c:f>'Graf č. 3'!$B$3:$F$3</c:f>
              <c:numCache>
                <c:formatCode>#\ ##0.0_ ;[Red]\-#\ ##0.0\ </c:formatCode>
                <c:ptCount val="5"/>
                <c:pt idx="0">
                  <c:v>18.3</c:v>
                </c:pt>
                <c:pt idx="1">
                  <c:v>20.3</c:v>
                </c:pt>
                <c:pt idx="2">
                  <c:v>24.6</c:v>
                </c:pt>
                <c:pt idx="3">
                  <c:v>15.6</c:v>
                </c:pt>
                <c:pt idx="4">
                  <c:v>19.399999999999999</c:v>
                </c:pt>
              </c:numCache>
            </c:numRef>
          </c:val>
          <c:extLst>
            <c:ext xmlns:c16="http://schemas.microsoft.com/office/drawing/2014/chart" uri="{C3380CC4-5D6E-409C-BE32-E72D297353CC}">
              <c16:uniqueId val="{00000005-0AC0-4115-B146-1E8292ACD6B1}"/>
            </c:ext>
          </c:extLst>
        </c:ser>
        <c:ser>
          <c:idx val="2"/>
          <c:order val="2"/>
          <c:tx>
            <c:strRef>
              <c:f>'Graf č. 3'!$A$4</c:f>
              <c:strCache>
                <c:ptCount val="1"/>
                <c:pt idx="0">
                  <c:v>3. čtvrtletí</c:v>
                </c:pt>
              </c:strCache>
            </c:strRef>
          </c:tx>
          <c:spPr>
            <a:solidFill>
              <a:srgbClr val="004595"/>
            </a:solidFill>
            <a:ln>
              <a:noFill/>
            </a:ln>
            <a:effectLst/>
          </c:spPr>
          <c:invertIfNegative val="0"/>
          <c:dLbls>
            <c:dLbl>
              <c:idx val="0"/>
              <c:layout>
                <c:manualLayout>
                  <c:x val="-6.6145833333333534E-3"/>
                  <c:y val="-4.16666666666667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0AC0-4115-B146-1E8292ACD6B1}"/>
                </c:ext>
              </c:extLst>
            </c:dLbl>
            <c:dLbl>
              <c:idx val="1"/>
              <c:layout>
                <c:manualLayout>
                  <c:x val="-1.5434112632282596E-2"/>
                  <c:y val="-0.1283070866141732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0AC0-4115-B146-1E8292ACD6B1}"/>
                </c:ext>
              </c:extLst>
            </c:dLbl>
            <c:dLbl>
              <c:idx val="4"/>
              <c:layout>
                <c:manualLayout>
                  <c:x val="-1.984375E-2"/>
                  <c:y val="-4.629629629629633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0AC0-4115-B146-1E8292ACD6B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3'!$B$1:$F$1</c:f>
              <c:numCache>
                <c:formatCode>General</c:formatCode>
                <c:ptCount val="5"/>
                <c:pt idx="0">
                  <c:v>2014</c:v>
                </c:pt>
                <c:pt idx="1">
                  <c:v>2015</c:v>
                </c:pt>
                <c:pt idx="2">
                  <c:v>2016</c:v>
                </c:pt>
                <c:pt idx="3">
                  <c:v>2017</c:v>
                </c:pt>
                <c:pt idx="4">
                  <c:v>2018</c:v>
                </c:pt>
              </c:numCache>
            </c:numRef>
          </c:cat>
          <c:val>
            <c:numRef>
              <c:f>'Graf č. 3'!$B$4:$F$4</c:f>
              <c:numCache>
                <c:formatCode>#\ ##0.0_ ;[Red]\-#\ ##0.0\ </c:formatCode>
                <c:ptCount val="5"/>
                <c:pt idx="0">
                  <c:v>22.6</c:v>
                </c:pt>
                <c:pt idx="1">
                  <c:v>20.3</c:v>
                </c:pt>
                <c:pt idx="2">
                  <c:v>14.4</c:v>
                </c:pt>
                <c:pt idx="3">
                  <c:v>27.7</c:v>
                </c:pt>
                <c:pt idx="4">
                  <c:v>24.7</c:v>
                </c:pt>
              </c:numCache>
            </c:numRef>
          </c:val>
          <c:extLst>
            <c:ext xmlns:c16="http://schemas.microsoft.com/office/drawing/2014/chart" uri="{C3380CC4-5D6E-409C-BE32-E72D297353CC}">
              <c16:uniqueId val="{00000009-0AC0-4115-B146-1E8292ACD6B1}"/>
            </c:ext>
          </c:extLst>
        </c:ser>
        <c:ser>
          <c:idx val="3"/>
          <c:order val="3"/>
          <c:tx>
            <c:strRef>
              <c:f>'Graf č. 3'!$A$5</c:f>
              <c:strCache>
                <c:ptCount val="1"/>
                <c:pt idx="0">
                  <c:v>4. čtvrtletí</c:v>
                </c:pt>
              </c:strCache>
            </c:strRef>
          </c:tx>
          <c:spPr>
            <a:solidFill>
              <a:srgbClr val="BD2A33"/>
            </a:solidFill>
            <a:ln>
              <a:noFill/>
            </a:ln>
            <a:effectLst/>
          </c:spPr>
          <c:invertIfNegative val="0"/>
          <c:dLbls>
            <c:dLbl>
              <c:idx val="3"/>
              <c:layout>
                <c:manualLayout>
                  <c:x val="2.0294266869609334E-3"/>
                  <c:y val="8.205125554572768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0AC0-4115-B146-1E8292ACD6B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3'!$B$1:$F$1</c:f>
              <c:numCache>
                <c:formatCode>General</c:formatCode>
                <c:ptCount val="5"/>
                <c:pt idx="0">
                  <c:v>2014</c:v>
                </c:pt>
                <c:pt idx="1">
                  <c:v>2015</c:v>
                </c:pt>
                <c:pt idx="2">
                  <c:v>2016</c:v>
                </c:pt>
                <c:pt idx="3">
                  <c:v>2017</c:v>
                </c:pt>
                <c:pt idx="4">
                  <c:v>2018</c:v>
                </c:pt>
              </c:numCache>
            </c:numRef>
          </c:cat>
          <c:val>
            <c:numRef>
              <c:f>'Graf č. 3'!$B$5:$F$5</c:f>
              <c:numCache>
                <c:formatCode>#\ ##0.0_ ;[Red]\-#\ ##0.0\ </c:formatCode>
                <c:ptCount val="5"/>
                <c:pt idx="0">
                  <c:v>45.2</c:v>
                </c:pt>
                <c:pt idx="1">
                  <c:v>47.8</c:v>
                </c:pt>
                <c:pt idx="2">
                  <c:v>36.1</c:v>
                </c:pt>
                <c:pt idx="3">
                  <c:v>48.7</c:v>
                </c:pt>
                <c:pt idx="4">
                  <c:v>45.4</c:v>
                </c:pt>
              </c:numCache>
            </c:numRef>
          </c:val>
          <c:extLst>
            <c:ext xmlns:c16="http://schemas.microsoft.com/office/drawing/2014/chart" uri="{C3380CC4-5D6E-409C-BE32-E72D297353CC}">
              <c16:uniqueId val="{0000000B-0AC0-4115-B146-1E8292ACD6B1}"/>
            </c:ext>
          </c:extLst>
        </c:ser>
        <c:dLbls>
          <c:showLegendKey val="0"/>
          <c:showVal val="0"/>
          <c:showCatName val="0"/>
          <c:showSerName val="0"/>
          <c:showPercent val="0"/>
          <c:showBubbleSize val="0"/>
        </c:dLbls>
        <c:gapWidth val="219"/>
        <c:overlap val="-20"/>
        <c:axId val="1366557007"/>
        <c:axId val="1366554095"/>
      </c:barChart>
      <c:catAx>
        <c:axId val="13665570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366554095"/>
        <c:crosses val="autoZero"/>
        <c:auto val="1"/>
        <c:lblAlgn val="ctr"/>
        <c:lblOffset val="100"/>
        <c:noMultiLvlLbl val="0"/>
      </c:catAx>
      <c:valAx>
        <c:axId val="1366554095"/>
        <c:scaling>
          <c:orientation val="minMax"/>
          <c:max val="50"/>
          <c:min val="0"/>
        </c:scaling>
        <c:delete val="0"/>
        <c:axPos val="l"/>
        <c:numFmt formatCode="#\ ##0.0_ ;[Red]\-#\ ##0.0\ "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66557007"/>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Entry>
      <c:layout>
        <c:manualLayout>
          <c:xMode val="edge"/>
          <c:yMode val="edge"/>
          <c:x val="0"/>
          <c:y val="0.89452072968490881"/>
          <c:w val="0.99773263888888875"/>
          <c:h val="0.1002686567164178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900" b="1">
                <a:solidFill>
                  <a:schemeClr val="tx1"/>
                </a:solidFill>
              </a:rPr>
              <a:t>Vývoj</a:t>
            </a:r>
            <a:r>
              <a:rPr lang="cs-CZ" sz="900" b="1" baseline="0">
                <a:solidFill>
                  <a:schemeClr val="tx1"/>
                </a:solidFill>
              </a:rPr>
              <a:t> výdajů mezi 3. a 4. čtvrtletím 2018 (v mld. Kč)</a:t>
            </a:r>
            <a:endParaRPr lang="cs-CZ" sz="900" b="1">
              <a:solidFill>
                <a:schemeClr val="tx1"/>
              </a:solidFill>
            </a:endParaRPr>
          </a:p>
        </c:rich>
      </c:tx>
      <c:layout>
        <c:manualLayout>
          <c:xMode val="edge"/>
          <c:yMode val="edge"/>
          <c:x val="0.13693114139769358"/>
          <c:y val="2.003738741290431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4.1548630783758263E-2"/>
          <c:y val="0.34352070846883653"/>
          <c:w val="0.91690273843248349"/>
          <c:h val="0.32243456054479674"/>
        </c:manualLayout>
      </c:layout>
      <c:barChart>
        <c:barDir val="col"/>
        <c:grouping val="clustered"/>
        <c:varyColors val="0"/>
        <c:ser>
          <c:idx val="0"/>
          <c:order val="0"/>
          <c:tx>
            <c:strRef>
              <c:f>Graf!$E$24</c:f>
              <c:strCache>
                <c:ptCount val="1"/>
                <c:pt idx="0">
                  <c:v>Skutečnost k 30. 9. 2018</c:v>
                </c:pt>
              </c:strCache>
            </c:strRef>
          </c:tx>
          <c:spPr>
            <a:solidFill>
              <a:srgbClr val="004595"/>
            </a:solidFill>
            <a:ln>
              <a:noFill/>
            </a:ln>
            <a:effectLst/>
          </c:spPr>
          <c:invertIfNegative val="0"/>
          <c:dLbls>
            <c:dLbl>
              <c:idx val="0"/>
              <c:layout>
                <c:manualLayout>
                  <c:x val="-7.5542965061378836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DCD-4646-A920-F31B32BEC058}"/>
                </c:ext>
              </c:extLst>
            </c:dLbl>
            <c:dLbl>
              <c:idx val="1"/>
              <c:layout>
                <c:manualLayout>
                  <c:x val="-1.1331444759206765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DCD-4646-A920-F31B32BEC058}"/>
                </c:ext>
              </c:extLst>
            </c:dLbl>
            <c:dLbl>
              <c:idx val="2"/>
              <c:layout>
                <c:manualLayout>
                  <c:x val="-1.1331444759206799E-2"/>
                  <c:y val="-9.876543209876543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DCD-4646-A920-F31B32BEC058}"/>
                </c:ext>
              </c:extLst>
            </c:dLbl>
            <c:dLbl>
              <c:idx val="3"/>
              <c:layout>
                <c:manualLayout>
                  <c:x val="-1.1331444759206799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DCD-4646-A920-F31B32BEC05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Graf!$D$25:$D$28</c:f>
              <c:strCache>
                <c:ptCount val="4"/>
                <c:pt idx="0">
                  <c:v>IROP</c:v>
                </c:pt>
                <c:pt idx="1">
                  <c:v>OP PIK</c:v>
                </c:pt>
                <c:pt idx="2">
                  <c:v>OP VVV</c:v>
                </c:pt>
                <c:pt idx="3">
                  <c:v>OPŽP</c:v>
                </c:pt>
              </c:strCache>
            </c:strRef>
          </c:cat>
          <c:val>
            <c:numRef>
              <c:f>Graf!$E$25:$E$28</c:f>
              <c:numCache>
                <c:formatCode>#,##0.00</c:formatCode>
                <c:ptCount val="4"/>
                <c:pt idx="0">
                  <c:v>9.4127634275800034</c:v>
                </c:pt>
                <c:pt idx="1">
                  <c:v>6.34713459512</c:v>
                </c:pt>
                <c:pt idx="2">
                  <c:v>11.905738460370005</c:v>
                </c:pt>
                <c:pt idx="3">
                  <c:v>4.0993231696200008</c:v>
                </c:pt>
              </c:numCache>
            </c:numRef>
          </c:val>
          <c:extLst>
            <c:ext xmlns:c16="http://schemas.microsoft.com/office/drawing/2014/chart" uri="{C3380CC4-5D6E-409C-BE32-E72D297353CC}">
              <c16:uniqueId val="{00000004-FDCD-4646-A920-F31B32BEC058}"/>
            </c:ext>
          </c:extLst>
        </c:ser>
        <c:ser>
          <c:idx val="1"/>
          <c:order val="1"/>
          <c:tx>
            <c:strRef>
              <c:f>Graf!$F$24</c:f>
              <c:strCache>
                <c:ptCount val="1"/>
                <c:pt idx="0">
                  <c:v>Skutečnost k 31. 12. 2018</c:v>
                </c:pt>
              </c:strCache>
            </c:strRef>
          </c:tx>
          <c:spPr>
            <a:solidFill>
              <a:srgbClr val="C00000"/>
            </a:solidFill>
            <a:ln>
              <a:noFill/>
            </a:ln>
            <a:effectLst/>
          </c:spPr>
          <c:invertIfNegative val="0"/>
          <c:dLbls>
            <c:dLbl>
              <c:idx val="0"/>
              <c:layout>
                <c:manualLayout>
                  <c:x val="3.3994334277620365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DCD-4646-A920-F31B32BEC058}"/>
                </c:ext>
              </c:extLst>
            </c:dLbl>
            <c:dLbl>
              <c:idx val="1"/>
              <c:layout>
                <c:manualLayout>
                  <c:x val="2.2662889518413599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DCD-4646-A920-F31B32BEC058}"/>
                </c:ext>
              </c:extLst>
            </c:dLbl>
            <c:dLbl>
              <c:idx val="2"/>
              <c:layout>
                <c:manualLayout>
                  <c:x val="3.3994334277620261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FDCD-4646-A920-F31B32BEC058}"/>
                </c:ext>
              </c:extLst>
            </c:dLbl>
            <c:dLbl>
              <c:idx val="3"/>
              <c:layout>
                <c:manualLayout>
                  <c:x val="2.2662889518413599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FDCD-4646-A920-F31B32BEC05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Graf!$D$25:$D$28</c:f>
              <c:strCache>
                <c:ptCount val="4"/>
                <c:pt idx="0">
                  <c:v>IROP</c:v>
                </c:pt>
                <c:pt idx="1">
                  <c:v>OP PIK</c:v>
                </c:pt>
                <c:pt idx="2">
                  <c:v>OP VVV</c:v>
                </c:pt>
                <c:pt idx="3">
                  <c:v>OPŽP</c:v>
                </c:pt>
              </c:strCache>
            </c:strRef>
          </c:cat>
          <c:val>
            <c:numRef>
              <c:f>Graf!$F$25:$F$28</c:f>
              <c:numCache>
                <c:formatCode>#,##0.00</c:formatCode>
                <c:ptCount val="4"/>
                <c:pt idx="0">
                  <c:v>18.739329790030009</c:v>
                </c:pt>
                <c:pt idx="1">
                  <c:v>12.549294849570003</c:v>
                </c:pt>
                <c:pt idx="2">
                  <c:v>17.446704091019988</c:v>
                </c:pt>
                <c:pt idx="3">
                  <c:v>9.2803426913800067</c:v>
                </c:pt>
              </c:numCache>
            </c:numRef>
          </c:val>
          <c:extLst>
            <c:ext xmlns:c16="http://schemas.microsoft.com/office/drawing/2014/chart" uri="{C3380CC4-5D6E-409C-BE32-E72D297353CC}">
              <c16:uniqueId val="{00000009-FDCD-4646-A920-F31B32BEC058}"/>
            </c:ext>
          </c:extLst>
        </c:ser>
        <c:dLbls>
          <c:showLegendKey val="0"/>
          <c:showVal val="0"/>
          <c:showCatName val="0"/>
          <c:showSerName val="0"/>
          <c:showPercent val="0"/>
          <c:showBubbleSize val="0"/>
        </c:dLbls>
        <c:gapWidth val="219"/>
        <c:overlap val="-27"/>
        <c:axId val="1625421088"/>
        <c:axId val="1625420672"/>
      </c:barChart>
      <c:catAx>
        <c:axId val="1625421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625420672"/>
        <c:crosses val="autoZero"/>
        <c:auto val="1"/>
        <c:lblAlgn val="ctr"/>
        <c:lblOffset val="100"/>
        <c:noMultiLvlLbl val="0"/>
      </c:catAx>
      <c:valAx>
        <c:axId val="1625420672"/>
        <c:scaling>
          <c:orientation val="minMax"/>
        </c:scaling>
        <c:delete val="1"/>
        <c:axPos val="l"/>
        <c:numFmt formatCode="#,##0.00" sourceLinked="1"/>
        <c:majorTickMark val="none"/>
        <c:minorTickMark val="none"/>
        <c:tickLblPos val="nextTo"/>
        <c:crossAx val="1625421088"/>
        <c:crosses val="autoZero"/>
        <c:crossBetween val="between"/>
      </c:valAx>
      <c:spPr>
        <a:noFill/>
        <a:ln w="25400">
          <a:noFill/>
        </a:ln>
        <a:effectLst/>
      </c:spPr>
    </c:plotArea>
    <c:legend>
      <c:legendPos val="b"/>
      <c:layout>
        <c:manualLayout>
          <c:xMode val="edge"/>
          <c:yMode val="edge"/>
          <c:x val="5.3777073899756868E-2"/>
          <c:y val="0.84797190891679097"/>
          <c:w val="0.8999998512933759"/>
          <c:h val="0.1250010640561821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5788313120176E-2"/>
          <c:y val="3.9072039072039072E-2"/>
          <c:w val="0.95148842337375961"/>
          <c:h val="0.51815023122109738"/>
        </c:manualLayout>
      </c:layout>
      <c:barChart>
        <c:barDir val="col"/>
        <c:grouping val="clustered"/>
        <c:varyColors val="0"/>
        <c:ser>
          <c:idx val="0"/>
          <c:order val="0"/>
          <c:tx>
            <c:strRef>
              <c:f>'Graf mezinárodní srovnání'!$B$2</c:f>
              <c:strCache>
                <c:ptCount val="1"/>
                <c:pt idx="0">
                  <c:v>2017</c:v>
                </c:pt>
              </c:strCache>
            </c:strRef>
          </c:tx>
          <c:spPr>
            <a:solidFill>
              <a:srgbClr val="BD2A33"/>
            </a:solidFill>
            <a:ln>
              <a:noFill/>
            </a:ln>
            <a:effectLst/>
          </c:spPr>
          <c:invertIfNegative val="0"/>
          <c:cat>
            <c:strRef>
              <c:f>'Graf mezinárodní srovnání'!$A$3:$A$31</c:f>
              <c:strCache>
                <c:ptCount val="29"/>
                <c:pt idx="0">
                  <c:v>Maďarsko</c:v>
                </c:pt>
                <c:pt idx="1">
                  <c:v>Irsko</c:v>
                </c:pt>
                <c:pt idx="2">
                  <c:v>Malta</c:v>
                </c:pt>
                <c:pt idx="3">
                  <c:v>Finsko</c:v>
                </c:pt>
                <c:pt idx="4">
                  <c:v>Portugalsko</c:v>
                </c:pt>
                <c:pt idx="5">
                  <c:v>Kypr</c:v>
                </c:pt>
                <c:pt idx="6">
                  <c:v>Belgie</c:v>
                </c:pt>
                <c:pt idx="7">
                  <c:v>Nizozemsko</c:v>
                </c:pt>
                <c:pt idx="8">
                  <c:v>Lotyšsko</c:v>
                </c:pt>
                <c:pt idx="9">
                  <c:v>Bulharsko</c:v>
                </c:pt>
                <c:pt idx="10">
                  <c:v>Slovinsko</c:v>
                </c:pt>
                <c:pt idx="11">
                  <c:v>Rumunsko</c:v>
                </c:pt>
                <c:pt idx="12">
                  <c:v>Polsko</c:v>
                </c:pt>
                <c:pt idx="13">
                  <c:v>Švédsko</c:v>
                </c:pt>
                <c:pt idx="14">
                  <c:v>Německo</c:v>
                </c:pt>
                <c:pt idx="15">
                  <c:v>Estonsko</c:v>
                </c:pt>
                <c:pt idx="16">
                  <c:v>Průměr EU</c:v>
                </c:pt>
                <c:pt idx="17">
                  <c:v>Řecko</c:v>
                </c:pt>
                <c:pt idx="18">
                  <c:v>Slovensko</c:v>
                </c:pt>
                <c:pt idx="19">
                  <c:v>Spojené království</c:v>
                </c:pt>
                <c:pt idx="20">
                  <c:v>Dánsko</c:v>
                </c:pt>
                <c:pt idx="21">
                  <c:v>Chorvatsko</c:v>
                </c:pt>
                <c:pt idx="22">
                  <c:v>Litva</c:v>
                </c:pt>
                <c:pt idx="23">
                  <c:v>Rakousko</c:v>
                </c:pt>
                <c:pt idx="24">
                  <c:v>Itálie</c:v>
                </c:pt>
                <c:pt idx="25">
                  <c:v>Lucembursko</c:v>
                </c:pt>
                <c:pt idx="26">
                  <c:v>Francie</c:v>
                </c:pt>
                <c:pt idx="27">
                  <c:v>Česká republika</c:v>
                </c:pt>
                <c:pt idx="28">
                  <c:v>Španělsko</c:v>
                </c:pt>
              </c:strCache>
            </c:strRef>
          </c:cat>
          <c:val>
            <c:numRef>
              <c:f>'Graf mezinárodní srovnání'!$B$3:$B$31</c:f>
              <c:numCache>
                <c:formatCode>General</c:formatCode>
                <c:ptCount val="29"/>
                <c:pt idx="0">
                  <c:v>96</c:v>
                </c:pt>
                <c:pt idx="1">
                  <c:v>67</c:v>
                </c:pt>
                <c:pt idx="2">
                  <c:v>50</c:v>
                </c:pt>
                <c:pt idx="3">
                  <c:v>68</c:v>
                </c:pt>
                <c:pt idx="4">
                  <c:v>66</c:v>
                </c:pt>
                <c:pt idx="5">
                  <c:v>43</c:v>
                </c:pt>
                <c:pt idx="6">
                  <c:v>70</c:v>
                </c:pt>
                <c:pt idx="7">
                  <c:v>64</c:v>
                </c:pt>
                <c:pt idx="8">
                  <c:v>59</c:v>
                </c:pt>
                <c:pt idx="9">
                  <c:v>57</c:v>
                </c:pt>
                <c:pt idx="10">
                  <c:v>54</c:v>
                </c:pt>
                <c:pt idx="11">
                  <c:v>39</c:v>
                </c:pt>
                <c:pt idx="12">
                  <c:v>55</c:v>
                </c:pt>
                <c:pt idx="13">
                  <c:v>60</c:v>
                </c:pt>
                <c:pt idx="14">
                  <c:v>56</c:v>
                </c:pt>
                <c:pt idx="15">
                  <c:v>57</c:v>
                </c:pt>
                <c:pt idx="16">
                  <c:v>52</c:v>
                </c:pt>
                <c:pt idx="17">
                  <c:v>50</c:v>
                </c:pt>
                <c:pt idx="18">
                  <c:v>51</c:v>
                </c:pt>
                <c:pt idx="19">
                  <c:v>60</c:v>
                </c:pt>
                <c:pt idx="20">
                  <c:v>58</c:v>
                </c:pt>
                <c:pt idx="21">
                  <c:v>41</c:v>
                </c:pt>
                <c:pt idx="22">
                  <c:v>49</c:v>
                </c:pt>
                <c:pt idx="23">
                  <c:v>50</c:v>
                </c:pt>
                <c:pt idx="24">
                  <c:v>43</c:v>
                </c:pt>
                <c:pt idx="25">
                  <c:v>53</c:v>
                </c:pt>
                <c:pt idx="26">
                  <c:v>48</c:v>
                </c:pt>
                <c:pt idx="27">
                  <c:v>46</c:v>
                </c:pt>
                <c:pt idx="28">
                  <c:v>31</c:v>
                </c:pt>
              </c:numCache>
            </c:numRef>
          </c:val>
          <c:extLst>
            <c:ext xmlns:c16="http://schemas.microsoft.com/office/drawing/2014/chart" uri="{C3380CC4-5D6E-409C-BE32-E72D297353CC}">
              <c16:uniqueId val="{00000000-8BE4-49BE-8202-26AE0CA6428D}"/>
            </c:ext>
          </c:extLst>
        </c:ser>
        <c:ser>
          <c:idx val="1"/>
          <c:order val="1"/>
          <c:tx>
            <c:strRef>
              <c:f>'Graf mezinárodní srovnání'!$C$2</c:f>
              <c:strCache>
                <c:ptCount val="1"/>
                <c:pt idx="0">
                  <c:v>2018</c:v>
                </c:pt>
              </c:strCache>
            </c:strRef>
          </c:tx>
          <c:spPr>
            <a:solidFill>
              <a:srgbClr val="00459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 mezinárodní srovnání'!$A$3:$A$31</c:f>
              <c:strCache>
                <c:ptCount val="29"/>
                <c:pt idx="0">
                  <c:v>Maďarsko</c:v>
                </c:pt>
                <c:pt idx="1">
                  <c:v>Irsko</c:v>
                </c:pt>
                <c:pt idx="2">
                  <c:v>Malta</c:v>
                </c:pt>
                <c:pt idx="3">
                  <c:v>Finsko</c:v>
                </c:pt>
                <c:pt idx="4">
                  <c:v>Portugalsko</c:v>
                </c:pt>
                <c:pt idx="5">
                  <c:v>Kypr</c:v>
                </c:pt>
                <c:pt idx="6">
                  <c:v>Belgie</c:v>
                </c:pt>
                <c:pt idx="7">
                  <c:v>Nizozemsko</c:v>
                </c:pt>
                <c:pt idx="8">
                  <c:v>Lotyšsko</c:v>
                </c:pt>
                <c:pt idx="9">
                  <c:v>Bulharsko</c:v>
                </c:pt>
                <c:pt idx="10">
                  <c:v>Slovinsko</c:v>
                </c:pt>
                <c:pt idx="11">
                  <c:v>Rumunsko</c:v>
                </c:pt>
                <c:pt idx="12">
                  <c:v>Polsko</c:v>
                </c:pt>
                <c:pt idx="13">
                  <c:v>Švédsko</c:v>
                </c:pt>
                <c:pt idx="14">
                  <c:v>Německo</c:v>
                </c:pt>
                <c:pt idx="15">
                  <c:v>Estonsko</c:v>
                </c:pt>
                <c:pt idx="16">
                  <c:v>Průměr EU</c:v>
                </c:pt>
                <c:pt idx="17">
                  <c:v>Řecko</c:v>
                </c:pt>
                <c:pt idx="18">
                  <c:v>Slovensko</c:v>
                </c:pt>
                <c:pt idx="19">
                  <c:v>Spojené království</c:v>
                </c:pt>
                <c:pt idx="20">
                  <c:v>Dánsko</c:v>
                </c:pt>
                <c:pt idx="21">
                  <c:v>Chorvatsko</c:v>
                </c:pt>
                <c:pt idx="22">
                  <c:v>Litva</c:v>
                </c:pt>
                <c:pt idx="23">
                  <c:v>Rakousko</c:v>
                </c:pt>
                <c:pt idx="24">
                  <c:v>Itálie</c:v>
                </c:pt>
                <c:pt idx="25">
                  <c:v>Lucembursko</c:v>
                </c:pt>
                <c:pt idx="26">
                  <c:v>Francie</c:v>
                </c:pt>
                <c:pt idx="27">
                  <c:v>Česká republika</c:v>
                </c:pt>
                <c:pt idx="28">
                  <c:v>Španělsko</c:v>
                </c:pt>
              </c:strCache>
            </c:strRef>
          </c:cat>
          <c:val>
            <c:numRef>
              <c:f>'Graf mezinárodní srovnání'!$C$3:$C$31</c:f>
              <c:numCache>
                <c:formatCode>General</c:formatCode>
                <c:ptCount val="29"/>
                <c:pt idx="0">
                  <c:v>106</c:v>
                </c:pt>
                <c:pt idx="1">
                  <c:v>94</c:v>
                </c:pt>
                <c:pt idx="2">
                  <c:v>92</c:v>
                </c:pt>
                <c:pt idx="3">
                  <c:v>88</c:v>
                </c:pt>
                <c:pt idx="4">
                  <c:v>85</c:v>
                </c:pt>
                <c:pt idx="5">
                  <c:v>84</c:v>
                </c:pt>
                <c:pt idx="6">
                  <c:v>84</c:v>
                </c:pt>
                <c:pt idx="7">
                  <c:v>82</c:v>
                </c:pt>
                <c:pt idx="8">
                  <c:v>81</c:v>
                </c:pt>
                <c:pt idx="9">
                  <c:v>79</c:v>
                </c:pt>
                <c:pt idx="10">
                  <c:v>77</c:v>
                </c:pt>
                <c:pt idx="11">
                  <c:v>75</c:v>
                </c:pt>
                <c:pt idx="12">
                  <c:v>73</c:v>
                </c:pt>
                <c:pt idx="13">
                  <c:v>73</c:v>
                </c:pt>
                <c:pt idx="14">
                  <c:v>72</c:v>
                </c:pt>
                <c:pt idx="15">
                  <c:v>72</c:v>
                </c:pt>
                <c:pt idx="16">
                  <c:v>72</c:v>
                </c:pt>
                <c:pt idx="17">
                  <c:v>72</c:v>
                </c:pt>
                <c:pt idx="18">
                  <c:v>71</c:v>
                </c:pt>
                <c:pt idx="19">
                  <c:v>71</c:v>
                </c:pt>
                <c:pt idx="20">
                  <c:v>70</c:v>
                </c:pt>
                <c:pt idx="21">
                  <c:v>69</c:v>
                </c:pt>
                <c:pt idx="22">
                  <c:v>69</c:v>
                </c:pt>
                <c:pt idx="23">
                  <c:v>68</c:v>
                </c:pt>
                <c:pt idx="24">
                  <c:v>68</c:v>
                </c:pt>
                <c:pt idx="25">
                  <c:v>68</c:v>
                </c:pt>
                <c:pt idx="26">
                  <c:v>66</c:v>
                </c:pt>
                <c:pt idx="27">
                  <c:v>63</c:v>
                </c:pt>
                <c:pt idx="28">
                  <c:v>53</c:v>
                </c:pt>
              </c:numCache>
            </c:numRef>
          </c:val>
          <c:extLst>
            <c:ext xmlns:c16="http://schemas.microsoft.com/office/drawing/2014/chart" uri="{C3380CC4-5D6E-409C-BE32-E72D297353CC}">
              <c16:uniqueId val="{00000001-8BE4-49BE-8202-26AE0CA6428D}"/>
            </c:ext>
          </c:extLst>
        </c:ser>
        <c:dLbls>
          <c:showLegendKey val="0"/>
          <c:showVal val="0"/>
          <c:showCatName val="0"/>
          <c:showSerName val="0"/>
          <c:showPercent val="0"/>
          <c:showBubbleSize val="0"/>
        </c:dLbls>
        <c:gapWidth val="219"/>
        <c:overlap val="-27"/>
        <c:axId val="1638015600"/>
        <c:axId val="1638010192"/>
      </c:barChart>
      <c:lineChart>
        <c:grouping val="standard"/>
        <c:varyColors val="0"/>
        <c:ser>
          <c:idx val="2"/>
          <c:order val="2"/>
          <c:tx>
            <c:strRef>
              <c:f>'Graf mezinárodní srovnání'!$D$2</c:f>
              <c:strCache>
                <c:ptCount val="1"/>
                <c:pt idx="0">
                  <c:v>Meziroční změna (procentní bod)</c:v>
                </c:pt>
              </c:strCache>
            </c:strRef>
          </c:tx>
          <c:spPr>
            <a:ln w="28575" cap="rnd">
              <a:noFill/>
              <a:round/>
            </a:ln>
            <a:effectLst/>
          </c:spPr>
          <c:marker>
            <c:symbol val="square"/>
            <c:size val="5"/>
            <c:spPr>
              <a:solidFill>
                <a:schemeClr val="bg1"/>
              </a:solidFill>
              <a:ln w="9525">
                <a:solidFill>
                  <a:schemeClr val="bg1">
                    <a:lumMod val="75000"/>
                  </a:schemeClr>
                </a:solid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'Graf mezinárodní srovnání'!$A$3:$A$31</c:f>
              <c:strCache>
                <c:ptCount val="29"/>
                <c:pt idx="0">
                  <c:v>Maďarsko</c:v>
                </c:pt>
                <c:pt idx="1">
                  <c:v>Irsko</c:v>
                </c:pt>
                <c:pt idx="2">
                  <c:v>Malta</c:v>
                </c:pt>
                <c:pt idx="3">
                  <c:v>Finsko</c:v>
                </c:pt>
                <c:pt idx="4">
                  <c:v>Portugalsko</c:v>
                </c:pt>
                <c:pt idx="5">
                  <c:v>Kypr</c:v>
                </c:pt>
                <c:pt idx="6">
                  <c:v>Belgie</c:v>
                </c:pt>
                <c:pt idx="7">
                  <c:v>Nizozemsko</c:v>
                </c:pt>
                <c:pt idx="8">
                  <c:v>Lotyšsko</c:v>
                </c:pt>
                <c:pt idx="9">
                  <c:v>Bulharsko</c:v>
                </c:pt>
                <c:pt idx="10">
                  <c:v>Slovinsko</c:v>
                </c:pt>
                <c:pt idx="11">
                  <c:v>Rumunsko</c:v>
                </c:pt>
                <c:pt idx="12">
                  <c:v>Polsko</c:v>
                </c:pt>
                <c:pt idx="13">
                  <c:v>Švédsko</c:v>
                </c:pt>
                <c:pt idx="14">
                  <c:v>Německo</c:v>
                </c:pt>
                <c:pt idx="15">
                  <c:v>Estonsko</c:v>
                </c:pt>
                <c:pt idx="16">
                  <c:v>Průměr EU</c:v>
                </c:pt>
                <c:pt idx="17">
                  <c:v>Řecko</c:v>
                </c:pt>
                <c:pt idx="18">
                  <c:v>Slovensko</c:v>
                </c:pt>
                <c:pt idx="19">
                  <c:v>Spojené království</c:v>
                </c:pt>
                <c:pt idx="20">
                  <c:v>Dánsko</c:v>
                </c:pt>
                <c:pt idx="21">
                  <c:v>Chorvatsko</c:v>
                </c:pt>
                <c:pt idx="22">
                  <c:v>Litva</c:v>
                </c:pt>
                <c:pt idx="23">
                  <c:v>Rakousko</c:v>
                </c:pt>
                <c:pt idx="24">
                  <c:v>Itálie</c:v>
                </c:pt>
                <c:pt idx="25">
                  <c:v>Lucembursko</c:v>
                </c:pt>
                <c:pt idx="26">
                  <c:v>Francie</c:v>
                </c:pt>
                <c:pt idx="27">
                  <c:v>Česká republika</c:v>
                </c:pt>
                <c:pt idx="28">
                  <c:v>Španělsko</c:v>
                </c:pt>
              </c:strCache>
            </c:strRef>
          </c:cat>
          <c:val>
            <c:numRef>
              <c:f>'Graf mezinárodní srovnání'!$D$3:$D$31</c:f>
              <c:numCache>
                <c:formatCode>General</c:formatCode>
                <c:ptCount val="29"/>
                <c:pt idx="0">
                  <c:v>10</c:v>
                </c:pt>
                <c:pt idx="1">
                  <c:v>27</c:v>
                </c:pt>
                <c:pt idx="2">
                  <c:v>42</c:v>
                </c:pt>
                <c:pt idx="3">
                  <c:v>20</c:v>
                </c:pt>
                <c:pt idx="4">
                  <c:v>19</c:v>
                </c:pt>
                <c:pt idx="5">
                  <c:v>41</c:v>
                </c:pt>
                <c:pt idx="6">
                  <c:v>14</c:v>
                </c:pt>
                <c:pt idx="7">
                  <c:v>18</c:v>
                </c:pt>
                <c:pt idx="8">
                  <c:v>22</c:v>
                </c:pt>
                <c:pt idx="9">
                  <c:v>22</c:v>
                </c:pt>
                <c:pt idx="10">
                  <c:v>23</c:v>
                </c:pt>
                <c:pt idx="11">
                  <c:v>36</c:v>
                </c:pt>
                <c:pt idx="12">
                  <c:v>18</c:v>
                </c:pt>
                <c:pt idx="13">
                  <c:v>13</c:v>
                </c:pt>
                <c:pt idx="14">
                  <c:v>16</c:v>
                </c:pt>
                <c:pt idx="15">
                  <c:v>15</c:v>
                </c:pt>
                <c:pt idx="16">
                  <c:v>20</c:v>
                </c:pt>
                <c:pt idx="17">
                  <c:v>22</c:v>
                </c:pt>
                <c:pt idx="18">
                  <c:v>20</c:v>
                </c:pt>
                <c:pt idx="19">
                  <c:v>11</c:v>
                </c:pt>
                <c:pt idx="20">
                  <c:v>12</c:v>
                </c:pt>
                <c:pt idx="21">
                  <c:v>28</c:v>
                </c:pt>
                <c:pt idx="22">
                  <c:v>20</c:v>
                </c:pt>
                <c:pt idx="23">
                  <c:v>18</c:v>
                </c:pt>
                <c:pt idx="24">
                  <c:v>25</c:v>
                </c:pt>
                <c:pt idx="25">
                  <c:v>15</c:v>
                </c:pt>
                <c:pt idx="26">
                  <c:v>18</c:v>
                </c:pt>
                <c:pt idx="27">
                  <c:v>17</c:v>
                </c:pt>
                <c:pt idx="28">
                  <c:v>22</c:v>
                </c:pt>
              </c:numCache>
            </c:numRef>
          </c:val>
          <c:smooth val="0"/>
          <c:extLst>
            <c:ext xmlns:c16="http://schemas.microsoft.com/office/drawing/2014/chart" uri="{C3380CC4-5D6E-409C-BE32-E72D297353CC}">
              <c16:uniqueId val="{00000002-8BE4-49BE-8202-26AE0CA6428D}"/>
            </c:ext>
          </c:extLst>
        </c:ser>
        <c:dLbls>
          <c:showLegendKey val="0"/>
          <c:showVal val="0"/>
          <c:showCatName val="0"/>
          <c:showSerName val="0"/>
          <c:showPercent val="0"/>
          <c:showBubbleSize val="0"/>
        </c:dLbls>
        <c:marker val="1"/>
        <c:smooth val="0"/>
        <c:axId val="1638015600"/>
        <c:axId val="1638010192"/>
      </c:lineChart>
      <c:catAx>
        <c:axId val="1638015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638010192"/>
        <c:crosses val="autoZero"/>
        <c:auto val="1"/>
        <c:lblAlgn val="ctr"/>
        <c:lblOffset val="100"/>
        <c:noMultiLvlLbl val="0"/>
      </c:catAx>
      <c:valAx>
        <c:axId val="1638010192"/>
        <c:scaling>
          <c:orientation val="minMax"/>
        </c:scaling>
        <c:delete val="0"/>
        <c:axPos val="l"/>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638015600"/>
        <c:crosses val="autoZero"/>
        <c:crossBetween val="between"/>
      </c:valAx>
      <c:spPr>
        <a:noFill/>
        <a:ln>
          <a:noFill/>
        </a:ln>
        <a:effectLst/>
      </c:spPr>
    </c:plotArea>
    <c:legend>
      <c:legendPos val="b"/>
      <c:layout>
        <c:manualLayout>
          <c:xMode val="edge"/>
          <c:yMode val="edge"/>
          <c:x val="0.25140664473170182"/>
          <c:y val="0.91269783584744202"/>
          <c:w val="0.49718671053659635"/>
          <c:h val="8.730216415255785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88888888888889E-2"/>
          <c:y val="5.4855691056910579E-2"/>
          <c:w val="0.91666666666666652"/>
          <c:h val="0.64738143631436318"/>
        </c:manualLayout>
      </c:layout>
      <c:barChart>
        <c:barDir val="col"/>
        <c:grouping val="clustered"/>
        <c:varyColors val="0"/>
        <c:ser>
          <c:idx val="0"/>
          <c:order val="0"/>
          <c:tx>
            <c:strRef>
              <c:f>'Graf 2'!$Q$2</c:f>
              <c:strCache>
                <c:ptCount val="1"/>
                <c:pt idx="0">
                  <c:v>Skutečné příjmy z rozpočtu EU v mld. Kč</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'Graf 2'!$P$3:$P$4</c:f>
              <c:strCache>
                <c:ptCount val="2"/>
                <c:pt idx="0">
                  <c:v>2007–2013</c:v>
                </c:pt>
                <c:pt idx="1">
                  <c:v>2014–2020 (k 31. 12. 2018)</c:v>
                </c:pt>
              </c:strCache>
            </c:strRef>
          </c:cat>
          <c:val>
            <c:numRef>
              <c:f>'Graf 2'!$Q$3:$Q$4</c:f>
              <c:numCache>
                <c:formatCode>#\ ##0.0</c:formatCode>
                <c:ptCount val="2"/>
                <c:pt idx="0">
                  <c:v>588.47041428026603</c:v>
                </c:pt>
                <c:pt idx="1">
                  <c:v>648.59980630436951</c:v>
                </c:pt>
              </c:numCache>
            </c:numRef>
          </c:val>
          <c:extLst>
            <c:ext xmlns:c16="http://schemas.microsoft.com/office/drawing/2014/chart" uri="{C3380CC4-5D6E-409C-BE32-E72D297353CC}">
              <c16:uniqueId val="{00000000-156A-4148-85FD-DAAE593E4003}"/>
            </c:ext>
          </c:extLst>
        </c:ser>
        <c:ser>
          <c:idx val="1"/>
          <c:order val="1"/>
          <c:tx>
            <c:strRef>
              <c:f>'Graf 2'!$R$2</c:f>
              <c:strCache>
                <c:ptCount val="1"/>
                <c:pt idx="0">
                  <c:v>Odhad příjmů z rozpočtu EU bez Spojeného království v mld. Kč</c:v>
                </c:pt>
              </c:strCache>
            </c:strRef>
          </c:tx>
          <c:spPr>
            <a:solidFill>
              <a:srgbClr val="C00000"/>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'Graf 2'!$P$3:$P$4</c:f>
              <c:strCache>
                <c:ptCount val="2"/>
                <c:pt idx="0">
                  <c:v>2007–2013</c:v>
                </c:pt>
                <c:pt idx="1">
                  <c:v>2014–2020 (k 31. 12. 2018)</c:v>
                </c:pt>
              </c:strCache>
            </c:strRef>
          </c:cat>
          <c:val>
            <c:numRef>
              <c:f>'Graf 2'!$R$3:$R$4</c:f>
              <c:numCache>
                <c:formatCode>#\ ##0.0</c:formatCode>
                <c:ptCount val="2"/>
                <c:pt idx="0">
                  <c:v>552.84873067080264</c:v>
                </c:pt>
                <c:pt idx="1">
                  <c:v>598.99545545848969</c:v>
                </c:pt>
              </c:numCache>
            </c:numRef>
          </c:val>
          <c:extLst>
            <c:ext xmlns:c16="http://schemas.microsoft.com/office/drawing/2014/chart" uri="{C3380CC4-5D6E-409C-BE32-E72D297353CC}">
              <c16:uniqueId val="{00000001-156A-4148-85FD-DAAE593E4003}"/>
            </c:ext>
          </c:extLst>
        </c:ser>
        <c:dLbls>
          <c:showLegendKey val="0"/>
          <c:showVal val="0"/>
          <c:showCatName val="0"/>
          <c:showSerName val="0"/>
          <c:showPercent val="0"/>
          <c:showBubbleSize val="0"/>
        </c:dLbls>
        <c:gapWidth val="219"/>
        <c:overlap val="-27"/>
        <c:axId val="1576095487"/>
        <c:axId val="1576096319"/>
      </c:barChart>
      <c:catAx>
        <c:axId val="15760954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576096319"/>
        <c:crosses val="autoZero"/>
        <c:auto val="1"/>
        <c:lblAlgn val="ctr"/>
        <c:lblOffset val="100"/>
        <c:noMultiLvlLbl val="0"/>
      </c:catAx>
      <c:valAx>
        <c:axId val="1576096319"/>
        <c:scaling>
          <c:orientation val="minMax"/>
        </c:scaling>
        <c:delete val="1"/>
        <c:axPos val="l"/>
        <c:numFmt formatCode="#\ ##0.0" sourceLinked="1"/>
        <c:majorTickMark val="none"/>
        <c:minorTickMark val="none"/>
        <c:tickLblPos val="nextTo"/>
        <c:crossAx val="1576095487"/>
        <c:crosses val="autoZero"/>
        <c:crossBetween val="between"/>
      </c:valAx>
      <c:spPr>
        <a:noFill/>
        <a:ln>
          <a:noFill/>
        </a:ln>
        <a:effectLst/>
      </c:spPr>
    </c:plotArea>
    <c:legend>
      <c:legendPos val="b"/>
      <c:layout>
        <c:manualLayout>
          <c:xMode val="edge"/>
          <c:yMode val="edge"/>
          <c:x val="0"/>
          <c:y val="0.88288203274201615"/>
          <c:w val="0.99688210848643943"/>
          <c:h val="0.117117967257983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567280848687884E-2"/>
          <c:y val="6.3768115942028983E-2"/>
          <c:w val="0.95086543830262427"/>
          <c:h val="0.70971950245349769"/>
        </c:manualLayout>
      </c:layout>
      <c:barChart>
        <c:barDir val="col"/>
        <c:grouping val="clustered"/>
        <c:varyColors val="0"/>
        <c:ser>
          <c:idx val="1"/>
          <c:order val="0"/>
          <c:tx>
            <c:strRef>
              <c:f>List1!$C$4</c:f>
              <c:strCache>
                <c:ptCount val="1"/>
                <c:pt idx="0">
                  <c:v>Výdaje do dopravy</c:v>
                </c:pt>
              </c:strCache>
            </c:strRef>
          </c:tx>
          <c:spPr>
            <a:solidFill>
              <a:srgbClr val="00459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List1!$D$2:$H$2</c:f>
              <c:numCache>
                <c:formatCode>General</c:formatCode>
                <c:ptCount val="5"/>
                <c:pt idx="0">
                  <c:v>2014</c:v>
                </c:pt>
                <c:pt idx="1">
                  <c:v>2015</c:v>
                </c:pt>
                <c:pt idx="2">
                  <c:v>2016</c:v>
                </c:pt>
                <c:pt idx="3">
                  <c:v>2017</c:v>
                </c:pt>
                <c:pt idx="4">
                  <c:v>2018</c:v>
                </c:pt>
              </c:numCache>
            </c:numRef>
          </c:cat>
          <c:val>
            <c:numRef>
              <c:f>List1!$D$4:$H$4</c:f>
              <c:numCache>
                <c:formatCode>#\ ##0.00_ ;[Red]\-#\ ##0.00\ </c:formatCode>
                <c:ptCount val="5"/>
                <c:pt idx="0">
                  <c:v>44.880458671280003</c:v>
                </c:pt>
                <c:pt idx="1">
                  <c:v>76.383026731360005</c:v>
                </c:pt>
                <c:pt idx="2">
                  <c:v>56.932567750780002</c:v>
                </c:pt>
                <c:pt idx="3">
                  <c:v>58.586309349170001</c:v>
                </c:pt>
                <c:pt idx="4">
                  <c:v>52.832781905460003</c:v>
                </c:pt>
              </c:numCache>
            </c:numRef>
          </c:val>
          <c:extLst>
            <c:ext xmlns:c16="http://schemas.microsoft.com/office/drawing/2014/chart" uri="{C3380CC4-5D6E-409C-BE32-E72D297353CC}">
              <c16:uniqueId val="{00000005-1B42-4889-9C1E-A88D438F5F57}"/>
            </c:ext>
          </c:extLst>
        </c:ser>
        <c:dLbls>
          <c:dLblPos val="outEnd"/>
          <c:showLegendKey val="0"/>
          <c:showVal val="1"/>
          <c:showCatName val="0"/>
          <c:showSerName val="0"/>
          <c:showPercent val="0"/>
          <c:showBubbleSize val="0"/>
        </c:dLbls>
        <c:gapWidth val="219"/>
        <c:overlap val="-27"/>
        <c:axId val="595349759"/>
        <c:axId val="595362239"/>
      </c:barChart>
      <c:lineChart>
        <c:grouping val="standard"/>
        <c:varyColors val="0"/>
        <c:ser>
          <c:idx val="2"/>
          <c:order val="1"/>
          <c:tx>
            <c:strRef>
              <c:f>List1!$C$5</c:f>
              <c:strCache>
                <c:ptCount val="1"/>
                <c:pt idx="0">
                  <c:v>Podíl výdajů na dopravu na celkových výdajích</c:v>
                </c:pt>
              </c:strCache>
            </c:strRef>
          </c:tx>
          <c:spPr>
            <a:ln w="28575" cap="rnd">
              <a:solidFill>
                <a:srgbClr val="C3C5C6"/>
              </a:solidFill>
              <a:round/>
            </a:ln>
            <a:effectLst/>
          </c:spPr>
          <c:marker>
            <c:symbol val="none"/>
          </c:marker>
          <c:dLbls>
            <c:dLbl>
              <c:idx val="0"/>
              <c:layout>
                <c:manualLayout>
                  <c:x val="-3.9682539682539701E-2"/>
                  <c:y val="-1.623376623376628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B42-4889-9C1E-A88D438F5F57}"/>
                </c:ext>
              </c:extLst>
            </c:dLbl>
            <c:dLbl>
              <c:idx val="1"/>
              <c:layout>
                <c:manualLayout>
                  <c:x val="-4.4206861077038737E-2"/>
                  <c:y val="-2.799782102708859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B42-4889-9C1E-A88D438F5F57}"/>
                </c:ext>
              </c:extLst>
            </c:dLbl>
            <c:dLbl>
              <c:idx val="2"/>
              <c:layout>
                <c:manualLayout>
                  <c:x val="-2.6455026455026454E-2"/>
                  <c:y val="-1.01626016260162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B42-4889-9C1E-A88D438F5F57}"/>
                </c:ext>
              </c:extLst>
            </c:dLbl>
            <c:dLbl>
              <c:idx val="3"/>
              <c:layout>
                <c:manualLayout>
                  <c:x val="-3.5273368606701938E-2"/>
                  <c:y val="-3.048780487804880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B42-4889-9C1E-A88D438F5F57}"/>
                </c:ext>
              </c:extLst>
            </c:dLbl>
            <c:dLbl>
              <c:idx val="4"/>
              <c:layout>
                <c:manualLayout>
                  <c:x val="-3.968253968253968E-2"/>
                  <c:y val="-3.5569105691056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B42-4889-9C1E-A88D438F5F57}"/>
                </c:ext>
              </c:extLst>
            </c:dLbl>
            <c:numFmt formatCode="0.00_i%"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numRef>
              <c:f>List1!$D$2:$H$2</c:f>
              <c:numCache>
                <c:formatCode>General</c:formatCode>
                <c:ptCount val="5"/>
                <c:pt idx="0">
                  <c:v>2014</c:v>
                </c:pt>
                <c:pt idx="1">
                  <c:v>2015</c:v>
                </c:pt>
                <c:pt idx="2">
                  <c:v>2016</c:v>
                </c:pt>
                <c:pt idx="3">
                  <c:v>2017</c:v>
                </c:pt>
                <c:pt idx="4">
                  <c:v>2018</c:v>
                </c:pt>
              </c:numCache>
            </c:numRef>
          </c:cat>
          <c:val>
            <c:numRef>
              <c:f>List1!$D$5:$H$5</c:f>
              <c:numCache>
                <c:formatCode>0.00%</c:formatCode>
                <c:ptCount val="5"/>
                <c:pt idx="0">
                  <c:v>3.7042057330356433E-2</c:v>
                </c:pt>
                <c:pt idx="1">
                  <c:v>5.8877480663138138E-2</c:v>
                </c:pt>
                <c:pt idx="2">
                  <c:v>4.6672025463442554E-2</c:v>
                </c:pt>
                <c:pt idx="3">
                  <c:v>4.5777862327217402E-2</c:v>
                </c:pt>
                <c:pt idx="4">
                  <c:v>3.7711454368201371E-2</c:v>
                </c:pt>
              </c:numCache>
            </c:numRef>
          </c:val>
          <c:smooth val="0"/>
          <c:extLst>
            <c:ext xmlns:c16="http://schemas.microsoft.com/office/drawing/2014/chart" uri="{C3380CC4-5D6E-409C-BE32-E72D297353CC}">
              <c16:uniqueId val="{0000000B-1B42-4889-9C1E-A88D438F5F57}"/>
            </c:ext>
          </c:extLst>
        </c:ser>
        <c:dLbls>
          <c:showLegendKey val="0"/>
          <c:showVal val="1"/>
          <c:showCatName val="0"/>
          <c:showSerName val="0"/>
          <c:showPercent val="0"/>
          <c:showBubbleSize val="0"/>
        </c:dLbls>
        <c:marker val="1"/>
        <c:smooth val="0"/>
        <c:axId val="595350175"/>
        <c:axId val="595351839"/>
      </c:lineChart>
      <c:catAx>
        <c:axId val="5953497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95362239"/>
        <c:crosses val="autoZero"/>
        <c:auto val="1"/>
        <c:lblAlgn val="ctr"/>
        <c:lblOffset val="100"/>
        <c:noMultiLvlLbl val="0"/>
      </c:catAx>
      <c:valAx>
        <c:axId val="595362239"/>
        <c:scaling>
          <c:orientation val="minMax"/>
          <c:max val="80"/>
        </c:scaling>
        <c:delete val="0"/>
        <c:axPos val="l"/>
        <c:numFmt formatCode="#\ ##0.00_ ;[Red]\-#\ ##0.00\ "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95349759"/>
        <c:crosses val="autoZero"/>
        <c:crossBetween val="between"/>
        <c:majorUnit val="80"/>
        <c:minorUnit val="20"/>
      </c:valAx>
      <c:valAx>
        <c:axId val="595351839"/>
        <c:scaling>
          <c:orientation val="minMax"/>
          <c:max val="0.1"/>
          <c:min val="0"/>
        </c:scaling>
        <c:delete val="0"/>
        <c:axPos val="r"/>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95350175"/>
        <c:crosses val="max"/>
        <c:crossBetween val="between"/>
        <c:majorUnit val="3.0000000000000006E-2"/>
      </c:valAx>
      <c:catAx>
        <c:axId val="595350175"/>
        <c:scaling>
          <c:orientation val="minMax"/>
        </c:scaling>
        <c:delete val="1"/>
        <c:axPos val="b"/>
        <c:numFmt formatCode="General" sourceLinked="1"/>
        <c:majorTickMark val="none"/>
        <c:minorTickMark val="none"/>
        <c:tickLblPos val="nextTo"/>
        <c:crossAx val="595351839"/>
        <c:crosses val="autoZero"/>
        <c:auto val="1"/>
        <c:lblAlgn val="ctr"/>
        <c:lblOffset val="100"/>
        <c:noMultiLvlLbl val="0"/>
      </c:catAx>
      <c:spPr>
        <a:noFill/>
        <a:ln>
          <a:noFill/>
        </a:ln>
        <a:effectLst/>
      </c:spPr>
    </c:plotArea>
    <c:legend>
      <c:legendPos val="b"/>
      <c:layout>
        <c:manualLayout>
          <c:xMode val="edge"/>
          <c:yMode val="edge"/>
          <c:x val="0.11802160408340917"/>
          <c:y val="0.88478192399863065"/>
          <c:w val="0.76395661597576681"/>
          <c:h val="9.782677165354331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798611111111113E-2"/>
          <c:y val="3.5229797979797979E-2"/>
          <c:w val="0.91794791666666664"/>
          <c:h val="0.46901414141414144"/>
        </c:manualLayout>
      </c:layout>
      <c:barChart>
        <c:barDir val="col"/>
        <c:grouping val="clustered"/>
        <c:varyColors val="0"/>
        <c:ser>
          <c:idx val="0"/>
          <c:order val="0"/>
          <c:tx>
            <c:strRef>
              <c:f>List1!$C$34</c:f>
              <c:strCache>
                <c:ptCount val="1"/>
                <c:pt idx="0">
                  <c:v>2018</c:v>
                </c:pt>
              </c:strCache>
            </c:strRef>
          </c:tx>
          <c:spPr>
            <a:solidFill>
              <a:srgbClr val="004595"/>
            </a:solidFill>
            <a:ln>
              <a:noFill/>
            </a:ln>
            <a:effectLst/>
          </c:spPr>
          <c:invertIfNegative val="0"/>
          <c:dPt>
            <c:idx val="22"/>
            <c:invertIfNegative val="0"/>
            <c:bubble3D val="0"/>
            <c:spPr>
              <a:solidFill>
                <a:srgbClr val="BD2A33"/>
              </a:solidFill>
              <a:ln>
                <a:noFill/>
              </a:ln>
              <a:effectLst/>
            </c:spPr>
            <c:extLst>
              <c:ext xmlns:c16="http://schemas.microsoft.com/office/drawing/2014/chart" uri="{C3380CC4-5D6E-409C-BE32-E72D297353CC}">
                <c16:uniqueId val="{00000001-A787-4860-8ABC-8A5352321BFC}"/>
              </c:ext>
            </c:extLst>
          </c:dPt>
          <c:cat>
            <c:strRef>
              <c:f>List1!$B$35:$B$62</c:f>
              <c:strCache>
                <c:ptCount val="28"/>
                <c:pt idx="0">
                  <c:v>Nizozemsko</c:v>
                </c:pt>
                <c:pt idx="1">
                  <c:v>Portugalsko</c:v>
                </c:pt>
                <c:pt idx="2">
                  <c:v>Francie</c:v>
                </c:pt>
                <c:pt idx="3">
                  <c:v>Rakousko</c:v>
                </c:pt>
                <c:pt idx="4">
                  <c:v>Španělsko</c:v>
                </c:pt>
                <c:pt idx="5">
                  <c:v>Švédsko</c:v>
                </c:pt>
                <c:pt idx="6">
                  <c:v>Dánsko</c:v>
                </c:pt>
                <c:pt idx="7">
                  <c:v>Chorvatsko</c:v>
                </c:pt>
                <c:pt idx="8">
                  <c:v>Německo</c:v>
                </c:pt>
                <c:pt idx="9">
                  <c:v>Lucembursko</c:v>
                </c:pt>
                <c:pt idx="10">
                  <c:v>Finsko</c:v>
                </c:pt>
                <c:pt idx="11">
                  <c:v>Kypr</c:v>
                </c:pt>
                <c:pt idx="12">
                  <c:v>Spojené království</c:v>
                </c:pt>
                <c:pt idx="13">
                  <c:v>Řecko</c:v>
                </c:pt>
                <c:pt idx="14">
                  <c:v>Litva</c:v>
                </c:pt>
                <c:pt idx="15">
                  <c:v>Slovinsko</c:v>
                </c:pt>
                <c:pt idx="16">
                  <c:v>Estonsko</c:v>
                </c:pt>
                <c:pt idx="17">
                  <c:v>Irsko</c:v>
                </c:pt>
                <c:pt idx="18">
                  <c:v>Itálie</c:v>
                </c:pt>
                <c:pt idx="19">
                  <c:v>Belgie</c:v>
                </c:pt>
                <c:pt idx="20">
                  <c:v>Polsko</c:v>
                </c:pt>
                <c:pt idx="21">
                  <c:v>Slovensko</c:v>
                </c:pt>
                <c:pt idx="22">
                  <c:v>Česká republika</c:v>
                </c:pt>
                <c:pt idx="23">
                  <c:v>Maďarsko</c:v>
                </c:pt>
                <c:pt idx="24">
                  <c:v>Bulharsko</c:v>
                </c:pt>
                <c:pt idx="25">
                  <c:v>Lotyšsko</c:v>
                </c:pt>
                <c:pt idx="26">
                  <c:v>Malta</c:v>
                </c:pt>
                <c:pt idx="27">
                  <c:v>Rumunsko</c:v>
                </c:pt>
              </c:strCache>
            </c:strRef>
          </c:cat>
          <c:val>
            <c:numRef>
              <c:f>List1!$C$35:$C$62</c:f>
              <c:numCache>
                <c:formatCode>0.0</c:formatCode>
                <c:ptCount val="28"/>
                <c:pt idx="0">
                  <c:v>6.18</c:v>
                </c:pt>
                <c:pt idx="1">
                  <c:v>6.05</c:v>
                </c:pt>
                <c:pt idx="2">
                  <c:v>5.96</c:v>
                </c:pt>
                <c:pt idx="3">
                  <c:v>5.89</c:v>
                </c:pt>
                <c:pt idx="4">
                  <c:v>5.63</c:v>
                </c:pt>
                <c:pt idx="5">
                  <c:v>5.57</c:v>
                </c:pt>
                <c:pt idx="6">
                  <c:v>5.55</c:v>
                </c:pt>
                <c:pt idx="7">
                  <c:v>5.49</c:v>
                </c:pt>
                <c:pt idx="8">
                  <c:v>5.46</c:v>
                </c:pt>
                <c:pt idx="9">
                  <c:v>5.34</c:v>
                </c:pt>
                <c:pt idx="10">
                  <c:v>5.26</c:v>
                </c:pt>
                <c:pt idx="11">
                  <c:v>5.22</c:v>
                </c:pt>
                <c:pt idx="12">
                  <c:v>5.17</c:v>
                </c:pt>
                <c:pt idx="13">
                  <c:v>4.7300000000000004</c:v>
                </c:pt>
                <c:pt idx="14">
                  <c:v>4.7</c:v>
                </c:pt>
                <c:pt idx="15">
                  <c:v>4.7</c:v>
                </c:pt>
                <c:pt idx="16">
                  <c:v>4.68</c:v>
                </c:pt>
                <c:pt idx="17">
                  <c:v>4.4800000000000004</c:v>
                </c:pt>
                <c:pt idx="18">
                  <c:v>4.3899999999999997</c:v>
                </c:pt>
                <c:pt idx="19">
                  <c:v>4.3899999999999997</c:v>
                </c:pt>
                <c:pt idx="20">
                  <c:v>4.1399999999999997</c:v>
                </c:pt>
                <c:pt idx="21">
                  <c:v>3.96</c:v>
                </c:pt>
                <c:pt idx="22">
                  <c:v>3.95</c:v>
                </c:pt>
                <c:pt idx="23">
                  <c:v>3.89</c:v>
                </c:pt>
                <c:pt idx="24">
                  <c:v>3.52</c:v>
                </c:pt>
                <c:pt idx="25">
                  <c:v>3.45</c:v>
                </c:pt>
                <c:pt idx="26">
                  <c:v>3.24</c:v>
                </c:pt>
                <c:pt idx="27">
                  <c:v>2.96</c:v>
                </c:pt>
              </c:numCache>
            </c:numRef>
          </c:val>
          <c:extLst>
            <c:ext xmlns:c16="http://schemas.microsoft.com/office/drawing/2014/chart" uri="{C3380CC4-5D6E-409C-BE32-E72D297353CC}">
              <c16:uniqueId val="{00000002-A787-4860-8ABC-8A5352321BFC}"/>
            </c:ext>
          </c:extLst>
        </c:ser>
        <c:dLbls>
          <c:showLegendKey val="0"/>
          <c:showVal val="0"/>
          <c:showCatName val="0"/>
          <c:showSerName val="0"/>
          <c:showPercent val="0"/>
          <c:showBubbleSize val="0"/>
        </c:dLbls>
        <c:gapWidth val="219"/>
        <c:overlap val="-27"/>
        <c:axId val="590911695"/>
        <c:axId val="590905455"/>
      </c:barChart>
      <c:lineChart>
        <c:grouping val="standard"/>
        <c:varyColors val="0"/>
        <c:ser>
          <c:idx val="1"/>
          <c:order val="1"/>
          <c:tx>
            <c:strRef>
              <c:f>List1!$D$34</c:f>
              <c:strCache>
                <c:ptCount val="1"/>
                <c:pt idx="0">
                  <c:v>Průměr EU 28</c:v>
                </c:pt>
              </c:strCache>
            </c:strRef>
          </c:tx>
          <c:spPr>
            <a:ln w="28575" cap="rnd">
              <a:solidFill>
                <a:srgbClr val="C3C5C6"/>
              </a:solidFill>
              <a:round/>
            </a:ln>
            <a:effectLst/>
          </c:spPr>
          <c:marker>
            <c:symbol val="none"/>
          </c:marker>
          <c:cat>
            <c:strRef>
              <c:f>List1!$B$35:$B$62</c:f>
              <c:strCache>
                <c:ptCount val="28"/>
                <c:pt idx="0">
                  <c:v>Nizozemsko</c:v>
                </c:pt>
                <c:pt idx="1">
                  <c:v>Portugalsko</c:v>
                </c:pt>
                <c:pt idx="2">
                  <c:v>Francie</c:v>
                </c:pt>
                <c:pt idx="3">
                  <c:v>Rakousko</c:v>
                </c:pt>
                <c:pt idx="4">
                  <c:v>Španělsko</c:v>
                </c:pt>
                <c:pt idx="5">
                  <c:v>Švédsko</c:v>
                </c:pt>
                <c:pt idx="6">
                  <c:v>Dánsko</c:v>
                </c:pt>
                <c:pt idx="7">
                  <c:v>Chorvatsko</c:v>
                </c:pt>
                <c:pt idx="8">
                  <c:v>Německo</c:v>
                </c:pt>
                <c:pt idx="9">
                  <c:v>Lucembursko</c:v>
                </c:pt>
                <c:pt idx="10">
                  <c:v>Finsko</c:v>
                </c:pt>
                <c:pt idx="11">
                  <c:v>Kypr</c:v>
                </c:pt>
                <c:pt idx="12">
                  <c:v>Spojené království</c:v>
                </c:pt>
                <c:pt idx="13">
                  <c:v>Řecko</c:v>
                </c:pt>
                <c:pt idx="14">
                  <c:v>Litva</c:v>
                </c:pt>
                <c:pt idx="15">
                  <c:v>Slovinsko</c:v>
                </c:pt>
                <c:pt idx="16">
                  <c:v>Estonsko</c:v>
                </c:pt>
                <c:pt idx="17">
                  <c:v>Irsko</c:v>
                </c:pt>
                <c:pt idx="18">
                  <c:v>Itálie</c:v>
                </c:pt>
                <c:pt idx="19">
                  <c:v>Belgie</c:v>
                </c:pt>
                <c:pt idx="20">
                  <c:v>Polsko</c:v>
                </c:pt>
                <c:pt idx="21">
                  <c:v>Slovensko</c:v>
                </c:pt>
                <c:pt idx="22">
                  <c:v>Česká republika</c:v>
                </c:pt>
                <c:pt idx="23">
                  <c:v>Maďarsko</c:v>
                </c:pt>
                <c:pt idx="24">
                  <c:v>Bulharsko</c:v>
                </c:pt>
                <c:pt idx="25">
                  <c:v>Lotyšsko</c:v>
                </c:pt>
                <c:pt idx="26">
                  <c:v>Malta</c:v>
                </c:pt>
                <c:pt idx="27">
                  <c:v>Rumunsko</c:v>
                </c:pt>
              </c:strCache>
            </c:strRef>
          </c:cat>
          <c:val>
            <c:numRef>
              <c:f>List1!$D$35:$D$62</c:f>
              <c:numCache>
                <c:formatCode>General</c:formatCode>
                <c:ptCount val="28"/>
                <c:pt idx="0">
                  <c:v>4.8</c:v>
                </c:pt>
                <c:pt idx="1">
                  <c:v>4.8</c:v>
                </c:pt>
                <c:pt idx="2">
                  <c:v>4.8</c:v>
                </c:pt>
                <c:pt idx="3">
                  <c:v>4.8</c:v>
                </c:pt>
                <c:pt idx="4">
                  <c:v>4.8</c:v>
                </c:pt>
                <c:pt idx="5">
                  <c:v>4.8</c:v>
                </c:pt>
                <c:pt idx="6">
                  <c:v>4.8</c:v>
                </c:pt>
                <c:pt idx="7">
                  <c:v>4.8</c:v>
                </c:pt>
                <c:pt idx="8">
                  <c:v>4.8</c:v>
                </c:pt>
                <c:pt idx="9">
                  <c:v>4.8</c:v>
                </c:pt>
                <c:pt idx="10">
                  <c:v>4.8</c:v>
                </c:pt>
                <c:pt idx="11">
                  <c:v>4.8</c:v>
                </c:pt>
                <c:pt idx="12">
                  <c:v>4.8</c:v>
                </c:pt>
                <c:pt idx="13">
                  <c:v>4.8</c:v>
                </c:pt>
                <c:pt idx="14">
                  <c:v>4.8</c:v>
                </c:pt>
                <c:pt idx="15">
                  <c:v>4.8</c:v>
                </c:pt>
                <c:pt idx="16">
                  <c:v>4.8</c:v>
                </c:pt>
                <c:pt idx="17">
                  <c:v>4.8</c:v>
                </c:pt>
                <c:pt idx="18">
                  <c:v>4.8</c:v>
                </c:pt>
                <c:pt idx="19">
                  <c:v>4.8</c:v>
                </c:pt>
                <c:pt idx="20">
                  <c:v>4.8</c:v>
                </c:pt>
                <c:pt idx="21">
                  <c:v>4.8</c:v>
                </c:pt>
                <c:pt idx="22">
                  <c:v>4.8</c:v>
                </c:pt>
                <c:pt idx="23">
                  <c:v>4.8</c:v>
                </c:pt>
                <c:pt idx="24">
                  <c:v>4.8</c:v>
                </c:pt>
                <c:pt idx="25">
                  <c:v>4.8</c:v>
                </c:pt>
                <c:pt idx="26">
                  <c:v>4.8</c:v>
                </c:pt>
                <c:pt idx="27">
                  <c:v>4.8</c:v>
                </c:pt>
              </c:numCache>
            </c:numRef>
          </c:val>
          <c:smooth val="0"/>
          <c:extLst>
            <c:ext xmlns:c16="http://schemas.microsoft.com/office/drawing/2014/chart" uri="{C3380CC4-5D6E-409C-BE32-E72D297353CC}">
              <c16:uniqueId val="{00000003-A787-4860-8ABC-8A5352321BFC}"/>
            </c:ext>
          </c:extLst>
        </c:ser>
        <c:dLbls>
          <c:showLegendKey val="0"/>
          <c:showVal val="0"/>
          <c:showCatName val="0"/>
          <c:showSerName val="0"/>
          <c:showPercent val="0"/>
          <c:showBubbleSize val="0"/>
        </c:dLbls>
        <c:marker val="1"/>
        <c:smooth val="0"/>
        <c:axId val="590911695"/>
        <c:axId val="590905455"/>
      </c:lineChart>
      <c:catAx>
        <c:axId val="5909116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90905455"/>
        <c:crosses val="autoZero"/>
        <c:auto val="1"/>
        <c:lblAlgn val="ctr"/>
        <c:lblOffset val="100"/>
        <c:noMultiLvlLbl val="0"/>
      </c:catAx>
      <c:valAx>
        <c:axId val="590905455"/>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590911695"/>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8217681249058373E-2"/>
          <c:y val="4.9610073250647597E-2"/>
          <c:w val="0.94861003401765109"/>
          <c:h val="0.65948638773094537"/>
        </c:manualLayout>
      </c:layout>
      <c:barChart>
        <c:barDir val="col"/>
        <c:grouping val="clustered"/>
        <c:varyColors val="0"/>
        <c:ser>
          <c:idx val="0"/>
          <c:order val="0"/>
          <c:tx>
            <c:strRef>
              <c:f>'G-HDP-EU'!$B$56</c:f>
              <c:strCache>
                <c:ptCount val="1"/>
                <c:pt idx="0">
                  <c:v>2017</c:v>
                </c:pt>
              </c:strCache>
            </c:strRef>
          </c:tx>
          <c:spPr>
            <a:solidFill>
              <a:srgbClr val="BD2A33"/>
            </a:solidFill>
            <a:ln>
              <a:noFill/>
            </a:ln>
            <a:effectLst/>
          </c:spPr>
          <c:invertIfNegative val="0"/>
          <c:dLbls>
            <c:spPr>
              <a:solidFill>
                <a:schemeClr val="bg1"/>
              </a:solid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'G-HDP-EU'!$A$57:$A$60</c:f>
              <c:strCache>
                <c:ptCount val="4"/>
                <c:pt idx="0">
                  <c:v>Polsko</c:v>
                </c:pt>
                <c:pt idx="1">
                  <c:v>Maďarsko</c:v>
                </c:pt>
                <c:pt idx="2">
                  <c:v>Slovensko</c:v>
                </c:pt>
                <c:pt idx="3">
                  <c:v>Česká republika</c:v>
                </c:pt>
              </c:strCache>
            </c:strRef>
          </c:cat>
          <c:val>
            <c:numRef>
              <c:f>'G-HDP-EU'!$B$57:$B$60</c:f>
              <c:numCache>
                <c:formatCode>General</c:formatCode>
                <c:ptCount val="4"/>
                <c:pt idx="0">
                  <c:v>4.8</c:v>
                </c:pt>
                <c:pt idx="1">
                  <c:v>4.0999999999999996</c:v>
                </c:pt>
                <c:pt idx="2">
                  <c:v>3.2</c:v>
                </c:pt>
                <c:pt idx="3">
                  <c:v>4.4000000000000004</c:v>
                </c:pt>
              </c:numCache>
            </c:numRef>
          </c:val>
          <c:extLst>
            <c:ext xmlns:c16="http://schemas.microsoft.com/office/drawing/2014/chart" uri="{C3380CC4-5D6E-409C-BE32-E72D297353CC}">
              <c16:uniqueId val="{00000000-5696-4FF9-AF4A-2E70C6C05909}"/>
            </c:ext>
          </c:extLst>
        </c:ser>
        <c:ser>
          <c:idx val="1"/>
          <c:order val="1"/>
          <c:tx>
            <c:strRef>
              <c:f>'G-HDP-EU'!$C$56</c:f>
              <c:strCache>
                <c:ptCount val="1"/>
                <c:pt idx="0">
                  <c:v>2018</c:v>
                </c:pt>
              </c:strCache>
            </c:strRef>
          </c:tx>
          <c:spPr>
            <a:solidFill>
              <a:srgbClr val="004595"/>
            </a:solidFill>
            <a:ln>
              <a:noFill/>
            </a:ln>
            <a:effectLst/>
          </c:spPr>
          <c:invertIfNegative val="0"/>
          <c:dLbls>
            <c:dLbl>
              <c:idx val="0"/>
              <c:layout>
                <c:manualLayout>
                  <c:x val="0"/>
                  <c:y val="0.1363321735945797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159-4AEF-B9F9-869F966B09EE}"/>
                </c:ext>
              </c:extLst>
            </c:dLbl>
            <c:spPr>
              <a:solidFill>
                <a:schemeClr val="bg1"/>
              </a:solid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'G-HDP-EU'!$A$57:$A$60</c:f>
              <c:strCache>
                <c:ptCount val="4"/>
                <c:pt idx="0">
                  <c:v>Polsko</c:v>
                </c:pt>
                <c:pt idx="1">
                  <c:v>Maďarsko</c:v>
                </c:pt>
                <c:pt idx="2">
                  <c:v>Slovensko</c:v>
                </c:pt>
                <c:pt idx="3">
                  <c:v>Česká republika</c:v>
                </c:pt>
              </c:strCache>
            </c:strRef>
          </c:cat>
          <c:val>
            <c:numRef>
              <c:f>'G-HDP-EU'!$C$57:$C$60</c:f>
              <c:numCache>
                <c:formatCode>General</c:formatCode>
                <c:ptCount val="4"/>
                <c:pt idx="0">
                  <c:v>5.0999999999999996</c:v>
                </c:pt>
                <c:pt idx="1">
                  <c:v>4.9000000000000004</c:v>
                </c:pt>
                <c:pt idx="2">
                  <c:v>4.0999999999999996</c:v>
                </c:pt>
                <c:pt idx="3" formatCode="0.0">
                  <c:v>3</c:v>
                </c:pt>
              </c:numCache>
            </c:numRef>
          </c:val>
          <c:extLst>
            <c:ext xmlns:c16="http://schemas.microsoft.com/office/drawing/2014/chart" uri="{C3380CC4-5D6E-409C-BE32-E72D297353CC}">
              <c16:uniqueId val="{00000001-5696-4FF9-AF4A-2E70C6C05909}"/>
            </c:ext>
          </c:extLst>
        </c:ser>
        <c:dLbls>
          <c:dLblPos val="outEnd"/>
          <c:showLegendKey val="0"/>
          <c:showVal val="1"/>
          <c:showCatName val="0"/>
          <c:showSerName val="0"/>
          <c:showPercent val="0"/>
          <c:showBubbleSize val="0"/>
        </c:dLbls>
        <c:gapWidth val="60"/>
        <c:overlap val="-7"/>
        <c:axId val="1403444112"/>
        <c:axId val="1403433296"/>
      </c:barChart>
      <c:catAx>
        <c:axId val="1403444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403433296"/>
        <c:crosses val="autoZero"/>
        <c:auto val="1"/>
        <c:lblAlgn val="ctr"/>
        <c:lblOffset val="100"/>
        <c:noMultiLvlLbl val="0"/>
      </c:catAx>
      <c:valAx>
        <c:axId val="1403433296"/>
        <c:scaling>
          <c:orientation val="minMax"/>
          <c:max val="5.5"/>
          <c:min val="0"/>
        </c:scaling>
        <c:delete val="0"/>
        <c:axPos val="l"/>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403444112"/>
        <c:crosses val="autoZero"/>
        <c:crossBetween val="between"/>
      </c:valAx>
      <c:spPr>
        <a:noFill/>
        <a:ln>
          <a:noFill/>
        </a:ln>
        <a:effectLst/>
      </c:spPr>
    </c:plotArea>
    <c:legend>
      <c:legendPos val="b"/>
      <c:layout>
        <c:manualLayout>
          <c:xMode val="edge"/>
          <c:yMode val="edge"/>
          <c:x val="0.37612547676253461"/>
          <c:y val="0.87908393803715712"/>
          <c:w val="0.27191791358406481"/>
          <c:h val="0.1209160619628428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5546527777777782E-2"/>
          <c:y val="3.0874840357598979E-2"/>
          <c:w val="0.9827324652777778"/>
          <c:h val="0.73388888888888892"/>
        </c:manualLayout>
      </c:layout>
      <c:barChart>
        <c:barDir val="col"/>
        <c:grouping val="clustered"/>
        <c:varyColors val="0"/>
        <c:ser>
          <c:idx val="0"/>
          <c:order val="0"/>
          <c:tx>
            <c:strRef>
              <c:f>List1!$B$4</c:f>
              <c:strCache>
                <c:ptCount val="1"/>
                <c:pt idx="0">
                  <c:v>Silniční doprava</c:v>
                </c:pt>
              </c:strCache>
            </c:strRef>
          </c:tx>
          <c:spPr>
            <a:solidFill>
              <a:srgbClr val="004595"/>
            </a:solidFill>
            <a:ln>
              <a:noFill/>
            </a:ln>
            <a:effectLst/>
          </c:spPr>
          <c:invertIfNegative val="0"/>
          <c:dLbls>
            <c:dLbl>
              <c:idx val="0"/>
              <c:layout>
                <c:manualLayout>
                  <c:x val="-2.2048611111111113E-2"/>
                  <c:y val="-3.233354770290792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94B-4F23-9930-547D45406922}"/>
                </c:ext>
              </c:extLst>
            </c:dLbl>
            <c:dLbl>
              <c:idx val="1"/>
              <c:layout>
                <c:manualLayout>
                  <c:x val="-3.5277777777777776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94B-4F23-9930-547D45406922}"/>
                </c:ext>
              </c:extLst>
            </c:dLbl>
            <c:dLbl>
              <c:idx val="4"/>
              <c:layout>
                <c:manualLayout>
                  <c:x val="-1.5434027777777777E-2"/>
                  <c:y val="1.410934744268074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94B-4F23-9930-547D4540692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1"/>
                <c15:leaderLines>
                  <c:spPr>
                    <a:ln w="9525" cap="flat" cmpd="sng" algn="ctr">
                      <a:solidFill>
                        <a:schemeClr val="tx1">
                          <a:lumMod val="35000"/>
                          <a:lumOff val="65000"/>
                        </a:schemeClr>
                      </a:solidFill>
                      <a:round/>
                    </a:ln>
                    <a:effectLst/>
                  </c:spPr>
                </c15:leaderLines>
              </c:ext>
            </c:extLst>
          </c:dLbls>
          <c:cat>
            <c:numRef>
              <c:f>List1!$C$3:$G$3</c:f>
              <c:numCache>
                <c:formatCode>General</c:formatCode>
                <c:ptCount val="5"/>
                <c:pt idx="0">
                  <c:v>2014</c:v>
                </c:pt>
                <c:pt idx="1">
                  <c:v>2015</c:v>
                </c:pt>
                <c:pt idx="2">
                  <c:v>2016</c:v>
                </c:pt>
                <c:pt idx="3">
                  <c:v>2017</c:v>
                </c:pt>
                <c:pt idx="4">
                  <c:v>2018</c:v>
                </c:pt>
              </c:numCache>
            </c:numRef>
          </c:cat>
          <c:val>
            <c:numRef>
              <c:f>List1!$C$4:$G$4</c:f>
              <c:numCache>
                <c:formatCode>#\ ##0.00_ ;[Red]\-#\ ##0.00\ </c:formatCode>
                <c:ptCount val="5"/>
                <c:pt idx="0">
                  <c:v>386.24299999999999</c:v>
                </c:pt>
                <c:pt idx="1">
                  <c:v>438.90600000000001</c:v>
                </c:pt>
                <c:pt idx="2">
                  <c:v>431.88900000000001</c:v>
                </c:pt>
                <c:pt idx="3">
                  <c:v>459.43299999999999</c:v>
                </c:pt>
                <c:pt idx="4" formatCode="#,##0.00">
                  <c:v>479.23500000000001</c:v>
                </c:pt>
              </c:numCache>
            </c:numRef>
          </c:val>
          <c:extLst>
            <c:ext xmlns:c16="http://schemas.microsoft.com/office/drawing/2014/chart" uri="{C3380CC4-5D6E-409C-BE32-E72D297353CC}">
              <c16:uniqueId val="{00000003-F94B-4F23-9930-547D45406922}"/>
            </c:ext>
          </c:extLst>
        </c:ser>
        <c:ser>
          <c:idx val="1"/>
          <c:order val="1"/>
          <c:tx>
            <c:strRef>
              <c:f>List1!$B$5</c:f>
              <c:strCache>
                <c:ptCount val="1"/>
                <c:pt idx="0">
                  <c:v>Železniční doprava</c:v>
                </c:pt>
              </c:strCache>
            </c:strRef>
          </c:tx>
          <c:spPr>
            <a:solidFill>
              <a:srgbClr val="BD2A33"/>
            </a:solidFill>
            <a:ln>
              <a:noFill/>
            </a:ln>
            <a:effectLst/>
          </c:spPr>
          <c:invertIfNegative val="0"/>
          <c:dLbls>
            <c:dLbl>
              <c:idx val="0"/>
              <c:layout>
                <c:manualLayout>
                  <c:x val="-2.8663194444444446E-2"/>
                  <c:y val="3.880070546737213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94B-4F23-9930-547D45406922}"/>
                </c:ext>
              </c:extLst>
            </c:dLbl>
            <c:dLbl>
              <c:idx val="1"/>
              <c:layout>
                <c:manualLayout>
                  <c:x val="-3.3072916666666709E-2"/>
                  <c:y val="4.58553791887125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94B-4F23-9930-547D45406922}"/>
                </c:ext>
              </c:extLst>
            </c:dLbl>
            <c:dLbl>
              <c:idx val="2"/>
              <c:layout>
                <c:manualLayout>
                  <c:x val="-5.9531250000000084E-2"/>
                  <c:y val="5.291005291005290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94B-4F23-9930-547D45406922}"/>
                </c:ext>
              </c:extLst>
            </c:dLbl>
            <c:dLbl>
              <c:idx val="3"/>
              <c:layout>
                <c:manualLayout>
                  <c:x val="-5.2916666666666751E-2"/>
                  <c:y val="5.291005291005278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F94B-4F23-9930-547D45406922}"/>
                </c:ext>
              </c:extLst>
            </c:dLbl>
            <c:dLbl>
              <c:idx val="4"/>
              <c:layout>
                <c:manualLayout>
                  <c:x val="-5.2916666666666667E-2"/>
                  <c:y val="5.643738977072297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F94B-4F23-9930-547D4540692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List1!$C$3:$G$3</c:f>
              <c:numCache>
                <c:formatCode>General</c:formatCode>
                <c:ptCount val="5"/>
                <c:pt idx="0">
                  <c:v>2014</c:v>
                </c:pt>
                <c:pt idx="1">
                  <c:v>2015</c:v>
                </c:pt>
                <c:pt idx="2">
                  <c:v>2016</c:v>
                </c:pt>
                <c:pt idx="3">
                  <c:v>2017</c:v>
                </c:pt>
                <c:pt idx="4">
                  <c:v>2018</c:v>
                </c:pt>
              </c:numCache>
            </c:numRef>
          </c:cat>
          <c:val>
            <c:numRef>
              <c:f>List1!$C$5:$G$5</c:f>
              <c:numCache>
                <c:formatCode>#\ ##0.00_ ;[Red]\-#\ ##0.00\ </c:formatCode>
                <c:ptCount val="5"/>
                <c:pt idx="0">
                  <c:v>91.564037999999996</c:v>
                </c:pt>
                <c:pt idx="1">
                  <c:v>97.280327</c:v>
                </c:pt>
                <c:pt idx="2">
                  <c:v>98.033686000000003</c:v>
                </c:pt>
                <c:pt idx="3">
                  <c:v>96.516378000000003</c:v>
                </c:pt>
                <c:pt idx="4" formatCode="#,##0.00">
                  <c:v>99.307000000000002</c:v>
                </c:pt>
              </c:numCache>
            </c:numRef>
          </c:val>
          <c:extLst>
            <c:ext xmlns:c16="http://schemas.microsoft.com/office/drawing/2014/chart" uri="{C3380CC4-5D6E-409C-BE32-E72D297353CC}">
              <c16:uniqueId val="{00000009-F94B-4F23-9930-547D45406922}"/>
            </c:ext>
          </c:extLst>
        </c:ser>
        <c:ser>
          <c:idx val="2"/>
          <c:order val="2"/>
          <c:tx>
            <c:strRef>
              <c:f>List1!$B$6</c:f>
              <c:strCache>
                <c:ptCount val="1"/>
                <c:pt idx="0">
                  <c:v>Ostatní druhy dopravy</c:v>
                </c:pt>
              </c:strCache>
            </c:strRef>
          </c:tx>
          <c:spPr>
            <a:solidFill>
              <a:srgbClr val="C3C5C6"/>
            </a:solidFill>
            <a:ln>
              <a:noFill/>
            </a:ln>
            <a:effectLst/>
          </c:spPr>
          <c:invertIfNegative val="0"/>
          <c:dLbls>
            <c:dLbl>
              <c:idx val="0"/>
              <c:layout>
                <c:manualLayout>
                  <c:x val="1.7638888888888888E-2"/>
                  <c:y val="-7.054673721340387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F94B-4F23-9930-547D45406922}"/>
                </c:ext>
              </c:extLst>
            </c:dLbl>
            <c:dLbl>
              <c:idx val="1"/>
              <c:layout>
                <c:manualLayout>
                  <c:x val="1.9843749999999959E-2"/>
                  <c:y val="-1.058201058201058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F94B-4F23-9930-547D45406922}"/>
                </c:ext>
              </c:extLst>
            </c:dLbl>
            <c:dLbl>
              <c:idx val="2"/>
              <c:layout>
                <c:manualLayout>
                  <c:x val="2.8663194444444363E-2"/>
                  <c:y val="-1.2933419081163168E-1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F94B-4F23-9930-547D45406922}"/>
                </c:ext>
              </c:extLst>
            </c:dLbl>
            <c:dLbl>
              <c:idx val="3"/>
              <c:layout>
                <c:manualLayout>
                  <c:x val="1.984375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F94B-4F23-9930-547D45406922}"/>
                </c:ext>
              </c:extLst>
            </c:dLbl>
            <c:dLbl>
              <c:idx val="4"/>
              <c:layout>
                <c:manualLayout>
                  <c:x val="2.2048611111111113E-2"/>
                  <c:y val="7.054673721340387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F94B-4F23-9930-547D4540692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List1!$C$3:$G$3</c:f>
              <c:numCache>
                <c:formatCode>General</c:formatCode>
                <c:ptCount val="5"/>
                <c:pt idx="0">
                  <c:v>2014</c:v>
                </c:pt>
                <c:pt idx="1">
                  <c:v>2015</c:v>
                </c:pt>
                <c:pt idx="2">
                  <c:v>2016</c:v>
                </c:pt>
                <c:pt idx="3">
                  <c:v>2017</c:v>
                </c:pt>
                <c:pt idx="4">
                  <c:v>2018</c:v>
                </c:pt>
              </c:numCache>
            </c:numRef>
          </c:cat>
          <c:val>
            <c:numRef>
              <c:f>List1!$C$6:$G$6</c:f>
              <c:numCache>
                <c:formatCode>#\ ##0.00_ ;[Red]\-#\ ##0.00\ </c:formatCode>
                <c:ptCount val="5"/>
                <c:pt idx="0">
                  <c:v>13.817962000000023</c:v>
                </c:pt>
                <c:pt idx="1">
                  <c:v>12.898673000000031</c:v>
                </c:pt>
                <c:pt idx="2">
                  <c:v>9.1403139999999894</c:v>
                </c:pt>
                <c:pt idx="3">
                  <c:v>15.026621999999975</c:v>
                </c:pt>
                <c:pt idx="4">
                  <c:v>15.166</c:v>
                </c:pt>
              </c:numCache>
            </c:numRef>
          </c:val>
          <c:extLst>
            <c:ext xmlns:c16="http://schemas.microsoft.com/office/drawing/2014/chart" uri="{C3380CC4-5D6E-409C-BE32-E72D297353CC}">
              <c16:uniqueId val="{0000000F-F94B-4F23-9930-547D45406922}"/>
            </c:ext>
          </c:extLst>
        </c:ser>
        <c:dLbls>
          <c:showLegendKey val="0"/>
          <c:showVal val="0"/>
          <c:showCatName val="0"/>
          <c:showSerName val="0"/>
          <c:showPercent val="0"/>
          <c:showBubbleSize val="0"/>
        </c:dLbls>
        <c:gapWidth val="150"/>
        <c:axId val="1020648511"/>
        <c:axId val="1020645183"/>
      </c:barChart>
      <c:lineChart>
        <c:grouping val="standard"/>
        <c:varyColors val="0"/>
        <c:ser>
          <c:idx val="3"/>
          <c:order val="3"/>
          <c:tx>
            <c:strRef>
              <c:f>List1!$B$7</c:f>
              <c:strCache>
                <c:ptCount val="1"/>
                <c:pt idx="0">
                  <c:v>Podíl silniční dopravy na celkové přepravě zboží</c:v>
                </c:pt>
              </c:strCache>
            </c:strRef>
          </c:tx>
          <c:spPr>
            <a:ln w="28575" cap="rnd">
              <a:solidFill>
                <a:srgbClr val="004595">
                  <a:alpha val="60000"/>
                </a:srgbClr>
              </a:solidFill>
              <a:round/>
            </a:ln>
            <a:effectLst/>
          </c:spPr>
          <c:marker>
            <c:symbol val="none"/>
          </c:marker>
          <c:dLbls>
            <c:dLbl>
              <c:idx val="0"/>
              <c:layout>
                <c:manualLayout>
                  <c:x val="-7.2617246596066568E-2"/>
                  <c:y val="-5.079365079365079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F94B-4F23-9930-547D45406922}"/>
                </c:ext>
              </c:extLst>
            </c:dLbl>
            <c:dLbl>
              <c:idx val="1"/>
              <c:layout>
                <c:manualLayout>
                  <c:x val="-5.849722642460925E-2"/>
                  <c:y val="-4.65608465608465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F94B-4F23-9930-547D45406922}"/>
                </c:ext>
              </c:extLst>
            </c:dLbl>
            <c:dLbl>
              <c:idx val="2"/>
              <c:layout>
                <c:manualLayout>
                  <c:x val="-5.4462934947049922E-2"/>
                  <c:y val="-3.809523809523809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F94B-4F23-9930-547D45406922}"/>
                </c:ext>
              </c:extLst>
            </c:dLbl>
            <c:dLbl>
              <c:idx val="3"/>
              <c:layout>
                <c:manualLayout>
                  <c:x val="-6.2531517902168432E-2"/>
                  <c:y val="-5.92592592592592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F94B-4F23-9930-547D45406922}"/>
                </c:ext>
              </c:extLst>
            </c:dLbl>
            <c:dLbl>
              <c:idx val="4"/>
              <c:layout>
                <c:manualLayout>
                  <c:x val="-1.1024305555555556E-2"/>
                  <c:y val="-4.93827160493827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F94B-4F23-9930-547D45406922}"/>
                </c:ext>
              </c:extLst>
            </c:dLbl>
            <c:numFmt formatCode="0.00_i%"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List1!$C$3:$G$3</c:f>
              <c:numCache>
                <c:formatCode>General</c:formatCode>
                <c:ptCount val="5"/>
                <c:pt idx="0">
                  <c:v>2014</c:v>
                </c:pt>
                <c:pt idx="1">
                  <c:v>2015</c:v>
                </c:pt>
                <c:pt idx="2">
                  <c:v>2016</c:v>
                </c:pt>
                <c:pt idx="3">
                  <c:v>2017</c:v>
                </c:pt>
                <c:pt idx="4">
                  <c:v>2018</c:v>
                </c:pt>
              </c:numCache>
            </c:numRef>
          </c:cat>
          <c:val>
            <c:numRef>
              <c:f>List1!$C$7:$G$7</c:f>
              <c:numCache>
                <c:formatCode>0.00%</c:formatCode>
                <c:ptCount val="5"/>
                <c:pt idx="0">
                  <c:v>0.78564556318332057</c:v>
                </c:pt>
                <c:pt idx="1">
                  <c:v>0.79934072138193535</c:v>
                </c:pt>
                <c:pt idx="2">
                  <c:v>0.80118464817655821</c:v>
                </c:pt>
                <c:pt idx="3">
                  <c:v>0.80464502886285938</c:v>
                </c:pt>
                <c:pt idx="4">
                  <c:v>0.80718972963140123</c:v>
                </c:pt>
              </c:numCache>
            </c:numRef>
          </c:val>
          <c:smooth val="0"/>
          <c:extLst>
            <c:ext xmlns:c16="http://schemas.microsoft.com/office/drawing/2014/chart" uri="{C3380CC4-5D6E-409C-BE32-E72D297353CC}">
              <c16:uniqueId val="{00000015-F94B-4F23-9930-547D45406922}"/>
            </c:ext>
          </c:extLst>
        </c:ser>
        <c:ser>
          <c:idx val="4"/>
          <c:order val="4"/>
          <c:tx>
            <c:strRef>
              <c:f>List1!$B$8</c:f>
              <c:strCache>
                <c:ptCount val="1"/>
                <c:pt idx="0">
                  <c:v>Podíl železniční dopravy na celkové přepravě zboží</c:v>
                </c:pt>
              </c:strCache>
            </c:strRef>
          </c:tx>
          <c:spPr>
            <a:ln w="28575" cap="rnd">
              <a:solidFill>
                <a:srgbClr val="BD2A33">
                  <a:alpha val="60000"/>
                </a:srgbClr>
              </a:solidFill>
              <a:round/>
            </a:ln>
            <a:effectLst/>
          </c:spPr>
          <c:marker>
            <c:symbol val="none"/>
          </c:marker>
          <c:dLbls>
            <c:dLbl>
              <c:idx val="0"/>
              <c:layout>
                <c:manualLayout>
                  <c:x val="-1.5434027777777798E-2"/>
                  <c:y val="-5.71428571428572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F94B-4F23-9930-547D45406922}"/>
                </c:ext>
              </c:extLst>
            </c:dLbl>
            <c:dLbl>
              <c:idx val="1"/>
              <c:layout>
                <c:manualLayout>
                  <c:x val="-6.6145833333333334E-3"/>
                  <c:y val="-7.054673721340394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F94B-4F23-9930-547D45406922}"/>
                </c:ext>
              </c:extLst>
            </c:dLbl>
            <c:dLbl>
              <c:idx val="2"/>
              <c:layout>
                <c:manualLayout>
                  <c:x val="-1.3229166666666667E-2"/>
                  <c:y val="-6.349206349206348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F94B-4F23-9930-547D45406922}"/>
                </c:ext>
              </c:extLst>
            </c:dLbl>
            <c:dLbl>
              <c:idx val="3"/>
              <c:layout>
                <c:manualLayout>
                  <c:x val="-3.0868055555555555E-2"/>
                  <c:y val="-8.465608465608472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F94B-4F23-9930-547D45406922}"/>
                </c:ext>
              </c:extLst>
            </c:dLbl>
            <c:dLbl>
              <c:idx val="4"/>
              <c:layout>
                <c:manualLayout>
                  <c:x val="-1.9843750000000163E-2"/>
                  <c:y val="-6.349206349206355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F94B-4F23-9930-547D45406922}"/>
                </c:ext>
              </c:extLst>
            </c:dLbl>
            <c:numFmt formatCode="0.00_i%"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List1!$C$3:$G$3</c:f>
              <c:numCache>
                <c:formatCode>General</c:formatCode>
                <c:ptCount val="5"/>
                <c:pt idx="0">
                  <c:v>2014</c:v>
                </c:pt>
                <c:pt idx="1">
                  <c:v>2015</c:v>
                </c:pt>
                <c:pt idx="2">
                  <c:v>2016</c:v>
                </c:pt>
                <c:pt idx="3">
                  <c:v>2017</c:v>
                </c:pt>
                <c:pt idx="4">
                  <c:v>2018</c:v>
                </c:pt>
              </c:numCache>
            </c:numRef>
          </c:cat>
          <c:val>
            <c:numRef>
              <c:f>List1!$C$8:$G$8</c:f>
              <c:numCache>
                <c:formatCode>0.00%</c:formatCode>
                <c:ptCount val="5"/>
                <c:pt idx="0">
                  <c:v>0.18624772540045767</c:v>
                </c:pt>
                <c:pt idx="1">
                  <c:v>0.17716806505368021</c:v>
                </c:pt>
                <c:pt idx="2">
                  <c:v>0.18185942273908617</c:v>
                </c:pt>
                <c:pt idx="3">
                  <c:v>0.16903753923107101</c:v>
                </c:pt>
                <c:pt idx="4">
                  <c:v>0.16726572658613323</c:v>
                </c:pt>
              </c:numCache>
            </c:numRef>
          </c:val>
          <c:smooth val="0"/>
          <c:extLst>
            <c:ext xmlns:c16="http://schemas.microsoft.com/office/drawing/2014/chart" uri="{C3380CC4-5D6E-409C-BE32-E72D297353CC}">
              <c16:uniqueId val="{0000001B-F94B-4F23-9930-547D45406922}"/>
            </c:ext>
          </c:extLst>
        </c:ser>
        <c:dLbls>
          <c:showLegendKey val="0"/>
          <c:showVal val="0"/>
          <c:showCatName val="0"/>
          <c:showSerName val="0"/>
          <c:showPercent val="0"/>
          <c:showBubbleSize val="0"/>
        </c:dLbls>
        <c:marker val="1"/>
        <c:smooth val="0"/>
        <c:axId val="1783532047"/>
        <c:axId val="1783537455"/>
      </c:lineChart>
      <c:catAx>
        <c:axId val="1020648511"/>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020645183"/>
        <c:crosses val="autoZero"/>
        <c:auto val="1"/>
        <c:lblAlgn val="ctr"/>
        <c:lblOffset val="100"/>
        <c:noMultiLvlLbl val="0"/>
      </c:catAx>
      <c:valAx>
        <c:axId val="1020645183"/>
        <c:scaling>
          <c:orientation val="minMax"/>
        </c:scaling>
        <c:delete val="0"/>
        <c:axPos val="l"/>
        <c:numFmt formatCode="#\ ##0.00_ ;[Red]\-#\ ##0.00\ "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020648511"/>
        <c:crosses val="autoZero"/>
        <c:crossBetween val="between"/>
      </c:valAx>
      <c:valAx>
        <c:axId val="1783537455"/>
        <c:scaling>
          <c:orientation val="minMax"/>
        </c:scaling>
        <c:delete val="0"/>
        <c:axPos val="r"/>
        <c:numFmt formatCode="0.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783532047"/>
        <c:crosses val="max"/>
        <c:crossBetween val="between"/>
      </c:valAx>
      <c:catAx>
        <c:axId val="1783532047"/>
        <c:scaling>
          <c:orientation val="minMax"/>
        </c:scaling>
        <c:delete val="1"/>
        <c:axPos val="t"/>
        <c:numFmt formatCode="General" sourceLinked="1"/>
        <c:majorTickMark val="out"/>
        <c:minorTickMark val="none"/>
        <c:tickLblPos val="nextTo"/>
        <c:crossAx val="1783537455"/>
        <c:crosses val="max"/>
        <c:auto val="1"/>
        <c:lblAlgn val="ctr"/>
        <c:lblOffset val="100"/>
        <c:noMultiLvlLbl val="0"/>
      </c:catAx>
      <c:spPr>
        <a:noFill/>
        <a:ln>
          <a:noFill/>
        </a:ln>
        <a:effectLst/>
      </c:spPr>
    </c:plotArea>
    <c:legend>
      <c:legendPos val="b"/>
      <c:layout>
        <c:manualLayout>
          <c:xMode val="edge"/>
          <c:yMode val="edge"/>
          <c:x val="1.1445659722222225E-2"/>
          <c:y val="0.8468186462324393"/>
          <c:w val="0.97269878472222226"/>
          <c:h val="0.144181977252843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956944444444449E-2"/>
          <c:y val="3.2070707070707069E-2"/>
          <c:w val="0.91822361111111106"/>
          <c:h val="0.82120505050505055"/>
        </c:manualLayout>
      </c:layout>
      <c:barChart>
        <c:barDir val="bar"/>
        <c:grouping val="percentStacked"/>
        <c:varyColors val="0"/>
        <c:ser>
          <c:idx val="0"/>
          <c:order val="0"/>
          <c:tx>
            <c:strRef>
              <c:f>[Graf_Zdroje_elektricke_energie.xlsx]Rozdeleni!$A$2</c:f>
              <c:strCache>
                <c:ptCount val="1"/>
                <c:pt idx="0">
                  <c:v>Fosilní zdroje</c:v>
                </c:pt>
              </c:strCache>
            </c:strRef>
          </c:tx>
          <c:spPr>
            <a:solidFill>
              <a:srgbClr val="BD2A33"/>
            </a:solidFill>
            <a:ln>
              <a:noFill/>
            </a:ln>
            <a:effectLst/>
          </c:spPr>
          <c:invertIfNegative val="0"/>
          <c:dLbls>
            <c:dLbl>
              <c:idx val="0"/>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619"/>
                        <a:gd name="adj2" fmla="val 4814"/>
                      </a:avLst>
                    </a:prstGeom>
                    <a:noFill/>
                    <a:ln>
                      <a:noFill/>
                    </a:ln>
                  </c15:spPr>
                </c:ext>
                <c:ext xmlns:c16="http://schemas.microsoft.com/office/drawing/2014/chart" uri="{C3380CC4-5D6E-409C-BE32-E72D297353CC}">
                  <c16:uniqueId val="{00000000-BA81-42AC-9486-7688B7505EC3}"/>
                </c:ext>
              </c:extLst>
            </c:dLbl>
            <c:dLbl>
              <c:idx val="1"/>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7391"/>
                        <a:gd name="adj2" fmla="val 7123"/>
                      </a:avLst>
                    </a:prstGeom>
                    <a:noFill/>
                    <a:ln>
                      <a:noFill/>
                    </a:ln>
                  </c15:spPr>
                </c:ext>
                <c:ext xmlns:c16="http://schemas.microsoft.com/office/drawing/2014/chart" uri="{C3380CC4-5D6E-409C-BE32-E72D297353CC}">
                  <c16:uniqueId val="{00000001-BA81-42AC-9486-7688B7505EC3}"/>
                </c:ext>
              </c:extLst>
            </c:dLbl>
            <c:dLbl>
              <c:idx val="2"/>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924"/>
                        <a:gd name="adj2" fmla="val 11742"/>
                      </a:avLst>
                    </a:prstGeom>
                    <a:noFill/>
                    <a:ln>
                      <a:noFill/>
                    </a:ln>
                  </c15:spPr>
                </c:ext>
                <c:ext xmlns:c16="http://schemas.microsoft.com/office/drawing/2014/chart" uri="{C3380CC4-5D6E-409C-BE32-E72D297353CC}">
                  <c16:uniqueId val="{00000002-BA81-42AC-9486-7688B7505EC3}"/>
                </c:ext>
              </c:extLst>
            </c:dLbl>
            <c:dLbl>
              <c:idx val="3"/>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619"/>
                        <a:gd name="adj2" fmla="val 9433"/>
                      </a:avLst>
                    </a:prstGeom>
                    <a:noFill/>
                    <a:ln>
                      <a:noFill/>
                    </a:ln>
                  </c15:spPr>
                </c:ext>
                <c:ext xmlns:c16="http://schemas.microsoft.com/office/drawing/2014/chart" uri="{C3380CC4-5D6E-409C-BE32-E72D297353CC}">
                  <c16:uniqueId val="{00000003-BA81-42AC-9486-7688B7505EC3}"/>
                </c:ext>
              </c:extLst>
            </c:dLbl>
            <c:dLbl>
              <c:idx val="4"/>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759"/>
                        <a:gd name="adj2" fmla="val -4542"/>
                      </a:avLst>
                    </a:prstGeom>
                    <a:noFill/>
                    <a:ln>
                      <a:noFill/>
                    </a:ln>
                  </c15:spPr>
                </c:ext>
                <c:ext xmlns:c16="http://schemas.microsoft.com/office/drawing/2014/chart" uri="{C3380CC4-5D6E-409C-BE32-E72D297353CC}">
                  <c16:uniqueId val="{00000004-BA81-42AC-9486-7688B7505EC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[Graf_Zdroje_elektricke_energie.xlsx]Rozdeleni!$B$1:$F$1</c:f>
              <c:numCache>
                <c:formatCode>General</c:formatCode>
                <c:ptCount val="5"/>
                <c:pt idx="0">
                  <c:v>2018</c:v>
                </c:pt>
                <c:pt idx="1">
                  <c:v>2017</c:v>
                </c:pt>
                <c:pt idx="2">
                  <c:v>2016</c:v>
                </c:pt>
                <c:pt idx="3">
                  <c:v>2015</c:v>
                </c:pt>
                <c:pt idx="4">
                  <c:v>2014</c:v>
                </c:pt>
              </c:numCache>
            </c:numRef>
          </c:cat>
          <c:val>
            <c:numRef>
              <c:f>[Graf_Zdroje_elektricke_energie.xlsx]Rozdeleni!$B$2:$F$2</c:f>
              <c:numCache>
                <c:formatCode>0.00\ %</c:formatCode>
                <c:ptCount val="5"/>
                <c:pt idx="0">
                  <c:v>0.56950000000000001</c:v>
                </c:pt>
                <c:pt idx="1">
                  <c:v>0.57399999999999995</c:v>
                </c:pt>
                <c:pt idx="2">
                  <c:v>0.59530000000000005</c:v>
                </c:pt>
                <c:pt idx="3">
                  <c:v>0.55100000000000005</c:v>
                </c:pt>
                <c:pt idx="4">
                  <c:v>0.52769999999999995</c:v>
                </c:pt>
              </c:numCache>
            </c:numRef>
          </c:val>
          <c:extLst>
            <c:ext xmlns:c16="http://schemas.microsoft.com/office/drawing/2014/chart" uri="{C3380CC4-5D6E-409C-BE32-E72D297353CC}">
              <c16:uniqueId val="{00000005-BA81-42AC-9486-7688B7505EC3}"/>
            </c:ext>
          </c:extLst>
        </c:ser>
        <c:ser>
          <c:idx val="1"/>
          <c:order val="1"/>
          <c:tx>
            <c:strRef>
              <c:f>[Graf_Zdroje_elektricke_energie.xlsx]Rozdeleni!$A$3</c:f>
              <c:strCache>
                <c:ptCount val="1"/>
                <c:pt idx="0">
                  <c:v>Jaderné zdroje</c:v>
                </c:pt>
              </c:strCache>
            </c:strRef>
          </c:tx>
          <c:spPr>
            <a:solidFill>
              <a:srgbClr val="C3C5C6"/>
            </a:solidFill>
            <a:ln>
              <a:noFill/>
            </a:ln>
            <a:effectLst/>
          </c:spPr>
          <c:invertIfNegative val="0"/>
          <c:dLbls>
            <c:dLbl>
              <c:idx val="0"/>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
                        <a:gd name="adj2" fmla="val 11742"/>
                      </a:avLst>
                    </a:prstGeom>
                    <a:noFill/>
                    <a:ln>
                      <a:noFill/>
                    </a:ln>
                  </c15:spPr>
                </c:ext>
                <c:ext xmlns:c16="http://schemas.microsoft.com/office/drawing/2014/chart" uri="{C3380CC4-5D6E-409C-BE32-E72D297353CC}">
                  <c16:uniqueId val="{00000006-BA81-42AC-9486-7688B7505EC3}"/>
                </c:ext>
              </c:extLst>
            </c:dLbl>
            <c:dLbl>
              <c:idx val="1"/>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
                        <a:gd name="adj2" fmla="val 196"/>
                      </a:avLst>
                    </a:prstGeom>
                    <a:noFill/>
                    <a:ln>
                      <a:noFill/>
                    </a:ln>
                  </c15:spPr>
                </c:ext>
                <c:ext xmlns:c16="http://schemas.microsoft.com/office/drawing/2014/chart" uri="{C3380CC4-5D6E-409C-BE32-E72D297353CC}">
                  <c16:uniqueId val="{00000007-BA81-42AC-9486-7688B7505EC3}"/>
                </c:ext>
              </c:extLst>
            </c:dLbl>
            <c:dLbl>
              <c:idx val="2"/>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2771"/>
                        <a:gd name="adj2" fmla="val 14051"/>
                      </a:avLst>
                    </a:prstGeom>
                    <a:noFill/>
                    <a:ln>
                      <a:noFill/>
                    </a:ln>
                  </c15:spPr>
                </c:ext>
                <c:ext xmlns:c16="http://schemas.microsoft.com/office/drawing/2014/chart" uri="{C3380CC4-5D6E-409C-BE32-E72D297353CC}">
                  <c16:uniqueId val="{00000008-BA81-42AC-9486-7688B7505EC3}"/>
                </c:ext>
              </c:extLst>
            </c:dLbl>
            <c:dLbl>
              <c:idx val="3"/>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
                        <a:gd name="adj2" fmla="val 11742"/>
                      </a:avLst>
                    </a:prstGeom>
                    <a:noFill/>
                    <a:ln>
                      <a:noFill/>
                    </a:ln>
                  </c15:spPr>
                </c:ext>
                <c:ext xmlns:c16="http://schemas.microsoft.com/office/drawing/2014/chart" uri="{C3380CC4-5D6E-409C-BE32-E72D297353CC}">
                  <c16:uniqueId val="{00000009-BA81-42AC-9486-7688B7505EC3}"/>
                </c:ext>
              </c:extLst>
            </c:dLbl>
            <c:dLbl>
              <c:idx val="4"/>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3794"/>
                        <a:gd name="adj2" fmla="val -6438"/>
                      </a:avLst>
                    </a:prstGeom>
                    <a:noFill/>
                    <a:ln>
                      <a:noFill/>
                    </a:ln>
                  </c15:spPr>
                </c:ext>
                <c:ext xmlns:c16="http://schemas.microsoft.com/office/drawing/2014/chart" uri="{C3380CC4-5D6E-409C-BE32-E72D297353CC}">
                  <c16:uniqueId val="{0000000A-BA81-42AC-9486-7688B7505EC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[Graf_Zdroje_elektricke_energie.xlsx]Rozdeleni!$B$1:$F$1</c:f>
              <c:numCache>
                <c:formatCode>General</c:formatCode>
                <c:ptCount val="5"/>
                <c:pt idx="0">
                  <c:v>2018</c:v>
                </c:pt>
                <c:pt idx="1">
                  <c:v>2017</c:v>
                </c:pt>
                <c:pt idx="2">
                  <c:v>2016</c:v>
                </c:pt>
                <c:pt idx="3">
                  <c:v>2015</c:v>
                </c:pt>
                <c:pt idx="4">
                  <c:v>2014</c:v>
                </c:pt>
              </c:numCache>
            </c:numRef>
          </c:cat>
          <c:val>
            <c:numRef>
              <c:f>[Graf_Zdroje_elektricke_energie.xlsx]Rozdeleni!$B$3:$F$3</c:f>
              <c:numCache>
                <c:formatCode>0.00\ %</c:formatCode>
                <c:ptCount val="5"/>
                <c:pt idx="0">
                  <c:v>0.36880000000000002</c:v>
                </c:pt>
                <c:pt idx="1">
                  <c:v>0.35013</c:v>
                </c:pt>
                <c:pt idx="2">
                  <c:v>0.30359999999999998</c:v>
                </c:pt>
                <c:pt idx="3">
                  <c:v>0.33129999999999998</c:v>
                </c:pt>
                <c:pt idx="4">
                  <c:v>0.36280000000000001</c:v>
                </c:pt>
              </c:numCache>
            </c:numRef>
          </c:val>
          <c:extLst>
            <c:ext xmlns:c16="http://schemas.microsoft.com/office/drawing/2014/chart" uri="{C3380CC4-5D6E-409C-BE32-E72D297353CC}">
              <c16:uniqueId val="{0000000B-BA81-42AC-9486-7688B7505EC3}"/>
            </c:ext>
          </c:extLst>
        </c:ser>
        <c:ser>
          <c:idx val="2"/>
          <c:order val="2"/>
          <c:tx>
            <c:strRef>
              <c:f>[Graf_Zdroje_elektricke_energie.xlsx]Rozdeleni!$A$4</c:f>
              <c:strCache>
                <c:ptCount val="1"/>
                <c:pt idx="0">
                  <c:v>Obnovitelné zdroje</c:v>
                </c:pt>
              </c:strCache>
            </c:strRef>
          </c:tx>
          <c:spPr>
            <a:solidFill>
              <a:srgbClr val="004595"/>
            </a:solidFill>
            <a:ln>
              <a:noFill/>
            </a:ln>
            <a:effectLst/>
          </c:spPr>
          <c:invertIfNegative val="0"/>
          <c:dLbls>
            <c:dLbl>
              <c:idx val="0"/>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924"/>
                        <a:gd name="adj2" fmla="val 18669"/>
                      </a:avLst>
                    </a:prstGeom>
                    <a:noFill/>
                    <a:ln>
                      <a:noFill/>
                    </a:ln>
                  </c15:spPr>
                </c:ext>
                <c:ext xmlns:c16="http://schemas.microsoft.com/office/drawing/2014/chart" uri="{C3380CC4-5D6E-409C-BE32-E72D297353CC}">
                  <c16:uniqueId val="{0000000C-BA81-42AC-9486-7688B7505EC3}"/>
                </c:ext>
              </c:extLst>
            </c:dLbl>
            <c:dLbl>
              <c:idx val="1"/>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619"/>
                        <a:gd name="adj2" fmla="val 7123"/>
                      </a:avLst>
                    </a:prstGeom>
                    <a:noFill/>
                    <a:ln>
                      <a:noFill/>
                    </a:ln>
                  </c15:spPr>
                </c:ext>
                <c:ext xmlns:c16="http://schemas.microsoft.com/office/drawing/2014/chart" uri="{C3380CC4-5D6E-409C-BE32-E72D297353CC}">
                  <c16:uniqueId val="{0000000D-BA81-42AC-9486-7688B7505EC3}"/>
                </c:ext>
              </c:extLst>
            </c:dLbl>
            <c:dLbl>
              <c:idx val="2"/>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847"/>
                        <a:gd name="adj2" fmla="val 196"/>
                      </a:avLst>
                    </a:prstGeom>
                    <a:noFill/>
                    <a:ln>
                      <a:noFill/>
                    </a:ln>
                  </c15:spPr>
                </c:ext>
                <c:ext xmlns:c16="http://schemas.microsoft.com/office/drawing/2014/chart" uri="{C3380CC4-5D6E-409C-BE32-E72D297353CC}">
                  <c16:uniqueId val="{0000000E-BA81-42AC-9486-7688B7505EC3}"/>
                </c:ext>
              </c:extLst>
            </c:dLbl>
            <c:dLbl>
              <c:idx val="3"/>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5312"/>
                        <a:gd name="adj2" fmla="val 7124"/>
                      </a:avLst>
                    </a:prstGeom>
                    <a:noFill/>
                    <a:ln>
                      <a:noFill/>
                    </a:ln>
                  </c15:spPr>
                </c:ext>
                <c:ext xmlns:c16="http://schemas.microsoft.com/office/drawing/2014/chart" uri="{C3380CC4-5D6E-409C-BE32-E72D297353CC}">
                  <c16:uniqueId val="{0000000F-BA81-42AC-9486-7688B7505EC3}"/>
                </c:ext>
              </c:extLst>
            </c:dLbl>
            <c:dLbl>
              <c:idx val="4"/>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4363"/>
                        <a:gd name="adj2" fmla="val 6839"/>
                      </a:avLst>
                    </a:prstGeom>
                    <a:noFill/>
                    <a:ln>
                      <a:noFill/>
                    </a:ln>
                  </c15:spPr>
                </c:ext>
                <c:ext xmlns:c16="http://schemas.microsoft.com/office/drawing/2014/chart" uri="{C3380CC4-5D6E-409C-BE32-E72D297353CC}">
                  <c16:uniqueId val="{00000010-BA81-42AC-9486-7688B7505EC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[Graf_Zdroje_elektricke_energie.xlsx]Rozdeleni!$B$1:$F$1</c:f>
              <c:numCache>
                <c:formatCode>General</c:formatCode>
                <c:ptCount val="5"/>
                <c:pt idx="0">
                  <c:v>2018</c:v>
                </c:pt>
                <c:pt idx="1">
                  <c:v>2017</c:v>
                </c:pt>
                <c:pt idx="2">
                  <c:v>2016</c:v>
                </c:pt>
                <c:pt idx="3">
                  <c:v>2015</c:v>
                </c:pt>
                <c:pt idx="4">
                  <c:v>2014</c:v>
                </c:pt>
              </c:numCache>
            </c:numRef>
          </c:cat>
          <c:val>
            <c:numRef>
              <c:f>[Graf_Zdroje_elektricke_energie.xlsx]Rozdeleni!$B$4:$F$4</c:f>
              <c:numCache>
                <c:formatCode>0.00\ %</c:formatCode>
                <c:ptCount val="5"/>
                <c:pt idx="0">
                  <c:v>6.1699999999999998E-2</c:v>
                </c:pt>
                <c:pt idx="1">
                  <c:v>7.5999999999999998E-2</c:v>
                </c:pt>
                <c:pt idx="2">
                  <c:v>0.1011</c:v>
                </c:pt>
                <c:pt idx="3">
                  <c:v>0.1177</c:v>
                </c:pt>
                <c:pt idx="4">
                  <c:v>0.1095</c:v>
                </c:pt>
              </c:numCache>
            </c:numRef>
          </c:val>
          <c:extLst>
            <c:ext xmlns:c16="http://schemas.microsoft.com/office/drawing/2014/chart" uri="{C3380CC4-5D6E-409C-BE32-E72D297353CC}">
              <c16:uniqueId val="{00000011-BA81-42AC-9486-7688B7505EC3}"/>
            </c:ext>
          </c:extLst>
        </c:ser>
        <c:dLbls>
          <c:showLegendKey val="0"/>
          <c:showVal val="0"/>
          <c:showCatName val="0"/>
          <c:showSerName val="0"/>
          <c:showPercent val="0"/>
          <c:showBubbleSize val="0"/>
        </c:dLbls>
        <c:gapWidth val="20"/>
        <c:overlap val="100"/>
        <c:axId val="1581082944"/>
        <c:axId val="1581078368"/>
      </c:barChart>
      <c:catAx>
        <c:axId val="15810829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581078368"/>
        <c:crosses val="autoZero"/>
        <c:auto val="1"/>
        <c:lblAlgn val="ctr"/>
        <c:lblOffset val="100"/>
        <c:noMultiLvlLbl val="0"/>
      </c:catAx>
      <c:valAx>
        <c:axId val="1581078368"/>
        <c:scaling>
          <c:orientation val="minMax"/>
        </c:scaling>
        <c:delete val="0"/>
        <c:axPos val="b"/>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581082944"/>
        <c:crosses val="autoZero"/>
        <c:crossBetween val="between"/>
      </c:valAx>
      <c:spPr>
        <a:noFill/>
        <a:ln>
          <a:noFill/>
        </a:ln>
        <a:effectLst/>
      </c:spPr>
    </c:plotArea>
    <c:legend>
      <c:legendPos val="b"/>
      <c:layout>
        <c:manualLayout>
          <c:xMode val="edge"/>
          <c:yMode val="edge"/>
          <c:x val="0.20061006944444446"/>
          <c:y val="0.87251818181818197"/>
          <c:w val="0.59436996527777775"/>
          <c:h val="0.1082393939393939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90277777777778E-2"/>
          <c:y val="4.2742351046698872E-2"/>
          <c:w val="0.92386805555555551"/>
          <c:h val="0.48893679549114333"/>
        </c:manualLayout>
      </c:layout>
      <c:barChart>
        <c:barDir val="col"/>
        <c:grouping val="clustered"/>
        <c:varyColors val="0"/>
        <c:ser>
          <c:idx val="0"/>
          <c:order val="0"/>
          <c:tx>
            <c:strRef>
              <c:f>'OZE (3)'!$B$1</c:f>
              <c:strCache>
                <c:ptCount val="1"/>
                <c:pt idx="0">
                  <c:v>Celková výroba elektřiny z dotovaných obnovitelných zdrojů (v TWh)</c:v>
                </c:pt>
              </c:strCache>
            </c:strRef>
          </c:tx>
          <c:spPr>
            <a:solidFill>
              <a:srgbClr val="004595"/>
            </a:solidFill>
            <a:ln>
              <a:noFill/>
            </a:ln>
            <a:effectLst/>
          </c:spPr>
          <c:invertIfNegative val="0"/>
          <c:cat>
            <c:strRef>
              <c:f>'OZE (3)'!$A$2:$A$20</c:f>
              <c:strCache>
                <c:ptCount val="19"/>
                <c:pt idx="0">
                  <c:v>Německo</c:v>
                </c:pt>
                <c:pt idx="1">
                  <c:v>Spojené království</c:v>
                </c:pt>
                <c:pt idx="2">
                  <c:v>Španělsko</c:v>
                </c:pt>
                <c:pt idx="3">
                  <c:v>Itálie</c:v>
                </c:pt>
                <c:pt idx="4">
                  <c:v>Francie</c:v>
                </c:pt>
                <c:pt idx="5">
                  <c:v>Švédsko</c:v>
                </c:pt>
                <c:pt idx="6">
                  <c:v>Dánsko</c:v>
                </c:pt>
                <c:pt idx="7">
                  <c:v>Polsko</c:v>
                </c:pt>
                <c:pt idx="8">
                  <c:v>Portugalsko</c:v>
                </c:pt>
                <c:pt idx="9">
                  <c:v>Nizozemsko</c:v>
                </c:pt>
                <c:pt idx="10">
                  <c:v>Irsko</c:v>
                </c:pt>
                <c:pt idx="11">
                  <c:v>Rakousko</c:v>
                </c:pt>
                <c:pt idx="12">
                  <c:v>Řecko</c:v>
                </c:pt>
                <c:pt idx="13">
                  <c:v>Rumunsko</c:v>
                </c:pt>
                <c:pt idx="14">
                  <c:v>ČR</c:v>
                </c:pt>
                <c:pt idx="15">
                  <c:v>Norsko</c:v>
                </c:pt>
                <c:pt idx="16">
                  <c:v>Finsko</c:v>
                </c:pt>
                <c:pt idx="17">
                  <c:v>Maďarsko</c:v>
                </c:pt>
                <c:pt idx="18">
                  <c:v>Chorvatsko</c:v>
                </c:pt>
              </c:strCache>
            </c:strRef>
          </c:cat>
          <c:val>
            <c:numRef>
              <c:f>'OZE (3)'!$B$2:$B$20</c:f>
              <c:numCache>
                <c:formatCode>#,##0.00</c:formatCode>
                <c:ptCount val="19"/>
                <c:pt idx="0">
                  <c:v>187.39</c:v>
                </c:pt>
                <c:pt idx="1">
                  <c:v>73.08</c:v>
                </c:pt>
                <c:pt idx="2">
                  <c:v>67.61</c:v>
                </c:pt>
                <c:pt idx="3">
                  <c:v>64.08</c:v>
                </c:pt>
                <c:pt idx="4">
                  <c:v>42</c:v>
                </c:pt>
                <c:pt idx="5">
                  <c:v>24.06</c:v>
                </c:pt>
                <c:pt idx="6">
                  <c:v>22.47</c:v>
                </c:pt>
                <c:pt idx="7">
                  <c:v>21.17</c:v>
                </c:pt>
                <c:pt idx="8">
                  <c:v>16.05</c:v>
                </c:pt>
                <c:pt idx="9">
                  <c:v>13.51</c:v>
                </c:pt>
                <c:pt idx="10">
                  <c:v>11.6</c:v>
                </c:pt>
                <c:pt idx="11">
                  <c:v>10.53</c:v>
                </c:pt>
                <c:pt idx="12">
                  <c:v>10.37</c:v>
                </c:pt>
                <c:pt idx="13">
                  <c:v>9.3699999999999992</c:v>
                </c:pt>
                <c:pt idx="14">
                  <c:v>8.2200000000000006</c:v>
                </c:pt>
                <c:pt idx="15">
                  <c:v>7.05</c:v>
                </c:pt>
                <c:pt idx="16">
                  <c:v>5.54</c:v>
                </c:pt>
                <c:pt idx="17">
                  <c:v>2.4</c:v>
                </c:pt>
                <c:pt idx="18">
                  <c:v>1.73</c:v>
                </c:pt>
              </c:numCache>
            </c:numRef>
          </c:val>
          <c:extLst>
            <c:ext xmlns:c16="http://schemas.microsoft.com/office/drawing/2014/chart" uri="{C3380CC4-5D6E-409C-BE32-E72D297353CC}">
              <c16:uniqueId val="{00000000-99E1-4F95-A9A7-F4E546A7771A}"/>
            </c:ext>
          </c:extLst>
        </c:ser>
        <c:ser>
          <c:idx val="1"/>
          <c:order val="1"/>
          <c:tx>
            <c:strRef>
              <c:f>'OZE (3)'!$C$1</c:f>
              <c:strCache>
                <c:ptCount val="1"/>
                <c:pt idx="0">
                  <c:v>Vážený průměr výše podpory (v €/MWh)</c:v>
                </c:pt>
              </c:strCache>
            </c:strRef>
          </c:tx>
          <c:spPr>
            <a:solidFill>
              <a:srgbClr val="BD2A33"/>
            </a:solidFill>
            <a:ln>
              <a:noFill/>
            </a:ln>
            <a:effectLst/>
          </c:spPr>
          <c:invertIfNegative val="0"/>
          <c:cat>
            <c:strRef>
              <c:f>'OZE (3)'!$A$2:$A$20</c:f>
              <c:strCache>
                <c:ptCount val="19"/>
                <c:pt idx="0">
                  <c:v>Německo</c:v>
                </c:pt>
                <c:pt idx="1">
                  <c:v>Spojené království</c:v>
                </c:pt>
                <c:pt idx="2">
                  <c:v>Španělsko</c:v>
                </c:pt>
                <c:pt idx="3">
                  <c:v>Itálie</c:v>
                </c:pt>
                <c:pt idx="4">
                  <c:v>Francie</c:v>
                </c:pt>
                <c:pt idx="5">
                  <c:v>Švédsko</c:v>
                </c:pt>
                <c:pt idx="6">
                  <c:v>Dánsko</c:v>
                </c:pt>
                <c:pt idx="7">
                  <c:v>Polsko</c:v>
                </c:pt>
                <c:pt idx="8">
                  <c:v>Portugalsko</c:v>
                </c:pt>
                <c:pt idx="9">
                  <c:v>Nizozemsko</c:v>
                </c:pt>
                <c:pt idx="10">
                  <c:v>Irsko</c:v>
                </c:pt>
                <c:pt idx="11">
                  <c:v>Rakousko</c:v>
                </c:pt>
                <c:pt idx="12">
                  <c:v>Řecko</c:v>
                </c:pt>
                <c:pt idx="13">
                  <c:v>Rumunsko</c:v>
                </c:pt>
                <c:pt idx="14">
                  <c:v>ČR</c:v>
                </c:pt>
                <c:pt idx="15">
                  <c:v>Norsko</c:v>
                </c:pt>
                <c:pt idx="16">
                  <c:v>Finsko</c:v>
                </c:pt>
                <c:pt idx="17">
                  <c:v>Maďarsko</c:v>
                </c:pt>
                <c:pt idx="18">
                  <c:v>Chorvatsko</c:v>
                </c:pt>
              </c:strCache>
            </c:strRef>
          </c:cat>
          <c:val>
            <c:numRef>
              <c:f>'OZE (3)'!$C$2:$C$20</c:f>
              <c:numCache>
                <c:formatCode>#,##0.00</c:formatCode>
                <c:ptCount val="19"/>
                <c:pt idx="0">
                  <c:v>131.53</c:v>
                </c:pt>
                <c:pt idx="1">
                  <c:v>51.76</c:v>
                </c:pt>
                <c:pt idx="2">
                  <c:v>84.46</c:v>
                </c:pt>
                <c:pt idx="3">
                  <c:v>167.14</c:v>
                </c:pt>
                <c:pt idx="4">
                  <c:v>101.03</c:v>
                </c:pt>
                <c:pt idx="5">
                  <c:v>14.46</c:v>
                </c:pt>
                <c:pt idx="6">
                  <c:v>44.69</c:v>
                </c:pt>
                <c:pt idx="7">
                  <c:v>17.3</c:v>
                </c:pt>
                <c:pt idx="8">
                  <c:v>50.59</c:v>
                </c:pt>
                <c:pt idx="9">
                  <c:v>30.77</c:v>
                </c:pt>
                <c:pt idx="10">
                  <c:v>37.729999999999997</c:v>
                </c:pt>
                <c:pt idx="11">
                  <c:v>74.78</c:v>
                </c:pt>
                <c:pt idx="12">
                  <c:v>120.48</c:v>
                </c:pt>
                <c:pt idx="13">
                  <c:v>45.08</c:v>
                </c:pt>
                <c:pt idx="14">
                  <c:v>198.29</c:v>
                </c:pt>
                <c:pt idx="15">
                  <c:v>12.87</c:v>
                </c:pt>
                <c:pt idx="16">
                  <c:v>40.74</c:v>
                </c:pt>
                <c:pt idx="17">
                  <c:v>58.03</c:v>
                </c:pt>
                <c:pt idx="18">
                  <c:v>55.86</c:v>
                </c:pt>
              </c:numCache>
            </c:numRef>
          </c:val>
          <c:extLst>
            <c:ext xmlns:c16="http://schemas.microsoft.com/office/drawing/2014/chart" uri="{C3380CC4-5D6E-409C-BE32-E72D297353CC}">
              <c16:uniqueId val="{00000001-99E1-4F95-A9A7-F4E546A7771A}"/>
            </c:ext>
          </c:extLst>
        </c:ser>
        <c:dLbls>
          <c:showLegendKey val="0"/>
          <c:showVal val="0"/>
          <c:showCatName val="0"/>
          <c:showSerName val="0"/>
          <c:showPercent val="0"/>
          <c:showBubbleSize val="0"/>
        </c:dLbls>
        <c:gapWidth val="150"/>
        <c:overlap val="-20"/>
        <c:axId val="1809819440"/>
        <c:axId val="1809829008"/>
      </c:barChart>
      <c:catAx>
        <c:axId val="1809819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809829008"/>
        <c:crosses val="autoZero"/>
        <c:auto val="1"/>
        <c:lblAlgn val="ctr"/>
        <c:lblOffset val="0"/>
        <c:noMultiLvlLbl val="0"/>
      </c:catAx>
      <c:valAx>
        <c:axId val="1809829008"/>
        <c:scaling>
          <c:orientation val="minMax"/>
          <c:max val="2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809819440"/>
        <c:crosses val="autoZero"/>
        <c:crossBetween val="between"/>
      </c:valAx>
      <c:spPr>
        <a:noFill/>
        <a:ln>
          <a:noFill/>
        </a:ln>
        <a:effectLst/>
      </c:spPr>
    </c:plotArea>
    <c:legend>
      <c:legendPos val="b"/>
      <c:layout>
        <c:manualLayout>
          <c:xMode val="edge"/>
          <c:yMode val="edge"/>
          <c:x val="0.14930243055555556"/>
          <c:y val="0.82927249478430576"/>
          <c:w val="0.69037083333333338"/>
          <c:h val="0.1556086258448463"/>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951875"/>
          <c:y val="1.7638888888888888E-2"/>
          <c:w val="0.77621874999999996"/>
          <c:h val="0.82973539733459645"/>
        </c:manualLayout>
      </c:layout>
      <c:barChart>
        <c:barDir val="bar"/>
        <c:grouping val="percentStacked"/>
        <c:varyColors val="0"/>
        <c:ser>
          <c:idx val="0"/>
          <c:order val="0"/>
          <c:tx>
            <c:strRef>
              <c:f>[Energeticky_mix_2018_Evropa.xlsx]Energeticky_mix_2018!$B$1</c:f>
              <c:strCache>
                <c:ptCount val="1"/>
                <c:pt idx="0">
                  <c:v>Spalování</c:v>
                </c:pt>
              </c:strCache>
            </c:strRef>
          </c:tx>
          <c:spPr>
            <a:solidFill>
              <a:srgbClr val="BD2A33"/>
            </a:solidFill>
            <a:ln>
              <a:noFill/>
            </a:ln>
            <a:effectLst/>
          </c:spPr>
          <c:invertIfNegative val="0"/>
          <c:cat>
            <c:strRef>
              <c:f>[Energeticky_mix_2018_Evropa.xlsx]Energeticky_mix_2018!$A$2:$A$19</c:f>
              <c:strCache>
                <c:ptCount val="18"/>
                <c:pt idx="0">
                  <c:v>Norsko</c:v>
                </c:pt>
                <c:pt idx="1">
                  <c:v>Švédsko</c:v>
                </c:pt>
                <c:pt idx="2">
                  <c:v>Francie</c:v>
                </c:pt>
                <c:pt idx="3">
                  <c:v>Slovensko</c:v>
                </c:pt>
                <c:pt idx="4">
                  <c:v>Rakousko</c:v>
                </c:pt>
                <c:pt idx="5">
                  <c:v>Finsko</c:v>
                </c:pt>
                <c:pt idx="6">
                  <c:v>Španělsko</c:v>
                </c:pt>
                <c:pt idx="7">
                  <c:v>Belgie</c:v>
                </c:pt>
                <c:pt idx="8">
                  <c:v>Maďarsko</c:v>
                </c:pt>
                <c:pt idx="9">
                  <c:v>EU</c:v>
                </c:pt>
                <c:pt idx="10">
                  <c:v>Dánsko</c:v>
                </c:pt>
                <c:pt idx="11">
                  <c:v>Portugalsko</c:v>
                </c:pt>
                <c:pt idx="12">
                  <c:v>Německo</c:v>
                </c:pt>
                <c:pt idx="13">
                  <c:v>Spojené království</c:v>
                </c:pt>
                <c:pt idx="14">
                  <c:v>ČR</c:v>
                </c:pt>
                <c:pt idx="15">
                  <c:v>Itálie</c:v>
                </c:pt>
                <c:pt idx="16">
                  <c:v>Turecko</c:v>
                </c:pt>
                <c:pt idx="17">
                  <c:v>Polsko</c:v>
                </c:pt>
              </c:strCache>
            </c:strRef>
          </c:cat>
          <c:val>
            <c:numRef>
              <c:f>[Energeticky_mix_2018_Evropa.xlsx]Energeticky_mix_2018!$B$2:$B$19</c:f>
              <c:numCache>
                <c:formatCode>0.00\ %</c:formatCode>
                <c:ptCount val="18"/>
                <c:pt idx="0">
                  <c:v>2.3543706611235414E-2</c:v>
                </c:pt>
                <c:pt idx="1">
                  <c:v>9.3943139569286946E-2</c:v>
                </c:pt>
                <c:pt idx="2">
                  <c:v>9.7802839497653699E-2</c:v>
                </c:pt>
                <c:pt idx="3">
                  <c:v>0.22878104313361725</c:v>
                </c:pt>
                <c:pt idx="4">
                  <c:v>0.24929569210074953</c:v>
                </c:pt>
                <c:pt idx="5">
                  <c:v>0.39192465245960939</c:v>
                </c:pt>
                <c:pt idx="6">
                  <c:v>0.42166367563704105</c:v>
                </c:pt>
                <c:pt idx="7">
                  <c:v>0.4347870908062112</c:v>
                </c:pt>
                <c:pt idx="8">
                  <c:v>0.45343525598877227</c:v>
                </c:pt>
                <c:pt idx="9">
                  <c:v>0.4595183491219702</c:v>
                </c:pt>
                <c:pt idx="10">
                  <c:v>0.48627436060616835</c:v>
                </c:pt>
                <c:pt idx="11">
                  <c:v>0.53175518636481023</c:v>
                </c:pt>
                <c:pt idx="12">
                  <c:v>0.5604019969139088</c:v>
                </c:pt>
                <c:pt idx="13">
                  <c:v>0.57012027896823003</c:v>
                </c:pt>
                <c:pt idx="14">
                  <c:v>0.58612060344262484</c:v>
                </c:pt>
                <c:pt idx="15">
                  <c:v>0.66032672694962069</c:v>
                </c:pt>
                <c:pt idx="16">
                  <c:v>0.67461216416565539</c:v>
                </c:pt>
                <c:pt idx="17">
                  <c:v>0.90175563364515099</c:v>
                </c:pt>
              </c:numCache>
            </c:numRef>
          </c:val>
          <c:extLst>
            <c:ext xmlns:c16="http://schemas.microsoft.com/office/drawing/2014/chart" uri="{C3380CC4-5D6E-409C-BE32-E72D297353CC}">
              <c16:uniqueId val="{00000000-8E55-4566-BF23-CE6A25941942}"/>
            </c:ext>
          </c:extLst>
        </c:ser>
        <c:ser>
          <c:idx val="1"/>
          <c:order val="1"/>
          <c:tx>
            <c:strRef>
              <c:f>[Energeticky_mix_2018_Evropa.xlsx]Energeticky_mix_2018!$C$1</c:f>
              <c:strCache>
                <c:ptCount val="1"/>
                <c:pt idx="0">
                  <c:v>Jádro</c:v>
                </c:pt>
              </c:strCache>
            </c:strRef>
          </c:tx>
          <c:spPr>
            <a:solidFill>
              <a:srgbClr val="C3C5C6"/>
            </a:solidFill>
            <a:ln>
              <a:noFill/>
            </a:ln>
            <a:effectLst/>
          </c:spPr>
          <c:invertIfNegative val="0"/>
          <c:cat>
            <c:strRef>
              <c:f>[Energeticky_mix_2018_Evropa.xlsx]Energeticky_mix_2018!$A$2:$A$19</c:f>
              <c:strCache>
                <c:ptCount val="18"/>
                <c:pt idx="0">
                  <c:v>Norsko</c:v>
                </c:pt>
                <c:pt idx="1">
                  <c:v>Švédsko</c:v>
                </c:pt>
                <c:pt idx="2">
                  <c:v>Francie</c:v>
                </c:pt>
                <c:pt idx="3">
                  <c:v>Slovensko</c:v>
                </c:pt>
                <c:pt idx="4">
                  <c:v>Rakousko</c:v>
                </c:pt>
                <c:pt idx="5">
                  <c:v>Finsko</c:v>
                </c:pt>
                <c:pt idx="6">
                  <c:v>Španělsko</c:v>
                </c:pt>
                <c:pt idx="7">
                  <c:v>Belgie</c:v>
                </c:pt>
                <c:pt idx="8">
                  <c:v>Maďarsko</c:v>
                </c:pt>
                <c:pt idx="9">
                  <c:v>EU</c:v>
                </c:pt>
                <c:pt idx="10">
                  <c:v>Dánsko</c:v>
                </c:pt>
                <c:pt idx="11">
                  <c:v>Portugalsko</c:v>
                </c:pt>
                <c:pt idx="12">
                  <c:v>Německo</c:v>
                </c:pt>
                <c:pt idx="13">
                  <c:v>Spojené království</c:v>
                </c:pt>
                <c:pt idx="14">
                  <c:v>ČR</c:v>
                </c:pt>
                <c:pt idx="15">
                  <c:v>Itálie</c:v>
                </c:pt>
                <c:pt idx="16">
                  <c:v>Turecko</c:v>
                </c:pt>
                <c:pt idx="17">
                  <c:v>Polsko</c:v>
                </c:pt>
              </c:strCache>
            </c:strRef>
          </c:cat>
          <c:val>
            <c:numRef>
              <c:f>[Energeticky_mix_2018_Evropa.xlsx]Energeticky_mix_2018!$C$2:$C$19</c:f>
              <c:numCache>
                <c:formatCode>0.00\ %</c:formatCode>
                <c:ptCount val="18"/>
                <c:pt idx="0">
                  <c:v>0</c:v>
                </c:pt>
                <c:pt idx="1">
                  <c:v>0.41570766024832057</c:v>
                </c:pt>
                <c:pt idx="2">
                  <c:v>0.71263976272234186</c:v>
                </c:pt>
                <c:pt idx="3">
                  <c:v>0.58215625922334191</c:v>
                </c:pt>
                <c:pt idx="4">
                  <c:v>0</c:v>
                </c:pt>
                <c:pt idx="5">
                  <c:v>0.3246634112522554</c:v>
                </c:pt>
                <c:pt idx="6">
                  <c:v>0.20404702562528237</c:v>
                </c:pt>
                <c:pt idx="7">
                  <c:v>0.39004063826935392</c:v>
                </c:pt>
                <c:pt idx="8">
                  <c:v>0.49931840058912508</c:v>
                </c:pt>
                <c:pt idx="9">
                  <c:v>0.25523490857075665</c:v>
                </c:pt>
                <c:pt idx="10">
                  <c:v>0</c:v>
                </c:pt>
                <c:pt idx="11">
                  <c:v>0</c:v>
                </c:pt>
                <c:pt idx="12">
                  <c:v>0.12639763776866389</c:v>
                </c:pt>
                <c:pt idx="13">
                  <c:v>0.18540563955940792</c:v>
                </c:pt>
                <c:pt idx="14">
                  <c:v>0.34471439559913086</c:v>
                </c:pt>
                <c:pt idx="15">
                  <c:v>0</c:v>
                </c:pt>
                <c:pt idx="16">
                  <c:v>0</c:v>
                </c:pt>
                <c:pt idx="17">
                  <c:v>0</c:v>
                </c:pt>
              </c:numCache>
            </c:numRef>
          </c:val>
          <c:extLst>
            <c:ext xmlns:c16="http://schemas.microsoft.com/office/drawing/2014/chart" uri="{C3380CC4-5D6E-409C-BE32-E72D297353CC}">
              <c16:uniqueId val="{00000001-8E55-4566-BF23-CE6A25941942}"/>
            </c:ext>
          </c:extLst>
        </c:ser>
        <c:ser>
          <c:idx val="2"/>
          <c:order val="2"/>
          <c:tx>
            <c:strRef>
              <c:f>[Energeticky_mix_2018_Evropa.xlsx]Energeticky_mix_2018!$D$1</c:f>
              <c:strCache>
                <c:ptCount val="1"/>
                <c:pt idx="0">
                  <c:v>Vítr</c:v>
                </c:pt>
              </c:strCache>
            </c:strRef>
          </c:tx>
          <c:spPr>
            <a:solidFill>
              <a:srgbClr val="D9EAFF"/>
            </a:solidFill>
            <a:ln>
              <a:noFill/>
            </a:ln>
            <a:effectLst/>
          </c:spPr>
          <c:invertIfNegative val="0"/>
          <c:cat>
            <c:strRef>
              <c:f>[Energeticky_mix_2018_Evropa.xlsx]Energeticky_mix_2018!$A$2:$A$19</c:f>
              <c:strCache>
                <c:ptCount val="18"/>
                <c:pt idx="0">
                  <c:v>Norsko</c:v>
                </c:pt>
                <c:pt idx="1">
                  <c:v>Švédsko</c:v>
                </c:pt>
                <c:pt idx="2">
                  <c:v>Francie</c:v>
                </c:pt>
                <c:pt idx="3">
                  <c:v>Slovensko</c:v>
                </c:pt>
                <c:pt idx="4">
                  <c:v>Rakousko</c:v>
                </c:pt>
                <c:pt idx="5">
                  <c:v>Finsko</c:v>
                </c:pt>
                <c:pt idx="6">
                  <c:v>Španělsko</c:v>
                </c:pt>
                <c:pt idx="7">
                  <c:v>Belgie</c:v>
                </c:pt>
                <c:pt idx="8">
                  <c:v>Maďarsko</c:v>
                </c:pt>
                <c:pt idx="9">
                  <c:v>EU</c:v>
                </c:pt>
                <c:pt idx="10">
                  <c:v>Dánsko</c:v>
                </c:pt>
                <c:pt idx="11">
                  <c:v>Portugalsko</c:v>
                </c:pt>
                <c:pt idx="12">
                  <c:v>Německo</c:v>
                </c:pt>
                <c:pt idx="13">
                  <c:v>Spojené království</c:v>
                </c:pt>
                <c:pt idx="14">
                  <c:v>ČR</c:v>
                </c:pt>
                <c:pt idx="15">
                  <c:v>Itálie</c:v>
                </c:pt>
                <c:pt idx="16">
                  <c:v>Turecko</c:v>
                </c:pt>
                <c:pt idx="17">
                  <c:v>Polsko</c:v>
                </c:pt>
              </c:strCache>
            </c:strRef>
          </c:cat>
          <c:val>
            <c:numRef>
              <c:f>[Energeticky_mix_2018_Evropa.xlsx]Energeticky_mix_2018!$D$2:$D$19</c:f>
              <c:numCache>
                <c:formatCode>0.00\ %</c:formatCode>
                <c:ptCount val="18"/>
                <c:pt idx="0">
                  <c:v>2.6394334599471755E-2</c:v>
                </c:pt>
                <c:pt idx="1">
                  <c:v>0.10511498575297566</c:v>
                </c:pt>
                <c:pt idx="2">
                  <c:v>4.7371200981541253E-2</c:v>
                </c:pt>
                <c:pt idx="3">
                  <c:v>2.1081924358055403E-4</c:v>
                </c:pt>
                <c:pt idx="4">
                  <c:v>8.9301054684079034E-2</c:v>
                </c:pt>
                <c:pt idx="5">
                  <c:v>8.692792386247003E-2</c:v>
                </c:pt>
                <c:pt idx="6">
                  <c:v>0.1895850967332508</c:v>
                </c:pt>
                <c:pt idx="7">
                  <c:v>0.10370037010881891</c:v>
                </c:pt>
                <c:pt idx="8">
                  <c:v>1.9812046966644802E-2</c:v>
                </c:pt>
                <c:pt idx="9">
                  <c:v>0.12246302297530322</c:v>
                </c:pt>
                <c:pt idx="10">
                  <c:v>0.48027793825852633</c:v>
                </c:pt>
                <c:pt idx="11">
                  <c:v>0.21571834380649049</c:v>
                </c:pt>
                <c:pt idx="12">
                  <c:v>0.19617708342571341</c:v>
                </c:pt>
                <c:pt idx="13">
                  <c:v>0.17917572614973759</c:v>
                </c:pt>
                <c:pt idx="14">
                  <c:v>7.3281369973050448E-3</c:v>
                </c:pt>
                <c:pt idx="15">
                  <c:v>6.1798354232534242E-2</c:v>
                </c:pt>
                <c:pt idx="16">
                  <c:v>6.8534016590518651E-2</c:v>
                </c:pt>
                <c:pt idx="17">
                  <c:v>8.1035876869364337E-2</c:v>
                </c:pt>
              </c:numCache>
            </c:numRef>
          </c:val>
          <c:extLst>
            <c:ext xmlns:c16="http://schemas.microsoft.com/office/drawing/2014/chart" uri="{C3380CC4-5D6E-409C-BE32-E72D297353CC}">
              <c16:uniqueId val="{00000002-8E55-4566-BF23-CE6A25941942}"/>
            </c:ext>
          </c:extLst>
        </c:ser>
        <c:ser>
          <c:idx val="3"/>
          <c:order val="3"/>
          <c:tx>
            <c:strRef>
              <c:f>[Energeticky_mix_2018_Evropa.xlsx]Energeticky_mix_2018!$E$1</c:f>
              <c:strCache>
                <c:ptCount val="1"/>
                <c:pt idx="0">
                  <c:v>Voda</c:v>
                </c:pt>
              </c:strCache>
            </c:strRef>
          </c:tx>
          <c:spPr>
            <a:solidFill>
              <a:srgbClr val="004595"/>
            </a:solidFill>
            <a:ln>
              <a:noFill/>
            </a:ln>
            <a:effectLst/>
          </c:spPr>
          <c:invertIfNegative val="0"/>
          <c:cat>
            <c:strRef>
              <c:f>[Energeticky_mix_2018_Evropa.xlsx]Energeticky_mix_2018!$A$2:$A$19</c:f>
              <c:strCache>
                <c:ptCount val="18"/>
                <c:pt idx="0">
                  <c:v>Norsko</c:v>
                </c:pt>
                <c:pt idx="1">
                  <c:v>Švédsko</c:v>
                </c:pt>
                <c:pt idx="2">
                  <c:v>Francie</c:v>
                </c:pt>
                <c:pt idx="3">
                  <c:v>Slovensko</c:v>
                </c:pt>
                <c:pt idx="4">
                  <c:v>Rakousko</c:v>
                </c:pt>
                <c:pt idx="5">
                  <c:v>Finsko</c:v>
                </c:pt>
                <c:pt idx="6">
                  <c:v>Španělsko</c:v>
                </c:pt>
                <c:pt idx="7">
                  <c:v>Belgie</c:v>
                </c:pt>
                <c:pt idx="8">
                  <c:v>Maďarsko</c:v>
                </c:pt>
                <c:pt idx="9">
                  <c:v>EU</c:v>
                </c:pt>
                <c:pt idx="10">
                  <c:v>Dánsko</c:v>
                </c:pt>
                <c:pt idx="11">
                  <c:v>Portugalsko</c:v>
                </c:pt>
                <c:pt idx="12">
                  <c:v>Německo</c:v>
                </c:pt>
                <c:pt idx="13">
                  <c:v>Spojené království</c:v>
                </c:pt>
                <c:pt idx="14">
                  <c:v>ČR</c:v>
                </c:pt>
                <c:pt idx="15">
                  <c:v>Itálie</c:v>
                </c:pt>
                <c:pt idx="16">
                  <c:v>Turecko</c:v>
                </c:pt>
                <c:pt idx="17">
                  <c:v>Polsko</c:v>
                </c:pt>
              </c:strCache>
            </c:strRef>
          </c:cat>
          <c:val>
            <c:numRef>
              <c:f>[Energeticky_mix_2018_Evropa.xlsx]Energeticky_mix_2018!$E$2:$E$19</c:f>
              <c:numCache>
                <c:formatCode>0.00\ %</c:formatCode>
                <c:ptCount val="18"/>
                <c:pt idx="0">
                  <c:v>0.95006195878929312</c:v>
                </c:pt>
                <c:pt idx="1">
                  <c:v>0.38523421442941708</c:v>
                </c:pt>
                <c:pt idx="2">
                  <c:v>0.12453927423108711</c:v>
                </c:pt>
                <c:pt idx="3">
                  <c:v>0.16182485137243327</c:v>
                </c:pt>
                <c:pt idx="4">
                  <c:v>0.56744241367356918</c:v>
                </c:pt>
                <c:pt idx="5">
                  <c:v>0.1951640012972298</c:v>
                </c:pt>
                <c:pt idx="6">
                  <c:v>0.13821377939781948</c:v>
                </c:pt>
                <c:pt idx="7">
                  <c:v>1.7905013393058323E-2</c:v>
                </c:pt>
                <c:pt idx="8">
                  <c:v>7.2558950575899823E-3</c:v>
                </c:pt>
                <c:pt idx="9">
                  <c:v>0.11835618832101048</c:v>
                </c:pt>
                <c:pt idx="10">
                  <c:v>5.1587664006976853E-4</c:v>
                </c:pt>
                <c:pt idx="11">
                  <c:v>0.23222863045536712</c:v>
                </c:pt>
                <c:pt idx="12">
                  <c:v>3.5050521265301851E-2</c:v>
                </c:pt>
                <c:pt idx="13">
                  <c:v>2.4760791670268126E-2</c:v>
                </c:pt>
                <c:pt idx="14">
                  <c:v>3.2331703344297129E-2</c:v>
                </c:pt>
                <c:pt idx="15">
                  <c:v>0.17583519487285626</c:v>
                </c:pt>
                <c:pt idx="16">
                  <c:v>0.20694419765576069</c:v>
                </c:pt>
                <c:pt idx="17">
                  <c:v>1.5271832909897372E-2</c:v>
                </c:pt>
              </c:numCache>
            </c:numRef>
          </c:val>
          <c:extLst>
            <c:ext xmlns:c16="http://schemas.microsoft.com/office/drawing/2014/chart" uri="{C3380CC4-5D6E-409C-BE32-E72D297353CC}">
              <c16:uniqueId val="{00000003-8E55-4566-BF23-CE6A25941942}"/>
            </c:ext>
          </c:extLst>
        </c:ser>
        <c:ser>
          <c:idx val="4"/>
          <c:order val="4"/>
          <c:tx>
            <c:strRef>
              <c:f>[Energeticky_mix_2018_Evropa.xlsx]Energeticky_mix_2018!$F$1</c:f>
              <c:strCache>
                <c:ptCount val="1"/>
                <c:pt idx="0">
                  <c:v>Slunce</c:v>
                </c:pt>
              </c:strCache>
            </c:strRef>
          </c:tx>
          <c:spPr>
            <a:solidFill>
              <a:srgbClr val="FFFF00"/>
            </a:solidFill>
            <a:ln>
              <a:noFill/>
            </a:ln>
            <a:effectLst/>
          </c:spPr>
          <c:invertIfNegative val="0"/>
          <c:cat>
            <c:strRef>
              <c:f>[Energeticky_mix_2018_Evropa.xlsx]Energeticky_mix_2018!$A$2:$A$19</c:f>
              <c:strCache>
                <c:ptCount val="18"/>
                <c:pt idx="0">
                  <c:v>Norsko</c:v>
                </c:pt>
                <c:pt idx="1">
                  <c:v>Švédsko</c:v>
                </c:pt>
                <c:pt idx="2">
                  <c:v>Francie</c:v>
                </c:pt>
                <c:pt idx="3">
                  <c:v>Slovensko</c:v>
                </c:pt>
                <c:pt idx="4">
                  <c:v>Rakousko</c:v>
                </c:pt>
                <c:pt idx="5">
                  <c:v>Finsko</c:v>
                </c:pt>
                <c:pt idx="6">
                  <c:v>Španělsko</c:v>
                </c:pt>
                <c:pt idx="7">
                  <c:v>Belgie</c:v>
                </c:pt>
                <c:pt idx="8">
                  <c:v>Maďarsko</c:v>
                </c:pt>
                <c:pt idx="9">
                  <c:v>EU</c:v>
                </c:pt>
                <c:pt idx="10">
                  <c:v>Dánsko</c:v>
                </c:pt>
                <c:pt idx="11">
                  <c:v>Portugalsko</c:v>
                </c:pt>
                <c:pt idx="12">
                  <c:v>Německo</c:v>
                </c:pt>
                <c:pt idx="13">
                  <c:v>Spojené království</c:v>
                </c:pt>
                <c:pt idx="14">
                  <c:v>ČR</c:v>
                </c:pt>
                <c:pt idx="15">
                  <c:v>Itálie</c:v>
                </c:pt>
                <c:pt idx="16">
                  <c:v>Turecko</c:v>
                </c:pt>
                <c:pt idx="17">
                  <c:v>Polsko</c:v>
                </c:pt>
              </c:strCache>
            </c:strRef>
          </c:cat>
          <c:val>
            <c:numRef>
              <c:f>[Energeticky_mix_2018_Evropa.xlsx]Energeticky_mix_2018!$F$2:$F$19</c:f>
              <c:numCache>
                <c:formatCode>0.00\ %</c:formatCode>
                <c:ptCount val="18"/>
                <c:pt idx="0">
                  <c:v>0</c:v>
                </c:pt>
                <c:pt idx="1">
                  <c:v>0</c:v>
                </c:pt>
                <c:pt idx="2">
                  <c:v>1.7494518796072087E-2</c:v>
                </c:pt>
                <c:pt idx="3">
                  <c:v>2.4708015347640933E-2</c:v>
                </c:pt>
                <c:pt idx="4">
                  <c:v>0</c:v>
                </c:pt>
                <c:pt idx="5">
                  <c:v>1.3200111284353919E-3</c:v>
                </c:pt>
                <c:pt idx="6">
                  <c:v>4.6490441758470384E-2</c:v>
                </c:pt>
                <c:pt idx="7">
                  <c:v>5.0409777319067081E-2</c:v>
                </c:pt>
                <c:pt idx="8">
                  <c:v>1.9975140066956238E-2</c:v>
                </c:pt>
                <c:pt idx="9">
                  <c:v>4.0037267764704648E-2</c:v>
                </c:pt>
                <c:pt idx="10">
                  <c:v>3.2930304060366233E-2</c:v>
                </c:pt>
                <c:pt idx="11">
                  <c:v>1.6768528880089523E-2</c:v>
                </c:pt>
                <c:pt idx="12">
                  <c:v>8.0769540365264209E-2</c:v>
                </c:pt>
                <c:pt idx="13">
                  <c:v>4.0537569926897617E-2</c:v>
                </c:pt>
                <c:pt idx="14">
                  <c:v>2.8275126227577625E-2</c:v>
                </c:pt>
                <c:pt idx="15">
                  <c:v>8.1671032066059079E-2</c:v>
                </c:pt>
                <c:pt idx="16">
                  <c:v>2.5786153634181182E-2</c:v>
                </c:pt>
                <c:pt idx="17">
                  <c:v>1.9366565755873756E-3</c:v>
                </c:pt>
              </c:numCache>
            </c:numRef>
          </c:val>
          <c:extLst>
            <c:ext xmlns:c16="http://schemas.microsoft.com/office/drawing/2014/chart" uri="{C3380CC4-5D6E-409C-BE32-E72D297353CC}">
              <c16:uniqueId val="{00000004-8E55-4566-BF23-CE6A25941942}"/>
            </c:ext>
          </c:extLst>
        </c:ser>
        <c:ser>
          <c:idx val="5"/>
          <c:order val="5"/>
          <c:tx>
            <c:strRef>
              <c:f>[Energeticky_mix_2018_Evropa.xlsx]Energeticky_mix_2018!$G$1</c:f>
              <c:strCache>
                <c:ptCount val="1"/>
                <c:pt idx="0">
                  <c:v>Ostatní</c:v>
                </c:pt>
              </c:strCache>
            </c:strRef>
          </c:tx>
          <c:spPr>
            <a:solidFill>
              <a:srgbClr val="92D050"/>
            </a:solidFill>
            <a:ln>
              <a:noFill/>
            </a:ln>
            <a:effectLst/>
          </c:spPr>
          <c:invertIfNegative val="0"/>
          <c:cat>
            <c:strRef>
              <c:f>[Energeticky_mix_2018_Evropa.xlsx]Energeticky_mix_2018!$A$2:$A$19</c:f>
              <c:strCache>
                <c:ptCount val="18"/>
                <c:pt idx="0">
                  <c:v>Norsko</c:v>
                </c:pt>
                <c:pt idx="1">
                  <c:v>Švédsko</c:v>
                </c:pt>
                <c:pt idx="2">
                  <c:v>Francie</c:v>
                </c:pt>
                <c:pt idx="3">
                  <c:v>Slovensko</c:v>
                </c:pt>
                <c:pt idx="4">
                  <c:v>Rakousko</c:v>
                </c:pt>
                <c:pt idx="5">
                  <c:v>Finsko</c:v>
                </c:pt>
                <c:pt idx="6">
                  <c:v>Španělsko</c:v>
                </c:pt>
                <c:pt idx="7">
                  <c:v>Belgie</c:v>
                </c:pt>
                <c:pt idx="8">
                  <c:v>Maďarsko</c:v>
                </c:pt>
                <c:pt idx="9">
                  <c:v>EU</c:v>
                </c:pt>
                <c:pt idx="10">
                  <c:v>Dánsko</c:v>
                </c:pt>
                <c:pt idx="11">
                  <c:v>Portugalsko</c:v>
                </c:pt>
                <c:pt idx="12">
                  <c:v>Německo</c:v>
                </c:pt>
                <c:pt idx="13">
                  <c:v>Spojené království</c:v>
                </c:pt>
                <c:pt idx="14">
                  <c:v>ČR</c:v>
                </c:pt>
                <c:pt idx="15">
                  <c:v>Itálie</c:v>
                </c:pt>
                <c:pt idx="16">
                  <c:v>Turecko</c:v>
                </c:pt>
                <c:pt idx="17">
                  <c:v>Polsko</c:v>
                </c:pt>
              </c:strCache>
            </c:strRef>
          </c:cat>
          <c:val>
            <c:numRef>
              <c:f>[Energeticky_mix_2018_Evropa.xlsx]Energeticky_mix_2018!$G$2:$G$19</c:f>
              <c:numCache>
                <c:formatCode>0.00\ %</c:formatCode>
                <c:ptCount val="18"/>
                <c:pt idx="0">
                  <c:v>0</c:v>
                </c:pt>
                <c:pt idx="1">
                  <c:v>0</c:v>
                </c:pt>
                <c:pt idx="2">
                  <c:v>1.524128344331226E-4</c:v>
                </c:pt>
                <c:pt idx="3">
                  <c:v>2.3190116793860944E-3</c:v>
                </c:pt>
                <c:pt idx="4">
                  <c:v>9.3960870035082147E-2</c:v>
                </c:pt>
                <c:pt idx="5">
                  <c:v>0</c:v>
                </c:pt>
                <c:pt idx="6">
                  <c:v>0</c:v>
                </c:pt>
                <c:pt idx="7">
                  <c:v>3.157081206912403E-3</c:v>
                </c:pt>
                <c:pt idx="8">
                  <c:v>2.0326133091163158E-4</c:v>
                </c:pt>
                <c:pt idx="9">
                  <c:v>4.3902678043926738E-3</c:v>
                </c:pt>
                <c:pt idx="10">
                  <c:v>1.5204348692524493E-6</c:v>
                </c:pt>
                <c:pt idx="11">
                  <c:v>3.5293104932426615E-3</c:v>
                </c:pt>
                <c:pt idx="12">
                  <c:v>1.2032202611476299E-3</c:v>
                </c:pt>
                <c:pt idx="13">
                  <c:v>0</c:v>
                </c:pt>
                <c:pt idx="14">
                  <c:v>1.2300709888795488E-3</c:v>
                </c:pt>
                <c:pt idx="15">
                  <c:v>2.0368691878929753E-2</c:v>
                </c:pt>
                <c:pt idx="16">
                  <c:v>2.4123467953884183E-2</c:v>
                </c:pt>
                <c:pt idx="17">
                  <c:v>0</c:v>
                </c:pt>
              </c:numCache>
            </c:numRef>
          </c:val>
          <c:extLst>
            <c:ext xmlns:c16="http://schemas.microsoft.com/office/drawing/2014/chart" uri="{C3380CC4-5D6E-409C-BE32-E72D297353CC}">
              <c16:uniqueId val="{00000005-8E55-4566-BF23-CE6A25941942}"/>
            </c:ext>
          </c:extLst>
        </c:ser>
        <c:dLbls>
          <c:showLegendKey val="0"/>
          <c:showVal val="0"/>
          <c:showCatName val="0"/>
          <c:showSerName val="0"/>
          <c:showPercent val="0"/>
          <c:showBubbleSize val="0"/>
        </c:dLbls>
        <c:gapWidth val="100"/>
        <c:overlap val="100"/>
        <c:axId val="1611672336"/>
        <c:axId val="1611673168"/>
      </c:barChart>
      <c:catAx>
        <c:axId val="16116723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611673168"/>
        <c:crosses val="autoZero"/>
        <c:auto val="1"/>
        <c:lblAlgn val="ctr"/>
        <c:lblOffset val="100"/>
        <c:noMultiLvlLbl val="0"/>
      </c:catAx>
      <c:valAx>
        <c:axId val="161167316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611672336"/>
        <c:crosses val="autoZero"/>
        <c:crossBetween val="between"/>
      </c:valAx>
      <c:spPr>
        <a:noFill/>
        <a:ln>
          <a:noFill/>
        </a:ln>
        <a:effectLst/>
      </c:spPr>
    </c:plotArea>
    <c:legend>
      <c:legendPos val="b"/>
      <c:layout>
        <c:manualLayout>
          <c:xMode val="edge"/>
          <c:yMode val="edge"/>
          <c:x val="0.21066284722222223"/>
          <c:y val="0.93133478301433192"/>
          <c:w val="0.57646944444444448"/>
          <c:h val="5.5436088444894172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538676755176877E-3"/>
          <c:y val="6.6666698480886896E-2"/>
          <c:w val="0.99534613232448232"/>
          <c:h val="0.65410052689120823"/>
        </c:manualLayout>
      </c:layout>
      <c:barChart>
        <c:barDir val="col"/>
        <c:grouping val="clustered"/>
        <c:varyColors val="0"/>
        <c:ser>
          <c:idx val="0"/>
          <c:order val="0"/>
          <c:tx>
            <c:strRef>
              <c:f>'Délka soudního řízení'!$C$2</c:f>
              <c:strCache>
                <c:ptCount val="1"/>
                <c:pt idx="0">
                  <c:v>2014</c:v>
                </c:pt>
              </c:strCache>
            </c:strRef>
          </c:tx>
          <c:spPr>
            <a:solidFill>
              <a:srgbClr val="004595"/>
            </a:solidFill>
            <a:ln>
              <a:noFill/>
            </a:ln>
            <a:effectLst/>
          </c:spPr>
          <c:invertIfNegative val="0"/>
          <c:dLbls>
            <c:dLbl>
              <c:idx val="0"/>
              <c:layout>
                <c:manualLayout>
                  <c:x val="-4.410143329658214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ED5-4FFE-B3C3-BFC97B1D88E4}"/>
                </c:ext>
              </c:extLst>
            </c:dLbl>
            <c:dLbl>
              <c:idx val="1"/>
              <c:layout>
                <c:manualLayout>
                  <c:x val="-6.6152149944873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ED5-4FFE-B3C3-BFC97B1D88E4}"/>
                </c:ext>
              </c:extLst>
            </c:dLbl>
            <c:dLbl>
              <c:idx val="2"/>
              <c:layout>
                <c:manualLayout>
                  <c:x val="-4.410143329658214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ED5-4FFE-B3C3-BFC97B1D88E4}"/>
                </c:ext>
              </c:extLst>
            </c:dLbl>
            <c:dLbl>
              <c:idx val="3"/>
              <c:layout>
                <c:manualLayout>
                  <c:x val="-6.615214994487321E-3"/>
                  <c:y val="-6.0826547934800237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ED5-4FFE-B3C3-BFC97B1D88E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'Délka soudního řízení'!$B$3:$B$6</c:f>
              <c:strCache>
                <c:ptCount val="4"/>
                <c:pt idx="0">
                  <c:v>Správní</c:v>
                </c:pt>
                <c:pt idx="1">
                  <c:v>Občanskoprávní</c:v>
                </c:pt>
                <c:pt idx="2">
                  <c:v>Opatrovnické</c:v>
                </c:pt>
                <c:pt idx="3">
                  <c:v>Trestní (fyzické osoby)</c:v>
                </c:pt>
              </c:strCache>
            </c:strRef>
          </c:cat>
          <c:val>
            <c:numRef>
              <c:f>'Délka soudního řízení'!$C$3:$C$6</c:f>
              <c:numCache>
                <c:formatCode>General</c:formatCode>
                <c:ptCount val="4"/>
                <c:pt idx="0">
                  <c:v>527</c:v>
                </c:pt>
                <c:pt idx="1">
                  <c:v>389</c:v>
                </c:pt>
                <c:pt idx="2">
                  <c:v>170</c:v>
                </c:pt>
                <c:pt idx="3">
                  <c:v>169</c:v>
                </c:pt>
              </c:numCache>
            </c:numRef>
          </c:val>
          <c:extLst>
            <c:ext xmlns:c16="http://schemas.microsoft.com/office/drawing/2014/chart" uri="{C3380CC4-5D6E-409C-BE32-E72D297353CC}">
              <c16:uniqueId val="{00000004-6ED5-4FFE-B3C3-BFC97B1D88E4}"/>
            </c:ext>
          </c:extLst>
        </c:ser>
        <c:ser>
          <c:idx val="1"/>
          <c:order val="1"/>
          <c:tx>
            <c:strRef>
              <c:f>'Délka soudního řízení'!$D$2</c:f>
              <c:strCache>
                <c:ptCount val="1"/>
                <c:pt idx="0">
                  <c:v>2015</c:v>
                </c:pt>
              </c:strCache>
            </c:strRef>
          </c:tx>
          <c:spPr>
            <a:solidFill>
              <a:srgbClr val="004595">
                <a:alpha val="60000"/>
              </a:srgbClr>
            </a:solidFill>
            <a:ln>
              <a:noFill/>
            </a:ln>
            <a:effectLst/>
          </c:spPr>
          <c:invertIfNegative val="0"/>
          <c:dLbls>
            <c:dLbl>
              <c:idx val="0"/>
              <c:layout>
                <c:manualLayout>
                  <c:x val="-4.4101433296582244E-3"/>
                  <c:y val="3.8016592459250148E-1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ED5-4FFE-B3C3-BFC97B1D88E4}"/>
                </c:ext>
              </c:extLst>
            </c:dLbl>
            <c:dLbl>
              <c:idx val="2"/>
              <c:layout>
                <c:manualLayout>
                  <c:x val="-2.2050716648290259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ED5-4FFE-B3C3-BFC97B1D88E4}"/>
                </c:ext>
              </c:extLst>
            </c:dLbl>
            <c:dLbl>
              <c:idx val="3"/>
              <c:layout>
                <c:manualLayout>
                  <c:x val="-6.6152149944873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ED5-4FFE-B3C3-BFC97B1D88E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'Délka soudního řízení'!$B$3:$B$6</c:f>
              <c:strCache>
                <c:ptCount val="4"/>
                <c:pt idx="0">
                  <c:v>Správní</c:v>
                </c:pt>
                <c:pt idx="1">
                  <c:v>Občanskoprávní</c:v>
                </c:pt>
                <c:pt idx="2">
                  <c:v>Opatrovnické</c:v>
                </c:pt>
                <c:pt idx="3">
                  <c:v>Trestní (fyzické osoby)</c:v>
                </c:pt>
              </c:strCache>
            </c:strRef>
          </c:cat>
          <c:val>
            <c:numRef>
              <c:f>'Délka soudního řízení'!$D$3:$D$6</c:f>
              <c:numCache>
                <c:formatCode>General</c:formatCode>
                <c:ptCount val="4"/>
                <c:pt idx="0">
                  <c:v>529</c:v>
                </c:pt>
                <c:pt idx="1">
                  <c:v>363</c:v>
                </c:pt>
                <c:pt idx="2">
                  <c:v>179</c:v>
                </c:pt>
                <c:pt idx="3">
                  <c:v>170</c:v>
                </c:pt>
              </c:numCache>
            </c:numRef>
          </c:val>
          <c:extLst>
            <c:ext xmlns:c16="http://schemas.microsoft.com/office/drawing/2014/chart" uri="{C3380CC4-5D6E-409C-BE32-E72D297353CC}">
              <c16:uniqueId val="{00000008-6ED5-4FFE-B3C3-BFC97B1D88E4}"/>
            </c:ext>
          </c:extLst>
        </c:ser>
        <c:ser>
          <c:idx val="2"/>
          <c:order val="2"/>
          <c:tx>
            <c:strRef>
              <c:f>'Délka soudního řízení'!$E$2</c:f>
              <c:strCache>
                <c:ptCount val="1"/>
                <c:pt idx="0">
                  <c:v>2016</c:v>
                </c:pt>
              </c:strCache>
            </c:strRef>
          </c:tx>
          <c:spPr>
            <a:solidFill>
              <a:srgbClr val="E5F1FF"/>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'Délka soudního řízení'!$B$3:$B$6</c:f>
              <c:strCache>
                <c:ptCount val="4"/>
                <c:pt idx="0">
                  <c:v>Správní</c:v>
                </c:pt>
                <c:pt idx="1">
                  <c:v>Občanskoprávní</c:v>
                </c:pt>
                <c:pt idx="2">
                  <c:v>Opatrovnické</c:v>
                </c:pt>
                <c:pt idx="3">
                  <c:v>Trestní (fyzické osoby)</c:v>
                </c:pt>
              </c:strCache>
            </c:strRef>
          </c:cat>
          <c:val>
            <c:numRef>
              <c:f>'Délka soudního řízení'!$E$3:$E$6</c:f>
              <c:numCache>
                <c:formatCode>General</c:formatCode>
                <c:ptCount val="4"/>
                <c:pt idx="0">
                  <c:v>501</c:v>
                </c:pt>
                <c:pt idx="1">
                  <c:v>325</c:v>
                </c:pt>
                <c:pt idx="2">
                  <c:v>202</c:v>
                </c:pt>
                <c:pt idx="3">
                  <c:v>174</c:v>
                </c:pt>
              </c:numCache>
            </c:numRef>
          </c:val>
          <c:extLst>
            <c:ext xmlns:c16="http://schemas.microsoft.com/office/drawing/2014/chart" uri="{C3380CC4-5D6E-409C-BE32-E72D297353CC}">
              <c16:uniqueId val="{00000009-6ED5-4FFE-B3C3-BFC97B1D88E4}"/>
            </c:ext>
          </c:extLst>
        </c:ser>
        <c:ser>
          <c:idx val="3"/>
          <c:order val="3"/>
          <c:tx>
            <c:strRef>
              <c:f>'Délka soudního řízení'!$F$2</c:f>
              <c:strCache>
                <c:ptCount val="1"/>
                <c:pt idx="0">
                  <c:v>2017</c:v>
                </c:pt>
              </c:strCache>
            </c:strRef>
          </c:tx>
          <c:spPr>
            <a:solidFill>
              <a:srgbClr val="BD2A33">
                <a:alpha val="60000"/>
              </a:srgbClr>
            </a:solidFill>
            <a:ln>
              <a:noFill/>
            </a:ln>
            <a:effectLst/>
          </c:spPr>
          <c:invertIfNegative val="0"/>
          <c:dLbls>
            <c:dLbl>
              <c:idx val="0"/>
              <c:layout>
                <c:manualLayout>
                  <c:x val="4.410143329658214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6ED5-4FFE-B3C3-BFC97B1D88E4}"/>
                </c:ext>
              </c:extLst>
            </c:dLbl>
            <c:dLbl>
              <c:idx val="1"/>
              <c:layout>
                <c:manualLayout>
                  <c:x val="6.6152149944873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6ED5-4FFE-B3C3-BFC97B1D88E4}"/>
                </c:ext>
              </c:extLst>
            </c:dLbl>
            <c:dLbl>
              <c:idx val="2"/>
              <c:layout>
                <c:manualLayout>
                  <c:x val="6.6152149944873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6ED5-4FFE-B3C3-BFC97B1D88E4}"/>
                </c:ext>
              </c:extLst>
            </c:dLbl>
            <c:dLbl>
              <c:idx val="3"/>
              <c:layout>
                <c:manualLayout>
                  <c:x val="4.410143329658214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6ED5-4FFE-B3C3-BFC97B1D88E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'Délka soudního řízení'!$B$3:$B$6</c:f>
              <c:strCache>
                <c:ptCount val="4"/>
                <c:pt idx="0">
                  <c:v>Správní</c:v>
                </c:pt>
                <c:pt idx="1">
                  <c:v>Občanskoprávní</c:v>
                </c:pt>
                <c:pt idx="2">
                  <c:v>Opatrovnické</c:v>
                </c:pt>
                <c:pt idx="3">
                  <c:v>Trestní (fyzické osoby)</c:v>
                </c:pt>
              </c:strCache>
            </c:strRef>
          </c:cat>
          <c:val>
            <c:numRef>
              <c:f>'Délka soudního řízení'!$F$3:$F$6</c:f>
              <c:numCache>
                <c:formatCode>General</c:formatCode>
                <c:ptCount val="4"/>
                <c:pt idx="0">
                  <c:v>503</c:v>
                </c:pt>
                <c:pt idx="1">
                  <c:v>277</c:v>
                </c:pt>
                <c:pt idx="2">
                  <c:v>195</c:v>
                </c:pt>
                <c:pt idx="3">
                  <c:v>177</c:v>
                </c:pt>
              </c:numCache>
            </c:numRef>
          </c:val>
          <c:extLst>
            <c:ext xmlns:c16="http://schemas.microsoft.com/office/drawing/2014/chart" uri="{C3380CC4-5D6E-409C-BE32-E72D297353CC}">
              <c16:uniqueId val="{0000000E-6ED5-4FFE-B3C3-BFC97B1D88E4}"/>
            </c:ext>
          </c:extLst>
        </c:ser>
        <c:ser>
          <c:idx val="4"/>
          <c:order val="4"/>
          <c:tx>
            <c:strRef>
              <c:f>'Délka soudního řízení'!$G$2</c:f>
              <c:strCache>
                <c:ptCount val="1"/>
                <c:pt idx="0">
                  <c:v>2018</c:v>
                </c:pt>
              </c:strCache>
            </c:strRef>
          </c:tx>
          <c:spPr>
            <a:solidFill>
              <a:srgbClr val="BD2A33"/>
            </a:solidFill>
            <a:ln>
              <a:noFill/>
            </a:ln>
            <a:effectLst/>
          </c:spPr>
          <c:invertIfNegative val="0"/>
          <c:dLbls>
            <c:dLbl>
              <c:idx val="0"/>
              <c:layout>
                <c:manualLayout>
                  <c:x val="6.6152149944873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6ED5-4FFE-B3C3-BFC97B1D88E4}"/>
                </c:ext>
              </c:extLst>
            </c:dLbl>
            <c:dLbl>
              <c:idx val="1"/>
              <c:layout>
                <c:manualLayout>
                  <c:x val="1.1025358324145534E-2"/>
                  <c:y val="-6.0826547934800237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6ED5-4FFE-B3C3-BFC97B1D88E4}"/>
                </c:ext>
              </c:extLst>
            </c:dLbl>
            <c:dLbl>
              <c:idx val="2"/>
              <c:layout>
                <c:manualLayout>
                  <c:x val="8.8202866593164279E-3"/>
                  <c:y val="-6.0826547934800237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6ED5-4FFE-B3C3-BFC97B1D88E4}"/>
                </c:ext>
              </c:extLst>
            </c:dLbl>
            <c:dLbl>
              <c:idx val="3"/>
              <c:layout>
                <c:manualLayout>
                  <c:x val="6.6152149944873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6ED5-4FFE-B3C3-BFC97B1D88E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'Délka soudního řízení'!$B$3:$B$6</c:f>
              <c:strCache>
                <c:ptCount val="4"/>
                <c:pt idx="0">
                  <c:v>Správní</c:v>
                </c:pt>
                <c:pt idx="1">
                  <c:v>Občanskoprávní</c:v>
                </c:pt>
                <c:pt idx="2">
                  <c:v>Opatrovnické</c:v>
                </c:pt>
                <c:pt idx="3">
                  <c:v>Trestní (fyzické osoby)</c:v>
                </c:pt>
              </c:strCache>
            </c:strRef>
          </c:cat>
          <c:val>
            <c:numRef>
              <c:f>'Délka soudního řízení'!$G$3:$G$6</c:f>
              <c:numCache>
                <c:formatCode>General</c:formatCode>
                <c:ptCount val="4"/>
                <c:pt idx="0">
                  <c:v>458</c:v>
                </c:pt>
                <c:pt idx="1">
                  <c:v>271</c:v>
                </c:pt>
                <c:pt idx="2">
                  <c:v>185</c:v>
                </c:pt>
                <c:pt idx="3">
                  <c:v>181</c:v>
                </c:pt>
              </c:numCache>
            </c:numRef>
          </c:val>
          <c:extLst>
            <c:ext xmlns:c16="http://schemas.microsoft.com/office/drawing/2014/chart" uri="{C3380CC4-5D6E-409C-BE32-E72D297353CC}">
              <c16:uniqueId val="{00000013-6ED5-4FFE-B3C3-BFC97B1D88E4}"/>
            </c:ext>
          </c:extLst>
        </c:ser>
        <c:dLbls>
          <c:showLegendKey val="0"/>
          <c:showVal val="0"/>
          <c:showCatName val="0"/>
          <c:showSerName val="0"/>
          <c:showPercent val="0"/>
          <c:showBubbleSize val="0"/>
        </c:dLbls>
        <c:gapWidth val="219"/>
        <c:overlap val="-27"/>
        <c:axId val="1777321519"/>
        <c:axId val="1777323183"/>
      </c:barChart>
      <c:catAx>
        <c:axId val="17773215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777323183"/>
        <c:crosses val="autoZero"/>
        <c:auto val="1"/>
        <c:lblAlgn val="ctr"/>
        <c:lblOffset val="100"/>
        <c:noMultiLvlLbl val="0"/>
      </c:catAx>
      <c:valAx>
        <c:axId val="1777323183"/>
        <c:scaling>
          <c:orientation val="minMax"/>
        </c:scaling>
        <c:delete val="0"/>
        <c:axPos val="l"/>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77732151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Graf!$L$9</c:f>
              <c:strCache>
                <c:ptCount val="1"/>
                <c:pt idx="0">
                  <c:v>Medián EU</c:v>
                </c:pt>
              </c:strCache>
            </c:strRef>
          </c:tx>
          <c:spPr>
            <a:solidFill>
              <a:srgbClr val="004595"/>
            </a:solidFill>
            <a:ln>
              <a:noFill/>
            </a:ln>
            <a:effectLst/>
          </c:spPr>
          <c:invertIfNegative val="0"/>
          <c:dLbls>
            <c:dLbl>
              <c:idx val="0"/>
              <c:layout>
                <c:manualLayout>
                  <c:x val="-3.0290858120798441E-2"/>
                  <c:y val="0"/>
                </c:manualLayout>
              </c:layout>
              <c:tx>
                <c:rich>
                  <a:bodyPr/>
                  <a:lstStyle/>
                  <a:p>
                    <a:fld id="{A4957A55-C233-4ADE-ADA9-CBE00BDA7C3B}"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B137-4D7C-9A52-AB9C817AADB8}"/>
                </c:ext>
              </c:extLst>
            </c:dLbl>
            <c:dLbl>
              <c:idx val="1"/>
              <c:layout>
                <c:manualLayout>
                  <c:x val="-1.6666666666666705E-2"/>
                  <c:y val="1.6736401673640166E-2"/>
                </c:manualLayout>
              </c:layout>
              <c:tx>
                <c:rich>
                  <a:bodyPr/>
                  <a:lstStyle/>
                  <a:p>
                    <a:fld id="{7AB9E414-67A5-4B4B-9022-DF98B3561A20}"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B137-4D7C-9A52-AB9C817AADB8}"/>
                </c:ext>
              </c:extLst>
            </c:dLbl>
            <c:dLbl>
              <c:idx val="2"/>
              <c:layout/>
              <c:tx>
                <c:rich>
                  <a:bodyPr/>
                  <a:lstStyle/>
                  <a:p>
                    <a:fld id="{8A6A40CC-9FDD-4614-8998-5C8237BC391C}"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2-B137-4D7C-9A52-AB9C817AADB8}"/>
                </c:ext>
              </c:extLst>
            </c:dLbl>
            <c:dLbl>
              <c:idx val="5"/>
              <c:layout>
                <c:manualLayout>
                  <c:x val="-1.1111111111111112E-2"/>
                  <c:y val="9.259259259259258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137-4D7C-9A52-AB9C817AADB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Graf!$M$7:$R$8</c:f>
              <c:multiLvlStrCache>
                <c:ptCount val="6"/>
                <c:lvl>
                  <c:pt idx="0">
                    <c:v>Občanskoprávní
a obchodní řízení</c:v>
                  </c:pt>
                  <c:pt idx="1">
                    <c:v>Trestní
řízení</c:v>
                  </c:pt>
                  <c:pt idx="2">
                    <c:v>Správní
řízení</c:v>
                  </c:pt>
                  <c:pt idx="3">
                    <c:v>Občanskoprávní
a obchodní řízení</c:v>
                  </c:pt>
                  <c:pt idx="4">
                    <c:v>Trestní
řízení</c:v>
                  </c:pt>
                  <c:pt idx="5">
                    <c:v>Správní
řízení</c:v>
                  </c:pt>
                </c:lvl>
                <c:lvl>
                  <c:pt idx="0">
                    <c:v>Podíl vyřízených věcí</c:v>
                  </c:pt>
                  <c:pt idx="3">
                    <c:v>Délka soudního řízení</c:v>
                  </c:pt>
                </c:lvl>
              </c:multiLvlStrCache>
            </c:multiLvlStrRef>
          </c:cat>
          <c:val>
            <c:numRef>
              <c:f>Graf!$M$9:$R$9</c:f>
              <c:numCache>
                <c:formatCode>0</c:formatCode>
                <c:ptCount val="6"/>
                <c:pt idx="0">
                  <c:v>102</c:v>
                </c:pt>
                <c:pt idx="1">
                  <c:v>101</c:v>
                </c:pt>
                <c:pt idx="2" formatCode="General">
                  <c:v>102</c:v>
                </c:pt>
                <c:pt idx="3">
                  <c:v>196</c:v>
                </c:pt>
                <c:pt idx="4" formatCode="General">
                  <c:v>163</c:v>
                </c:pt>
                <c:pt idx="5">
                  <c:v>312</c:v>
                </c:pt>
              </c:numCache>
            </c:numRef>
          </c:val>
          <c:extLst>
            <c:ext xmlns:c16="http://schemas.microsoft.com/office/drawing/2014/chart" uri="{C3380CC4-5D6E-409C-BE32-E72D297353CC}">
              <c16:uniqueId val="{00000004-B137-4D7C-9A52-AB9C817AADB8}"/>
            </c:ext>
          </c:extLst>
        </c:ser>
        <c:ser>
          <c:idx val="1"/>
          <c:order val="1"/>
          <c:tx>
            <c:strRef>
              <c:f>Graf!$L$10</c:f>
              <c:strCache>
                <c:ptCount val="1"/>
                <c:pt idx="0">
                  <c:v>Průměr EU</c:v>
                </c:pt>
              </c:strCache>
            </c:strRef>
          </c:tx>
          <c:spPr>
            <a:solidFill>
              <a:srgbClr val="C3C5C6"/>
            </a:solidFill>
            <a:ln>
              <a:noFill/>
            </a:ln>
            <a:effectLst/>
          </c:spPr>
          <c:invertIfNegative val="0"/>
          <c:dLbls>
            <c:dLbl>
              <c:idx val="0"/>
              <c:layout>
                <c:manualLayout>
                  <c:x val="-7.0432430702259685E-3"/>
                  <c:y val="-0.10041841004184106"/>
                </c:manualLayout>
              </c:layout>
              <c:tx>
                <c:rich>
                  <a:bodyPr/>
                  <a:lstStyle/>
                  <a:p>
                    <a:fld id="{392A1077-E90E-4BC8-9066-BE66631F93FF}"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B137-4D7C-9A52-AB9C817AADB8}"/>
                </c:ext>
              </c:extLst>
            </c:dLbl>
            <c:dLbl>
              <c:idx val="1"/>
              <c:layout>
                <c:manualLayout>
                  <c:x val="4.5638883554189871E-3"/>
                  <c:y val="-0.10041841004184106"/>
                </c:manualLayout>
              </c:layout>
              <c:tx>
                <c:rich>
                  <a:bodyPr/>
                  <a:lstStyle/>
                  <a:p>
                    <a:fld id="{413DD491-8CB8-41C6-B040-8FD937B84486}"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6-B137-4D7C-9A52-AB9C817AADB8}"/>
                </c:ext>
              </c:extLst>
            </c:dLbl>
            <c:dLbl>
              <c:idx val="2"/>
              <c:layout>
                <c:manualLayout>
                  <c:x val="2.1013059343191857E-2"/>
                  <c:y val="-8.0834623705509617E-2"/>
                </c:manualLayout>
              </c:layout>
              <c:tx>
                <c:rich>
                  <a:bodyPr/>
                  <a:lstStyle/>
                  <a:p>
                    <a:fld id="{94186CD5-2B67-46D7-85A3-0A6C05A9B19C}"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B137-4D7C-9A52-AB9C817AADB8}"/>
                </c:ext>
              </c:extLst>
            </c:dLbl>
            <c:dLbl>
              <c:idx val="3"/>
              <c:layout>
                <c:manualLayout>
                  <c:x val="6.0514372163388069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137-4D7C-9A52-AB9C817AADB8}"/>
                </c:ext>
              </c:extLst>
            </c:dLbl>
            <c:dLbl>
              <c:idx val="4"/>
              <c:layout>
                <c:manualLayout>
                  <c:x val="9.4646545456983575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137-4D7C-9A52-AB9C817AADB8}"/>
                </c:ext>
              </c:extLst>
            </c:dLbl>
            <c:dLbl>
              <c:idx val="5"/>
              <c:layout>
                <c:manualLayout>
                  <c:x val="-3.7695212455477862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137-4D7C-9A52-AB9C817AADB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multiLvlStrRef>
              <c:f>Graf!$M$7:$R$8</c:f>
              <c:multiLvlStrCache>
                <c:ptCount val="6"/>
                <c:lvl>
                  <c:pt idx="0">
                    <c:v>Občanskoprávní
a obchodní řízení</c:v>
                  </c:pt>
                  <c:pt idx="1">
                    <c:v>Trestní
řízení</c:v>
                  </c:pt>
                  <c:pt idx="2">
                    <c:v>Správní
řízení</c:v>
                  </c:pt>
                  <c:pt idx="3">
                    <c:v>Občanskoprávní
a obchodní řízení</c:v>
                  </c:pt>
                  <c:pt idx="4">
                    <c:v>Trestní
řízení</c:v>
                  </c:pt>
                  <c:pt idx="5">
                    <c:v>Správní
řízení</c:v>
                  </c:pt>
                </c:lvl>
                <c:lvl>
                  <c:pt idx="0">
                    <c:v>Podíl vyřízených věcí</c:v>
                  </c:pt>
                  <c:pt idx="3">
                    <c:v>Délka soudního řízení</c:v>
                  </c:pt>
                </c:lvl>
              </c:multiLvlStrCache>
            </c:multiLvlStrRef>
          </c:cat>
          <c:val>
            <c:numRef>
              <c:f>Graf!$M$10:$R$10</c:f>
              <c:numCache>
                <c:formatCode>General</c:formatCode>
                <c:ptCount val="6"/>
                <c:pt idx="0">
                  <c:v>103</c:v>
                </c:pt>
                <c:pt idx="1">
                  <c:v>103</c:v>
                </c:pt>
                <c:pt idx="2">
                  <c:v>106</c:v>
                </c:pt>
                <c:pt idx="3">
                  <c:v>241</c:v>
                </c:pt>
                <c:pt idx="4">
                  <c:v>196</c:v>
                </c:pt>
                <c:pt idx="5">
                  <c:v>435</c:v>
                </c:pt>
              </c:numCache>
            </c:numRef>
          </c:val>
          <c:extLst>
            <c:ext xmlns:c16="http://schemas.microsoft.com/office/drawing/2014/chart" uri="{C3380CC4-5D6E-409C-BE32-E72D297353CC}">
              <c16:uniqueId val="{0000000B-B137-4D7C-9A52-AB9C817AADB8}"/>
            </c:ext>
          </c:extLst>
        </c:ser>
        <c:ser>
          <c:idx val="2"/>
          <c:order val="2"/>
          <c:tx>
            <c:strRef>
              <c:f>Graf!$L$11</c:f>
              <c:strCache>
                <c:ptCount val="1"/>
                <c:pt idx="0">
                  <c:v>Česká republika</c:v>
                </c:pt>
              </c:strCache>
            </c:strRef>
          </c:tx>
          <c:spPr>
            <a:solidFill>
              <a:srgbClr val="BD2A33"/>
            </a:solidFill>
            <a:ln>
              <a:noFill/>
            </a:ln>
            <a:effectLst/>
          </c:spPr>
          <c:invertIfNegative val="0"/>
          <c:dLbls>
            <c:dLbl>
              <c:idx val="0"/>
              <c:layout>
                <c:manualLayout>
                  <c:x val="1.412009474425451E-2"/>
                  <c:y val="-2.2315202231520222E-2"/>
                </c:manualLayout>
              </c:layout>
              <c:tx>
                <c:rich>
                  <a:bodyPr/>
                  <a:lstStyle/>
                  <a:p>
                    <a:fld id="{D826DDD4-0931-4B83-9E3E-0B30CC07C837}"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C-B137-4D7C-9A52-AB9C817AADB8}"/>
                </c:ext>
              </c:extLst>
            </c:dLbl>
            <c:dLbl>
              <c:idx val="1"/>
              <c:layout>
                <c:manualLayout>
                  <c:x val="2.0171457387796268E-2"/>
                  <c:y val="5.5788005578800556E-3"/>
                </c:manualLayout>
              </c:layout>
              <c:tx>
                <c:rich>
                  <a:bodyPr/>
                  <a:lstStyle/>
                  <a:p>
                    <a:fld id="{ED94E69B-0495-47D8-B28E-D80BF1C8BE43}" type="VALUE">
                      <a:rPr lang="en-US"/>
                      <a:pPr/>
                      <a:t>[HODNOTA]</a:t>
                    </a:fld>
                    <a:r>
                      <a:rPr lang="en-US"/>
                      <a:t>%</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D-B137-4D7C-9A52-AB9C817AADB8}"/>
                </c:ext>
              </c:extLst>
            </c:dLbl>
            <c:dLbl>
              <c:idx val="2"/>
              <c:layout>
                <c:manualLayout>
                  <c:x val="3.2274331820473956E-2"/>
                  <c:y val="-5.113841435857403E-17"/>
                </c:manualLayout>
              </c:layout>
              <c:tx>
                <c:rich>
                  <a:bodyPr/>
                  <a:lstStyle/>
                  <a:p>
                    <a:r>
                      <a:rPr lang="en-US"/>
                      <a:t>80%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B137-4D7C-9A52-AB9C817AADB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Graf!$M$7:$R$8</c:f>
              <c:multiLvlStrCache>
                <c:ptCount val="6"/>
                <c:lvl>
                  <c:pt idx="0">
                    <c:v>Občanskoprávní
a obchodní řízení</c:v>
                  </c:pt>
                  <c:pt idx="1">
                    <c:v>Trestní
řízení</c:v>
                  </c:pt>
                  <c:pt idx="2">
                    <c:v>Správní
řízení</c:v>
                  </c:pt>
                  <c:pt idx="3">
                    <c:v>Občanskoprávní
a obchodní řízení</c:v>
                  </c:pt>
                  <c:pt idx="4">
                    <c:v>Trestní
řízení</c:v>
                  </c:pt>
                  <c:pt idx="5">
                    <c:v>Správní
řízení</c:v>
                  </c:pt>
                </c:lvl>
                <c:lvl>
                  <c:pt idx="0">
                    <c:v>Podíl vyřízených věcí</c:v>
                  </c:pt>
                  <c:pt idx="3">
                    <c:v>Délka soudního řízení</c:v>
                  </c:pt>
                </c:lvl>
              </c:multiLvlStrCache>
            </c:multiLvlStrRef>
          </c:cat>
          <c:val>
            <c:numRef>
              <c:f>Graf!$M$11:$R$11</c:f>
              <c:numCache>
                <c:formatCode>0</c:formatCode>
                <c:ptCount val="6"/>
                <c:pt idx="0">
                  <c:v>110</c:v>
                </c:pt>
                <c:pt idx="1">
                  <c:v>105</c:v>
                </c:pt>
                <c:pt idx="2">
                  <c:v>80</c:v>
                </c:pt>
                <c:pt idx="3">
                  <c:v>153</c:v>
                </c:pt>
                <c:pt idx="4">
                  <c:v>125</c:v>
                </c:pt>
                <c:pt idx="5">
                  <c:v>421</c:v>
                </c:pt>
              </c:numCache>
            </c:numRef>
          </c:val>
          <c:extLst>
            <c:ext xmlns:c16="http://schemas.microsoft.com/office/drawing/2014/chart" uri="{C3380CC4-5D6E-409C-BE32-E72D297353CC}">
              <c16:uniqueId val="{0000000F-B137-4D7C-9A52-AB9C817AADB8}"/>
            </c:ext>
          </c:extLst>
        </c:ser>
        <c:dLbls>
          <c:showLegendKey val="0"/>
          <c:showVal val="0"/>
          <c:showCatName val="0"/>
          <c:showSerName val="0"/>
          <c:showPercent val="0"/>
          <c:showBubbleSize val="0"/>
        </c:dLbls>
        <c:gapWidth val="219"/>
        <c:overlap val="-27"/>
        <c:axId val="1702045807"/>
        <c:axId val="1702054127"/>
      </c:barChart>
      <c:catAx>
        <c:axId val="17020458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702054127"/>
        <c:crosses val="autoZero"/>
        <c:auto val="1"/>
        <c:lblAlgn val="ctr"/>
        <c:lblOffset val="100"/>
        <c:noMultiLvlLbl val="0"/>
      </c:catAx>
      <c:valAx>
        <c:axId val="1702054127"/>
        <c:scaling>
          <c:orientation val="minMax"/>
        </c:scaling>
        <c:delete val="0"/>
        <c:axPos val="l"/>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702045807"/>
        <c:crosses val="autoZero"/>
        <c:crossBetween val="between"/>
      </c:valAx>
      <c:spPr>
        <a:noFill/>
        <a:ln>
          <a:noFill/>
        </a:ln>
        <a:effectLst/>
      </c:spPr>
    </c:plotArea>
    <c:legend>
      <c:legendPos val="b"/>
      <c:layout>
        <c:manualLayout>
          <c:xMode val="edge"/>
          <c:yMode val="edge"/>
          <c:x val="0.27909270833333333"/>
          <c:y val="0.88318031189083823"/>
          <c:w val="0.44181458333333334"/>
          <c:h val="0.1044415204678362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1024305555555556E-2"/>
          <c:y val="2.4694444444444446E-2"/>
          <c:w val="0.98015624999999984"/>
          <c:h val="0.6713986111111111"/>
        </c:manualLayout>
      </c:layout>
      <c:barChart>
        <c:barDir val="col"/>
        <c:grouping val="clustered"/>
        <c:varyColors val="0"/>
        <c:ser>
          <c:idx val="0"/>
          <c:order val="0"/>
          <c:tx>
            <c:strRef>
              <c:f>Graf_22!$A$2</c:f>
              <c:strCache>
                <c:ptCount val="1"/>
                <c:pt idx="0">
                  <c:v>Výdaje z národních zdrojů na VaVaI</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Graf_22!$B$1:$F$1</c:f>
              <c:numCache>
                <c:formatCode>General</c:formatCode>
                <c:ptCount val="5"/>
                <c:pt idx="0">
                  <c:v>2014</c:v>
                </c:pt>
                <c:pt idx="1">
                  <c:v>2015</c:v>
                </c:pt>
                <c:pt idx="2">
                  <c:v>2016</c:v>
                </c:pt>
                <c:pt idx="3">
                  <c:v>2017</c:v>
                </c:pt>
                <c:pt idx="4">
                  <c:v>2018</c:v>
                </c:pt>
              </c:numCache>
            </c:numRef>
          </c:cat>
          <c:val>
            <c:numRef>
              <c:f>Graf_22!$B$2:$F$2</c:f>
              <c:numCache>
                <c:formatCode>0.0_ ;[Red]\-0.0\ </c:formatCode>
                <c:ptCount val="5"/>
                <c:pt idx="0">
                  <c:v>27.3</c:v>
                </c:pt>
                <c:pt idx="1">
                  <c:v>27.8</c:v>
                </c:pt>
                <c:pt idx="2">
                  <c:v>28</c:v>
                </c:pt>
                <c:pt idx="3">
                  <c:v>30.6</c:v>
                </c:pt>
                <c:pt idx="4">
                  <c:v>33.4</c:v>
                </c:pt>
              </c:numCache>
            </c:numRef>
          </c:val>
          <c:extLst>
            <c:ext xmlns:c16="http://schemas.microsoft.com/office/drawing/2014/chart" uri="{C3380CC4-5D6E-409C-BE32-E72D297353CC}">
              <c16:uniqueId val="{00000000-1ED6-41FA-B724-28077CAE019B}"/>
            </c:ext>
          </c:extLst>
        </c:ser>
        <c:ser>
          <c:idx val="1"/>
          <c:order val="1"/>
          <c:tx>
            <c:strRef>
              <c:f>Graf_22!$A$3</c:f>
              <c:strCache>
                <c:ptCount val="1"/>
                <c:pt idx="0">
                  <c:v>Výdaje na VaVaI včetně výdajů krytých příjmy z EU a FM EHP/Norska</c:v>
                </c:pt>
              </c:strCache>
            </c:strRef>
          </c:tx>
          <c:spPr>
            <a:solidFill>
              <a:srgbClr val="BD2A33"/>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Graf_22!$B$1:$F$1</c:f>
              <c:numCache>
                <c:formatCode>General</c:formatCode>
                <c:ptCount val="5"/>
                <c:pt idx="0">
                  <c:v>2014</c:v>
                </c:pt>
                <c:pt idx="1">
                  <c:v>2015</c:v>
                </c:pt>
                <c:pt idx="2">
                  <c:v>2016</c:v>
                </c:pt>
                <c:pt idx="3">
                  <c:v>2017</c:v>
                </c:pt>
                <c:pt idx="4">
                  <c:v>2018</c:v>
                </c:pt>
              </c:numCache>
            </c:numRef>
          </c:cat>
          <c:val>
            <c:numRef>
              <c:f>Graf_22!$B$3:$F$3</c:f>
              <c:numCache>
                <c:formatCode>0.0_ ;[Red]\-0.0\ </c:formatCode>
                <c:ptCount val="5"/>
                <c:pt idx="0">
                  <c:v>40.618141558089995</c:v>
                </c:pt>
                <c:pt idx="1">
                  <c:v>41.988646926829979</c:v>
                </c:pt>
                <c:pt idx="2">
                  <c:v>30.724027967440005</c:v>
                </c:pt>
                <c:pt idx="3">
                  <c:v>35.133536593600006</c:v>
                </c:pt>
                <c:pt idx="4">
                  <c:v>42.257055682209973</c:v>
                </c:pt>
              </c:numCache>
            </c:numRef>
          </c:val>
          <c:extLst>
            <c:ext xmlns:c16="http://schemas.microsoft.com/office/drawing/2014/chart" uri="{C3380CC4-5D6E-409C-BE32-E72D297353CC}">
              <c16:uniqueId val="{00000001-1ED6-41FA-B724-28077CAE019B}"/>
            </c:ext>
          </c:extLst>
        </c:ser>
        <c:dLbls>
          <c:showLegendKey val="0"/>
          <c:showVal val="0"/>
          <c:showCatName val="0"/>
          <c:showSerName val="0"/>
          <c:showPercent val="0"/>
          <c:showBubbleSize val="0"/>
        </c:dLbls>
        <c:gapWidth val="150"/>
        <c:overlap val="-20"/>
        <c:axId val="359088303"/>
        <c:axId val="359085807"/>
      </c:barChart>
      <c:catAx>
        <c:axId val="359088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59085807"/>
        <c:crosses val="autoZero"/>
        <c:auto val="1"/>
        <c:lblAlgn val="ctr"/>
        <c:lblOffset val="100"/>
        <c:noMultiLvlLbl val="0"/>
      </c:catAx>
      <c:valAx>
        <c:axId val="359085807"/>
        <c:scaling>
          <c:orientation val="minMax"/>
        </c:scaling>
        <c:delete val="0"/>
        <c:axPos val="l"/>
        <c:numFmt formatCode="0.0_ ;[Red]\-0.0\ "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59088303"/>
        <c:crosses val="autoZero"/>
        <c:crossBetween val="between"/>
      </c:valAx>
      <c:spPr>
        <a:noFill/>
        <a:ln>
          <a:noFill/>
        </a:ln>
        <a:effectLst/>
      </c:spPr>
    </c:plotArea>
    <c:legend>
      <c:legendPos val="b"/>
      <c:layout>
        <c:manualLayout>
          <c:xMode val="edge"/>
          <c:yMode val="edge"/>
          <c:x val="1.6927083333333332E-2"/>
          <c:y val="0.86455777777777787"/>
          <c:w val="0.96394097222222219"/>
          <c:h val="0.1203227777777777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365451388888897E-2"/>
          <c:y val="5.5436507936507937E-2"/>
          <c:w val="0.93701996527777798"/>
          <c:h val="0.51014920634920635"/>
        </c:manualLayout>
      </c:layout>
      <c:barChart>
        <c:barDir val="col"/>
        <c:grouping val="clustered"/>
        <c:varyColors val="0"/>
        <c:ser>
          <c:idx val="0"/>
          <c:order val="0"/>
          <c:tx>
            <c:strRef>
              <c:f>Graf_23!$B$2</c:f>
              <c:strCache>
                <c:ptCount val="1"/>
                <c:pt idx="0">
                  <c:v>Ministerstvo školství, mládeže a tělovýchovy</c:v>
                </c:pt>
              </c:strCache>
            </c:strRef>
          </c:tx>
          <c:spPr>
            <a:solidFill>
              <a:srgbClr val="BD2A33"/>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Graf_23!$B$3:$B$5</c:f>
              <c:numCache>
                <c:formatCode>0.00</c:formatCode>
                <c:ptCount val="3"/>
                <c:pt idx="0">
                  <c:v>95.966467199709967</c:v>
                </c:pt>
                <c:pt idx="1">
                  <c:v>150.77600000000001</c:v>
                </c:pt>
                <c:pt idx="2">
                  <c:v>41.542999999999999</c:v>
                </c:pt>
              </c:numCache>
            </c:numRef>
          </c:val>
          <c:extLst>
            <c:ext xmlns:c16="http://schemas.microsoft.com/office/drawing/2014/chart" uri="{C3380CC4-5D6E-409C-BE32-E72D297353CC}">
              <c16:uniqueId val="{00000000-E90B-486A-A110-EB437BCC3953}"/>
            </c:ext>
          </c:extLst>
        </c:ser>
        <c:ser>
          <c:idx val="1"/>
          <c:order val="1"/>
          <c:tx>
            <c:strRef>
              <c:f>Graf_23!$C$2</c:f>
              <c:strCache>
                <c:ptCount val="1"/>
                <c:pt idx="0">
                  <c:v>Akademie věd ČR</c:v>
                </c:pt>
              </c:strCache>
            </c:strRef>
          </c:tx>
          <c:spPr>
            <a:solidFill>
              <a:srgbClr val="BD2A33">
                <a:alpha val="60000"/>
              </a:srgbClr>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Graf_23!$C$3:$C$5</c:f>
              <c:numCache>
                <c:formatCode>0.00</c:formatCode>
                <c:ptCount val="3"/>
                <c:pt idx="0">
                  <c:v>24.775632479580008</c:v>
                </c:pt>
                <c:pt idx="1">
                  <c:v>22.477</c:v>
                </c:pt>
                <c:pt idx="2">
                  <c:v>4.6059999999999999</c:v>
                </c:pt>
              </c:numCache>
            </c:numRef>
          </c:val>
          <c:extLst>
            <c:ext xmlns:c16="http://schemas.microsoft.com/office/drawing/2014/chart" uri="{C3380CC4-5D6E-409C-BE32-E72D297353CC}">
              <c16:uniqueId val="{00000001-E90B-486A-A110-EB437BCC3953}"/>
            </c:ext>
          </c:extLst>
        </c:ser>
        <c:ser>
          <c:idx val="2"/>
          <c:order val="2"/>
          <c:tx>
            <c:strRef>
              <c:f>Graf_23!$D$2</c:f>
              <c:strCache>
                <c:ptCount val="1"/>
                <c:pt idx="0">
                  <c:v>Grantová agentura ČR</c:v>
                </c:pt>
              </c:strCache>
            </c:strRef>
          </c:tx>
          <c:spPr>
            <a:solidFill>
              <a:srgbClr val="BD2A33">
                <a:alpha val="20000"/>
              </a:srgbClr>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Graf_23!$D$3:$D$5</c:f>
              <c:numCache>
                <c:formatCode>0.00</c:formatCode>
                <c:ptCount val="3"/>
                <c:pt idx="0">
                  <c:v>19.151037285649995</c:v>
                </c:pt>
                <c:pt idx="1">
                  <c:v>25.818999999999999</c:v>
                </c:pt>
                <c:pt idx="2">
                  <c:v>3.2719999999999998</c:v>
                </c:pt>
              </c:numCache>
            </c:numRef>
          </c:val>
          <c:extLst>
            <c:ext xmlns:c16="http://schemas.microsoft.com/office/drawing/2014/chart" uri="{C3380CC4-5D6E-409C-BE32-E72D297353CC}">
              <c16:uniqueId val="{00000002-E90B-486A-A110-EB437BCC3953}"/>
            </c:ext>
          </c:extLst>
        </c:ser>
        <c:ser>
          <c:idx val="3"/>
          <c:order val="3"/>
          <c:tx>
            <c:strRef>
              <c:f>Graf_23!$E$2</c:f>
              <c:strCache>
                <c:ptCount val="1"/>
                <c:pt idx="0">
                  <c:v>Ministerstvo průmyslu a obchodu</c:v>
                </c:pt>
              </c:strCache>
            </c:strRef>
          </c:tx>
          <c:spPr>
            <a:solidFill>
              <a:srgbClr val="004595"/>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Graf_23!$E$3:$E$5</c:f>
              <c:numCache>
                <c:formatCode>0.00</c:formatCode>
                <c:ptCount val="3"/>
                <c:pt idx="0">
                  <c:v>16.693508719669996</c:v>
                </c:pt>
                <c:pt idx="1">
                  <c:v>1.6890000000000001</c:v>
                </c:pt>
                <c:pt idx="2">
                  <c:v>3.2189999999999999</c:v>
                </c:pt>
              </c:numCache>
            </c:numRef>
          </c:val>
          <c:extLst>
            <c:ext xmlns:c16="http://schemas.microsoft.com/office/drawing/2014/chart" uri="{C3380CC4-5D6E-409C-BE32-E72D297353CC}">
              <c16:uniqueId val="{00000003-E90B-486A-A110-EB437BCC3953}"/>
            </c:ext>
          </c:extLst>
        </c:ser>
        <c:ser>
          <c:idx val="4"/>
          <c:order val="4"/>
          <c:tx>
            <c:strRef>
              <c:f>Graf_23!$F$2</c:f>
              <c:strCache>
                <c:ptCount val="1"/>
                <c:pt idx="0">
                  <c:v>Technologická agentura ČR</c:v>
                </c:pt>
              </c:strCache>
            </c:strRef>
          </c:tx>
          <c:spPr>
            <a:solidFill>
              <a:srgbClr val="004595">
                <a:alpha val="60000"/>
              </a:srgbClr>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Graf_23!$F$3:$F$5</c:f>
              <c:numCache>
                <c:formatCode>0.00</c:formatCode>
                <c:ptCount val="3"/>
                <c:pt idx="0">
                  <c:v>14.711152787850004</c:v>
                </c:pt>
                <c:pt idx="1">
                  <c:v>4.4790000000000001</c:v>
                </c:pt>
                <c:pt idx="2">
                  <c:v>9.2710000000000008</c:v>
                </c:pt>
              </c:numCache>
            </c:numRef>
          </c:val>
          <c:extLst>
            <c:ext xmlns:c16="http://schemas.microsoft.com/office/drawing/2014/chart" uri="{C3380CC4-5D6E-409C-BE32-E72D297353CC}">
              <c16:uniqueId val="{00000004-E90B-486A-A110-EB437BCC3953}"/>
            </c:ext>
          </c:extLst>
        </c:ser>
        <c:ser>
          <c:idx val="5"/>
          <c:order val="5"/>
          <c:tx>
            <c:strRef>
              <c:f>Graf_23!$G$2</c:f>
              <c:strCache>
                <c:ptCount val="1"/>
                <c:pt idx="0">
                  <c:v>Ministerstvo zdravotnictví</c:v>
                </c:pt>
              </c:strCache>
            </c:strRef>
          </c:tx>
          <c:spPr>
            <a:solidFill>
              <a:srgbClr val="004595">
                <a:alpha val="20000"/>
              </a:srgbClr>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Graf_23!$G$3:$G$5</c:f>
              <c:numCache>
                <c:formatCode>0.00</c:formatCode>
                <c:ptCount val="3"/>
                <c:pt idx="0">
                  <c:v>7.1631311242800004</c:v>
                </c:pt>
                <c:pt idx="1">
                  <c:v>9.5869999999999997</c:v>
                </c:pt>
                <c:pt idx="2">
                  <c:v>1.2170000000000001</c:v>
                </c:pt>
              </c:numCache>
            </c:numRef>
          </c:val>
          <c:extLst>
            <c:ext xmlns:c16="http://schemas.microsoft.com/office/drawing/2014/chart" uri="{C3380CC4-5D6E-409C-BE32-E72D297353CC}">
              <c16:uniqueId val="{00000005-E90B-486A-A110-EB437BCC3953}"/>
            </c:ext>
          </c:extLst>
        </c:ser>
        <c:ser>
          <c:idx val="6"/>
          <c:order val="6"/>
          <c:tx>
            <c:strRef>
              <c:f>Graf_23!$H$2</c:f>
              <c:strCache>
                <c:ptCount val="1"/>
                <c:pt idx="0">
                  <c:v>Ostatní kapitoly státního rozpočtu</c:v>
                </c:pt>
              </c:strCache>
            </c:strRef>
          </c:tx>
          <c:spPr>
            <a:solidFill>
              <a:srgbClr val="C3C5C6"/>
            </a:solidFill>
            <a:ln>
              <a:noFill/>
            </a:ln>
            <a:effectLst/>
          </c:spPr>
          <c:invertIfNegative val="0"/>
          <c:cat>
            <c:strRef>
              <c:f>Graf_23!$A$3:$A$5</c:f>
              <c:strCache>
                <c:ptCount val="3"/>
                <c:pt idx="0">
                  <c:v>Výdaje (v mld. Kč)</c:v>
                </c:pt>
                <c:pt idx="1">
                  <c:v>Publikační výsledky (v tis.)</c:v>
                </c:pt>
                <c:pt idx="2">
                  <c:v>Nepublikační výsledky (v tis.)</c:v>
                </c:pt>
              </c:strCache>
            </c:strRef>
          </c:cat>
          <c:val>
            <c:numRef>
              <c:f>Graf_23!$H$3:$H$5</c:f>
              <c:numCache>
                <c:formatCode>0.00</c:formatCode>
                <c:ptCount val="3"/>
                <c:pt idx="0">
                  <c:v>12.260479131429996</c:v>
                </c:pt>
                <c:pt idx="1">
                  <c:v>14.223000000000001</c:v>
                </c:pt>
                <c:pt idx="2">
                  <c:v>9.3070000000000004</c:v>
                </c:pt>
              </c:numCache>
            </c:numRef>
          </c:val>
          <c:extLst>
            <c:ext xmlns:c16="http://schemas.microsoft.com/office/drawing/2014/chart" uri="{C3380CC4-5D6E-409C-BE32-E72D297353CC}">
              <c16:uniqueId val="{00000006-E90B-486A-A110-EB437BCC3953}"/>
            </c:ext>
          </c:extLst>
        </c:ser>
        <c:dLbls>
          <c:showLegendKey val="0"/>
          <c:showVal val="0"/>
          <c:showCatName val="0"/>
          <c:showSerName val="0"/>
          <c:showPercent val="0"/>
          <c:showBubbleSize val="0"/>
        </c:dLbls>
        <c:gapWidth val="200"/>
        <c:overlap val="-20"/>
        <c:axId val="1147390848"/>
        <c:axId val="1147392928"/>
      </c:barChart>
      <c:catAx>
        <c:axId val="1147390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147392928"/>
        <c:crosses val="autoZero"/>
        <c:auto val="1"/>
        <c:lblAlgn val="ctr"/>
        <c:lblOffset val="100"/>
        <c:noMultiLvlLbl val="0"/>
      </c:catAx>
      <c:valAx>
        <c:axId val="1147392928"/>
        <c:scaling>
          <c:orientation val="minMax"/>
          <c:max val="160"/>
          <c:min val="0"/>
        </c:scaling>
        <c:delete val="0"/>
        <c:axPos val="l"/>
        <c:majorGridlines>
          <c:spPr>
            <a:ln w="9525" cap="flat" cmpd="sng" algn="ctr">
              <a:solidFill>
                <a:schemeClr val="tx1">
                  <a:lumMod val="15000"/>
                  <a:lumOff val="85000"/>
                </a:schemeClr>
              </a:solidFill>
              <a:round/>
            </a:ln>
            <a:effectLst/>
          </c:spPr>
        </c:majorGridlines>
        <c:numFmt formatCode="0_ ;[Red]\-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147390848"/>
        <c:crosses val="autoZero"/>
        <c:crossBetween val="between"/>
        <c:majorUnit val="20"/>
      </c:valAx>
      <c:spPr>
        <a:noFill/>
        <a:ln>
          <a:noFill/>
        </a:ln>
        <a:effectLst/>
      </c:spPr>
    </c:plotArea>
    <c:legend>
      <c:legendPos val="b"/>
      <c:layout>
        <c:manualLayout>
          <c:xMode val="edge"/>
          <c:yMode val="edge"/>
          <c:x val="1.1848958333333333E-2"/>
          <c:y val="0.696902380952381"/>
          <c:w val="0.97630208333333335"/>
          <c:h val="0.29383809523809523"/>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0222569444444446E-2"/>
          <c:y val="3.5875706214689267E-2"/>
          <c:w val="0.90018194444444444"/>
          <c:h val="0.42137685185185181"/>
        </c:manualLayout>
      </c:layout>
      <c:barChart>
        <c:barDir val="col"/>
        <c:grouping val="clustered"/>
        <c:varyColors val="0"/>
        <c:ser>
          <c:idx val="1"/>
          <c:order val="1"/>
          <c:tx>
            <c:strRef>
              <c:f>Graf_index_2018!$C$1</c:f>
              <c:strCache>
                <c:ptCount val="1"/>
                <c:pt idx="0">
                  <c:v>ČR</c:v>
                </c:pt>
              </c:strCache>
            </c:strRef>
          </c:tx>
          <c:spPr>
            <a:solidFill>
              <a:srgbClr val="004595"/>
            </a:solidFill>
            <a:ln>
              <a:noFill/>
            </a:ln>
            <a:effectLst/>
          </c:spPr>
          <c:invertIfNegative val="0"/>
          <c:dLbls>
            <c:dLbl>
              <c:idx val="0"/>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3388"/>
                        <a:gd name="adj2" fmla="val 546"/>
                      </a:avLst>
                    </a:prstGeom>
                    <a:noFill/>
                    <a:ln>
                      <a:noFill/>
                    </a:ln>
                  </c15:spPr>
                </c:ext>
                <c:ext xmlns:c16="http://schemas.microsoft.com/office/drawing/2014/chart" uri="{C3380CC4-5D6E-409C-BE32-E72D297353CC}">
                  <c16:uniqueId val="{00000000-9700-4C8D-93BF-FEF8A7537F3B}"/>
                </c:ext>
              </c:extLst>
            </c:dLbl>
            <c:dLbl>
              <c:idx val="1"/>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6775"/>
                        <a:gd name="adj2" fmla="val 21933"/>
                      </a:avLst>
                    </a:prstGeom>
                    <a:noFill/>
                    <a:ln>
                      <a:noFill/>
                    </a:ln>
                  </c15:spPr>
                </c:ext>
                <c:ext xmlns:c16="http://schemas.microsoft.com/office/drawing/2014/chart" uri="{C3380CC4-5D6E-409C-BE32-E72D297353CC}">
                  <c16:uniqueId val="{00000001-9700-4C8D-93BF-FEF8A7537F3B}"/>
                </c:ext>
              </c:extLst>
            </c:dLbl>
            <c:dLbl>
              <c:idx val="2"/>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6775"/>
                        <a:gd name="adj2" fmla="val -7665"/>
                      </a:avLst>
                    </a:prstGeom>
                    <a:noFill/>
                    <a:ln>
                      <a:noFill/>
                    </a:ln>
                  </c15:spPr>
                </c:ext>
                <c:ext xmlns:c16="http://schemas.microsoft.com/office/drawing/2014/chart" uri="{C3380CC4-5D6E-409C-BE32-E72D297353CC}">
                  <c16:uniqueId val="{00000002-9700-4C8D-93BF-FEF8A7537F3B}"/>
                </c:ext>
              </c:extLst>
            </c:dLbl>
            <c:dLbl>
              <c:idx val="4"/>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4022"/>
                        <a:gd name="adj2" fmla="val -6915"/>
                      </a:avLst>
                    </a:prstGeom>
                    <a:noFill/>
                    <a:ln>
                      <a:noFill/>
                    </a:ln>
                  </c15:spPr>
                </c:ext>
                <c:ext xmlns:c16="http://schemas.microsoft.com/office/drawing/2014/chart" uri="{C3380CC4-5D6E-409C-BE32-E72D297353CC}">
                  <c16:uniqueId val="{00000003-9700-4C8D-93BF-FEF8A7537F3B}"/>
                </c:ext>
              </c:extLst>
            </c:dLbl>
            <c:dLbl>
              <c:idx val="5"/>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0163"/>
                        <a:gd name="adj2" fmla="val 15122"/>
                      </a:avLst>
                    </a:prstGeom>
                    <a:noFill/>
                    <a:ln>
                      <a:noFill/>
                    </a:ln>
                  </c15:spPr>
                </c:ext>
                <c:ext xmlns:c16="http://schemas.microsoft.com/office/drawing/2014/chart" uri="{C3380CC4-5D6E-409C-BE32-E72D297353CC}">
                  <c16:uniqueId val="{00000004-9700-4C8D-93BF-FEF8A7537F3B}"/>
                </c:ext>
              </c:extLst>
            </c:dLbl>
            <c:dLbl>
              <c:idx val="6"/>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3388"/>
                        <a:gd name="adj2" fmla="val 3446"/>
                      </a:avLst>
                    </a:prstGeom>
                    <a:noFill/>
                    <a:ln>
                      <a:noFill/>
                    </a:ln>
                  </c15:spPr>
                </c:ext>
                <c:ext xmlns:c16="http://schemas.microsoft.com/office/drawing/2014/chart" uri="{C3380CC4-5D6E-409C-BE32-E72D297353CC}">
                  <c16:uniqueId val="{00000005-9700-4C8D-93BF-FEF8A7537F3B}"/>
                </c:ext>
              </c:extLst>
            </c:dLbl>
            <c:dLbl>
              <c:idx val="7"/>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093"/>
                        <a:gd name="adj2" fmla="val -19809"/>
                      </a:avLst>
                    </a:prstGeom>
                    <a:noFill/>
                    <a:ln>
                      <a:noFill/>
                    </a:ln>
                  </c15:spPr>
                </c:ext>
                <c:ext xmlns:c16="http://schemas.microsoft.com/office/drawing/2014/chart" uri="{C3380CC4-5D6E-409C-BE32-E72D297353CC}">
                  <c16:uniqueId val="{00000006-9700-4C8D-93BF-FEF8A7537F3B}"/>
                </c:ext>
              </c:extLst>
            </c:dLbl>
            <c:dLbl>
              <c:idx val="8"/>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2805"/>
                        <a:gd name="adj2" fmla="val 16217"/>
                      </a:avLst>
                    </a:prstGeom>
                    <a:noFill/>
                    <a:ln>
                      <a:noFill/>
                    </a:ln>
                  </c15:spPr>
                </c:ext>
                <c:ext xmlns:c16="http://schemas.microsoft.com/office/drawing/2014/chart" uri="{C3380CC4-5D6E-409C-BE32-E72D297353CC}">
                  <c16:uniqueId val="{00000007-9700-4C8D-93BF-FEF8A7537F3B}"/>
                </c:ext>
              </c:extLst>
            </c:dLbl>
            <c:dLbl>
              <c:idx val="9"/>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3387"/>
                        <a:gd name="adj2" fmla="val -483"/>
                      </a:avLst>
                    </a:prstGeom>
                    <a:noFill/>
                    <a:ln>
                      <a:noFill/>
                    </a:ln>
                  </c15:spPr>
                </c:ext>
                <c:ext xmlns:c16="http://schemas.microsoft.com/office/drawing/2014/chart" uri="{C3380CC4-5D6E-409C-BE32-E72D297353CC}">
                  <c16:uniqueId val="{00000008-9700-4C8D-93BF-FEF8A7537F3B}"/>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Graf_index_2018!$A$2:$A$11</c:f>
              <c:strCache>
                <c:ptCount val="10"/>
                <c:pt idx="0">
                  <c:v>Lidské zdroje</c:v>
                </c:pt>
                <c:pt idx="1">
                  <c:v>Atraktivní výzkumné systémy</c:v>
                </c:pt>
                <c:pt idx="2">
                  <c:v>Prostředí příznivé pro inovace</c:v>
                </c:pt>
                <c:pt idx="3">
                  <c:v>Financování a podpora</c:v>
                </c:pt>
                <c:pt idx="4">
                  <c:v>Podnikové investice</c:v>
                </c:pt>
                <c:pt idx="5">
                  <c:v>Inovační podniky</c:v>
                </c:pt>
                <c:pt idx="6">
                  <c:v>Vazby</c:v>
                </c:pt>
                <c:pt idx="7">
                  <c:v>Duševní vlastnictví</c:v>
                </c:pt>
                <c:pt idx="8">
                  <c:v>Dopad na zaměstnanost</c:v>
                </c:pt>
                <c:pt idx="9">
                  <c:v>Dopad na prodej</c:v>
                </c:pt>
              </c:strCache>
            </c:strRef>
          </c:cat>
          <c:val>
            <c:numRef>
              <c:f>Graf_index_2018!$C$2:$C$11</c:f>
              <c:numCache>
                <c:formatCode>0.0</c:formatCode>
                <c:ptCount val="10"/>
                <c:pt idx="0">
                  <c:v>75</c:v>
                </c:pt>
                <c:pt idx="1">
                  <c:v>65.3</c:v>
                </c:pt>
                <c:pt idx="2" formatCode="General">
                  <c:v>75.099999999999994</c:v>
                </c:pt>
                <c:pt idx="3">
                  <c:v>46.7</c:v>
                </c:pt>
                <c:pt idx="4">
                  <c:v>94.4</c:v>
                </c:pt>
                <c:pt idx="5">
                  <c:v>96.9</c:v>
                </c:pt>
                <c:pt idx="6">
                  <c:v>84.1</c:v>
                </c:pt>
                <c:pt idx="7">
                  <c:v>63.8</c:v>
                </c:pt>
                <c:pt idx="8">
                  <c:v>118.4</c:v>
                </c:pt>
                <c:pt idx="9">
                  <c:v>93</c:v>
                </c:pt>
              </c:numCache>
            </c:numRef>
          </c:val>
          <c:extLst>
            <c:ext xmlns:c16="http://schemas.microsoft.com/office/drawing/2014/chart" uri="{C3380CC4-5D6E-409C-BE32-E72D297353CC}">
              <c16:uniqueId val="{00000009-9700-4C8D-93BF-FEF8A7537F3B}"/>
            </c:ext>
          </c:extLst>
        </c:ser>
        <c:dLbls>
          <c:showLegendKey val="0"/>
          <c:showVal val="0"/>
          <c:showCatName val="0"/>
          <c:showSerName val="0"/>
          <c:showPercent val="0"/>
          <c:showBubbleSize val="0"/>
        </c:dLbls>
        <c:gapWidth val="219"/>
        <c:axId val="777720848"/>
        <c:axId val="777670352"/>
      </c:barChart>
      <c:lineChart>
        <c:grouping val="standard"/>
        <c:varyColors val="0"/>
        <c:ser>
          <c:idx val="0"/>
          <c:order val="0"/>
          <c:tx>
            <c:strRef>
              <c:f>Graf_index_2018!$B$1</c:f>
              <c:strCache>
                <c:ptCount val="1"/>
                <c:pt idx="0">
                  <c:v>EU</c:v>
                </c:pt>
              </c:strCache>
            </c:strRef>
          </c:tx>
          <c:spPr>
            <a:ln w="28575" cap="rnd">
              <a:solidFill>
                <a:srgbClr val="BD2A33"/>
              </a:solidFill>
              <a:round/>
            </a:ln>
            <a:effectLst/>
          </c:spPr>
          <c:marker>
            <c:symbol val="none"/>
          </c:marker>
          <c:cat>
            <c:strRef>
              <c:f>Graf_index_2018!$A$2:$A$11</c:f>
              <c:strCache>
                <c:ptCount val="10"/>
                <c:pt idx="0">
                  <c:v>Lidské zdroje</c:v>
                </c:pt>
                <c:pt idx="1">
                  <c:v>Atraktivní výzkumné systémy</c:v>
                </c:pt>
                <c:pt idx="2">
                  <c:v>Prostředí příznivé pro inovace</c:v>
                </c:pt>
                <c:pt idx="3">
                  <c:v>Financování a podpora</c:v>
                </c:pt>
                <c:pt idx="4">
                  <c:v>Podnikové investice</c:v>
                </c:pt>
                <c:pt idx="5">
                  <c:v>Inovační podniky</c:v>
                </c:pt>
                <c:pt idx="6">
                  <c:v>Vazby</c:v>
                </c:pt>
                <c:pt idx="7">
                  <c:v>Duševní vlastnictví</c:v>
                </c:pt>
                <c:pt idx="8">
                  <c:v>Dopad na zaměstnanost</c:v>
                </c:pt>
                <c:pt idx="9">
                  <c:v>Dopad na prodej</c:v>
                </c:pt>
              </c:strCache>
            </c:strRef>
          </c:cat>
          <c:val>
            <c:numRef>
              <c:f>Graf_index_2018!$B$2:$B$11</c:f>
              <c:numCache>
                <c:formatCode>0</c:formatCode>
                <c:ptCount val="10"/>
                <c:pt idx="0">
                  <c:v>100</c:v>
                </c:pt>
                <c:pt idx="1">
                  <c:v>100</c:v>
                </c:pt>
                <c:pt idx="2" formatCode="General">
                  <c:v>100</c:v>
                </c:pt>
                <c:pt idx="3">
                  <c:v>100</c:v>
                </c:pt>
                <c:pt idx="4">
                  <c:v>100</c:v>
                </c:pt>
                <c:pt idx="5">
                  <c:v>100</c:v>
                </c:pt>
                <c:pt idx="6">
                  <c:v>100</c:v>
                </c:pt>
                <c:pt idx="7">
                  <c:v>100</c:v>
                </c:pt>
                <c:pt idx="8">
                  <c:v>100</c:v>
                </c:pt>
                <c:pt idx="9">
                  <c:v>100</c:v>
                </c:pt>
              </c:numCache>
            </c:numRef>
          </c:val>
          <c:smooth val="0"/>
          <c:extLst>
            <c:ext xmlns:c16="http://schemas.microsoft.com/office/drawing/2014/chart" uri="{C3380CC4-5D6E-409C-BE32-E72D297353CC}">
              <c16:uniqueId val="{0000000A-9700-4C8D-93BF-FEF8A7537F3B}"/>
            </c:ext>
          </c:extLst>
        </c:ser>
        <c:dLbls>
          <c:showLegendKey val="0"/>
          <c:showVal val="0"/>
          <c:showCatName val="0"/>
          <c:showSerName val="0"/>
          <c:showPercent val="0"/>
          <c:showBubbleSize val="0"/>
        </c:dLbls>
        <c:marker val="1"/>
        <c:smooth val="0"/>
        <c:axId val="777720848"/>
        <c:axId val="777670352"/>
      </c:lineChart>
      <c:catAx>
        <c:axId val="7777208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198000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cs-CZ"/>
          </a:p>
        </c:txPr>
        <c:crossAx val="777670352"/>
        <c:crosses val="autoZero"/>
        <c:auto val="0"/>
        <c:lblAlgn val="ctr"/>
        <c:lblOffset val="0"/>
        <c:tickLblSkip val="1"/>
        <c:noMultiLvlLbl val="0"/>
      </c:catAx>
      <c:valAx>
        <c:axId val="777670352"/>
        <c:scaling>
          <c:orientation val="minMax"/>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77720848"/>
        <c:crosses val="autoZero"/>
        <c:crossBetween val="between"/>
      </c:valAx>
      <c:spPr>
        <a:noFill/>
        <a:ln>
          <a:noFill/>
        </a:ln>
        <a:effectLst/>
      </c:spPr>
    </c:plotArea>
    <c:legend>
      <c:legendPos val="b"/>
      <c:layout>
        <c:manualLayout>
          <c:xMode val="edge"/>
          <c:yMode val="edge"/>
          <c:x val="0.41900588406841299"/>
          <c:y val="0.88201861130994985"/>
          <c:w val="0.30960146805004152"/>
          <c:h val="0.11448519749142619"/>
        </c:manualLayout>
      </c:layout>
      <c:overlay val="1"/>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9389540593140145E-2"/>
          <c:y val="3.5520175362695042E-2"/>
          <c:w val="0.96899438665057391"/>
          <c:h val="0.71844564883934958"/>
        </c:manualLayout>
      </c:layout>
      <c:barChart>
        <c:barDir val="col"/>
        <c:grouping val="clustered"/>
        <c:varyColors val="0"/>
        <c:ser>
          <c:idx val="0"/>
          <c:order val="0"/>
          <c:tx>
            <c:strRef>
              <c:f>'Výdaje na l'!$C$4</c:f>
              <c:strCache>
                <c:ptCount val="1"/>
                <c:pt idx="0">
                  <c:v>Celkové výdaje </c:v>
                </c:pt>
              </c:strCache>
            </c:strRef>
          </c:tx>
          <c:spPr>
            <a:solidFill>
              <a:srgbClr val="00459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'Výdaje na l'!$B$5:$B$9</c:f>
              <c:numCache>
                <c:formatCode>General</c:formatCode>
                <c:ptCount val="5"/>
                <c:pt idx="0">
                  <c:v>2013</c:v>
                </c:pt>
                <c:pt idx="1">
                  <c:v>2014</c:v>
                </c:pt>
                <c:pt idx="2">
                  <c:v>2015</c:v>
                </c:pt>
                <c:pt idx="3">
                  <c:v>2016</c:v>
                </c:pt>
                <c:pt idx="4">
                  <c:v>2017</c:v>
                </c:pt>
              </c:numCache>
            </c:numRef>
          </c:cat>
          <c:val>
            <c:numRef>
              <c:f>'Výdaje na l'!$C$5:$C$9</c:f>
              <c:numCache>
                <c:formatCode>General</c:formatCode>
                <c:ptCount val="5"/>
                <c:pt idx="0">
                  <c:v>71.900000000000006</c:v>
                </c:pt>
                <c:pt idx="1">
                  <c:v>73.8</c:v>
                </c:pt>
                <c:pt idx="2">
                  <c:v>76.8</c:v>
                </c:pt>
                <c:pt idx="3">
                  <c:v>79.099999999999994</c:v>
                </c:pt>
                <c:pt idx="4">
                  <c:v>82.9</c:v>
                </c:pt>
              </c:numCache>
            </c:numRef>
          </c:val>
          <c:extLst>
            <c:ext xmlns:c16="http://schemas.microsoft.com/office/drawing/2014/chart" uri="{C3380CC4-5D6E-409C-BE32-E72D297353CC}">
              <c16:uniqueId val="{00000000-DE0C-431B-A97F-EA792527994C}"/>
            </c:ext>
          </c:extLst>
        </c:ser>
        <c:ser>
          <c:idx val="1"/>
          <c:order val="1"/>
          <c:tx>
            <c:strRef>
              <c:f>'Výdaje na l'!$D$4</c:f>
              <c:strCache>
                <c:ptCount val="1"/>
                <c:pt idx="0">
                  <c:v>z toho hrazené z veřejného pojištění</c:v>
                </c:pt>
              </c:strCache>
            </c:strRef>
          </c:tx>
          <c:spPr>
            <a:solidFill>
              <a:srgbClr val="D9EAFF"/>
            </a:solidFill>
            <a:ln>
              <a:noFill/>
            </a:ln>
            <a:effectLst/>
          </c:spPr>
          <c:invertIfNegative val="0"/>
          <c:dLbls>
            <c:dLbl>
              <c:idx val="3"/>
              <c:layout>
                <c:manualLayout>
                  <c:x val="2.4337205374080718E-2"/>
                  <c:y val="5.8608058608058601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layout>
                    <c:manualLayout>
                      <c:w val="5.704061744757153E-2"/>
                      <c:h val="0.11710651553171238"/>
                    </c:manualLayout>
                  </c15:layout>
                </c:ext>
                <c:ext xmlns:c16="http://schemas.microsoft.com/office/drawing/2014/chart" uri="{C3380CC4-5D6E-409C-BE32-E72D297353CC}">
                  <c16:uniqueId val="{00000001-DE0C-431B-A97F-EA792527994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'Výdaje na l'!$B$5:$B$9</c:f>
              <c:numCache>
                <c:formatCode>General</c:formatCode>
                <c:ptCount val="5"/>
                <c:pt idx="0">
                  <c:v>2013</c:v>
                </c:pt>
                <c:pt idx="1">
                  <c:v>2014</c:v>
                </c:pt>
                <c:pt idx="2">
                  <c:v>2015</c:v>
                </c:pt>
                <c:pt idx="3">
                  <c:v>2016</c:v>
                </c:pt>
                <c:pt idx="4">
                  <c:v>2017</c:v>
                </c:pt>
              </c:numCache>
            </c:numRef>
          </c:cat>
          <c:val>
            <c:numRef>
              <c:f>'Výdaje na l'!$D$5:$D$9</c:f>
              <c:numCache>
                <c:formatCode>General</c:formatCode>
                <c:ptCount val="5"/>
                <c:pt idx="0">
                  <c:v>51.4</c:v>
                </c:pt>
                <c:pt idx="1">
                  <c:v>52.2</c:v>
                </c:pt>
                <c:pt idx="2" formatCode="0.0">
                  <c:v>54</c:v>
                </c:pt>
                <c:pt idx="3">
                  <c:v>55.4</c:v>
                </c:pt>
                <c:pt idx="4">
                  <c:v>57.4</c:v>
                </c:pt>
              </c:numCache>
            </c:numRef>
          </c:val>
          <c:extLst>
            <c:ext xmlns:c16="http://schemas.microsoft.com/office/drawing/2014/chart" uri="{C3380CC4-5D6E-409C-BE32-E72D297353CC}">
              <c16:uniqueId val="{00000002-DE0C-431B-A97F-EA792527994C}"/>
            </c:ext>
          </c:extLst>
        </c:ser>
        <c:dLbls>
          <c:showLegendKey val="0"/>
          <c:showVal val="1"/>
          <c:showCatName val="0"/>
          <c:showSerName val="0"/>
          <c:showPercent val="0"/>
          <c:showBubbleSize val="0"/>
        </c:dLbls>
        <c:gapWidth val="219"/>
        <c:overlap val="-27"/>
        <c:axId val="692489087"/>
        <c:axId val="692491167"/>
      </c:barChart>
      <c:lineChart>
        <c:grouping val="standard"/>
        <c:varyColors val="0"/>
        <c:ser>
          <c:idx val="2"/>
          <c:order val="2"/>
          <c:tx>
            <c:strRef>
              <c:f>'Výdaje na l'!$E$4</c:f>
              <c:strCache>
                <c:ptCount val="1"/>
                <c:pt idx="0">
                  <c:v>Výdaje na centrové léky</c:v>
                </c:pt>
              </c:strCache>
            </c:strRef>
          </c:tx>
          <c:spPr>
            <a:ln w="28575" cap="rnd">
              <a:solidFill>
                <a:srgbClr val="BD2A33"/>
              </a:solidFill>
              <a:round/>
            </a:ln>
            <a:effectLst/>
          </c:spPr>
          <c:marker>
            <c:symbol val="none"/>
          </c:marker>
          <c:dLbls>
            <c:dLbl>
              <c:idx val="0"/>
              <c:layout>
                <c:manualLayout>
                  <c:x val="-3.6281179138321996E-2"/>
                  <c:y val="-4.39560439560440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E0C-431B-A97F-EA792527994C}"/>
                </c:ext>
              </c:extLst>
            </c:dLbl>
            <c:dLbl>
              <c:idx val="1"/>
              <c:layout>
                <c:manualLayout>
                  <c:x val="-3.4013605442176874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E0C-431B-A97F-EA792527994C}"/>
                </c:ext>
              </c:extLst>
            </c:dLbl>
            <c:dLbl>
              <c:idx val="2"/>
              <c:layout>
                <c:manualLayout>
                  <c:x val="-3.4013605442176874E-2"/>
                  <c:y val="-7.32600732600732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E0C-431B-A97F-EA792527994C}"/>
                </c:ext>
              </c:extLst>
            </c:dLbl>
            <c:dLbl>
              <c:idx val="3"/>
              <c:layout>
                <c:manualLayout>
                  <c:x val="-4.5351473922902577E-2"/>
                  <c:y val="5.12820512820512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E0C-431B-A97F-EA792527994C}"/>
                </c:ext>
              </c:extLst>
            </c:dLbl>
            <c:dLbl>
              <c:idx val="4"/>
              <c:layout>
                <c:manualLayout>
                  <c:x val="-5.6689342403628121E-2"/>
                  <c:y val="4.395604395604393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E0C-431B-A97F-EA792527994C}"/>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'Výdaje na l'!$B$5:$B$9</c:f>
              <c:numCache>
                <c:formatCode>General</c:formatCode>
                <c:ptCount val="5"/>
                <c:pt idx="0">
                  <c:v>2013</c:v>
                </c:pt>
                <c:pt idx="1">
                  <c:v>2014</c:v>
                </c:pt>
                <c:pt idx="2">
                  <c:v>2015</c:v>
                </c:pt>
                <c:pt idx="3">
                  <c:v>2016</c:v>
                </c:pt>
                <c:pt idx="4">
                  <c:v>2017</c:v>
                </c:pt>
              </c:numCache>
            </c:numRef>
          </c:cat>
          <c:val>
            <c:numRef>
              <c:f>'Výdaje na l'!$E$5:$E$9</c:f>
              <c:numCache>
                <c:formatCode>0.0</c:formatCode>
                <c:ptCount val="5"/>
                <c:pt idx="0">
                  <c:v>10.194000000000001</c:v>
                </c:pt>
                <c:pt idx="1">
                  <c:v>11.981999999999999</c:v>
                </c:pt>
                <c:pt idx="2">
                  <c:v>12.781000000000001</c:v>
                </c:pt>
                <c:pt idx="3">
                  <c:v>15.276</c:v>
                </c:pt>
                <c:pt idx="4">
                  <c:v>16.655000000000001</c:v>
                </c:pt>
              </c:numCache>
            </c:numRef>
          </c:val>
          <c:smooth val="0"/>
          <c:extLst>
            <c:ext xmlns:c16="http://schemas.microsoft.com/office/drawing/2014/chart" uri="{C3380CC4-5D6E-409C-BE32-E72D297353CC}">
              <c16:uniqueId val="{00000008-DE0C-431B-A97F-EA792527994C}"/>
            </c:ext>
          </c:extLst>
        </c:ser>
        <c:dLbls>
          <c:showLegendKey val="0"/>
          <c:showVal val="1"/>
          <c:showCatName val="0"/>
          <c:showSerName val="0"/>
          <c:showPercent val="0"/>
          <c:showBubbleSize val="0"/>
        </c:dLbls>
        <c:marker val="1"/>
        <c:smooth val="0"/>
        <c:axId val="692497823"/>
        <c:axId val="692495743"/>
      </c:lineChart>
      <c:catAx>
        <c:axId val="6924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692491167"/>
        <c:crosses val="autoZero"/>
        <c:auto val="1"/>
        <c:lblAlgn val="ctr"/>
        <c:lblOffset val="100"/>
        <c:noMultiLvlLbl val="0"/>
      </c:catAx>
      <c:valAx>
        <c:axId val="692491167"/>
        <c:scaling>
          <c:orientation val="minMax"/>
          <c:max val="95"/>
          <c:min val="0"/>
        </c:scaling>
        <c:delete val="0"/>
        <c:axPos val="l"/>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92489087"/>
        <c:crosses val="autoZero"/>
        <c:crossBetween val="between"/>
      </c:valAx>
      <c:valAx>
        <c:axId val="692495743"/>
        <c:scaling>
          <c:orientation val="minMax"/>
          <c:max val="18"/>
          <c:min val="10"/>
        </c:scaling>
        <c:delete val="0"/>
        <c:axPos val="r"/>
        <c:numFmt formatCode="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92497823"/>
        <c:crosses val="max"/>
        <c:crossBetween val="between"/>
      </c:valAx>
      <c:catAx>
        <c:axId val="692497823"/>
        <c:scaling>
          <c:orientation val="minMax"/>
        </c:scaling>
        <c:delete val="1"/>
        <c:axPos val="b"/>
        <c:numFmt formatCode="General" sourceLinked="1"/>
        <c:majorTickMark val="out"/>
        <c:minorTickMark val="none"/>
        <c:tickLblPos val="nextTo"/>
        <c:crossAx val="692495743"/>
        <c:crosses val="autoZero"/>
        <c:auto val="1"/>
        <c:lblAlgn val="ctr"/>
        <c:lblOffset val="100"/>
        <c:noMultiLvlLbl val="0"/>
      </c:catAx>
      <c:spPr>
        <a:noFill/>
        <a:ln>
          <a:noFill/>
        </a:ln>
        <a:effectLst/>
      </c:spPr>
    </c:plotArea>
    <c:legend>
      <c:legendPos val="b"/>
      <c:layout>
        <c:manualLayout>
          <c:xMode val="edge"/>
          <c:yMode val="edge"/>
          <c:x val="3.10622558318824E-2"/>
          <c:y val="0.90413082980012116"/>
          <c:w val="0.93347484689413829"/>
          <c:h val="9.006951054195148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4238569829121011E-2"/>
          <c:y val="5.0925925925925923E-2"/>
          <c:w val="0.96363645834237643"/>
          <c:h val="0.58646471274424028"/>
        </c:manualLayout>
      </c:layout>
      <c:barChart>
        <c:barDir val="col"/>
        <c:grouping val="clustered"/>
        <c:varyColors val="0"/>
        <c:ser>
          <c:idx val="1"/>
          <c:order val="1"/>
          <c:tx>
            <c:strRef>
              <c:f>'[G - inflace.xlsx]G-Inflace'!$A$8</c:f>
              <c:strCache>
                <c:ptCount val="1"/>
                <c:pt idx="0">
                  <c:v>Růst výdajů na bydlení (včetně vody, energie, paliva)</c:v>
                </c:pt>
              </c:strCache>
            </c:strRef>
          </c:tx>
          <c:spPr>
            <a:solidFill>
              <a:srgbClr val="004595"/>
            </a:solidFill>
            <a:ln>
              <a:noFill/>
            </a:ln>
            <a:effectLst/>
          </c:spPr>
          <c:invertIfNegative val="0"/>
          <c:dLbls>
            <c:dLbl>
              <c:idx val="1"/>
              <c:layout>
                <c:manualLayout>
                  <c:x val="0"/>
                  <c:y val="1.008191356307130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628-4678-A7FC-DA309E40FDF3}"/>
                </c:ext>
              </c:extLst>
            </c:dLbl>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 - inflace.xlsx]G-Inflace'!$B$5:$D$5</c:f>
              <c:strCache>
                <c:ptCount val="3"/>
                <c:pt idx="0">
                  <c:v> Prosinec 2016</c:v>
                </c:pt>
                <c:pt idx="1">
                  <c:v> Prosinec 2017</c:v>
                </c:pt>
                <c:pt idx="2">
                  <c:v> Prosinec 2018</c:v>
                </c:pt>
              </c:strCache>
            </c:strRef>
          </c:cat>
          <c:val>
            <c:numRef>
              <c:f>'[G - inflace.xlsx]G-Inflace'!$B$8:$D$8</c:f>
              <c:numCache>
                <c:formatCode>0.0</c:formatCode>
                <c:ptCount val="3"/>
                <c:pt idx="0">
                  <c:v>0.7</c:v>
                </c:pt>
                <c:pt idx="1">
                  <c:v>2.1</c:v>
                </c:pt>
                <c:pt idx="2">
                  <c:v>4</c:v>
                </c:pt>
              </c:numCache>
            </c:numRef>
          </c:val>
          <c:extLst>
            <c:ext xmlns:c16="http://schemas.microsoft.com/office/drawing/2014/chart" uri="{C3380CC4-5D6E-409C-BE32-E72D297353CC}">
              <c16:uniqueId val="{00000001-7628-4678-A7FC-DA309E40FDF3}"/>
            </c:ext>
          </c:extLst>
        </c:ser>
        <c:dLbls>
          <c:showLegendKey val="0"/>
          <c:showVal val="0"/>
          <c:showCatName val="0"/>
          <c:showSerName val="0"/>
          <c:showPercent val="0"/>
          <c:showBubbleSize val="0"/>
        </c:dLbls>
        <c:gapWidth val="219"/>
        <c:overlap val="-27"/>
        <c:axId val="901991424"/>
        <c:axId val="901988096"/>
      </c:barChart>
      <c:lineChart>
        <c:grouping val="standard"/>
        <c:varyColors val="0"/>
        <c:ser>
          <c:idx val="0"/>
          <c:order val="0"/>
          <c:tx>
            <c:strRef>
              <c:f>'[G - inflace.xlsx]G-Inflace'!$A$6</c:f>
              <c:strCache>
                <c:ptCount val="1"/>
                <c:pt idx="0">
                  <c:v>Prosincová míra inflace</c:v>
                </c:pt>
              </c:strCache>
            </c:strRef>
          </c:tx>
          <c:spPr>
            <a:ln w="28575" cap="rnd">
              <a:solidFill>
                <a:srgbClr val="BD2A33"/>
              </a:solidFill>
              <a:round/>
            </a:ln>
            <a:effectLst/>
          </c:spPr>
          <c:marker>
            <c:symbol val="none"/>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 - inflace.xlsx]G-Inflace'!$B$5:$D$5</c:f>
              <c:strCache>
                <c:ptCount val="3"/>
                <c:pt idx="0">
                  <c:v> Prosinec 2016</c:v>
                </c:pt>
                <c:pt idx="1">
                  <c:v> Prosinec 2017</c:v>
                </c:pt>
                <c:pt idx="2">
                  <c:v> Prosinec 2018</c:v>
                </c:pt>
              </c:strCache>
            </c:strRef>
          </c:cat>
          <c:val>
            <c:numRef>
              <c:f>'[G - inflace.xlsx]G-Inflace'!$B$6:$D$6</c:f>
              <c:numCache>
                <c:formatCode>0.0</c:formatCode>
                <c:ptCount val="3"/>
                <c:pt idx="0">
                  <c:v>2</c:v>
                </c:pt>
                <c:pt idx="1">
                  <c:v>2.4</c:v>
                </c:pt>
                <c:pt idx="2">
                  <c:v>2</c:v>
                </c:pt>
              </c:numCache>
            </c:numRef>
          </c:val>
          <c:smooth val="0"/>
          <c:extLst>
            <c:ext xmlns:c16="http://schemas.microsoft.com/office/drawing/2014/chart" uri="{C3380CC4-5D6E-409C-BE32-E72D297353CC}">
              <c16:uniqueId val="{00000002-7628-4678-A7FC-DA309E40FDF3}"/>
            </c:ext>
          </c:extLst>
        </c:ser>
        <c:ser>
          <c:idx val="2"/>
          <c:order val="2"/>
          <c:tx>
            <c:strRef>
              <c:f>'[G - inflace.xlsx]G-Inflace'!$A$7</c:f>
              <c:strCache>
                <c:ptCount val="1"/>
                <c:pt idx="0">
                  <c:v>z toho příspěvek výdajů na bydlení k růstu míry inflace</c:v>
                </c:pt>
              </c:strCache>
            </c:strRef>
          </c:tx>
          <c:spPr>
            <a:ln w="28575" cap="rnd">
              <a:solidFill>
                <a:srgbClr val="D9EAFF"/>
              </a:solidFill>
              <a:round/>
            </a:ln>
            <a:effectLst/>
          </c:spPr>
          <c:marker>
            <c:symbol val="none"/>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 - inflace.xlsx]G-Inflace'!$B$5:$D$5</c:f>
              <c:strCache>
                <c:ptCount val="3"/>
                <c:pt idx="0">
                  <c:v> Prosinec 2016</c:v>
                </c:pt>
                <c:pt idx="1">
                  <c:v> Prosinec 2017</c:v>
                </c:pt>
                <c:pt idx="2">
                  <c:v> Prosinec 2018</c:v>
                </c:pt>
              </c:strCache>
            </c:strRef>
          </c:cat>
          <c:val>
            <c:numRef>
              <c:f>'[G - inflace.xlsx]G-Inflace'!$B$7:$D$7</c:f>
              <c:numCache>
                <c:formatCode>0.0</c:formatCode>
                <c:ptCount val="3"/>
                <c:pt idx="0">
                  <c:v>0.2</c:v>
                </c:pt>
                <c:pt idx="1">
                  <c:v>0.5</c:v>
                </c:pt>
                <c:pt idx="2">
                  <c:v>1</c:v>
                </c:pt>
              </c:numCache>
            </c:numRef>
          </c:val>
          <c:smooth val="0"/>
          <c:extLst>
            <c:ext xmlns:c16="http://schemas.microsoft.com/office/drawing/2014/chart" uri="{C3380CC4-5D6E-409C-BE32-E72D297353CC}">
              <c16:uniqueId val="{00000003-7628-4678-A7FC-DA309E40FDF3}"/>
            </c:ext>
          </c:extLst>
        </c:ser>
        <c:dLbls>
          <c:showLegendKey val="0"/>
          <c:showVal val="0"/>
          <c:showCatName val="0"/>
          <c:showSerName val="0"/>
          <c:showPercent val="0"/>
          <c:showBubbleSize val="0"/>
        </c:dLbls>
        <c:marker val="1"/>
        <c:smooth val="0"/>
        <c:axId val="418295488"/>
        <c:axId val="409901504"/>
      </c:lineChart>
      <c:catAx>
        <c:axId val="901991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901988096"/>
        <c:crosses val="autoZero"/>
        <c:auto val="1"/>
        <c:lblAlgn val="ctr"/>
        <c:lblOffset val="100"/>
        <c:noMultiLvlLbl val="0"/>
      </c:catAx>
      <c:valAx>
        <c:axId val="901988096"/>
        <c:scaling>
          <c:orientation val="minMax"/>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901991424"/>
        <c:crosses val="autoZero"/>
        <c:crossBetween val="between"/>
      </c:valAx>
      <c:valAx>
        <c:axId val="409901504"/>
        <c:scaling>
          <c:orientation val="minMax"/>
          <c:max val="4"/>
        </c:scaling>
        <c:delete val="0"/>
        <c:axPos val="r"/>
        <c:numFmt formatCode="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418295488"/>
        <c:crosses val="max"/>
        <c:crossBetween val="between"/>
      </c:valAx>
      <c:catAx>
        <c:axId val="418295488"/>
        <c:scaling>
          <c:orientation val="minMax"/>
        </c:scaling>
        <c:delete val="1"/>
        <c:axPos val="b"/>
        <c:numFmt formatCode="General" sourceLinked="1"/>
        <c:majorTickMark val="out"/>
        <c:minorTickMark val="none"/>
        <c:tickLblPos val="nextTo"/>
        <c:crossAx val="409901504"/>
        <c:crosses val="autoZero"/>
        <c:auto val="1"/>
        <c:lblAlgn val="ctr"/>
        <c:lblOffset val="100"/>
        <c:noMultiLvlLbl val="0"/>
      </c:catAx>
      <c:spPr>
        <a:noFill/>
        <a:ln>
          <a:noFill/>
        </a:ln>
        <a:effectLst/>
      </c:spPr>
    </c:plotArea>
    <c:legend>
      <c:legendPos val="b"/>
      <c:layout>
        <c:manualLayout>
          <c:xMode val="edge"/>
          <c:yMode val="edge"/>
          <c:x val="8.7336464419345596E-3"/>
          <c:y val="0.74479002624671919"/>
          <c:w val="0.981447881308111"/>
          <c:h val="0.2274321959755030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5000000000000001E-2"/>
          <c:y val="1.0603330581661165E-2"/>
          <c:w val="0.93888888888888888"/>
          <c:h val="0.73519411300581294"/>
        </c:manualLayout>
      </c:layout>
      <c:barChart>
        <c:barDir val="col"/>
        <c:grouping val="clustered"/>
        <c:varyColors val="0"/>
        <c:ser>
          <c:idx val="0"/>
          <c:order val="0"/>
          <c:tx>
            <c:strRef>
              <c:f>Spotřeba!$E$5</c:f>
              <c:strCache>
                <c:ptCount val="1"/>
                <c:pt idx="0">
                  <c:v>Celkové dodávky léčiv</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Spotřeba!$F$4:$L$4</c:f>
              <c:numCache>
                <c:formatCode>General</c:formatCode>
                <c:ptCount val="7"/>
                <c:pt idx="0">
                  <c:v>2010</c:v>
                </c:pt>
                <c:pt idx="1">
                  <c:v>2013</c:v>
                </c:pt>
                <c:pt idx="2">
                  <c:v>2014</c:v>
                </c:pt>
                <c:pt idx="3">
                  <c:v>2015</c:v>
                </c:pt>
                <c:pt idx="4">
                  <c:v>2016</c:v>
                </c:pt>
                <c:pt idx="5">
                  <c:v>2017</c:v>
                </c:pt>
                <c:pt idx="6">
                  <c:v>2018</c:v>
                </c:pt>
              </c:numCache>
            </c:numRef>
          </c:cat>
          <c:val>
            <c:numRef>
              <c:f>Spotřeba!$F$5:$L$5</c:f>
              <c:numCache>
                <c:formatCode>#,##0</c:formatCode>
                <c:ptCount val="7"/>
                <c:pt idx="0">
                  <c:v>6084.1</c:v>
                </c:pt>
                <c:pt idx="1">
                  <c:v>6170.4</c:v>
                </c:pt>
                <c:pt idx="2">
                  <c:v>6321.86</c:v>
                </c:pt>
                <c:pt idx="3">
                  <c:v>6512.87</c:v>
                </c:pt>
                <c:pt idx="4">
                  <c:v>6562.88</c:v>
                </c:pt>
                <c:pt idx="5">
                  <c:v>6671.03</c:v>
                </c:pt>
                <c:pt idx="6">
                  <c:v>6722.43</c:v>
                </c:pt>
              </c:numCache>
            </c:numRef>
          </c:val>
          <c:extLst>
            <c:ext xmlns:c16="http://schemas.microsoft.com/office/drawing/2014/chart" uri="{C3380CC4-5D6E-409C-BE32-E72D297353CC}">
              <c16:uniqueId val="{00000000-AFC1-4EE7-80E9-EEC42F372578}"/>
            </c:ext>
          </c:extLst>
        </c:ser>
        <c:ser>
          <c:idx val="1"/>
          <c:order val="1"/>
          <c:tx>
            <c:strRef>
              <c:f>Spotřeba!$E$6</c:f>
              <c:strCache>
                <c:ptCount val="1"/>
                <c:pt idx="0">
                  <c:v>z toho výdeje z lékáren*</c:v>
                </c:pt>
              </c:strCache>
            </c:strRef>
          </c:tx>
          <c:spPr>
            <a:solidFill>
              <a:srgbClr val="BD2A33"/>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Spotřeba!$F$4:$L$4</c:f>
              <c:numCache>
                <c:formatCode>General</c:formatCode>
                <c:ptCount val="7"/>
                <c:pt idx="0">
                  <c:v>2010</c:v>
                </c:pt>
                <c:pt idx="1">
                  <c:v>2013</c:v>
                </c:pt>
                <c:pt idx="2">
                  <c:v>2014</c:v>
                </c:pt>
                <c:pt idx="3">
                  <c:v>2015</c:v>
                </c:pt>
                <c:pt idx="4">
                  <c:v>2016</c:v>
                </c:pt>
                <c:pt idx="5">
                  <c:v>2017</c:v>
                </c:pt>
                <c:pt idx="6">
                  <c:v>2018</c:v>
                </c:pt>
              </c:numCache>
            </c:numRef>
          </c:cat>
          <c:val>
            <c:numRef>
              <c:f>Spotřeba!$F$6:$L$6</c:f>
              <c:numCache>
                <c:formatCode>#,##0</c:formatCode>
                <c:ptCount val="7"/>
                <c:pt idx="0">
                  <c:v>3809.9</c:v>
                </c:pt>
                <c:pt idx="1">
                  <c:v>4860.2700000000004</c:v>
                </c:pt>
                <c:pt idx="2">
                  <c:v>5124.71</c:v>
                </c:pt>
                <c:pt idx="3">
                  <c:v>5273.06</c:v>
                </c:pt>
                <c:pt idx="4">
                  <c:v>4622.78</c:v>
                </c:pt>
                <c:pt idx="5">
                  <c:v>5227.9399999999996</c:v>
                </c:pt>
              </c:numCache>
            </c:numRef>
          </c:val>
          <c:extLst>
            <c:ext xmlns:c16="http://schemas.microsoft.com/office/drawing/2014/chart" uri="{C3380CC4-5D6E-409C-BE32-E72D297353CC}">
              <c16:uniqueId val="{00000001-AFC1-4EE7-80E9-EEC42F372578}"/>
            </c:ext>
          </c:extLst>
        </c:ser>
        <c:dLbls>
          <c:showLegendKey val="0"/>
          <c:showVal val="0"/>
          <c:showCatName val="0"/>
          <c:showSerName val="0"/>
          <c:showPercent val="0"/>
          <c:showBubbleSize val="0"/>
        </c:dLbls>
        <c:gapWidth val="23"/>
        <c:overlap val="-8"/>
        <c:axId val="2112659823"/>
        <c:axId val="2112661903"/>
      </c:barChart>
      <c:catAx>
        <c:axId val="2112659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2112661903"/>
        <c:crosses val="autoZero"/>
        <c:auto val="1"/>
        <c:lblAlgn val="ctr"/>
        <c:lblOffset val="100"/>
        <c:noMultiLvlLbl val="0"/>
      </c:catAx>
      <c:valAx>
        <c:axId val="2112661903"/>
        <c:scaling>
          <c:orientation val="minMax"/>
          <c:min val="0"/>
        </c:scaling>
        <c:delete val="0"/>
        <c:axPos val="l"/>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112659823"/>
        <c:crosses val="autoZero"/>
        <c:crossBetween val="between"/>
      </c:valAx>
      <c:spPr>
        <a:noFill/>
        <a:ln>
          <a:noFill/>
        </a:ln>
        <a:effectLst/>
      </c:spPr>
    </c:plotArea>
    <c:legend>
      <c:legendPos val="b"/>
      <c:layout>
        <c:manualLayout>
          <c:xMode val="edge"/>
          <c:yMode val="edge"/>
          <c:x val="0.25121617515561384"/>
          <c:y val="0.91532892613022299"/>
          <c:w val="0.4975674760610822"/>
          <c:h val="8.467107386977697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688506529276432E-2"/>
          <c:y val="4.0697453358870692E-2"/>
          <c:w val="0.52670101422507376"/>
          <c:h val="0.92243853302121015"/>
        </c:manualLayout>
      </c:layout>
      <c:doughnutChart>
        <c:varyColors val="1"/>
        <c:ser>
          <c:idx val="0"/>
          <c:order val="0"/>
          <c:spPr>
            <a:ln>
              <a:noFill/>
            </a:ln>
          </c:spPr>
          <c:dPt>
            <c:idx val="0"/>
            <c:bubble3D val="0"/>
            <c:spPr>
              <a:solidFill>
                <a:srgbClr val="BD2A33"/>
              </a:solidFill>
              <a:ln w="19050">
                <a:noFill/>
              </a:ln>
              <a:effectLst/>
            </c:spPr>
            <c:extLst>
              <c:ext xmlns:c16="http://schemas.microsoft.com/office/drawing/2014/chart" uri="{C3380CC4-5D6E-409C-BE32-E72D297353CC}">
                <c16:uniqueId val="{00000001-822D-45AE-879F-7C23CF274CBD}"/>
              </c:ext>
            </c:extLst>
          </c:dPt>
          <c:dPt>
            <c:idx val="1"/>
            <c:bubble3D val="0"/>
            <c:spPr>
              <a:solidFill>
                <a:srgbClr val="BD2A33">
                  <a:alpha val="80000"/>
                </a:srgbClr>
              </a:solidFill>
              <a:ln w="19050">
                <a:noFill/>
              </a:ln>
              <a:effectLst/>
            </c:spPr>
            <c:extLst>
              <c:ext xmlns:c16="http://schemas.microsoft.com/office/drawing/2014/chart" uri="{C3380CC4-5D6E-409C-BE32-E72D297353CC}">
                <c16:uniqueId val="{00000003-822D-45AE-879F-7C23CF274CBD}"/>
              </c:ext>
            </c:extLst>
          </c:dPt>
          <c:dPt>
            <c:idx val="2"/>
            <c:bubble3D val="0"/>
            <c:spPr>
              <a:solidFill>
                <a:srgbClr val="BD2A33">
                  <a:alpha val="60000"/>
                </a:srgbClr>
              </a:solidFill>
              <a:ln w="19050">
                <a:noFill/>
              </a:ln>
              <a:effectLst/>
            </c:spPr>
            <c:extLst>
              <c:ext xmlns:c16="http://schemas.microsoft.com/office/drawing/2014/chart" uri="{C3380CC4-5D6E-409C-BE32-E72D297353CC}">
                <c16:uniqueId val="{00000005-822D-45AE-879F-7C23CF274CBD}"/>
              </c:ext>
            </c:extLst>
          </c:dPt>
          <c:dPt>
            <c:idx val="3"/>
            <c:bubble3D val="0"/>
            <c:spPr>
              <a:solidFill>
                <a:srgbClr val="BD2A33">
                  <a:alpha val="40000"/>
                </a:srgbClr>
              </a:solidFill>
              <a:ln w="19050">
                <a:noFill/>
              </a:ln>
              <a:effectLst/>
            </c:spPr>
            <c:extLst>
              <c:ext xmlns:c16="http://schemas.microsoft.com/office/drawing/2014/chart" uri="{C3380CC4-5D6E-409C-BE32-E72D297353CC}">
                <c16:uniqueId val="{00000007-822D-45AE-879F-7C23CF274CBD}"/>
              </c:ext>
            </c:extLst>
          </c:dPt>
          <c:dPt>
            <c:idx val="4"/>
            <c:bubble3D val="0"/>
            <c:spPr>
              <a:solidFill>
                <a:srgbClr val="004595">
                  <a:alpha val="80000"/>
                </a:srgbClr>
              </a:solidFill>
              <a:ln w="19050">
                <a:noFill/>
              </a:ln>
              <a:effectLst/>
            </c:spPr>
            <c:extLst>
              <c:ext xmlns:c16="http://schemas.microsoft.com/office/drawing/2014/chart" uri="{C3380CC4-5D6E-409C-BE32-E72D297353CC}">
                <c16:uniqueId val="{00000009-822D-45AE-879F-7C23CF274CBD}"/>
              </c:ext>
            </c:extLst>
          </c:dPt>
          <c:dPt>
            <c:idx val="5"/>
            <c:bubble3D val="0"/>
            <c:spPr>
              <a:solidFill>
                <a:srgbClr val="004595"/>
              </a:solidFill>
              <a:ln w="19050">
                <a:noFill/>
              </a:ln>
              <a:effectLst/>
            </c:spPr>
            <c:extLst>
              <c:ext xmlns:c16="http://schemas.microsoft.com/office/drawing/2014/chart" uri="{C3380CC4-5D6E-409C-BE32-E72D297353CC}">
                <c16:uniqueId val="{0000000B-822D-45AE-879F-7C23CF274CBD}"/>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'G 30 31-Půda'!$C$37:$C$42</c:f>
              <c:strCache>
                <c:ptCount val="6"/>
                <c:pt idx="0">
                  <c:v>Extrémně ohrožená</c:v>
                </c:pt>
                <c:pt idx="1">
                  <c:v>Velmi silně ohrožená</c:v>
                </c:pt>
                <c:pt idx="2">
                  <c:v>Silně ohrožená</c:v>
                </c:pt>
                <c:pt idx="3">
                  <c:v>Středně ohrožená</c:v>
                </c:pt>
                <c:pt idx="4">
                  <c:v>Slabě ohrožená</c:v>
                </c:pt>
                <c:pt idx="5">
                  <c:v>Velmi slabě ohrožená</c:v>
                </c:pt>
              </c:strCache>
            </c:strRef>
          </c:cat>
          <c:val>
            <c:numRef>
              <c:f>'G 30 31-Půda'!$E$37:$E$42</c:f>
              <c:numCache>
                <c:formatCode>0.00</c:formatCode>
                <c:ptCount val="6"/>
                <c:pt idx="0">
                  <c:v>16</c:v>
                </c:pt>
                <c:pt idx="1">
                  <c:v>4</c:v>
                </c:pt>
                <c:pt idx="2">
                  <c:v>15</c:v>
                </c:pt>
                <c:pt idx="3">
                  <c:v>17</c:v>
                </c:pt>
                <c:pt idx="4">
                  <c:v>12</c:v>
                </c:pt>
                <c:pt idx="5">
                  <c:v>36</c:v>
                </c:pt>
              </c:numCache>
            </c:numRef>
          </c:val>
          <c:extLst>
            <c:ext xmlns:c16="http://schemas.microsoft.com/office/drawing/2014/chart" uri="{C3380CC4-5D6E-409C-BE32-E72D297353CC}">
              <c16:uniqueId val="{0000000C-822D-45AE-879F-7C23CF274CBD}"/>
            </c:ext>
          </c:extLst>
        </c:ser>
        <c:dLbls>
          <c:showLegendKey val="0"/>
          <c:showVal val="0"/>
          <c:showCatName val="0"/>
          <c:showSerName val="0"/>
          <c:showPercent val="0"/>
          <c:showBubbleSize val="0"/>
          <c:showLeaderLines val="1"/>
        </c:dLbls>
        <c:firstSliceAng val="0"/>
        <c:holeSize val="65"/>
      </c:doughnutChart>
      <c:spPr>
        <a:noFill/>
        <a:ln>
          <a:noFill/>
        </a:ln>
        <a:effectLst/>
      </c:spPr>
    </c:plotArea>
    <c:legend>
      <c:legendPos val="r"/>
      <c:layout>
        <c:manualLayout>
          <c:xMode val="edge"/>
          <c:yMode val="edge"/>
          <c:x val="0.49985389435286964"/>
          <c:y val="5.1124015748031493E-2"/>
          <c:w val="0.48908097259947109"/>
          <c:h val="0.9155426509186351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994135802469135E-2"/>
          <c:y val="3.0800312123146763E-2"/>
          <c:w val="0.51752839506172843"/>
          <c:h val="0.95157381003050312"/>
        </c:manualLayout>
      </c:layout>
      <c:doughnutChart>
        <c:varyColors val="1"/>
        <c:ser>
          <c:idx val="0"/>
          <c:order val="0"/>
          <c:spPr>
            <a:ln>
              <a:noFill/>
            </a:ln>
          </c:spPr>
          <c:dPt>
            <c:idx val="0"/>
            <c:bubble3D val="0"/>
            <c:spPr>
              <a:solidFill>
                <a:srgbClr val="BD2A33"/>
              </a:solidFill>
              <a:ln w="19050">
                <a:noFill/>
              </a:ln>
              <a:effectLst/>
            </c:spPr>
            <c:extLst>
              <c:ext xmlns:c16="http://schemas.microsoft.com/office/drawing/2014/chart" uri="{C3380CC4-5D6E-409C-BE32-E72D297353CC}">
                <c16:uniqueId val="{00000001-F90A-4BB5-B295-E02155724ED0}"/>
              </c:ext>
            </c:extLst>
          </c:dPt>
          <c:dPt>
            <c:idx val="1"/>
            <c:bubble3D val="0"/>
            <c:spPr>
              <a:solidFill>
                <a:srgbClr val="BD2A33">
                  <a:alpha val="80000"/>
                </a:srgbClr>
              </a:solidFill>
              <a:ln w="19050">
                <a:noFill/>
              </a:ln>
              <a:effectLst/>
            </c:spPr>
            <c:extLst>
              <c:ext xmlns:c16="http://schemas.microsoft.com/office/drawing/2014/chart" uri="{C3380CC4-5D6E-409C-BE32-E72D297353CC}">
                <c16:uniqueId val="{00000003-F90A-4BB5-B295-E02155724ED0}"/>
              </c:ext>
            </c:extLst>
          </c:dPt>
          <c:dPt>
            <c:idx val="2"/>
            <c:bubble3D val="0"/>
            <c:spPr>
              <a:solidFill>
                <a:srgbClr val="BD2A33">
                  <a:alpha val="60000"/>
                </a:srgbClr>
              </a:solidFill>
              <a:ln w="19050">
                <a:noFill/>
              </a:ln>
              <a:effectLst/>
            </c:spPr>
            <c:extLst>
              <c:ext xmlns:c16="http://schemas.microsoft.com/office/drawing/2014/chart" uri="{C3380CC4-5D6E-409C-BE32-E72D297353CC}">
                <c16:uniqueId val="{00000005-F90A-4BB5-B295-E02155724ED0}"/>
              </c:ext>
            </c:extLst>
          </c:dPt>
          <c:dPt>
            <c:idx val="3"/>
            <c:bubble3D val="0"/>
            <c:spPr>
              <a:solidFill>
                <a:srgbClr val="BD2A33">
                  <a:alpha val="40000"/>
                </a:srgbClr>
              </a:solidFill>
              <a:ln w="19050">
                <a:noFill/>
              </a:ln>
              <a:effectLst/>
            </c:spPr>
            <c:extLst>
              <c:ext xmlns:c16="http://schemas.microsoft.com/office/drawing/2014/chart" uri="{C3380CC4-5D6E-409C-BE32-E72D297353CC}">
                <c16:uniqueId val="{00000007-F90A-4BB5-B295-E02155724ED0}"/>
              </c:ext>
            </c:extLst>
          </c:dPt>
          <c:dPt>
            <c:idx val="4"/>
            <c:bubble3D val="0"/>
            <c:spPr>
              <a:solidFill>
                <a:srgbClr val="004595">
                  <a:alpha val="80000"/>
                </a:srgbClr>
              </a:solidFill>
              <a:ln w="19050">
                <a:noFill/>
              </a:ln>
              <a:effectLst/>
            </c:spPr>
            <c:extLst>
              <c:ext xmlns:c16="http://schemas.microsoft.com/office/drawing/2014/chart" uri="{C3380CC4-5D6E-409C-BE32-E72D297353CC}">
                <c16:uniqueId val="{00000009-F90A-4BB5-B295-E02155724ED0}"/>
              </c:ext>
            </c:extLst>
          </c:dPt>
          <c:dPt>
            <c:idx val="5"/>
            <c:bubble3D val="0"/>
            <c:spPr>
              <a:solidFill>
                <a:srgbClr val="004595"/>
              </a:solidFill>
              <a:ln w="19050">
                <a:noFill/>
              </a:ln>
              <a:effectLst/>
            </c:spPr>
            <c:extLst>
              <c:ext xmlns:c16="http://schemas.microsoft.com/office/drawing/2014/chart" uri="{C3380CC4-5D6E-409C-BE32-E72D297353CC}">
                <c16:uniqueId val="{0000000B-F90A-4BB5-B295-E02155724ED0}"/>
              </c:ext>
            </c:extLst>
          </c:dPt>
          <c:dLbls>
            <c:dLbl>
              <c:idx val="0"/>
              <c:layout>
                <c:manualLayout>
                  <c:x val="0"/>
                  <c:y val="-6.156203447542022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90A-4BB5-B295-E02155724ED0}"/>
                </c:ext>
              </c:extLst>
            </c:dLbl>
            <c:dLbl>
              <c:idx val="1"/>
              <c:layout>
                <c:manualLayout>
                  <c:x val="-2.2839506172839508E-3"/>
                  <c:y val="-4.629637511527291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90A-4BB5-B295-E02155724ED0}"/>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'G 30 31-Půda'!$C$50:$D$55</c:f>
              <c:strCache>
                <c:ptCount val="6"/>
                <c:pt idx="0">
                  <c:v>Nejohroženější</c:v>
                </c:pt>
                <c:pt idx="1">
                  <c:v>Silně ohrožená</c:v>
                </c:pt>
                <c:pt idx="2">
                  <c:v>Ohrožená</c:v>
                </c:pt>
                <c:pt idx="3">
                  <c:v>Středně ohrožená</c:v>
                </c:pt>
                <c:pt idx="4">
                  <c:v>Náchylná</c:v>
                </c:pt>
                <c:pt idx="5">
                  <c:v>Bez ohrožení</c:v>
                </c:pt>
              </c:strCache>
              <c:extLst/>
            </c:strRef>
          </c:cat>
          <c:val>
            <c:numRef>
              <c:f>'G 30 31-Půda'!$E$50:$E$55</c:f>
              <c:numCache>
                <c:formatCode>0.00</c:formatCode>
                <c:ptCount val="6"/>
                <c:pt idx="0">
                  <c:v>3</c:v>
                </c:pt>
                <c:pt idx="1">
                  <c:v>2</c:v>
                </c:pt>
                <c:pt idx="2">
                  <c:v>8</c:v>
                </c:pt>
                <c:pt idx="3">
                  <c:v>10</c:v>
                </c:pt>
                <c:pt idx="4">
                  <c:v>9</c:v>
                </c:pt>
                <c:pt idx="5">
                  <c:v>68</c:v>
                </c:pt>
              </c:numCache>
            </c:numRef>
          </c:val>
          <c:extLst>
            <c:ext xmlns:c16="http://schemas.microsoft.com/office/drawing/2014/chart" uri="{C3380CC4-5D6E-409C-BE32-E72D297353CC}">
              <c16:uniqueId val="{0000000C-F90A-4BB5-B295-E02155724ED0}"/>
            </c:ext>
          </c:extLst>
        </c:ser>
        <c:dLbls>
          <c:showLegendKey val="0"/>
          <c:showVal val="0"/>
          <c:showCatName val="0"/>
          <c:showSerName val="0"/>
          <c:showPercent val="0"/>
          <c:showBubbleSize val="0"/>
          <c:showLeaderLines val="1"/>
        </c:dLbls>
        <c:firstSliceAng val="0"/>
        <c:holeSize val="64"/>
      </c:doughnutChart>
      <c:spPr>
        <a:noFill/>
        <a:ln>
          <a:noFill/>
        </a:ln>
        <a:effectLst/>
      </c:spPr>
    </c:plotArea>
    <c:legend>
      <c:legendPos val="r"/>
      <c:layout>
        <c:manualLayout>
          <c:xMode val="edge"/>
          <c:yMode val="edge"/>
          <c:x val="0.56219772528433942"/>
          <c:y val="4.202539899903817E-2"/>
          <c:w val="0.39484272158287897"/>
          <c:h val="0.9490748439053814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63100775672347E-2"/>
          <c:y val="2.5057955533802714E-2"/>
          <c:w val="0.42804627427436681"/>
          <c:h val="0.96028802320762552"/>
        </c:manualLayout>
      </c:layout>
      <c:doughnutChart>
        <c:varyColors val="1"/>
        <c:ser>
          <c:idx val="0"/>
          <c:order val="0"/>
          <c:spPr>
            <a:ln>
              <a:noFill/>
            </a:ln>
          </c:spPr>
          <c:dPt>
            <c:idx val="0"/>
            <c:bubble3D val="0"/>
            <c:spPr>
              <a:solidFill>
                <a:srgbClr val="004595"/>
              </a:solidFill>
              <a:ln w="19050">
                <a:noFill/>
              </a:ln>
              <a:effectLst/>
            </c:spPr>
            <c:extLst>
              <c:ext xmlns:c16="http://schemas.microsoft.com/office/drawing/2014/chart" uri="{C3380CC4-5D6E-409C-BE32-E72D297353CC}">
                <c16:uniqueId val="{00000001-DB94-4374-8642-E8889E433CDE}"/>
              </c:ext>
            </c:extLst>
          </c:dPt>
          <c:dPt>
            <c:idx val="1"/>
            <c:bubble3D val="0"/>
            <c:spPr>
              <a:solidFill>
                <a:srgbClr val="004595">
                  <a:alpha val="80000"/>
                </a:srgbClr>
              </a:solidFill>
              <a:ln w="19050">
                <a:noFill/>
              </a:ln>
              <a:effectLst/>
            </c:spPr>
            <c:extLst>
              <c:ext xmlns:c16="http://schemas.microsoft.com/office/drawing/2014/chart" uri="{C3380CC4-5D6E-409C-BE32-E72D297353CC}">
                <c16:uniqueId val="{00000003-DB94-4374-8642-E8889E433CDE}"/>
              </c:ext>
            </c:extLst>
          </c:dPt>
          <c:dPt>
            <c:idx val="2"/>
            <c:bubble3D val="0"/>
            <c:spPr>
              <a:solidFill>
                <a:srgbClr val="004595">
                  <a:alpha val="60000"/>
                </a:srgbClr>
              </a:solidFill>
              <a:ln w="19050">
                <a:noFill/>
              </a:ln>
              <a:effectLst/>
            </c:spPr>
            <c:extLst>
              <c:ext xmlns:c16="http://schemas.microsoft.com/office/drawing/2014/chart" uri="{C3380CC4-5D6E-409C-BE32-E72D297353CC}">
                <c16:uniqueId val="{00000005-DB94-4374-8642-E8889E433CDE}"/>
              </c:ext>
            </c:extLst>
          </c:dPt>
          <c:dPt>
            <c:idx val="3"/>
            <c:bubble3D val="0"/>
            <c:spPr>
              <a:solidFill>
                <a:srgbClr val="BD2A33">
                  <a:alpha val="80000"/>
                </a:srgbClr>
              </a:solidFill>
              <a:ln w="19050">
                <a:noFill/>
              </a:ln>
              <a:effectLst/>
            </c:spPr>
            <c:extLst>
              <c:ext xmlns:c16="http://schemas.microsoft.com/office/drawing/2014/chart" uri="{C3380CC4-5D6E-409C-BE32-E72D297353CC}">
                <c16:uniqueId val="{00000007-DB94-4374-8642-E8889E433CDE}"/>
              </c:ext>
            </c:extLst>
          </c:dPt>
          <c:dPt>
            <c:idx val="4"/>
            <c:bubble3D val="0"/>
            <c:spPr>
              <a:solidFill>
                <a:srgbClr val="BD2A33"/>
              </a:solidFill>
              <a:ln w="19050">
                <a:noFill/>
              </a:ln>
              <a:effectLst/>
            </c:spPr>
            <c:extLst>
              <c:ext xmlns:c16="http://schemas.microsoft.com/office/drawing/2014/chart" uri="{C3380CC4-5D6E-409C-BE32-E72D297353CC}">
                <c16:uniqueId val="{00000009-DB94-4374-8642-E8889E433CDE}"/>
              </c:ext>
            </c:extLst>
          </c:dPt>
          <c:dPt>
            <c:idx val="5"/>
            <c:bubble3D val="0"/>
            <c:spPr>
              <a:solidFill>
                <a:srgbClr val="C3C5C6"/>
              </a:solidFill>
              <a:ln w="19050">
                <a:noFill/>
              </a:ln>
              <a:effectLst/>
            </c:spPr>
            <c:extLst>
              <c:ext xmlns:c16="http://schemas.microsoft.com/office/drawing/2014/chart" uri="{C3380CC4-5D6E-409C-BE32-E72D297353CC}">
                <c16:uniqueId val="{0000000B-DB94-4374-8642-E8889E433CDE}"/>
              </c:ext>
            </c:extLst>
          </c:dPt>
          <c:dLbls>
            <c:dLbl>
              <c:idx val="5"/>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extLst>
                <c:ext xmlns:c16="http://schemas.microsoft.com/office/drawing/2014/chart" uri="{C3380CC4-5D6E-409C-BE32-E72D297353CC}">
                  <c16:uniqueId val="{0000000B-DB94-4374-8642-E8889E433CD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'G 30 31-Půda'!$C$21:$C$26</c:f>
              <c:strCache>
                <c:ptCount val="6"/>
                <c:pt idx="0">
                  <c:v>Zanedbatelná</c:v>
                </c:pt>
                <c:pt idx="1">
                  <c:v>Nízká</c:v>
                </c:pt>
                <c:pt idx="2">
                  <c:v>Nižší střední</c:v>
                </c:pt>
                <c:pt idx="3">
                  <c:v>Vyšší střední</c:v>
                </c:pt>
                <c:pt idx="4">
                  <c:v>Vysoká</c:v>
                </c:pt>
                <c:pt idx="5">
                  <c:v>Nehodnocena</c:v>
                </c:pt>
              </c:strCache>
            </c:strRef>
          </c:cat>
          <c:val>
            <c:numRef>
              <c:f>'G 30 31-Půda'!$D$21:$D$26</c:f>
              <c:numCache>
                <c:formatCode>0</c:formatCode>
                <c:ptCount val="6"/>
                <c:pt idx="0">
                  <c:v>5</c:v>
                </c:pt>
                <c:pt idx="1">
                  <c:v>13</c:v>
                </c:pt>
                <c:pt idx="2">
                  <c:v>10</c:v>
                </c:pt>
                <c:pt idx="3">
                  <c:v>24</c:v>
                </c:pt>
                <c:pt idx="4">
                  <c:v>46</c:v>
                </c:pt>
                <c:pt idx="5">
                  <c:v>1</c:v>
                </c:pt>
              </c:numCache>
            </c:numRef>
          </c:val>
          <c:extLst>
            <c:ext xmlns:c16="http://schemas.microsoft.com/office/drawing/2014/chart" uri="{C3380CC4-5D6E-409C-BE32-E72D297353CC}">
              <c16:uniqueId val="{0000000C-DB94-4374-8642-E8889E433CDE}"/>
            </c:ext>
          </c:extLst>
        </c:ser>
        <c:dLbls>
          <c:showLegendKey val="0"/>
          <c:showVal val="0"/>
          <c:showCatName val="0"/>
          <c:showSerName val="0"/>
          <c:showPercent val="0"/>
          <c:showBubbleSize val="0"/>
          <c:showLeaderLines val="1"/>
        </c:dLbls>
        <c:firstSliceAng val="4"/>
        <c:holeSize val="56"/>
      </c:doughnutChart>
      <c:spPr>
        <a:noFill/>
        <a:ln>
          <a:noFill/>
        </a:ln>
        <a:effectLst/>
      </c:spPr>
    </c:plotArea>
    <c:legend>
      <c:legendPos val="r"/>
      <c:layout>
        <c:manualLayout>
          <c:xMode val="edge"/>
          <c:yMode val="edge"/>
          <c:x val="0.64852319763440003"/>
          <c:y val="5.4215293646882969E-2"/>
          <c:w val="0.34700549730382096"/>
          <c:h val="0.9106019769368394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960874076786913"/>
          <c:y val="9.3063007842582549E-2"/>
          <c:w val="0.57337408439770188"/>
          <c:h val="0.86177817593160133"/>
        </c:manualLayout>
      </c:layout>
      <c:doughnutChart>
        <c:varyColors val="1"/>
        <c:ser>
          <c:idx val="0"/>
          <c:order val="0"/>
          <c:spPr>
            <a:ln>
              <a:noFill/>
            </a:ln>
          </c:spPr>
          <c:dPt>
            <c:idx val="0"/>
            <c:bubble3D val="0"/>
            <c:spPr>
              <a:solidFill>
                <a:srgbClr val="004595"/>
              </a:solidFill>
              <a:ln w="19050">
                <a:noFill/>
              </a:ln>
              <a:effectLst/>
            </c:spPr>
            <c:extLst>
              <c:ext xmlns:c16="http://schemas.microsoft.com/office/drawing/2014/chart" uri="{C3380CC4-5D6E-409C-BE32-E72D297353CC}">
                <c16:uniqueId val="{00000001-35BB-43DB-8392-0EF74EB99456}"/>
              </c:ext>
            </c:extLst>
          </c:dPt>
          <c:dPt>
            <c:idx val="1"/>
            <c:bubble3D val="0"/>
            <c:spPr>
              <a:solidFill>
                <a:srgbClr val="004595">
                  <a:alpha val="80000"/>
                </a:srgbClr>
              </a:solidFill>
              <a:ln w="19050">
                <a:noFill/>
              </a:ln>
              <a:effectLst/>
            </c:spPr>
            <c:extLst>
              <c:ext xmlns:c16="http://schemas.microsoft.com/office/drawing/2014/chart" uri="{C3380CC4-5D6E-409C-BE32-E72D297353CC}">
                <c16:uniqueId val="{00000003-35BB-43DB-8392-0EF74EB99456}"/>
              </c:ext>
            </c:extLst>
          </c:dPt>
          <c:dPt>
            <c:idx val="2"/>
            <c:bubble3D val="0"/>
            <c:spPr>
              <a:solidFill>
                <a:srgbClr val="004595">
                  <a:alpha val="60000"/>
                </a:srgbClr>
              </a:solidFill>
              <a:ln w="19050">
                <a:noFill/>
              </a:ln>
              <a:effectLst/>
            </c:spPr>
            <c:extLst>
              <c:ext xmlns:c16="http://schemas.microsoft.com/office/drawing/2014/chart" uri="{C3380CC4-5D6E-409C-BE32-E72D297353CC}">
                <c16:uniqueId val="{00000005-35BB-43DB-8392-0EF74EB99456}"/>
              </c:ext>
            </c:extLst>
          </c:dPt>
          <c:dPt>
            <c:idx val="3"/>
            <c:bubble3D val="0"/>
            <c:spPr>
              <a:solidFill>
                <a:srgbClr val="BD2A33">
                  <a:alpha val="80000"/>
                </a:srgbClr>
              </a:solidFill>
              <a:ln w="19050">
                <a:noFill/>
              </a:ln>
              <a:effectLst/>
            </c:spPr>
            <c:extLst>
              <c:ext xmlns:c16="http://schemas.microsoft.com/office/drawing/2014/chart" uri="{C3380CC4-5D6E-409C-BE32-E72D297353CC}">
                <c16:uniqueId val="{00000007-35BB-43DB-8392-0EF74EB99456}"/>
              </c:ext>
            </c:extLst>
          </c:dPt>
          <c:dPt>
            <c:idx val="4"/>
            <c:bubble3D val="0"/>
            <c:spPr>
              <a:solidFill>
                <a:srgbClr val="BD2A33"/>
              </a:solidFill>
              <a:ln w="19050">
                <a:noFill/>
              </a:ln>
              <a:effectLst/>
            </c:spPr>
            <c:extLst>
              <c:ext xmlns:c16="http://schemas.microsoft.com/office/drawing/2014/chart" uri="{C3380CC4-5D6E-409C-BE32-E72D297353CC}">
                <c16:uniqueId val="{00000009-35BB-43DB-8392-0EF74EB99456}"/>
              </c:ext>
            </c:extLst>
          </c:dPt>
          <c:dPt>
            <c:idx val="5"/>
            <c:bubble3D val="0"/>
            <c:spPr>
              <a:solidFill>
                <a:srgbClr val="C3C5C6"/>
              </a:solidFill>
              <a:ln w="19050">
                <a:noFill/>
              </a:ln>
              <a:effectLst/>
            </c:spPr>
            <c:extLst>
              <c:ext xmlns:c16="http://schemas.microsoft.com/office/drawing/2014/chart" uri="{C3380CC4-5D6E-409C-BE32-E72D297353CC}">
                <c16:uniqueId val="{0000000B-35BB-43DB-8392-0EF74EB99456}"/>
              </c:ext>
            </c:extLst>
          </c:dPt>
          <c:dLbls>
            <c:dLbl>
              <c:idx val="5"/>
              <c:layout>
                <c:manualLayout>
                  <c:x val="2.239858522923101E-3"/>
                  <c:y val="-9.2627343737721034E-3"/>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35BB-43DB-8392-0EF74EB99456}"/>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cs-CZ"/>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'Zranitelnost půdy k 16.7.19'!$C$9:$C$14</c:f>
              <c:strCache>
                <c:ptCount val="6"/>
                <c:pt idx="0">
                  <c:v>zanedbatelná</c:v>
                </c:pt>
                <c:pt idx="1">
                  <c:v>nízká</c:v>
                </c:pt>
                <c:pt idx="2">
                  <c:v>nižší střední</c:v>
                </c:pt>
                <c:pt idx="3">
                  <c:v>vyšší střední</c:v>
                </c:pt>
                <c:pt idx="4">
                  <c:v>vysoká</c:v>
                </c:pt>
                <c:pt idx="5">
                  <c:v>nehodnocená </c:v>
                </c:pt>
              </c:strCache>
            </c:strRef>
          </c:cat>
          <c:val>
            <c:numRef>
              <c:f>'Zranitelnost půdy k 16.7.19'!$E$9:$E$14</c:f>
              <c:numCache>
                <c:formatCode>0.00</c:formatCode>
                <c:ptCount val="6"/>
                <c:pt idx="0">
                  <c:v>20</c:v>
                </c:pt>
                <c:pt idx="1">
                  <c:v>24</c:v>
                </c:pt>
                <c:pt idx="2">
                  <c:v>21</c:v>
                </c:pt>
                <c:pt idx="3">
                  <c:v>17</c:v>
                </c:pt>
                <c:pt idx="4">
                  <c:v>16</c:v>
                </c:pt>
                <c:pt idx="5">
                  <c:v>2</c:v>
                </c:pt>
              </c:numCache>
            </c:numRef>
          </c:val>
          <c:extLst>
            <c:ext xmlns:c16="http://schemas.microsoft.com/office/drawing/2014/chart" uri="{C3380CC4-5D6E-409C-BE32-E72D297353CC}">
              <c16:uniqueId val="{0000000C-35BB-43DB-8392-0EF74EB99456}"/>
            </c:ext>
          </c:extLst>
        </c:ser>
        <c:dLbls>
          <c:showLegendKey val="0"/>
          <c:showVal val="0"/>
          <c:showCatName val="0"/>
          <c:showSerName val="0"/>
          <c:showPercent val="0"/>
          <c:showBubbleSize val="0"/>
          <c:showLeaderLines val="1"/>
        </c:dLbls>
        <c:firstSliceAng val="4"/>
        <c:holeSize val="56"/>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239062499999995E-2"/>
          <c:y val="5.0925925925925923E-2"/>
          <c:w val="0.48927743055555556"/>
          <c:h val="0.77698086419753087"/>
        </c:manualLayout>
      </c:layout>
      <c:barChart>
        <c:barDir val="col"/>
        <c:grouping val="clustered"/>
        <c:varyColors val="0"/>
        <c:ser>
          <c:idx val="0"/>
          <c:order val="0"/>
          <c:tx>
            <c:strRef>
              <c:f>'[G_do_stanoviska_zd.xlsx]G 32 - stav zvířat+prům hnj '!$A$4</c:f>
              <c:strCache>
                <c:ptCount val="1"/>
                <c:pt idx="0">
                  <c:v>Stav hospodářských zvířat – skot</c:v>
                </c:pt>
              </c:strCache>
            </c:strRef>
          </c:tx>
          <c:spPr>
            <a:solidFill>
              <a:srgbClr val="004595"/>
            </a:solidFill>
            <a:ln>
              <a:noFill/>
            </a:ln>
            <a:effectLst/>
          </c:spPr>
          <c:invertIfNegative val="0"/>
          <c:cat>
            <c:numRef>
              <c:f>'[G_do_stanoviska_zd.xlsx]G 32 - stav zvířat+prům hnj '!$B$3:$I$3</c:f>
              <c:numCache>
                <c:formatCode>General</c:formatCode>
                <c:ptCount val="8"/>
                <c:pt idx="0">
                  <c:v>1990</c:v>
                </c:pt>
                <c:pt idx="1">
                  <c:v>1995</c:v>
                </c:pt>
                <c:pt idx="2">
                  <c:v>2000</c:v>
                </c:pt>
                <c:pt idx="3">
                  <c:v>2005</c:v>
                </c:pt>
                <c:pt idx="4">
                  <c:v>2010</c:v>
                </c:pt>
                <c:pt idx="5">
                  <c:v>2015</c:v>
                </c:pt>
                <c:pt idx="6">
                  <c:v>2016</c:v>
                </c:pt>
                <c:pt idx="7">
                  <c:v>2017</c:v>
                </c:pt>
              </c:numCache>
            </c:numRef>
          </c:cat>
          <c:val>
            <c:numRef>
              <c:f>'[G_do_stanoviska_zd.xlsx]G 32 - stav zvířat+prům hnj '!$B$4:$I$4</c:f>
              <c:numCache>
                <c:formatCode>#,##0</c:formatCode>
                <c:ptCount val="8"/>
                <c:pt idx="0">
                  <c:v>3506</c:v>
                </c:pt>
                <c:pt idx="1">
                  <c:v>2030</c:v>
                </c:pt>
                <c:pt idx="2">
                  <c:v>1574</c:v>
                </c:pt>
                <c:pt idx="3">
                  <c:v>1397</c:v>
                </c:pt>
                <c:pt idx="4">
                  <c:v>1349</c:v>
                </c:pt>
                <c:pt idx="5">
                  <c:v>1407.1320000000001</c:v>
                </c:pt>
                <c:pt idx="6">
                  <c:v>1415.6579999999999</c:v>
                </c:pt>
                <c:pt idx="7">
                  <c:v>1421.242</c:v>
                </c:pt>
              </c:numCache>
            </c:numRef>
          </c:val>
          <c:extLst>
            <c:ext xmlns:c16="http://schemas.microsoft.com/office/drawing/2014/chart" uri="{C3380CC4-5D6E-409C-BE32-E72D297353CC}">
              <c16:uniqueId val="{00000000-8BC6-48FA-AF56-5A8B659EDC2D}"/>
            </c:ext>
          </c:extLst>
        </c:ser>
        <c:ser>
          <c:idx val="1"/>
          <c:order val="1"/>
          <c:tx>
            <c:strRef>
              <c:f>'[G_do_stanoviska_zd.xlsx]G 32 - stav zvířat+prům hnj '!$A$5</c:f>
              <c:strCache>
                <c:ptCount val="1"/>
                <c:pt idx="0">
                  <c:v>Stav hospodářských zvířat – prasata</c:v>
                </c:pt>
              </c:strCache>
            </c:strRef>
          </c:tx>
          <c:spPr>
            <a:solidFill>
              <a:srgbClr val="D9EAFF"/>
            </a:solidFill>
            <a:ln>
              <a:noFill/>
            </a:ln>
            <a:effectLst/>
          </c:spPr>
          <c:invertIfNegative val="0"/>
          <c:cat>
            <c:numRef>
              <c:f>'[G_do_stanoviska_zd.xlsx]G 32 - stav zvířat+prům hnj '!$B$3:$I$3</c:f>
              <c:numCache>
                <c:formatCode>General</c:formatCode>
                <c:ptCount val="8"/>
                <c:pt idx="0">
                  <c:v>1990</c:v>
                </c:pt>
                <c:pt idx="1">
                  <c:v>1995</c:v>
                </c:pt>
                <c:pt idx="2">
                  <c:v>2000</c:v>
                </c:pt>
                <c:pt idx="3">
                  <c:v>2005</c:v>
                </c:pt>
                <c:pt idx="4">
                  <c:v>2010</c:v>
                </c:pt>
                <c:pt idx="5">
                  <c:v>2015</c:v>
                </c:pt>
                <c:pt idx="6">
                  <c:v>2016</c:v>
                </c:pt>
                <c:pt idx="7">
                  <c:v>2017</c:v>
                </c:pt>
              </c:numCache>
            </c:numRef>
          </c:cat>
          <c:val>
            <c:numRef>
              <c:f>'[G_do_stanoviska_zd.xlsx]G 32 - stav zvířat+prům hnj '!$B$5:$I$5</c:f>
              <c:numCache>
                <c:formatCode>#,##0</c:formatCode>
                <c:ptCount val="8"/>
                <c:pt idx="0">
                  <c:v>4790</c:v>
                </c:pt>
                <c:pt idx="1">
                  <c:v>3867</c:v>
                </c:pt>
                <c:pt idx="2">
                  <c:v>3688</c:v>
                </c:pt>
                <c:pt idx="3">
                  <c:v>2877</c:v>
                </c:pt>
                <c:pt idx="4">
                  <c:v>1909</c:v>
                </c:pt>
                <c:pt idx="5">
                  <c:v>1559.6479999999999</c:v>
                </c:pt>
                <c:pt idx="6">
                  <c:v>1609.9449999999999</c:v>
                </c:pt>
                <c:pt idx="7">
                  <c:v>1490.7750000000001</c:v>
                </c:pt>
              </c:numCache>
            </c:numRef>
          </c:val>
          <c:extLst>
            <c:ext xmlns:c16="http://schemas.microsoft.com/office/drawing/2014/chart" uri="{C3380CC4-5D6E-409C-BE32-E72D297353CC}">
              <c16:uniqueId val="{00000001-8BC6-48FA-AF56-5A8B659EDC2D}"/>
            </c:ext>
          </c:extLst>
        </c:ser>
        <c:dLbls>
          <c:showLegendKey val="0"/>
          <c:showVal val="0"/>
          <c:showCatName val="0"/>
          <c:showSerName val="0"/>
          <c:showPercent val="0"/>
          <c:showBubbleSize val="0"/>
        </c:dLbls>
        <c:gapWidth val="113"/>
        <c:overlap val="-27"/>
        <c:axId val="1007485711"/>
        <c:axId val="1007479887"/>
      </c:barChart>
      <c:lineChart>
        <c:grouping val="standard"/>
        <c:varyColors val="0"/>
        <c:ser>
          <c:idx val="2"/>
          <c:order val="2"/>
          <c:tx>
            <c:strRef>
              <c:f>'[G_do_stanoviska_zd.xlsx]G 32 - stav zvířat+prům hnj '!$A$6</c:f>
              <c:strCache>
                <c:ptCount val="1"/>
                <c:pt idx="0">
                  <c:v>Průmyslová hnojiva – spotřeba čistých živin na 1 ha zemědělské půdy</c:v>
                </c:pt>
              </c:strCache>
            </c:strRef>
          </c:tx>
          <c:spPr>
            <a:ln w="28575" cap="rnd">
              <a:solidFill>
                <a:srgbClr val="BD2A33"/>
              </a:solidFill>
              <a:round/>
            </a:ln>
            <a:effectLst/>
          </c:spPr>
          <c:marker>
            <c:symbol val="none"/>
          </c:marker>
          <c:cat>
            <c:numRef>
              <c:f>'[G_do_stanoviska_zd.xlsx]G 32 - stav zvířat+prům hnj '!$B$3:$I$3</c:f>
              <c:numCache>
                <c:formatCode>General</c:formatCode>
                <c:ptCount val="8"/>
                <c:pt idx="0">
                  <c:v>1990</c:v>
                </c:pt>
                <c:pt idx="1">
                  <c:v>1995</c:v>
                </c:pt>
                <c:pt idx="2">
                  <c:v>2000</c:v>
                </c:pt>
                <c:pt idx="3">
                  <c:v>2005</c:v>
                </c:pt>
                <c:pt idx="4">
                  <c:v>2010</c:v>
                </c:pt>
                <c:pt idx="5">
                  <c:v>2015</c:v>
                </c:pt>
                <c:pt idx="6">
                  <c:v>2016</c:v>
                </c:pt>
                <c:pt idx="7">
                  <c:v>2017</c:v>
                </c:pt>
              </c:numCache>
            </c:numRef>
          </c:cat>
          <c:val>
            <c:numRef>
              <c:f>'[G_do_stanoviska_zd.xlsx]G 32 - stav zvířat+prům hnj '!$B$6:$I$6</c:f>
              <c:numCache>
                <c:formatCode>0.0</c:formatCode>
                <c:ptCount val="8"/>
                <c:pt idx="0">
                  <c:v>217.9</c:v>
                </c:pt>
                <c:pt idx="1">
                  <c:v>97.2</c:v>
                </c:pt>
                <c:pt idx="2">
                  <c:v>88.4</c:v>
                </c:pt>
                <c:pt idx="3">
                  <c:v>97</c:v>
                </c:pt>
                <c:pt idx="4" formatCode="General">
                  <c:v>99.8</c:v>
                </c:pt>
                <c:pt idx="5">
                  <c:v>130.65539505000001</c:v>
                </c:pt>
                <c:pt idx="6">
                  <c:v>141.03583467999999</c:v>
                </c:pt>
                <c:pt idx="7">
                  <c:v>140</c:v>
                </c:pt>
              </c:numCache>
            </c:numRef>
          </c:val>
          <c:smooth val="0"/>
          <c:extLst>
            <c:ext xmlns:c16="http://schemas.microsoft.com/office/drawing/2014/chart" uri="{C3380CC4-5D6E-409C-BE32-E72D297353CC}">
              <c16:uniqueId val="{00000002-8BC6-48FA-AF56-5A8B659EDC2D}"/>
            </c:ext>
          </c:extLst>
        </c:ser>
        <c:ser>
          <c:idx val="3"/>
          <c:order val="3"/>
          <c:tx>
            <c:strRef>
              <c:f>'[G_do_stanoviska_zd.xlsx]G 32 - stav zvířat+prům hnj '!$A$7</c:f>
              <c:strCache>
                <c:ptCount val="1"/>
                <c:pt idx="0">
                  <c:v>v tom dusíkatá hnojiva</c:v>
                </c:pt>
              </c:strCache>
            </c:strRef>
          </c:tx>
          <c:spPr>
            <a:ln w="28575" cap="rnd">
              <a:solidFill>
                <a:srgbClr val="C3C5C6"/>
              </a:solidFill>
              <a:round/>
            </a:ln>
            <a:effectLst/>
          </c:spPr>
          <c:marker>
            <c:symbol val="none"/>
          </c:marker>
          <c:cat>
            <c:numRef>
              <c:f>'[G_do_stanoviska_zd.xlsx]G 32 - stav zvířat+prům hnj '!$B$3:$I$3</c:f>
              <c:numCache>
                <c:formatCode>General</c:formatCode>
                <c:ptCount val="8"/>
                <c:pt idx="0">
                  <c:v>1990</c:v>
                </c:pt>
                <c:pt idx="1">
                  <c:v>1995</c:v>
                </c:pt>
                <c:pt idx="2">
                  <c:v>2000</c:v>
                </c:pt>
                <c:pt idx="3">
                  <c:v>2005</c:v>
                </c:pt>
                <c:pt idx="4">
                  <c:v>2010</c:v>
                </c:pt>
                <c:pt idx="5">
                  <c:v>2015</c:v>
                </c:pt>
                <c:pt idx="6">
                  <c:v>2016</c:v>
                </c:pt>
                <c:pt idx="7">
                  <c:v>2017</c:v>
                </c:pt>
              </c:numCache>
            </c:numRef>
          </c:cat>
          <c:val>
            <c:numRef>
              <c:f>'[G_do_stanoviska_zd.xlsx]G 32 - stav zvířat+prům hnj '!$B$7:$I$7</c:f>
              <c:numCache>
                <c:formatCode>0.0</c:formatCode>
                <c:ptCount val="8"/>
                <c:pt idx="0">
                  <c:v>98.5</c:v>
                </c:pt>
                <c:pt idx="1">
                  <c:v>66.8</c:v>
                </c:pt>
                <c:pt idx="2">
                  <c:v>67.400000000000006</c:v>
                </c:pt>
                <c:pt idx="3">
                  <c:v>71.7</c:v>
                </c:pt>
                <c:pt idx="4">
                  <c:v>80.2</c:v>
                </c:pt>
                <c:pt idx="5">
                  <c:v>98.7</c:v>
                </c:pt>
                <c:pt idx="6">
                  <c:v>107.3</c:v>
                </c:pt>
                <c:pt idx="7">
                  <c:v>104.9</c:v>
                </c:pt>
              </c:numCache>
            </c:numRef>
          </c:val>
          <c:smooth val="0"/>
          <c:extLst>
            <c:ext xmlns:c16="http://schemas.microsoft.com/office/drawing/2014/chart" uri="{C3380CC4-5D6E-409C-BE32-E72D297353CC}">
              <c16:uniqueId val="{00000003-8BC6-48FA-AF56-5A8B659EDC2D}"/>
            </c:ext>
          </c:extLst>
        </c:ser>
        <c:dLbls>
          <c:showLegendKey val="0"/>
          <c:showVal val="0"/>
          <c:showCatName val="0"/>
          <c:showSerName val="0"/>
          <c:showPercent val="0"/>
          <c:showBubbleSize val="0"/>
        </c:dLbls>
        <c:marker val="1"/>
        <c:smooth val="0"/>
        <c:axId val="1007479055"/>
        <c:axId val="1007482799"/>
      </c:lineChart>
      <c:catAx>
        <c:axId val="10074857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007479887"/>
        <c:crosses val="autoZero"/>
        <c:auto val="1"/>
        <c:lblAlgn val="ctr"/>
        <c:lblOffset val="100"/>
        <c:noMultiLvlLbl val="0"/>
      </c:catAx>
      <c:valAx>
        <c:axId val="1007479887"/>
        <c:scaling>
          <c:orientation val="minMax"/>
          <c:max val="50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007485711"/>
        <c:crosses val="autoZero"/>
        <c:crossBetween val="between"/>
        <c:majorUnit val="1000"/>
      </c:valAx>
      <c:valAx>
        <c:axId val="1007482799"/>
        <c:scaling>
          <c:orientation val="minMax"/>
          <c:max val="220"/>
          <c:min val="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007479055"/>
        <c:crosses val="max"/>
        <c:crossBetween val="between"/>
      </c:valAx>
      <c:catAx>
        <c:axId val="1007479055"/>
        <c:scaling>
          <c:orientation val="minMax"/>
        </c:scaling>
        <c:delete val="1"/>
        <c:axPos val="b"/>
        <c:numFmt formatCode="General" sourceLinked="1"/>
        <c:majorTickMark val="out"/>
        <c:minorTickMark val="none"/>
        <c:tickLblPos val="nextTo"/>
        <c:crossAx val="1007482799"/>
        <c:crosses val="autoZero"/>
        <c:auto val="1"/>
        <c:lblAlgn val="ctr"/>
        <c:lblOffset val="100"/>
        <c:noMultiLvlLbl val="0"/>
      </c:catAx>
      <c:spPr>
        <a:noFill/>
        <a:ln>
          <a:noFill/>
        </a:ln>
        <a:effectLst/>
      </c:spPr>
    </c:plotArea>
    <c:legend>
      <c:legendPos val="r"/>
      <c:layout>
        <c:manualLayout>
          <c:xMode val="edge"/>
          <c:yMode val="edge"/>
          <c:x val="0.62874409722222235"/>
          <c:y val="9.6278735632183907E-2"/>
          <c:w val="0.36464131944444444"/>
          <c:h val="0.807442528735632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936805555555557E-2"/>
          <c:y val="4.213670644449076E-2"/>
          <c:w val="0.9230631944444444"/>
          <c:h val="0.49693103666989841"/>
        </c:manualLayout>
      </c:layout>
      <c:barChart>
        <c:barDir val="col"/>
        <c:grouping val="clustered"/>
        <c:varyColors val="0"/>
        <c:ser>
          <c:idx val="0"/>
          <c:order val="0"/>
          <c:spPr>
            <a:solidFill>
              <a:srgbClr val="004595"/>
            </a:solidFill>
            <a:ln>
              <a:noFill/>
            </a:ln>
            <a:effectLst/>
          </c:spPr>
          <c:invertIfNegative val="0"/>
          <c:dPt>
            <c:idx val="5"/>
            <c:invertIfNegative val="0"/>
            <c:bubble3D val="0"/>
            <c:spPr>
              <a:solidFill>
                <a:srgbClr val="004595"/>
              </a:solidFill>
              <a:ln>
                <a:noFill/>
              </a:ln>
              <a:effectLst/>
            </c:spPr>
            <c:extLst>
              <c:ext xmlns:c16="http://schemas.microsoft.com/office/drawing/2014/chart" uri="{C3380CC4-5D6E-409C-BE32-E72D297353CC}">
                <c16:uniqueId val="{00000001-75EB-4279-8AE4-E796E55E9388}"/>
              </c:ext>
            </c:extLst>
          </c:dPt>
          <c:dPt>
            <c:idx val="20"/>
            <c:invertIfNegative val="0"/>
            <c:bubble3D val="0"/>
            <c:spPr>
              <a:solidFill>
                <a:srgbClr val="BD2A33"/>
              </a:solidFill>
              <a:ln>
                <a:noFill/>
              </a:ln>
              <a:effectLst/>
            </c:spPr>
            <c:extLst>
              <c:ext xmlns:c16="http://schemas.microsoft.com/office/drawing/2014/chart" uri="{C3380CC4-5D6E-409C-BE32-E72D297353CC}">
                <c16:uniqueId val="{00000003-75EB-4279-8AE4-E796E55E9388}"/>
              </c:ext>
            </c:extLst>
          </c:dPt>
          <c:dPt>
            <c:idx val="25"/>
            <c:invertIfNegative val="0"/>
            <c:bubble3D val="0"/>
            <c:spPr>
              <a:solidFill>
                <a:srgbClr val="004595"/>
              </a:solidFill>
              <a:ln>
                <a:noFill/>
              </a:ln>
              <a:effectLst/>
            </c:spPr>
            <c:extLst>
              <c:ext xmlns:c16="http://schemas.microsoft.com/office/drawing/2014/chart" uri="{C3380CC4-5D6E-409C-BE32-E72D297353CC}">
                <c16:uniqueId val="{00000005-75EB-4279-8AE4-E796E55E9388}"/>
              </c:ext>
            </c:extLst>
          </c:dPt>
          <c:cat>
            <c:strRef>
              <c:f>EPI!$A$2:$A$29</c:f>
              <c:strCache>
                <c:ptCount val="28"/>
                <c:pt idx="0">
                  <c:v>Francie</c:v>
                </c:pt>
                <c:pt idx="1">
                  <c:v>Dánsko</c:v>
                </c:pt>
                <c:pt idx="2">
                  <c:v>Malta</c:v>
                </c:pt>
                <c:pt idx="3">
                  <c:v>Švédsko</c:v>
                </c:pt>
                <c:pt idx="4">
                  <c:v>Spojené království</c:v>
                </c:pt>
                <c:pt idx="5">
                  <c:v>Lucembursko</c:v>
                </c:pt>
                <c:pt idx="6">
                  <c:v>Rakousko</c:v>
                </c:pt>
                <c:pt idx="7">
                  <c:v>Irsko</c:v>
                </c:pt>
                <c:pt idx="8">
                  <c:v>Finsko</c:v>
                </c:pt>
                <c:pt idx="9">
                  <c:v>Španělsko</c:v>
                </c:pt>
                <c:pt idx="10">
                  <c:v>Německo</c:v>
                </c:pt>
                <c:pt idx="11">
                  <c:v>Belgie</c:v>
                </c:pt>
                <c:pt idx="12">
                  <c:v>Itálie</c:v>
                </c:pt>
                <c:pt idx="13">
                  <c:v>Nizozemsko</c:v>
                </c:pt>
                <c:pt idx="14">
                  <c:v>Řecko</c:v>
                </c:pt>
                <c:pt idx="15">
                  <c:v>Kypr</c:v>
                </c:pt>
                <c:pt idx="16">
                  <c:v>Portugalsko</c:v>
                </c:pt>
                <c:pt idx="17">
                  <c:v>Slovensko</c:v>
                </c:pt>
                <c:pt idx="18">
                  <c:v>Litva</c:v>
                </c:pt>
                <c:pt idx="19">
                  <c:v>Bulharsko</c:v>
                </c:pt>
                <c:pt idx="20">
                  <c:v>Česká republika</c:v>
                </c:pt>
                <c:pt idx="21">
                  <c:v>Slovinsko</c:v>
                </c:pt>
                <c:pt idx="22">
                  <c:v>Lotyšsko</c:v>
                </c:pt>
                <c:pt idx="23">
                  <c:v>Chorvatsko</c:v>
                </c:pt>
                <c:pt idx="24">
                  <c:v>Maďarsko</c:v>
                </c:pt>
                <c:pt idx="25">
                  <c:v>Rumunsko</c:v>
                </c:pt>
                <c:pt idx="26">
                  <c:v>Estonsko</c:v>
                </c:pt>
                <c:pt idx="27">
                  <c:v>Polsko</c:v>
                </c:pt>
              </c:strCache>
            </c:strRef>
          </c:cat>
          <c:val>
            <c:numRef>
              <c:f>EPI!$B$2:$B$29</c:f>
              <c:numCache>
                <c:formatCode>0.00</c:formatCode>
                <c:ptCount val="28"/>
                <c:pt idx="0">
                  <c:v>83.95</c:v>
                </c:pt>
                <c:pt idx="1">
                  <c:v>81.599999999999994</c:v>
                </c:pt>
                <c:pt idx="2">
                  <c:v>80.900000000000006</c:v>
                </c:pt>
                <c:pt idx="3">
                  <c:v>80.510000000000005</c:v>
                </c:pt>
                <c:pt idx="4">
                  <c:v>79.89</c:v>
                </c:pt>
                <c:pt idx="5">
                  <c:v>79.12</c:v>
                </c:pt>
                <c:pt idx="6">
                  <c:v>78.97</c:v>
                </c:pt>
                <c:pt idx="7">
                  <c:v>78.77</c:v>
                </c:pt>
                <c:pt idx="8">
                  <c:v>78.64</c:v>
                </c:pt>
                <c:pt idx="9">
                  <c:v>78.39</c:v>
                </c:pt>
                <c:pt idx="10">
                  <c:v>78.37</c:v>
                </c:pt>
                <c:pt idx="11">
                  <c:v>77.38</c:v>
                </c:pt>
                <c:pt idx="12">
                  <c:v>76.959999999999994</c:v>
                </c:pt>
                <c:pt idx="13">
                  <c:v>75.459999999999994</c:v>
                </c:pt>
                <c:pt idx="14">
                  <c:v>73.599999999999994</c:v>
                </c:pt>
                <c:pt idx="15">
                  <c:v>72.599999999999994</c:v>
                </c:pt>
                <c:pt idx="16">
                  <c:v>71.91</c:v>
                </c:pt>
                <c:pt idx="17">
                  <c:v>70.599999999999994</c:v>
                </c:pt>
                <c:pt idx="18">
                  <c:v>69.33</c:v>
                </c:pt>
                <c:pt idx="19">
                  <c:v>67.849999999999994</c:v>
                </c:pt>
                <c:pt idx="20">
                  <c:v>67.680000000000007</c:v>
                </c:pt>
                <c:pt idx="21">
                  <c:v>67.569999999999993</c:v>
                </c:pt>
                <c:pt idx="22">
                  <c:v>66.12</c:v>
                </c:pt>
                <c:pt idx="23">
                  <c:v>65.45</c:v>
                </c:pt>
                <c:pt idx="24">
                  <c:v>65.010000000000005</c:v>
                </c:pt>
                <c:pt idx="25">
                  <c:v>64.78</c:v>
                </c:pt>
                <c:pt idx="26">
                  <c:v>64.31</c:v>
                </c:pt>
                <c:pt idx="27">
                  <c:v>64.11</c:v>
                </c:pt>
              </c:numCache>
            </c:numRef>
          </c:val>
          <c:extLst>
            <c:ext xmlns:c16="http://schemas.microsoft.com/office/drawing/2014/chart" uri="{C3380CC4-5D6E-409C-BE32-E72D297353CC}">
              <c16:uniqueId val="{00000006-75EB-4279-8AE4-E796E55E9388}"/>
            </c:ext>
          </c:extLst>
        </c:ser>
        <c:dLbls>
          <c:showLegendKey val="0"/>
          <c:showVal val="0"/>
          <c:showCatName val="0"/>
          <c:showSerName val="0"/>
          <c:showPercent val="0"/>
          <c:showBubbleSize val="0"/>
        </c:dLbls>
        <c:gapWidth val="90"/>
        <c:overlap val="-27"/>
        <c:axId val="273747992"/>
        <c:axId val="273748384"/>
      </c:barChart>
      <c:catAx>
        <c:axId val="27374799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288000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cs-CZ"/>
          </a:p>
        </c:txPr>
        <c:crossAx val="273748384"/>
        <c:crosses val="autoZero"/>
        <c:auto val="1"/>
        <c:lblAlgn val="ctr"/>
        <c:lblOffset val="1"/>
        <c:noMultiLvlLbl val="0"/>
      </c:catAx>
      <c:valAx>
        <c:axId val="273748384"/>
        <c:scaling>
          <c:orientation val="minMax"/>
          <c:max val="85"/>
          <c:min val="60"/>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73747992"/>
        <c:crosses val="autoZero"/>
        <c:crossBetween val="between"/>
        <c:majorUnit val="5"/>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4595"/>
            </a:solidFill>
            <a:ln>
              <a:noFill/>
            </a:ln>
            <a:effectLst/>
          </c:spPr>
          <c:invertIfNegative val="0"/>
          <c:dLbls>
            <c:dLbl>
              <c:idx val="0"/>
              <c:layout>
                <c:manualLayout>
                  <c:x val="-2.1160069444444443E-2"/>
                  <c:y val="-3.96332750072907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1D9-479F-BEE1-194B5A56A667}"/>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2'!$A$7:$E$7</c:f>
              <c:numCache>
                <c:formatCode>General</c:formatCode>
                <c:ptCount val="3"/>
                <c:pt idx="0">
                  <c:v>2016</c:v>
                </c:pt>
                <c:pt idx="1">
                  <c:v>2017</c:v>
                </c:pt>
                <c:pt idx="2">
                  <c:v>2018</c:v>
                </c:pt>
              </c:numCache>
              <c:extLst/>
            </c:numRef>
          </c:cat>
          <c:val>
            <c:numRef>
              <c:f>'Graf č. 2'!$A$8:$E$8</c:f>
              <c:numCache>
                <c:formatCode>#\ ##0.00_ ;[Red]\-#\ ##0.00\ </c:formatCode>
                <c:ptCount val="3"/>
                <c:pt idx="0">
                  <c:v>2.42</c:v>
                </c:pt>
                <c:pt idx="1">
                  <c:v>3.77</c:v>
                </c:pt>
                <c:pt idx="2">
                  <c:v>1.89</c:v>
                </c:pt>
              </c:numCache>
              <c:extLst/>
            </c:numRef>
          </c:val>
          <c:extLst>
            <c:ext xmlns:c16="http://schemas.microsoft.com/office/drawing/2014/chart" uri="{C3380CC4-5D6E-409C-BE32-E72D297353CC}">
              <c16:uniqueId val="{00000001-B1D9-479F-BEE1-194B5A56A667}"/>
            </c:ext>
          </c:extLst>
        </c:ser>
        <c:dLbls>
          <c:showLegendKey val="0"/>
          <c:showVal val="0"/>
          <c:showCatName val="0"/>
          <c:showSerName val="0"/>
          <c:showPercent val="0"/>
          <c:showBubbleSize val="0"/>
        </c:dLbls>
        <c:gapWidth val="150"/>
        <c:axId val="222765920"/>
        <c:axId val="222772576"/>
      </c:barChart>
      <c:catAx>
        <c:axId val="22276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22772576"/>
        <c:crosses val="autoZero"/>
        <c:auto val="1"/>
        <c:lblAlgn val="ctr"/>
        <c:lblOffset val="100"/>
        <c:noMultiLvlLbl val="0"/>
      </c:catAx>
      <c:valAx>
        <c:axId val="222772576"/>
        <c:scaling>
          <c:orientation val="minMax"/>
        </c:scaling>
        <c:delete val="1"/>
        <c:axPos val="l"/>
        <c:numFmt formatCode="#\ ##0.00_ ;[Red]\-#\ ##0.00\ " sourceLinked="1"/>
        <c:majorTickMark val="none"/>
        <c:minorTickMark val="none"/>
        <c:tickLblPos val="nextTo"/>
        <c:crossAx val="22276592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5788313120176E-2"/>
          <c:y val="6.5769805680119586E-2"/>
          <c:w val="0.95148842337375961"/>
          <c:h val="0.66574923232635141"/>
        </c:manualLayout>
      </c:layout>
      <c:barChart>
        <c:barDir val="col"/>
        <c:grouping val="clustered"/>
        <c:varyColors val="0"/>
        <c:ser>
          <c:idx val="0"/>
          <c:order val="0"/>
          <c:tx>
            <c:strRef>
              <c:f>List2!$C$6</c:f>
              <c:strCache>
                <c:ptCount val="1"/>
                <c:pt idx="0">
                  <c:v>Podíl přijatých transferů na příjmech krajů</c:v>
                </c:pt>
              </c:strCache>
            </c:strRef>
          </c:tx>
          <c:spPr>
            <a:solidFill>
              <a:srgbClr val="004595"/>
            </a:solidFill>
            <a:ln>
              <a:noFill/>
            </a:ln>
            <a:effectLst/>
          </c:spPr>
          <c:invertIfNegative val="0"/>
          <c:dLbls>
            <c:numFmt formatCode="0.00\­_i%"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List2!$D$5:$H$5</c:f>
              <c:numCache>
                <c:formatCode>General</c:formatCode>
                <c:ptCount val="5"/>
                <c:pt idx="0">
                  <c:v>2014</c:v>
                </c:pt>
                <c:pt idx="1">
                  <c:v>2015</c:v>
                </c:pt>
                <c:pt idx="2">
                  <c:v>2016</c:v>
                </c:pt>
                <c:pt idx="3">
                  <c:v>2017</c:v>
                </c:pt>
                <c:pt idx="4">
                  <c:v>2018</c:v>
                </c:pt>
              </c:numCache>
            </c:numRef>
          </c:cat>
          <c:val>
            <c:numRef>
              <c:f>List2!$D$6:$H$6</c:f>
              <c:numCache>
                <c:formatCode>0.00%</c:formatCode>
                <c:ptCount val="5"/>
                <c:pt idx="0">
                  <c:v>0.60706050590209271</c:v>
                </c:pt>
                <c:pt idx="1">
                  <c:v>0.61554866976398603</c:v>
                </c:pt>
                <c:pt idx="2">
                  <c:v>0.60722306938270365</c:v>
                </c:pt>
                <c:pt idx="3">
                  <c:v>0.61874919892597258</c:v>
                </c:pt>
                <c:pt idx="4">
                  <c:v>0.63198400516284914</c:v>
                </c:pt>
              </c:numCache>
            </c:numRef>
          </c:val>
          <c:extLst>
            <c:ext xmlns:c16="http://schemas.microsoft.com/office/drawing/2014/chart" uri="{C3380CC4-5D6E-409C-BE32-E72D297353CC}">
              <c16:uniqueId val="{00000000-E3DA-4C32-9FD7-FE570D6B3C79}"/>
            </c:ext>
          </c:extLst>
        </c:ser>
        <c:ser>
          <c:idx val="1"/>
          <c:order val="1"/>
          <c:tx>
            <c:strRef>
              <c:f>List2!$C$7</c:f>
              <c:strCache>
                <c:ptCount val="1"/>
                <c:pt idx="0">
                  <c:v>Podíl přijatých transferů na příjmech obcí</c:v>
                </c:pt>
              </c:strCache>
            </c:strRef>
          </c:tx>
          <c:spPr>
            <a:solidFill>
              <a:srgbClr val="BD2A33"/>
            </a:solidFill>
            <a:ln>
              <a:noFill/>
            </a:ln>
            <a:effectLst/>
          </c:spPr>
          <c:invertIfNegative val="0"/>
          <c:dLbls>
            <c:numFmt formatCode="0.00_i%"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List2!$D$5:$H$5</c:f>
              <c:numCache>
                <c:formatCode>General</c:formatCode>
                <c:ptCount val="5"/>
                <c:pt idx="0">
                  <c:v>2014</c:v>
                </c:pt>
                <c:pt idx="1">
                  <c:v>2015</c:v>
                </c:pt>
                <c:pt idx="2">
                  <c:v>2016</c:v>
                </c:pt>
                <c:pt idx="3">
                  <c:v>2017</c:v>
                </c:pt>
                <c:pt idx="4">
                  <c:v>2018</c:v>
                </c:pt>
              </c:numCache>
            </c:numRef>
          </c:cat>
          <c:val>
            <c:numRef>
              <c:f>List2!$D$7:$H$7</c:f>
              <c:numCache>
                <c:formatCode>0.00%</c:formatCode>
                <c:ptCount val="5"/>
                <c:pt idx="0">
                  <c:v>0.16486361864275229</c:v>
                </c:pt>
                <c:pt idx="1">
                  <c:v>0.17170500448057421</c:v>
                </c:pt>
                <c:pt idx="2">
                  <c:v>0.12549459584910119</c:v>
                </c:pt>
                <c:pt idx="3">
                  <c:v>0.13320253474478133</c:v>
                </c:pt>
                <c:pt idx="4">
                  <c:v>0.1494698343147417</c:v>
                </c:pt>
              </c:numCache>
            </c:numRef>
          </c:val>
          <c:extLst>
            <c:ext xmlns:c16="http://schemas.microsoft.com/office/drawing/2014/chart" uri="{C3380CC4-5D6E-409C-BE32-E72D297353CC}">
              <c16:uniqueId val="{00000001-E3DA-4C32-9FD7-FE570D6B3C79}"/>
            </c:ext>
          </c:extLst>
        </c:ser>
        <c:dLbls>
          <c:showLegendKey val="0"/>
          <c:showVal val="0"/>
          <c:showCatName val="0"/>
          <c:showSerName val="0"/>
          <c:showPercent val="0"/>
          <c:showBubbleSize val="0"/>
        </c:dLbls>
        <c:gapWidth val="219"/>
        <c:overlap val="-27"/>
        <c:axId val="460291631"/>
        <c:axId val="460292047"/>
      </c:barChart>
      <c:catAx>
        <c:axId val="4602916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460292047"/>
        <c:crosses val="autoZero"/>
        <c:auto val="1"/>
        <c:lblAlgn val="ctr"/>
        <c:lblOffset val="100"/>
        <c:noMultiLvlLbl val="0"/>
      </c:catAx>
      <c:valAx>
        <c:axId val="460292047"/>
        <c:scaling>
          <c:orientation val="minMax"/>
        </c:scaling>
        <c:delete val="1"/>
        <c:axPos val="l"/>
        <c:numFmt formatCode="0.00%" sourceLinked="1"/>
        <c:majorTickMark val="none"/>
        <c:minorTickMark val="none"/>
        <c:tickLblPos val="nextTo"/>
        <c:crossAx val="460291631"/>
        <c:crosses val="autoZero"/>
        <c:crossBetween val="between"/>
      </c:valAx>
      <c:spPr>
        <a:noFill/>
        <a:ln>
          <a:noFill/>
        </a:ln>
        <a:effectLst/>
      </c:spPr>
    </c:plotArea>
    <c:legend>
      <c:legendPos val="b"/>
      <c:layout>
        <c:manualLayout>
          <c:xMode val="edge"/>
          <c:yMode val="edge"/>
          <c:x val="6.5938761513686203E-2"/>
          <c:y val="0.89859434237386993"/>
          <c:w val="0.85930219031331112"/>
          <c:h val="0.1008975671763002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5788313120176E-2"/>
          <c:y val="6.7278287461773695E-2"/>
          <c:w val="0.95148842337375961"/>
          <c:h val="0.68762455151821622"/>
        </c:manualLayout>
      </c:layout>
      <c:barChart>
        <c:barDir val="col"/>
        <c:grouping val="stacked"/>
        <c:varyColors val="0"/>
        <c:ser>
          <c:idx val="0"/>
          <c:order val="0"/>
          <c:tx>
            <c:strRef>
              <c:f>'Podíl KV'!$B$4</c:f>
              <c:strCache>
                <c:ptCount val="1"/>
                <c:pt idx="0">
                  <c:v>Běžné výdaje</c:v>
                </c:pt>
              </c:strCache>
            </c:strRef>
          </c:tx>
          <c:spPr>
            <a:solidFill>
              <a:srgbClr val="00459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'Podíl KV'!$C$3:$G$3</c:f>
              <c:numCache>
                <c:formatCode>General</c:formatCode>
                <c:ptCount val="5"/>
                <c:pt idx="0">
                  <c:v>2014</c:v>
                </c:pt>
                <c:pt idx="1">
                  <c:v>2015</c:v>
                </c:pt>
                <c:pt idx="2">
                  <c:v>2016</c:v>
                </c:pt>
                <c:pt idx="3">
                  <c:v>2017</c:v>
                </c:pt>
                <c:pt idx="4">
                  <c:v>2018</c:v>
                </c:pt>
              </c:numCache>
            </c:numRef>
          </c:cat>
          <c:val>
            <c:numRef>
              <c:f>'Podíl KV'!$C$4:$G$4</c:f>
              <c:numCache>
                <c:formatCode>#\ ##0.00_ ;[Red]\-#\ ##0.00\ </c:formatCode>
                <c:ptCount val="5"/>
                <c:pt idx="0">
                  <c:v>301.78426396875102</c:v>
                </c:pt>
                <c:pt idx="1">
                  <c:v>312.10059243886002</c:v>
                </c:pt>
                <c:pt idx="2">
                  <c:v>326.956695997689</c:v>
                </c:pt>
                <c:pt idx="3">
                  <c:v>358.00892450396702</c:v>
                </c:pt>
                <c:pt idx="4">
                  <c:v>400.17276859538998</c:v>
                </c:pt>
              </c:numCache>
            </c:numRef>
          </c:val>
          <c:extLst>
            <c:ext xmlns:c16="http://schemas.microsoft.com/office/drawing/2014/chart" uri="{C3380CC4-5D6E-409C-BE32-E72D297353CC}">
              <c16:uniqueId val="{00000000-1744-4AF6-9FBE-3387BCAF094A}"/>
            </c:ext>
          </c:extLst>
        </c:ser>
        <c:ser>
          <c:idx val="1"/>
          <c:order val="1"/>
          <c:tx>
            <c:strRef>
              <c:f>'Podíl KV'!$B$5</c:f>
              <c:strCache>
                <c:ptCount val="1"/>
                <c:pt idx="0">
                  <c:v>Kapitálové výdaje</c:v>
                </c:pt>
              </c:strCache>
            </c:strRef>
          </c:tx>
          <c:spPr>
            <a:solidFill>
              <a:srgbClr val="BD2A3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'Podíl KV'!$C$3:$G$3</c:f>
              <c:numCache>
                <c:formatCode>General</c:formatCode>
                <c:ptCount val="5"/>
                <c:pt idx="0">
                  <c:v>2014</c:v>
                </c:pt>
                <c:pt idx="1">
                  <c:v>2015</c:v>
                </c:pt>
                <c:pt idx="2">
                  <c:v>2016</c:v>
                </c:pt>
                <c:pt idx="3">
                  <c:v>2017</c:v>
                </c:pt>
                <c:pt idx="4">
                  <c:v>2018</c:v>
                </c:pt>
              </c:numCache>
            </c:numRef>
          </c:cat>
          <c:val>
            <c:numRef>
              <c:f>'Podíl KV'!$C$5:$G$5</c:f>
              <c:numCache>
                <c:formatCode>#\ ##0.00_ ;[Red]\-#\ ##0.00\ </c:formatCode>
                <c:ptCount val="5"/>
                <c:pt idx="0">
                  <c:v>109.11713827233</c:v>
                </c:pt>
                <c:pt idx="1">
                  <c:v>113.14296570642</c:v>
                </c:pt>
                <c:pt idx="2">
                  <c:v>66.569707505910102</c:v>
                </c:pt>
                <c:pt idx="3">
                  <c:v>83.637888868610105</c:v>
                </c:pt>
                <c:pt idx="4">
                  <c:v>123.62752598334001</c:v>
                </c:pt>
              </c:numCache>
            </c:numRef>
          </c:val>
          <c:extLst>
            <c:ext xmlns:c16="http://schemas.microsoft.com/office/drawing/2014/chart" uri="{C3380CC4-5D6E-409C-BE32-E72D297353CC}">
              <c16:uniqueId val="{00000001-1744-4AF6-9FBE-3387BCAF094A}"/>
            </c:ext>
          </c:extLst>
        </c:ser>
        <c:dLbls>
          <c:showLegendKey val="0"/>
          <c:showVal val="1"/>
          <c:showCatName val="0"/>
          <c:showSerName val="0"/>
          <c:showPercent val="0"/>
          <c:showBubbleSize val="0"/>
        </c:dLbls>
        <c:gapWidth val="150"/>
        <c:overlap val="100"/>
        <c:axId val="1599336543"/>
        <c:axId val="1599320319"/>
      </c:barChart>
      <c:lineChart>
        <c:grouping val="standard"/>
        <c:varyColors val="0"/>
        <c:ser>
          <c:idx val="2"/>
          <c:order val="2"/>
          <c:tx>
            <c:strRef>
              <c:f>'Podíl KV'!$B$6</c:f>
              <c:strCache>
                <c:ptCount val="1"/>
                <c:pt idx="0">
                  <c:v>Podíl kapitálových výdajů na celkových</c:v>
                </c:pt>
              </c:strCache>
            </c:strRef>
          </c:tx>
          <c:spPr>
            <a:ln w="28575" cap="rnd">
              <a:solidFill>
                <a:srgbClr val="C3C5C6"/>
              </a:solidFill>
              <a:round/>
            </a:ln>
            <a:effectLst/>
          </c:spPr>
          <c:marker>
            <c:symbol val="none"/>
          </c:marker>
          <c:dLbls>
            <c:dLbl>
              <c:idx val="0"/>
              <c:layout>
                <c:manualLayout>
                  <c:x val="0"/>
                  <c:y val="-1.32291666666666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744-4AF6-9FBE-3387BCAF094A}"/>
                </c:ext>
              </c:extLst>
            </c:dLbl>
            <c:dLbl>
              <c:idx val="1"/>
              <c:layout>
                <c:manualLayout>
                  <c:x val="0"/>
                  <c:y val="-1.763888888888888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744-4AF6-9FBE-3387BCAF094A}"/>
                </c:ext>
              </c:extLst>
            </c:dLbl>
            <c:dLbl>
              <c:idx val="2"/>
              <c:layout>
                <c:manualLayout>
                  <c:x val="-2.8663194444444446E-2"/>
                  <c:y val="-7.49652777777778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744-4AF6-9FBE-3387BCAF094A}"/>
                </c:ext>
              </c:extLst>
            </c:dLbl>
            <c:dLbl>
              <c:idx val="3"/>
              <c:layout>
                <c:manualLayout>
                  <c:x val="-5.0711805555555635E-2"/>
                  <c:y val="-7.496527777777778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1744-4AF6-9FBE-3387BCAF094A}"/>
                </c:ext>
              </c:extLst>
            </c:dLbl>
            <c:dLbl>
              <c:idx val="4"/>
              <c:layout>
                <c:manualLayout>
                  <c:x val="-3.0868055555555555E-2"/>
                  <c:y val="-5.291666666666667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744-4AF6-9FBE-3387BCAF094A}"/>
                </c:ext>
              </c:extLst>
            </c:dLbl>
            <c:numFmt formatCode="0.00_i%"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'Podíl KV'!$C$3:$G$3</c:f>
              <c:numCache>
                <c:formatCode>General</c:formatCode>
                <c:ptCount val="5"/>
                <c:pt idx="0">
                  <c:v>2014</c:v>
                </c:pt>
                <c:pt idx="1">
                  <c:v>2015</c:v>
                </c:pt>
                <c:pt idx="2">
                  <c:v>2016</c:v>
                </c:pt>
                <c:pt idx="3">
                  <c:v>2017</c:v>
                </c:pt>
                <c:pt idx="4">
                  <c:v>2018</c:v>
                </c:pt>
              </c:numCache>
            </c:numRef>
          </c:cat>
          <c:val>
            <c:numRef>
              <c:f>'Podíl KV'!$C$6:$G$6</c:f>
              <c:numCache>
                <c:formatCode>0.00%</c:formatCode>
                <c:ptCount val="5"/>
                <c:pt idx="0">
                  <c:v>0.26555552664750853</c:v>
                </c:pt>
                <c:pt idx="1">
                  <c:v>0.26606626611793582</c:v>
                </c:pt>
                <c:pt idx="2">
                  <c:v>0.16916198484583078</c:v>
                </c:pt>
                <c:pt idx="3">
                  <c:v>0.18937731765779162</c:v>
                </c:pt>
                <c:pt idx="4">
                  <c:v>0.23602034451463663</c:v>
                </c:pt>
              </c:numCache>
            </c:numRef>
          </c:val>
          <c:smooth val="0"/>
          <c:extLst>
            <c:ext xmlns:c16="http://schemas.microsoft.com/office/drawing/2014/chart" uri="{C3380CC4-5D6E-409C-BE32-E72D297353CC}">
              <c16:uniqueId val="{00000007-1744-4AF6-9FBE-3387BCAF094A}"/>
            </c:ext>
          </c:extLst>
        </c:ser>
        <c:dLbls>
          <c:showLegendKey val="0"/>
          <c:showVal val="1"/>
          <c:showCatName val="0"/>
          <c:showSerName val="0"/>
          <c:showPercent val="0"/>
          <c:showBubbleSize val="0"/>
        </c:dLbls>
        <c:marker val="1"/>
        <c:smooth val="0"/>
        <c:axId val="1556383039"/>
        <c:axId val="1556375967"/>
      </c:lineChart>
      <c:catAx>
        <c:axId val="15993365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599320319"/>
        <c:crosses val="autoZero"/>
        <c:auto val="1"/>
        <c:lblAlgn val="ctr"/>
        <c:lblOffset val="100"/>
        <c:noMultiLvlLbl val="0"/>
      </c:catAx>
      <c:valAx>
        <c:axId val="1599320319"/>
        <c:scaling>
          <c:orientation val="minMax"/>
        </c:scaling>
        <c:delete val="0"/>
        <c:axPos val="l"/>
        <c:numFmt formatCode="#\ ##0.00_ ;[Red]\-#\ ##0.00\ "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599336543"/>
        <c:crosses val="autoZero"/>
        <c:crossBetween val="between"/>
      </c:valAx>
      <c:valAx>
        <c:axId val="1556375967"/>
        <c:scaling>
          <c:orientation val="minMax"/>
          <c:max val="0.27"/>
          <c:min val="-0.1"/>
        </c:scaling>
        <c:delete val="0"/>
        <c:axPos val="r"/>
        <c:numFmt formatCode="0.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556383039"/>
        <c:crosses val="max"/>
        <c:crossBetween val="between"/>
      </c:valAx>
      <c:catAx>
        <c:axId val="1556383039"/>
        <c:scaling>
          <c:orientation val="minMax"/>
        </c:scaling>
        <c:delete val="1"/>
        <c:axPos val="b"/>
        <c:numFmt formatCode="General" sourceLinked="1"/>
        <c:majorTickMark val="out"/>
        <c:minorTickMark val="none"/>
        <c:tickLblPos val="nextTo"/>
        <c:crossAx val="1556375967"/>
        <c:crosses val="autoZero"/>
        <c:auto val="1"/>
        <c:lblAlgn val="ctr"/>
        <c:lblOffset val="100"/>
        <c:noMultiLvlLbl val="0"/>
      </c:catAx>
      <c:spPr>
        <a:noFill/>
        <a:ln>
          <a:noFill/>
        </a:ln>
        <a:effectLst/>
      </c:spPr>
    </c:plotArea>
    <c:legend>
      <c:legendPos val="b"/>
      <c:layout>
        <c:manualLayout>
          <c:xMode val="edge"/>
          <c:yMode val="edge"/>
          <c:x val="6.9129170320082658E-2"/>
          <c:y val="0.87235069300547941"/>
          <c:w val="0.86174165935983471"/>
          <c:h val="0.1216224728665673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201528640383613E-2"/>
          <c:y val="8.2125603864734303E-2"/>
          <c:w val="0.94831130212043913"/>
          <c:h val="0.69114891923827781"/>
        </c:manualLayout>
      </c:layout>
      <c:barChart>
        <c:barDir val="col"/>
        <c:grouping val="clustered"/>
        <c:varyColors val="0"/>
        <c:ser>
          <c:idx val="0"/>
          <c:order val="0"/>
          <c:tx>
            <c:strRef>
              <c:f>'G 2-prac trh'!$B$5</c:f>
              <c:strCache>
                <c:ptCount val="1"/>
                <c:pt idx="0">
                  <c:v>Počet nezaměstnaných</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 2-prac trh'!$C$4:$G$4</c:f>
              <c:numCache>
                <c:formatCode>General</c:formatCode>
                <c:ptCount val="5"/>
                <c:pt idx="0">
                  <c:v>2014</c:v>
                </c:pt>
                <c:pt idx="1">
                  <c:v>2015</c:v>
                </c:pt>
                <c:pt idx="2">
                  <c:v>2016</c:v>
                </c:pt>
                <c:pt idx="3">
                  <c:v>2017</c:v>
                </c:pt>
                <c:pt idx="4">
                  <c:v>2018</c:v>
                </c:pt>
              </c:numCache>
            </c:numRef>
          </c:cat>
          <c:val>
            <c:numRef>
              <c:f>'G 2-prac trh'!$C$5:$G$5</c:f>
              <c:numCache>
                <c:formatCode>General</c:formatCode>
                <c:ptCount val="5"/>
                <c:pt idx="0">
                  <c:v>541.9</c:v>
                </c:pt>
                <c:pt idx="1">
                  <c:v>453.1</c:v>
                </c:pt>
                <c:pt idx="2">
                  <c:v>381.4</c:v>
                </c:pt>
                <c:pt idx="3">
                  <c:v>280.60000000000002</c:v>
                </c:pt>
                <c:pt idx="4" formatCode="0.0">
                  <c:v>231.53399999999999</c:v>
                </c:pt>
              </c:numCache>
            </c:numRef>
          </c:val>
          <c:extLst>
            <c:ext xmlns:c16="http://schemas.microsoft.com/office/drawing/2014/chart" uri="{C3380CC4-5D6E-409C-BE32-E72D297353CC}">
              <c16:uniqueId val="{00000000-3F54-4F6B-8501-F0E97A646173}"/>
            </c:ext>
          </c:extLst>
        </c:ser>
        <c:ser>
          <c:idx val="1"/>
          <c:order val="1"/>
          <c:tx>
            <c:strRef>
              <c:f>'G 2-prac trh'!$B$6</c:f>
              <c:strCache>
                <c:ptCount val="1"/>
                <c:pt idx="0">
                  <c:v>Volná pracovní místa</c:v>
                </c:pt>
              </c:strCache>
            </c:strRef>
          </c:tx>
          <c:spPr>
            <a:solidFill>
              <a:srgbClr val="D9EAFF"/>
            </a:solidFill>
            <a:ln>
              <a:noFill/>
            </a:ln>
            <a:effectLst/>
          </c:spPr>
          <c:invertIfNegative val="0"/>
          <c:dLbls>
            <c:dLbl>
              <c:idx val="0"/>
              <c:layout>
                <c:manualLayout>
                  <c:x val="7.04845880175826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F54-4F6B-8501-F0E97A646173}"/>
                </c:ext>
              </c:extLst>
            </c:dLbl>
            <c:dLbl>
              <c:idx val="1"/>
              <c:layout>
                <c:manualLayout>
                  <c:x val="1.6446403870769375E-2"/>
                  <c:y val="-4.830917874396223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F54-4F6B-8501-F0E97A646173}"/>
                </c:ext>
              </c:extLst>
            </c:dLbl>
            <c:dLbl>
              <c:idx val="2"/>
              <c:layout>
                <c:manualLayout>
                  <c:x val="1.6446403870769375E-2"/>
                  <c:y val="4.830917874396046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F54-4F6B-8501-F0E97A646173}"/>
                </c:ext>
              </c:extLst>
            </c:dLbl>
            <c:dLbl>
              <c:idx val="4"/>
              <c:layout>
                <c:manualLayout>
                  <c:x val="2.4852441077210467E-2"/>
                  <c:y val="6.2801932367149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F54-4F6B-8501-F0E97A64617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 2-prac trh'!$C$4:$G$4</c:f>
              <c:numCache>
                <c:formatCode>General</c:formatCode>
                <c:ptCount val="5"/>
                <c:pt idx="0">
                  <c:v>2014</c:v>
                </c:pt>
                <c:pt idx="1">
                  <c:v>2015</c:v>
                </c:pt>
                <c:pt idx="2">
                  <c:v>2016</c:v>
                </c:pt>
                <c:pt idx="3">
                  <c:v>2017</c:v>
                </c:pt>
                <c:pt idx="4">
                  <c:v>2018</c:v>
                </c:pt>
              </c:numCache>
            </c:numRef>
          </c:cat>
          <c:val>
            <c:numRef>
              <c:f>'G 2-prac trh'!$C$6:$G$6</c:f>
              <c:numCache>
                <c:formatCode>General</c:formatCode>
                <c:ptCount val="5"/>
                <c:pt idx="0">
                  <c:v>58.7</c:v>
                </c:pt>
                <c:pt idx="1">
                  <c:v>102.5</c:v>
                </c:pt>
                <c:pt idx="2">
                  <c:v>132.5</c:v>
                </c:pt>
                <c:pt idx="3">
                  <c:v>216.6</c:v>
                </c:pt>
                <c:pt idx="4" formatCode="0.0">
                  <c:v>324.41000000000003</c:v>
                </c:pt>
              </c:numCache>
            </c:numRef>
          </c:val>
          <c:extLst>
            <c:ext xmlns:c16="http://schemas.microsoft.com/office/drawing/2014/chart" uri="{C3380CC4-5D6E-409C-BE32-E72D297353CC}">
              <c16:uniqueId val="{00000005-3F54-4F6B-8501-F0E97A646173}"/>
            </c:ext>
          </c:extLst>
        </c:ser>
        <c:dLbls>
          <c:showLegendKey val="0"/>
          <c:showVal val="0"/>
          <c:showCatName val="0"/>
          <c:showSerName val="0"/>
          <c:showPercent val="0"/>
          <c:showBubbleSize val="0"/>
        </c:dLbls>
        <c:gapWidth val="150"/>
        <c:axId val="252936832"/>
        <c:axId val="252937248"/>
      </c:barChart>
      <c:lineChart>
        <c:grouping val="standard"/>
        <c:varyColors val="0"/>
        <c:ser>
          <c:idx val="3"/>
          <c:order val="2"/>
          <c:tx>
            <c:strRef>
              <c:f>'G 2-prac trh'!$B$7</c:f>
              <c:strCache>
                <c:ptCount val="1"/>
                <c:pt idx="0">
                  <c:v>Obecná míra nezaměstnanosti</c:v>
                </c:pt>
              </c:strCache>
            </c:strRef>
          </c:tx>
          <c:spPr>
            <a:ln w="28575" cap="rnd">
              <a:solidFill>
                <a:srgbClr val="BD2A3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 2-prac trh'!$C$4:$F$4</c:f>
              <c:numCache>
                <c:formatCode>General</c:formatCode>
                <c:ptCount val="4"/>
                <c:pt idx="0">
                  <c:v>2014</c:v>
                </c:pt>
                <c:pt idx="1">
                  <c:v>2015</c:v>
                </c:pt>
                <c:pt idx="2">
                  <c:v>2016</c:v>
                </c:pt>
                <c:pt idx="3">
                  <c:v>2017</c:v>
                </c:pt>
              </c:numCache>
            </c:numRef>
          </c:cat>
          <c:val>
            <c:numRef>
              <c:f>'G 2-prac trh'!$C$7:$G$7</c:f>
              <c:numCache>
                <c:formatCode>0.0</c:formatCode>
                <c:ptCount val="5"/>
                <c:pt idx="0">
                  <c:v>6.1</c:v>
                </c:pt>
                <c:pt idx="1">
                  <c:v>5.0480202509218097</c:v>
                </c:pt>
                <c:pt idx="2">
                  <c:v>4</c:v>
                </c:pt>
                <c:pt idx="3" formatCode="General">
                  <c:v>2.9</c:v>
                </c:pt>
                <c:pt idx="4" formatCode="General">
                  <c:v>2.2000000000000002</c:v>
                </c:pt>
              </c:numCache>
            </c:numRef>
          </c:val>
          <c:smooth val="0"/>
          <c:extLst>
            <c:ext xmlns:c16="http://schemas.microsoft.com/office/drawing/2014/chart" uri="{C3380CC4-5D6E-409C-BE32-E72D297353CC}">
              <c16:uniqueId val="{00000006-3F54-4F6B-8501-F0E97A646173}"/>
            </c:ext>
          </c:extLst>
        </c:ser>
        <c:dLbls>
          <c:showLegendKey val="0"/>
          <c:showVal val="0"/>
          <c:showCatName val="0"/>
          <c:showSerName val="0"/>
          <c:showPercent val="0"/>
          <c:showBubbleSize val="0"/>
        </c:dLbls>
        <c:marker val="1"/>
        <c:smooth val="0"/>
        <c:axId val="135121264"/>
        <c:axId val="135118352"/>
      </c:lineChart>
      <c:catAx>
        <c:axId val="252936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252937248"/>
        <c:crosses val="autoZero"/>
        <c:auto val="1"/>
        <c:lblAlgn val="ctr"/>
        <c:lblOffset val="100"/>
        <c:noMultiLvlLbl val="0"/>
      </c:catAx>
      <c:valAx>
        <c:axId val="252937248"/>
        <c:scaling>
          <c:orientation val="minMax"/>
          <c:max val="800"/>
        </c:scaling>
        <c:delete val="0"/>
        <c:axPos val="l"/>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52936832"/>
        <c:crosses val="autoZero"/>
        <c:crossBetween val="between"/>
        <c:majorUnit val="200"/>
        <c:minorUnit val="40"/>
      </c:valAx>
      <c:valAx>
        <c:axId val="135118352"/>
        <c:scaling>
          <c:orientation val="minMax"/>
          <c:max val="6.2"/>
          <c:min val="0"/>
        </c:scaling>
        <c:delete val="0"/>
        <c:axPos val="r"/>
        <c:numFmt formatCode="0.0"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5121264"/>
        <c:crosses val="max"/>
        <c:crossBetween val="between"/>
      </c:valAx>
      <c:catAx>
        <c:axId val="135121264"/>
        <c:scaling>
          <c:orientation val="minMax"/>
        </c:scaling>
        <c:delete val="1"/>
        <c:axPos val="b"/>
        <c:numFmt formatCode="General" sourceLinked="1"/>
        <c:majorTickMark val="out"/>
        <c:minorTickMark val="none"/>
        <c:tickLblPos val="nextTo"/>
        <c:crossAx val="135118352"/>
        <c:crosses val="autoZero"/>
        <c:auto val="1"/>
        <c:lblAlgn val="ctr"/>
        <c:lblOffset val="100"/>
        <c:noMultiLvlLbl val="0"/>
      </c:catAx>
      <c:spPr>
        <a:noFill/>
        <a:ln>
          <a:noFill/>
        </a:ln>
        <a:effectLst/>
      </c:spPr>
    </c:plotArea>
    <c:legend>
      <c:legendPos val="b"/>
      <c:layout>
        <c:manualLayout>
          <c:xMode val="edge"/>
          <c:yMode val="edge"/>
          <c:x val="4.9999980431148755E-2"/>
          <c:y val="0.89166595084705325"/>
          <c:w val="0.89999984344919004"/>
          <c:h val="0.1022734430923407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765451388888895E-2"/>
          <c:y val="2.7777777777777776E-2"/>
          <c:w val="0.9264151041666665"/>
          <c:h val="0.52061424613589968"/>
        </c:manualLayout>
      </c:layout>
      <c:barChart>
        <c:barDir val="col"/>
        <c:grouping val="clustered"/>
        <c:varyColors val="0"/>
        <c:ser>
          <c:idx val="0"/>
          <c:order val="0"/>
          <c:tx>
            <c:strRef>
              <c:f>List1!$H$5</c:f>
              <c:strCache>
                <c:ptCount val="1"/>
                <c:pt idx="0">
                  <c:v>2018</c:v>
                </c:pt>
              </c:strCache>
            </c:strRef>
          </c:tx>
          <c:spPr>
            <a:solidFill>
              <a:srgbClr val="004595"/>
            </a:solidFill>
            <a:ln>
              <a:noFill/>
            </a:ln>
            <a:effectLst/>
          </c:spPr>
          <c:invertIfNegative val="0"/>
          <c:cat>
            <c:strRef>
              <c:f>List1!$C$6:$C$18</c:f>
              <c:strCache>
                <c:ptCount val="13"/>
                <c:pt idx="0">
                  <c:v>Jihočeský kraj</c:v>
                </c:pt>
                <c:pt idx="1">
                  <c:v>Kraj Vysočina</c:v>
                </c:pt>
                <c:pt idx="2">
                  <c:v>Královéhradecký kraj</c:v>
                </c:pt>
                <c:pt idx="3">
                  <c:v>Karlovarský kraj</c:v>
                </c:pt>
                <c:pt idx="4">
                  <c:v>Olomoucký kraj</c:v>
                </c:pt>
                <c:pt idx="5">
                  <c:v>Plzeňský kraj</c:v>
                </c:pt>
                <c:pt idx="6">
                  <c:v>Pardubický kraj</c:v>
                </c:pt>
                <c:pt idx="7">
                  <c:v>Liberecký kraj</c:v>
                </c:pt>
                <c:pt idx="8">
                  <c:v>Středočeský kraj</c:v>
                </c:pt>
                <c:pt idx="9">
                  <c:v>Moravskoslezský kraj</c:v>
                </c:pt>
                <c:pt idx="10">
                  <c:v>Zlínský kraj</c:v>
                </c:pt>
                <c:pt idx="11">
                  <c:v>Ústecký kraj</c:v>
                </c:pt>
                <c:pt idx="12">
                  <c:v>Jihomoravský kraj</c:v>
                </c:pt>
              </c:strCache>
            </c:strRef>
          </c:cat>
          <c:val>
            <c:numRef>
              <c:f>List1!$H$6:$H$18</c:f>
              <c:numCache>
                <c:formatCode>0.00%</c:formatCode>
                <c:ptCount val="13"/>
                <c:pt idx="0">
                  <c:v>0.20298934270354341</c:v>
                </c:pt>
                <c:pt idx="1">
                  <c:v>0.19496046879774798</c:v>
                </c:pt>
                <c:pt idx="2">
                  <c:v>0.16752694100500387</c:v>
                </c:pt>
                <c:pt idx="3">
                  <c:v>0.16115018437689069</c:v>
                </c:pt>
                <c:pt idx="4">
                  <c:v>0.1595211907334039</c:v>
                </c:pt>
                <c:pt idx="5">
                  <c:v>0.14088042016079311</c:v>
                </c:pt>
                <c:pt idx="6">
                  <c:v>0.14080188897573767</c:v>
                </c:pt>
                <c:pt idx="7">
                  <c:v>0.13638889253084654</c:v>
                </c:pt>
                <c:pt idx="8">
                  <c:v>0.12895793301618913</c:v>
                </c:pt>
                <c:pt idx="9">
                  <c:v>0.12642724315658357</c:v>
                </c:pt>
                <c:pt idx="10">
                  <c:v>0.12457817652299943</c:v>
                </c:pt>
                <c:pt idx="11">
                  <c:v>0.10286903917020776</c:v>
                </c:pt>
                <c:pt idx="12">
                  <c:v>0.10193710818914038</c:v>
                </c:pt>
              </c:numCache>
            </c:numRef>
          </c:val>
          <c:extLst>
            <c:ext xmlns:c16="http://schemas.microsoft.com/office/drawing/2014/chart" uri="{C3380CC4-5D6E-409C-BE32-E72D297353CC}">
              <c16:uniqueId val="{00000000-38AD-436C-8E81-D5B7D7DCBD67}"/>
            </c:ext>
          </c:extLst>
        </c:ser>
        <c:dLbls>
          <c:showLegendKey val="0"/>
          <c:showVal val="0"/>
          <c:showCatName val="0"/>
          <c:showSerName val="0"/>
          <c:showPercent val="0"/>
          <c:showBubbleSize val="0"/>
        </c:dLbls>
        <c:gapWidth val="219"/>
        <c:axId val="1027215568"/>
        <c:axId val="1027210576"/>
      </c:barChart>
      <c:lineChart>
        <c:grouping val="standard"/>
        <c:varyColors val="0"/>
        <c:ser>
          <c:idx val="1"/>
          <c:order val="1"/>
          <c:tx>
            <c:strRef>
              <c:f>List1!$I$5</c:f>
              <c:strCache>
                <c:ptCount val="1"/>
                <c:pt idx="0">
                  <c:v>Průměr krajů 2014–2018</c:v>
                </c:pt>
              </c:strCache>
            </c:strRef>
          </c:tx>
          <c:spPr>
            <a:ln w="28575" cap="rnd">
              <a:solidFill>
                <a:srgbClr val="BD2A33"/>
              </a:solidFill>
              <a:round/>
            </a:ln>
            <a:effectLst/>
          </c:spPr>
          <c:marker>
            <c:symbol val="none"/>
          </c:marker>
          <c:dLbls>
            <c:dLbl>
              <c:idx val="0"/>
              <c:delete val="1"/>
              <c:extLst>
                <c:ext xmlns:c15="http://schemas.microsoft.com/office/drawing/2012/chart" uri="{CE6537A1-D6FC-4f65-9D91-7224C49458BB}"/>
                <c:ext xmlns:c16="http://schemas.microsoft.com/office/drawing/2014/chart" uri="{C3380CC4-5D6E-409C-BE32-E72D297353CC}">
                  <c16:uniqueId val="{00000001-38AD-436C-8E81-D5B7D7DCBD67}"/>
                </c:ext>
              </c:extLst>
            </c:dLbl>
            <c:dLbl>
              <c:idx val="1"/>
              <c:delete val="1"/>
              <c:extLst>
                <c:ext xmlns:c15="http://schemas.microsoft.com/office/drawing/2012/chart" uri="{CE6537A1-D6FC-4f65-9D91-7224C49458BB}"/>
                <c:ext xmlns:c16="http://schemas.microsoft.com/office/drawing/2014/chart" uri="{C3380CC4-5D6E-409C-BE32-E72D297353CC}">
                  <c16:uniqueId val="{00000002-38AD-436C-8E81-D5B7D7DCBD67}"/>
                </c:ext>
              </c:extLst>
            </c:dLbl>
            <c:dLbl>
              <c:idx val="2"/>
              <c:delete val="1"/>
              <c:extLst>
                <c:ext xmlns:c15="http://schemas.microsoft.com/office/drawing/2012/chart" uri="{CE6537A1-D6FC-4f65-9D91-7224C49458BB}"/>
                <c:ext xmlns:c16="http://schemas.microsoft.com/office/drawing/2014/chart" uri="{C3380CC4-5D6E-409C-BE32-E72D297353CC}">
                  <c16:uniqueId val="{00000003-38AD-436C-8E81-D5B7D7DCBD67}"/>
                </c:ext>
              </c:extLst>
            </c:dLbl>
            <c:dLbl>
              <c:idx val="3"/>
              <c:delete val="1"/>
              <c:extLst>
                <c:ext xmlns:c15="http://schemas.microsoft.com/office/drawing/2012/chart" uri="{CE6537A1-D6FC-4f65-9D91-7224C49458BB}"/>
                <c:ext xmlns:c16="http://schemas.microsoft.com/office/drawing/2014/chart" uri="{C3380CC4-5D6E-409C-BE32-E72D297353CC}">
                  <c16:uniqueId val="{00000004-38AD-436C-8E81-D5B7D7DCBD67}"/>
                </c:ext>
              </c:extLst>
            </c:dLbl>
            <c:dLbl>
              <c:idx val="4"/>
              <c:delete val="1"/>
              <c:extLst>
                <c:ext xmlns:c15="http://schemas.microsoft.com/office/drawing/2012/chart" uri="{CE6537A1-D6FC-4f65-9D91-7224C49458BB}"/>
                <c:ext xmlns:c16="http://schemas.microsoft.com/office/drawing/2014/chart" uri="{C3380CC4-5D6E-409C-BE32-E72D297353CC}">
                  <c16:uniqueId val="{00000005-38AD-436C-8E81-D5B7D7DCBD67}"/>
                </c:ext>
              </c:extLst>
            </c:dLbl>
            <c:dLbl>
              <c:idx val="5"/>
              <c:delete val="1"/>
              <c:extLst>
                <c:ext xmlns:c15="http://schemas.microsoft.com/office/drawing/2012/chart" uri="{CE6537A1-D6FC-4f65-9D91-7224C49458BB}"/>
                <c:ext xmlns:c16="http://schemas.microsoft.com/office/drawing/2014/chart" uri="{C3380CC4-5D6E-409C-BE32-E72D297353CC}">
                  <c16:uniqueId val="{00000006-38AD-436C-8E81-D5B7D7DCBD67}"/>
                </c:ext>
              </c:extLst>
            </c:dLbl>
            <c:dLbl>
              <c:idx val="6"/>
              <c:delete val="1"/>
              <c:extLst>
                <c:ext xmlns:c15="http://schemas.microsoft.com/office/drawing/2012/chart" uri="{CE6537A1-D6FC-4f65-9D91-7224C49458BB}"/>
                <c:ext xmlns:c16="http://schemas.microsoft.com/office/drawing/2014/chart" uri="{C3380CC4-5D6E-409C-BE32-E72D297353CC}">
                  <c16:uniqueId val="{00000007-38AD-436C-8E81-D5B7D7DCBD67}"/>
                </c:ext>
              </c:extLst>
            </c:dLbl>
            <c:dLbl>
              <c:idx val="7"/>
              <c:delete val="1"/>
              <c:extLst>
                <c:ext xmlns:c15="http://schemas.microsoft.com/office/drawing/2012/chart" uri="{CE6537A1-D6FC-4f65-9D91-7224C49458BB}"/>
                <c:ext xmlns:c16="http://schemas.microsoft.com/office/drawing/2014/chart" uri="{C3380CC4-5D6E-409C-BE32-E72D297353CC}">
                  <c16:uniqueId val="{00000008-38AD-436C-8E81-D5B7D7DCBD67}"/>
                </c:ext>
              </c:extLst>
            </c:dLbl>
            <c:dLbl>
              <c:idx val="8"/>
              <c:delete val="1"/>
              <c:extLst>
                <c:ext xmlns:c15="http://schemas.microsoft.com/office/drawing/2012/chart" uri="{CE6537A1-D6FC-4f65-9D91-7224C49458BB}"/>
                <c:ext xmlns:c16="http://schemas.microsoft.com/office/drawing/2014/chart" uri="{C3380CC4-5D6E-409C-BE32-E72D297353CC}">
                  <c16:uniqueId val="{00000009-38AD-436C-8E81-D5B7D7DCBD67}"/>
                </c:ext>
              </c:extLst>
            </c:dLbl>
            <c:dLbl>
              <c:idx val="9"/>
              <c:delete val="1"/>
              <c:extLst>
                <c:ext xmlns:c15="http://schemas.microsoft.com/office/drawing/2012/chart" uri="{CE6537A1-D6FC-4f65-9D91-7224C49458BB}"/>
                <c:ext xmlns:c16="http://schemas.microsoft.com/office/drawing/2014/chart" uri="{C3380CC4-5D6E-409C-BE32-E72D297353CC}">
                  <c16:uniqueId val="{0000000A-38AD-436C-8E81-D5B7D7DCBD67}"/>
                </c:ext>
              </c:extLst>
            </c:dLbl>
            <c:dLbl>
              <c:idx val="10"/>
              <c:layout>
                <c:manualLayout>
                  <c:x val="-7.3586462281403947E-2"/>
                  <c:y val="-9.7222222222222224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fld id="{7763BAAC-7999-493F-8341-4DEEE1038381}" type="VALUE">
                      <a:rPr lang="en-US" sz="1000">
                        <a:solidFill>
                          <a:sysClr val="windowText" lastClr="000000"/>
                        </a:solidFill>
                      </a:rPr>
                      <a:pPr>
                        <a:defRPr>
                          <a:solidFill>
                            <a:sysClr val="windowText" lastClr="000000"/>
                          </a:solidFill>
                        </a:defRPr>
                      </a:pPr>
                      <a:t>[HODNOTA]</a:t>
                    </a:fld>
                    <a:endParaRPr lang="cs-CZ"/>
                  </a:p>
                </c:rich>
              </c:tx>
              <c:numFmt formatCode="0.00_i%" sourceLinked="0"/>
              <c:spPr>
                <a:xfrm>
                  <a:off x="4284554" y="243688"/>
                  <a:ext cx="476141" cy="280944"/>
                </a:xfrm>
                <a:solidFill>
                  <a:sysClr val="window" lastClr="FFFFFF"/>
                </a:solidFill>
                <a:ln w="9525" cap="flat" cmpd="sng" algn="ctr">
                  <a:solidFill>
                    <a:srgbClr val="BD2A33"/>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8392"/>
                        <a:gd name="adj2" fmla="val 81799"/>
                      </a:avLst>
                    </a:prstGeom>
                    <a:noFill/>
                    <a:ln>
                      <a:noFill/>
                    </a:ln>
                  </c15:spPr>
                  <c15:layout>
                    <c:manualLayout>
                      <c:w val="9.8099124048303218E-2"/>
                      <c:h val="0.10241469816272966"/>
                    </c:manualLayout>
                  </c15:layout>
                  <c15:dlblFieldTable/>
                  <c15:showDataLabelsRange val="0"/>
                </c:ext>
                <c:ext xmlns:c16="http://schemas.microsoft.com/office/drawing/2014/chart" uri="{C3380CC4-5D6E-409C-BE32-E72D297353CC}">
                  <c16:uniqueId val="{0000000B-38AD-436C-8E81-D5B7D7DCBD67}"/>
                </c:ext>
              </c:extLst>
            </c:dLbl>
            <c:dLbl>
              <c:idx val="11"/>
              <c:delete val="1"/>
              <c:extLst>
                <c:ext xmlns:c15="http://schemas.microsoft.com/office/drawing/2012/chart" uri="{CE6537A1-D6FC-4f65-9D91-7224C49458BB}"/>
                <c:ext xmlns:c16="http://schemas.microsoft.com/office/drawing/2014/chart" uri="{C3380CC4-5D6E-409C-BE32-E72D297353CC}">
                  <c16:uniqueId val="{0000000C-38AD-436C-8E81-D5B7D7DCBD67}"/>
                </c:ext>
              </c:extLst>
            </c:dLbl>
            <c:dLbl>
              <c:idx val="12"/>
              <c:delete val="1"/>
              <c:extLst>
                <c:ext xmlns:c15="http://schemas.microsoft.com/office/drawing/2012/chart" uri="{CE6537A1-D6FC-4f65-9D91-7224C49458BB}"/>
                <c:ext xmlns:c16="http://schemas.microsoft.com/office/drawing/2014/chart" uri="{C3380CC4-5D6E-409C-BE32-E72D297353CC}">
                  <c16:uniqueId val="{0000000D-38AD-436C-8E81-D5B7D7DCBD67}"/>
                </c:ext>
              </c:extLst>
            </c:dLbl>
            <c:spPr>
              <a:solidFill>
                <a:sysClr val="window" lastClr="FFFFFF"/>
              </a:solidFill>
              <a:ln>
                <a:solidFill>
                  <a:srgbClr val="BD2A33"/>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List1!$C$6:$C$18</c:f>
              <c:strCache>
                <c:ptCount val="13"/>
                <c:pt idx="0">
                  <c:v>Jihočeský kraj</c:v>
                </c:pt>
                <c:pt idx="1">
                  <c:v>Kraj Vysočina</c:v>
                </c:pt>
                <c:pt idx="2">
                  <c:v>Královéhradecký kraj</c:v>
                </c:pt>
                <c:pt idx="3">
                  <c:v>Karlovarský kraj</c:v>
                </c:pt>
                <c:pt idx="4">
                  <c:v>Olomoucký kraj</c:v>
                </c:pt>
                <c:pt idx="5">
                  <c:v>Plzeňský kraj</c:v>
                </c:pt>
                <c:pt idx="6">
                  <c:v>Pardubický kraj</c:v>
                </c:pt>
                <c:pt idx="7">
                  <c:v>Liberecký kraj</c:v>
                </c:pt>
                <c:pt idx="8">
                  <c:v>Středočeský kraj</c:v>
                </c:pt>
                <c:pt idx="9">
                  <c:v>Moravskoslezský kraj</c:v>
                </c:pt>
                <c:pt idx="10">
                  <c:v>Zlínský kraj</c:v>
                </c:pt>
                <c:pt idx="11">
                  <c:v>Ústecký kraj</c:v>
                </c:pt>
                <c:pt idx="12">
                  <c:v>Jihomoravský kraj</c:v>
                </c:pt>
              </c:strCache>
            </c:strRef>
          </c:cat>
          <c:val>
            <c:numRef>
              <c:f>List1!$I$6:$I$18</c:f>
              <c:numCache>
                <c:formatCode>0.00%</c:formatCode>
                <c:ptCount val="13"/>
                <c:pt idx="0">
                  <c:v>0.1255</c:v>
                </c:pt>
                <c:pt idx="1">
                  <c:v>0.1255</c:v>
                </c:pt>
                <c:pt idx="2">
                  <c:v>0.1255</c:v>
                </c:pt>
                <c:pt idx="3">
                  <c:v>0.1255</c:v>
                </c:pt>
                <c:pt idx="4">
                  <c:v>0.1255</c:v>
                </c:pt>
                <c:pt idx="5">
                  <c:v>0.1255</c:v>
                </c:pt>
                <c:pt idx="6">
                  <c:v>0.1255</c:v>
                </c:pt>
                <c:pt idx="7">
                  <c:v>0.1255</c:v>
                </c:pt>
                <c:pt idx="8">
                  <c:v>0.1255</c:v>
                </c:pt>
                <c:pt idx="9">
                  <c:v>0.1255</c:v>
                </c:pt>
                <c:pt idx="10">
                  <c:v>0.1255</c:v>
                </c:pt>
                <c:pt idx="11">
                  <c:v>0.1255</c:v>
                </c:pt>
                <c:pt idx="12">
                  <c:v>0.1255</c:v>
                </c:pt>
              </c:numCache>
            </c:numRef>
          </c:val>
          <c:smooth val="0"/>
          <c:extLst>
            <c:ext xmlns:c16="http://schemas.microsoft.com/office/drawing/2014/chart" uri="{C3380CC4-5D6E-409C-BE32-E72D297353CC}">
              <c16:uniqueId val="{0000000E-38AD-436C-8E81-D5B7D7DCBD67}"/>
            </c:ext>
          </c:extLst>
        </c:ser>
        <c:dLbls>
          <c:showLegendKey val="0"/>
          <c:showVal val="0"/>
          <c:showCatName val="0"/>
          <c:showSerName val="0"/>
          <c:showPercent val="0"/>
          <c:showBubbleSize val="0"/>
        </c:dLbls>
        <c:marker val="1"/>
        <c:smooth val="0"/>
        <c:axId val="1027215568"/>
        <c:axId val="1027210576"/>
      </c:lineChart>
      <c:scatterChart>
        <c:scatterStyle val="lineMarker"/>
        <c:varyColors val="0"/>
        <c:ser>
          <c:idx val="2"/>
          <c:order val="2"/>
          <c:tx>
            <c:strRef>
              <c:f>List1!$J$5</c:f>
              <c:strCache>
                <c:ptCount val="1"/>
                <c:pt idx="0">
                  <c:v>Průměr kraje 2014–2018</c:v>
                </c:pt>
              </c:strCache>
            </c:strRef>
          </c:tx>
          <c:spPr>
            <a:ln w="25400" cap="rnd">
              <a:noFill/>
              <a:round/>
            </a:ln>
            <a:effectLst/>
          </c:spPr>
          <c:marker>
            <c:symbol val="circle"/>
            <c:size val="8"/>
            <c:spPr>
              <a:solidFill>
                <a:srgbClr val="C3C5C6"/>
              </a:solidFill>
              <a:ln w="9525">
                <a:solidFill>
                  <a:schemeClr val="accent3"/>
                </a:solidFill>
              </a:ln>
              <a:effectLst/>
            </c:spPr>
          </c:marker>
          <c:xVal>
            <c:strRef>
              <c:f>List1!$C$6:$C$18</c:f>
              <c:strCache>
                <c:ptCount val="13"/>
                <c:pt idx="0">
                  <c:v>Jihočeský kraj</c:v>
                </c:pt>
                <c:pt idx="1">
                  <c:v>Kraj Vysočina</c:v>
                </c:pt>
                <c:pt idx="2">
                  <c:v>Královéhradecký kraj</c:v>
                </c:pt>
                <c:pt idx="3">
                  <c:v>Karlovarský kraj</c:v>
                </c:pt>
                <c:pt idx="4">
                  <c:v>Olomoucký kraj</c:v>
                </c:pt>
                <c:pt idx="5">
                  <c:v>Plzeňský kraj</c:v>
                </c:pt>
                <c:pt idx="6">
                  <c:v>Pardubický kraj</c:v>
                </c:pt>
                <c:pt idx="7">
                  <c:v>Liberecký kraj</c:v>
                </c:pt>
                <c:pt idx="8">
                  <c:v>Středočeský kraj</c:v>
                </c:pt>
                <c:pt idx="9">
                  <c:v>Moravskoslezský kraj</c:v>
                </c:pt>
                <c:pt idx="10">
                  <c:v>Zlínský kraj</c:v>
                </c:pt>
                <c:pt idx="11">
                  <c:v>Ústecký kraj</c:v>
                </c:pt>
                <c:pt idx="12">
                  <c:v>Jihomoravský kraj</c:v>
                </c:pt>
              </c:strCache>
            </c:strRef>
          </c:xVal>
          <c:yVal>
            <c:numRef>
              <c:f>List1!$J$6:$J$18</c:f>
              <c:numCache>
                <c:formatCode>0.00%</c:formatCode>
                <c:ptCount val="13"/>
                <c:pt idx="0">
                  <c:v>0.14973060544782074</c:v>
                </c:pt>
                <c:pt idx="1">
                  <c:v>0.17116731508399907</c:v>
                </c:pt>
                <c:pt idx="2">
                  <c:v>0.13653244771135672</c:v>
                </c:pt>
                <c:pt idx="3">
                  <c:v>0.15760605825053953</c:v>
                </c:pt>
                <c:pt idx="4">
                  <c:v>0.12428619009847727</c:v>
                </c:pt>
                <c:pt idx="5">
                  <c:v>0.11769931571583922</c:v>
                </c:pt>
                <c:pt idx="6">
                  <c:v>0.12881760039373708</c:v>
                </c:pt>
                <c:pt idx="7">
                  <c:v>0.12680256079505223</c:v>
                </c:pt>
                <c:pt idx="8">
                  <c:v>9.4737549406733207E-2</c:v>
                </c:pt>
                <c:pt idx="9">
                  <c:v>0.1195619393772428</c:v>
                </c:pt>
                <c:pt idx="10">
                  <c:v>0.11427427467175547</c:v>
                </c:pt>
                <c:pt idx="11">
                  <c:v>8.2495724256631833E-2</c:v>
                </c:pt>
                <c:pt idx="12">
                  <c:v>0.10744855879578344</c:v>
                </c:pt>
              </c:numCache>
            </c:numRef>
          </c:yVal>
          <c:smooth val="0"/>
          <c:extLst>
            <c:ext xmlns:c16="http://schemas.microsoft.com/office/drawing/2014/chart" uri="{C3380CC4-5D6E-409C-BE32-E72D297353CC}">
              <c16:uniqueId val="{0000000F-38AD-436C-8E81-D5B7D7DCBD67}"/>
            </c:ext>
          </c:extLst>
        </c:ser>
        <c:dLbls>
          <c:showLegendKey val="0"/>
          <c:showVal val="0"/>
          <c:showCatName val="0"/>
          <c:showSerName val="0"/>
          <c:showPercent val="0"/>
          <c:showBubbleSize val="0"/>
        </c:dLbls>
        <c:axId val="1027215568"/>
        <c:axId val="1027210576"/>
      </c:scatterChart>
      <c:catAx>
        <c:axId val="102721556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027210576"/>
        <c:crosses val="autoZero"/>
        <c:auto val="1"/>
        <c:lblAlgn val="ctr"/>
        <c:lblOffset val="100"/>
        <c:noMultiLvlLbl val="0"/>
      </c:catAx>
      <c:valAx>
        <c:axId val="1027210576"/>
        <c:scaling>
          <c:orientation val="minMax"/>
          <c:max val="0.21000000000000002"/>
          <c:min val="0"/>
        </c:scaling>
        <c:delete val="0"/>
        <c:axPos val="l"/>
        <c:majorGridlines>
          <c:spPr>
            <a:ln w="9525" cap="flat" cmpd="sng" algn="ctr">
              <a:solidFill>
                <a:schemeClr val="tx1">
                  <a:lumMod val="15000"/>
                  <a:lumOff val="85000"/>
                </a:schemeClr>
              </a:solidFill>
              <a:round/>
            </a:ln>
            <a:effectLst/>
          </c:spPr>
        </c:majorGridlines>
        <c:numFmt formatCode="0\ %"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0272155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045855379188711E-3"/>
          <c:y val="8.0350620891161434E-2"/>
          <c:w val="0.99779541446208109"/>
          <c:h val="0.67220512702530155"/>
        </c:manualLayout>
      </c:layout>
      <c:barChart>
        <c:barDir val="col"/>
        <c:grouping val="clustered"/>
        <c:varyColors val="0"/>
        <c:ser>
          <c:idx val="0"/>
          <c:order val="0"/>
          <c:tx>
            <c:strRef>
              <c:f>'MON1TOR EXPORT'!$B$20</c:f>
              <c:strCache>
                <c:ptCount val="1"/>
                <c:pt idx="0">
                  <c:v>Příjmy</c:v>
                </c:pt>
              </c:strCache>
            </c:strRef>
          </c:tx>
          <c:spPr>
            <a:solidFill>
              <a:srgbClr val="004595"/>
            </a:solidFill>
            <a:ln>
              <a:noFill/>
            </a:ln>
            <a:effectLst/>
          </c:spPr>
          <c:invertIfNegative val="0"/>
          <c:dPt>
            <c:idx val="0"/>
            <c:invertIfNegative val="0"/>
            <c:bubble3D val="0"/>
            <c:spPr>
              <a:solidFill>
                <a:srgbClr val="004595"/>
              </a:solidFill>
              <a:ln>
                <a:noFill/>
              </a:ln>
              <a:effectLst/>
            </c:spPr>
            <c:extLst>
              <c:ext xmlns:c16="http://schemas.microsoft.com/office/drawing/2014/chart" uri="{C3380CC4-5D6E-409C-BE32-E72D297353CC}">
                <c16:uniqueId val="{00000001-51D2-47BA-87FD-6C8B0F25AD80}"/>
              </c:ext>
            </c:extLst>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'MON1TOR EXPORT'!$C$19:$E$19</c:f>
              <c:numCache>
                <c:formatCode>General</c:formatCode>
                <c:ptCount val="3"/>
                <c:pt idx="0">
                  <c:v>2016</c:v>
                </c:pt>
                <c:pt idx="1">
                  <c:v>2017</c:v>
                </c:pt>
                <c:pt idx="2">
                  <c:v>2018</c:v>
                </c:pt>
              </c:numCache>
            </c:numRef>
          </c:cat>
          <c:val>
            <c:numRef>
              <c:f>'MON1TOR EXPORT'!$C$20:$E$20</c:f>
              <c:numCache>
                <c:formatCode>#,##0.00</c:formatCode>
                <c:ptCount val="3"/>
                <c:pt idx="0">
                  <c:v>110.28672209212</c:v>
                </c:pt>
                <c:pt idx="1">
                  <c:v>117.05226663701001</c:v>
                </c:pt>
                <c:pt idx="2">
                  <c:v>118.58440144875</c:v>
                </c:pt>
              </c:numCache>
            </c:numRef>
          </c:val>
          <c:extLst>
            <c:ext xmlns:c16="http://schemas.microsoft.com/office/drawing/2014/chart" uri="{C3380CC4-5D6E-409C-BE32-E72D297353CC}">
              <c16:uniqueId val="{00000002-51D2-47BA-87FD-6C8B0F25AD80}"/>
            </c:ext>
          </c:extLst>
        </c:ser>
        <c:ser>
          <c:idx val="1"/>
          <c:order val="1"/>
          <c:tx>
            <c:strRef>
              <c:f>'MON1TOR EXPORT'!$B$21</c:f>
              <c:strCache>
                <c:ptCount val="1"/>
                <c:pt idx="0">
                  <c:v>Výdaje</c:v>
                </c:pt>
              </c:strCache>
            </c:strRef>
          </c:tx>
          <c:spPr>
            <a:solidFill>
              <a:srgbClr val="BD2A33"/>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'MON1TOR EXPORT'!$C$19:$E$19</c:f>
              <c:numCache>
                <c:formatCode>General</c:formatCode>
                <c:ptCount val="3"/>
                <c:pt idx="0">
                  <c:v>2016</c:v>
                </c:pt>
                <c:pt idx="1">
                  <c:v>2017</c:v>
                </c:pt>
                <c:pt idx="2">
                  <c:v>2018</c:v>
                </c:pt>
              </c:numCache>
            </c:numRef>
          </c:cat>
          <c:val>
            <c:numRef>
              <c:f>'MON1TOR EXPORT'!$C$21:$E$21</c:f>
              <c:numCache>
                <c:formatCode>#,##0.00</c:formatCode>
                <c:ptCount val="3"/>
                <c:pt idx="0">
                  <c:v>117.85153744701</c:v>
                </c:pt>
                <c:pt idx="1">
                  <c:v>116.6404404363</c:v>
                </c:pt>
                <c:pt idx="2">
                  <c:v>121.76728993139</c:v>
                </c:pt>
              </c:numCache>
            </c:numRef>
          </c:val>
          <c:extLst>
            <c:ext xmlns:c16="http://schemas.microsoft.com/office/drawing/2014/chart" uri="{C3380CC4-5D6E-409C-BE32-E72D297353CC}">
              <c16:uniqueId val="{00000003-51D2-47BA-87FD-6C8B0F25AD80}"/>
            </c:ext>
          </c:extLst>
        </c:ser>
        <c:ser>
          <c:idx val="2"/>
          <c:order val="2"/>
          <c:tx>
            <c:strRef>
              <c:f>'MON1TOR EXPORT'!$B$22</c:f>
              <c:strCache>
                <c:ptCount val="1"/>
                <c:pt idx="0">
                  <c:v>Saldo příjmů a výdajů</c:v>
                </c:pt>
              </c:strCache>
            </c:strRef>
          </c:tx>
          <c:spPr>
            <a:solidFill>
              <a:srgbClr val="C3C5C6"/>
            </a:solidFill>
            <a:ln>
              <a:noFill/>
            </a:ln>
            <a:effectLst/>
          </c:spPr>
          <c:invertIfNegative val="0"/>
          <c:dLbls>
            <c:dLbl>
              <c:idx val="0"/>
              <c:layout/>
              <c:tx>
                <c:rich>
                  <a:bodyPr rot="0" spcFirstLastPara="1" vertOverflow="clip" horzOverflow="clip"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r>
                      <a:rPr lang="en-US" sz="900" b="0" i="0" u="none" strike="noStrike" baseline="0">
                        <a:effectLst/>
                      </a:rPr>
                      <a:t>−</a:t>
                    </a:r>
                    <a:r>
                      <a:rPr lang="en-US"/>
                      <a:t>7,56</a:t>
                    </a:r>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layout/>
                </c:ext>
                <c:ext xmlns:c16="http://schemas.microsoft.com/office/drawing/2014/chart" uri="{C3380CC4-5D6E-409C-BE32-E72D297353CC}">
                  <c16:uniqueId val="{00000004-51D2-47BA-87FD-6C8B0F25AD80}"/>
                </c:ext>
              </c:extLst>
            </c:dLbl>
            <c:dLbl>
              <c:idx val="2"/>
              <c:layout/>
              <c:tx>
                <c:rich>
                  <a:bodyPr rot="0" spcFirstLastPara="1" vertOverflow="clip" horzOverflow="clip"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r>
                      <a:rPr lang="en-US" sz="900" b="0" i="0" u="none" strike="noStrike" baseline="0">
                        <a:effectLst/>
                      </a:rPr>
                      <a:t>−</a:t>
                    </a:r>
                    <a:r>
                      <a:rPr lang="en-US"/>
                      <a:t>3,18</a:t>
                    </a:r>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rgbClr val="FF0000"/>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layout/>
                </c:ext>
                <c:ext xmlns:c16="http://schemas.microsoft.com/office/drawing/2014/chart" uri="{C3380CC4-5D6E-409C-BE32-E72D297353CC}">
                  <c16:uniqueId val="{00000005-51D2-47BA-87FD-6C8B0F25AD8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'MON1TOR EXPORT'!$C$19:$E$19</c:f>
              <c:numCache>
                <c:formatCode>General</c:formatCode>
                <c:ptCount val="3"/>
                <c:pt idx="0">
                  <c:v>2016</c:v>
                </c:pt>
                <c:pt idx="1">
                  <c:v>2017</c:v>
                </c:pt>
                <c:pt idx="2">
                  <c:v>2018</c:v>
                </c:pt>
              </c:numCache>
            </c:numRef>
          </c:cat>
          <c:val>
            <c:numRef>
              <c:f>'MON1TOR EXPORT'!$C$22:$E$22</c:f>
              <c:numCache>
                <c:formatCode>#,##0.00</c:formatCode>
                <c:ptCount val="3"/>
                <c:pt idx="0">
                  <c:v>-7.5648153548900012</c:v>
                </c:pt>
                <c:pt idx="1">
                  <c:v>0.41182620071000997</c:v>
                </c:pt>
                <c:pt idx="2">
                  <c:v>-3.1828884826399957</c:v>
                </c:pt>
              </c:numCache>
            </c:numRef>
          </c:val>
          <c:extLst>
            <c:ext xmlns:c16="http://schemas.microsoft.com/office/drawing/2014/chart" uri="{C3380CC4-5D6E-409C-BE32-E72D297353CC}">
              <c16:uniqueId val="{00000006-51D2-47BA-87FD-6C8B0F25AD80}"/>
            </c:ext>
          </c:extLst>
        </c:ser>
        <c:dLbls>
          <c:showLegendKey val="0"/>
          <c:showVal val="0"/>
          <c:showCatName val="0"/>
          <c:showSerName val="0"/>
          <c:showPercent val="0"/>
          <c:showBubbleSize val="0"/>
        </c:dLbls>
        <c:gapWidth val="219"/>
        <c:overlap val="-27"/>
        <c:axId val="1395104496"/>
        <c:axId val="1395104912"/>
      </c:barChart>
      <c:catAx>
        <c:axId val="1395104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395104912"/>
        <c:crosses val="autoZero"/>
        <c:auto val="1"/>
        <c:lblAlgn val="ctr"/>
        <c:lblOffset val="100"/>
        <c:noMultiLvlLbl val="0"/>
      </c:catAx>
      <c:valAx>
        <c:axId val="1395104912"/>
        <c:scaling>
          <c:orientation val="minMax"/>
        </c:scaling>
        <c:delete val="0"/>
        <c:axPos val="l"/>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951044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0265104166666666E-2"/>
          <c:y val="4.856512141280353E-2"/>
          <c:w val="0.96996527777777775"/>
          <c:h val="0.62256767676767677"/>
        </c:manualLayout>
      </c:layout>
      <c:barChart>
        <c:barDir val="col"/>
        <c:grouping val="clustered"/>
        <c:varyColors val="0"/>
        <c:ser>
          <c:idx val="0"/>
          <c:order val="0"/>
          <c:tx>
            <c:strRef>
              <c:f>List1!$C$5</c:f>
              <c:strCache>
                <c:ptCount val="1"/>
                <c:pt idx="0">
                  <c:v>Schválený rozpočet</c:v>
                </c:pt>
              </c:strCache>
            </c:strRef>
          </c:tx>
          <c:spPr>
            <a:solidFill>
              <a:srgbClr val="004595"/>
            </a:solidFill>
            <a:ln>
              <a:noFill/>
            </a:ln>
            <a:effectLst/>
          </c:spPr>
          <c:invertIfNegative val="0"/>
          <c:dLbls>
            <c:dLbl>
              <c:idx val="0"/>
              <c:layout>
                <c:manualLayout>
                  <c:x val="-2.5348542458808618E-2"/>
                  <c:y val="-9.134213790700526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818-42E8-BD93-0B861D226CDA}"/>
                </c:ext>
              </c:extLst>
            </c:dLbl>
            <c:dLbl>
              <c:idx val="1"/>
              <c:layout>
                <c:manualLayout>
                  <c:x val="-1.0139416983523447E-2"/>
                  <c:y val="-1.756346511774568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818-42E8-BD93-0B861D226CDA}"/>
                </c:ext>
              </c:extLst>
            </c:dLbl>
            <c:dLbl>
              <c:idx val="2"/>
              <c:layout>
                <c:manualLayout>
                  <c:x val="-3.287671232876712E-2"/>
                  <c:y val="6.7807669874599859E-3"/>
                </c:manualLayout>
              </c:layout>
              <c:tx>
                <c:rich>
                  <a:bodyPr/>
                  <a:lstStyle/>
                  <a:p>
                    <a:r>
                      <a:rPr lang="en-US" sz="900" b="0" i="0" u="none" strike="noStrike" baseline="0">
                        <a:solidFill>
                          <a:srgbClr val="FF0000"/>
                        </a:solidFill>
                        <a:effectLst/>
                      </a:rPr>
                      <a:t>−52,18</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818-42E8-BD93-0B861D226CDA}"/>
                </c:ext>
              </c:extLst>
            </c:dLbl>
            <c:dLbl>
              <c:idx val="3"/>
              <c:layout>
                <c:manualLayout>
                  <c:x val="-3.2108153781157583E-2"/>
                  <c:y val="3.18797343196936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818-42E8-BD93-0B861D226CDA}"/>
                </c:ext>
              </c:extLst>
            </c:dLbl>
            <c:dLbl>
              <c:idx val="4"/>
              <c:layout>
                <c:manualLayout>
                  <c:x val="-1.5209125475285171E-2"/>
                  <c:y val="2.50675633065804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818-42E8-BD93-0B861D226CDA}"/>
                </c:ext>
              </c:extLst>
            </c:dLbl>
            <c:dLbl>
              <c:idx val="5"/>
              <c:layout>
                <c:manualLayout>
                  <c:x val="-2.853310645981821E-2"/>
                  <c:y val="6.5863288828026927E-3"/>
                </c:manualLayout>
              </c:layout>
              <c:tx>
                <c:rich>
                  <a:bodyPr/>
                  <a:lstStyle/>
                  <a:p>
                    <a:r>
                      <a:rPr lang="en-US" sz="900" b="0" i="0" u="none" strike="noStrike" baseline="0">
                        <a:solidFill>
                          <a:srgbClr val="FF0000"/>
                        </a:solidFill>
                        <a:effectLst/>
                      </a:rPr>
                      <a:t>−40,00</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818-42E8-BD93-0B861D226CDA}"/>
                </c:ext>
              </c:extLst>
            </c:dLbl>
            <c:numFmt formatCode="#,##0.00_ ;[Red]\-#,##0.00\ "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tx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multiLvlStrRef>
              <c:f>List1!$D$3:$I$4</c:f>
              <c:multiLvlStrCache>
                <c:ptCount val="6"/>
                <c:lvl>
                  <c:pt idx="0">
                    <c:v>Příjmy </c:v>
                  </c:pt>
                  <c:pt idx="1">
                    <c:v>Výdaje</c:v>
                  </c:pt>
                  <c:pt idx="2">
                    <c:v>Saldo</c:v>
                  </c:pt>
                  <c:pt idx="3">
                    <c:v>Příjmy </c:v>
                  </c:pt>
                  <c:pt idx="4">
                    <c:v>Výdaje </c:v>
                  </c:pt>
                  <c:pt idx="5">
                    <c:v>Saldo</c:v>
                  </c:pt>
                </c:lvl>
                <c:lvl>
                  <c:pt idx="0">
                    <c:v>2009</c:v>
                  </c:pt>
                  <c:pt idx="3">
                    <c:v>2019</c:v>
                  </c:pt>
                </c:lvl>
              </c:multiLvlStrCache>
            </c:multiLvlStrRef>
          </c:cat>
          <c:val>
            <c:numRef>
              <c:f>List1!$D$5:$I$5</c:f>
              <c:numCache>
                <c:formatCode>#\ ##0.00_ ;[Red]\-#\ ##0.00\ </c:formatCode>
                <c:ptCount val="6"/>
                <c:pt idx="0">
                  <c:v>1114.0016969999999</c:v>
                </c:pt>
                <c:pt idx="1">
                  <c:v>1166.181282</c:v>
                </c:pt>
                <c:pt idx="2">
                  <c:v>-52.18</c:v>
                </c:pt>
                <c:pt idx="3">
                  <c:v>1465.359071851</c:v>
                </c:pt>
                <c:pt idx="4">
                  <c:v>1505.359071851</c:v>
                </c:pt>
                <c:pt idx="5">
                  <c:v>-40</c:v>
                </c:pt>
              </c:numCache>
            </c:numRef>
          </c:val>
          <c:extLst>
            <c:ext xmlns:c16="http://schemas.microsoft.com/office/drawing/2014/chart" uri="{C3380CC4-5D6E-409C-BE32-E72D297353CC}">
              <c16:uniqueId val="{00000006-9818-42E8-BD93-0B861D226CDA}"/>
            </c:ext>
          </c:extLst>
        </c:ser>
        <c:ser>
          <c:idx val="1"/>
          <c:order val="1"/>
          <c:tx>
            <c:strRef>
              <c:f>List1!$C$6</c:f>
              <c:strCache>
                <c:ptCount val="1"/>
                <c:pt idx="0">
                  <c:v>Skutečnost (pro rok 2019 odhad)</c:v>
                </c:pt>
              </c:strCache>
            </c:strRef>
          </c:tx>
          <c:spPr>
            <a:solidFill>
              <a:srgbClr val="BD2A33"/>
            </a:solidFill>
            <a:ln>
              <a:noFill/>
            </a:ln>
            <a:effectLst/>
          </c:spPr>
          <c:invertIfNegative val="0"/>
          <c:dLbls>
            <c:dLbl>
              <c:idx val="0"/>
              <c:layout>
                <c:manualLayout>
                  <c:x val="2.8511753151392965E-2"/>
                  <c:y val="-1.6075526516486586E-2"/>
                </c:manualLayout>
              </c:layout>
              <c:dLblPos val="outEnd"/>
              <c:showLegendKey val="0"/>
              <c:showVal val="1"/>
              <c:showCatName val="0"/>
              <c:showSerName val="0"/>
              <c:showPercent val="0"/>
              <c:showBubbleSize val="0"/>
              <c:extLst>
                <c:ext xmlns:c15="http://schemas.microsoft.com/office/drawing/2012/chart" uri="{CE6537A1-D6FC-4f65-9D91-7224C49458BB}">
                  <c15:layout>
                    <c:manualLayout>
                      <c:w val="7.2411601802255407E-2"/>
                      <c:h val="8.3618395526646114E-2"/>
                    </c:manualLayout>
                  </c15:layout>
                </c:ext>
                <c:ext xmlns:c16="http://schemas.microsoft.com/office/drawing/2014/chart" uri="{C3380CC4-5D6E-409C-BE32-E72D297353CC}">
                  <c16:uniqueId val="{00000007-9818-42E8-BD93-0B861D226CDA}"/>
                </c:ext>
              </c:extLst>
            </c:dLbl>
            <c:dLbl>
              <c:idx val="1"/>
              <c:layout>
                <c:manualLayout>
                  <c:x val="3.0827952589576494E-2"/>
                  <c:y val="-1.06304534624367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818-42E8-BD93-0B861D226CDA}"/>
                </c:ext>
              </c:extLst>
            </c:dLbl>
            <c:dLbl>
              <c:idx val="2"/>
              <c:layout>
                <c:manualLayout>
                  <c:x val="2.7124137999860284E-2"/>
                  <c:y val="-1.8675692253057919E-3"/>
                </c:manualLayout>
              </c:layout>
              <c:tx>
                <c:rich>
                  <a:bodyPr/>
                  <a:lstStyle/>
                  <a:p>
                    <a:r>
                      <a:rPr lang="en-US" sz="900" b="0" i="0" u="none" strike="noStrike" baseline="0">
                        <a:solidFill>
                          <a:srgbClr val="FF0000"/>
                        </a:solidFill>
                        <a:effectLst/>
                      </a:rPr>
                      <a:t>−192,39</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9818-42E8-BD93-0B861D226CDA}"/>
                </c:ext>
              </c:extLst>
            </c:dLbl>
            <c:dLbl>
              <c:idx val="3"/>
              <c:layout>
                <c:manualLayout>
                  <c:x val="1.351922264469793E-2"/>
                  <c:y val="-3.658688248406083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9818-42E8-BD93-0B861D226CDA}"/>
                </c:ext>
              </c:extLst>
            </c:dLbl>
            <c:dLbl>
              <c:idx val="4"/>
              <c:layout>
                <c:manualLayout>
                  <c:x val="2.7174968147992907E-2"/>
                  <c:y val="3.317621701147353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9818-42E8-BD93-0B861D226CDA}"/>
                </c:ext>
              </c:extLst>
            </c:dLbl>
            <c:dLbl>
              <c:idx val="5"/>
              <c:layout>
                <c:manualLayout>
                  <c:x val="1.2785388127853882E-2"/>
                  <c:y val="3.1705687951796804E-2"/>
                </c:manualLayout>
              </c:layout>
              <c:tx>
                <c:rich>
                  <a:bodyPr/>
                  <a:lstStyle/>
                  <a:p>
                    <a:r>
                      <a:rPr lang="en-US" sz="900" b="0" i="0" u="none" strike="noStrike" baseline="0">
                        <a:solidFill>
                          <a:srgbClr val="FF0000"/>
                        </a:solidFill>
                        <a:effectLst/>
                      </a:rPr>
                      <a:t>−223,32</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9818-42E8-BD93-0B861D226CDA}"/>
                </c:ext>
              </c:extLst>
            </c:dLbl>
            <c:numFmt formatCode="#,##0.00_ ;[Red]\-#,##0.00\ "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tx1"/>
                    </a:solidFill>
                    <a:latin typeface="+mn-lt"/>
                    <a:ea typeface="+mn-ea"/>
                    <a:cs typeface="+mn-cs"/>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multiLvlStrRef>
              <c:f>List1!$D$3:$I$4</c:f>
              <c:multiLvlStrCache>
                <c:ptCount val="6"/>
                <c:lvl>
                  <c:pt idx="0">
                    <c:v>Příjmy </c:v>
                  </c:pt>
                  <c:pt idx="1">
                    <c:v>Výdaje</c:v>
                  </c:pt>
                  <c:pt idx="2">
                    <c:v>Saldo</c:v>
                  </c:pt>
                  <c:pt idx="3">
                    <c:v>Příjmy </c:v>
                  </c:pt>
                  <c:pt idx="4">
                    <c:v>Výdaje </c:v>
                  </c:pt>
                  <c:pt idx="5">
                    <c:v>Saldo</c:v>
                  </c:pt>
                </c:lvl>
                <c:lvl>
                  <c:pt idx="0">
                    <c:v>2009</c:v>
                  </c:pt>
                  <c:pt idx="3">
                    <c:v>2019</c:v>
                  </c:pt>
                </c:lvl>
              </c:multiLvlStrCache>
            </c:multiLvlStrRef>
          </c:cat>
          <c:val>
            <c:numRef>
              <c:f>List1!$D$6:$I$6</c:f>
              <c:numCache>
                <c:formatCode>#\ ##0.00_ ;[Red]\-#\ ##0.00\ </c:formatCode>
                <c:ptCount val="6"/>
                <c:pt idx="0">
                  <c:v>974.61468261000005</c:v>
                </c:pt>
                <c:pt idx="1">
                  <c:v>1167.0090557399999</c:v>
                </c:pt>
                <c:pt idx="2">
                  <c:v>-192.39</c:v>
                </c:pt>
                <c:pt idx="3">
                  <c:v>1282.04265196244</c:v>
                </c:pt>
                <c:pt idx="4">
                  <c:v>1505.359071851</c:v>
                </c:pt>
                <c:pt idx="5">
                  <c:v>-223.31641988855995</c:v>
                </c:pt>
              </c:numCache>
            </c:numRef>
          </c:val>
          <c:extLst>
            <c:ext xmlns:c16="http://schemas.microsoft.com/office/drawing/2014/chart" uri="{C3380CC4-5D6E-409C-BE32-E72D297353CC}">
              <c16:uniqueId val="{0000000D-9818-42E8-BD93-0B861D226CDA}"/>
            </c:ext>
          </c:extLst>
        </c:ser>
        <c:dLbls>
          <c:showLegendKey val="0"/>
          <c:showVal val="0"/>
          <c:showCatName val="0"/>
          <c:showSerName val="0"/>
          <c:showPercent val="0"/>
          <c:showBubbleSize val="0"/>
        </c:dLbls>
        <c:gapWidth val="219"/>
        <c:overlap val="-27"/>
        <c:axId val="543104976"/>
        <c:axId val="543119952"/>
      </c:barChart>
      <c:catAx>
        <c:axId val="54310497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0" spcFirstLastPara="1" vertOverflow="ellipsis" wrap="square" anchor="t" anchorCtr="0"/>
          <a:lstStyle/>
          <a:p>
            <a:pPr>
              <a:defRPr sz="900" b="0" i="0" u="none" strike="noStrike" kern="1200" baseline="0">
                <a:solidFill>
                  <a:schemeClr val="tx1"/>
                </a:solidFill>
                <a:latin typeface="+mn-lt"/>
                <a:ea typeface="+mn-ea"/>
                <a:cs typeface="+mn-cs"/>
              </a:defRPr>
            </a:pPr>
            <a:endParaRPr lang="cs-CZ"/>
          </a:p>
        </c:txPr>
        <c:crossAx val="543119952"/>
        <c:crosses val="autoZero"/>
        <c:auto val="1"/>
        <c:lblAlgn val="ctr"/>
        <c:lblOffset val="100"/>
        <c:noMultiLvlLbl val="0"/>
      </c:catAx>
      <c:valAx>
        <c:axId val="543119952"/>
        <c:scaling>
          <c:orientation val="minMax"/>
        </c:scaling>
        <c:delete val="1"/>
        <c:axPos val="l"/>
        <c:numFmt formatCode="#\ ##0.00_ ;[Red]\-#\ ##0.00\ " sourceLinked="1"/>
        <c:majorTickMark val="none"/>
        <c:minorTickMark val="none"/>
        <c:tickLblPos val="nextTo"/>
        <c:crossAx val="543104976"/>
        <c:crosses val="autoZero"/>
        <c:crossBetween val="between"/>
        <c:majorUnit val="400"/>
      </c:valAx>
      <c:spPr>
        <a:noFill/>
        <a:ln w="25400">
          <a:noFill/>
        </a:ln>
        <a:effectLst/>
      </c:spPr>
    </c:plotArea>
    <c:legend>
      <c:legendPos val="b"/>
      <c:layout>
        <c:manualLayout>
          <c:xMode val="edge"/>
          <c:yMode val="edge"/>
          <c:x val="0.22171267361111116"/>
          <c:y val="0.89176060606060603"/>
          <c:w val="0.55657465277777773"/>
          <c:h val="0.108239393939393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3472222222221E-2"/>
          <c:y val="5.3527939515344167E-2"/>
          <c:w val="0.95149305555555552"/>
          <c:h val="0.6904787151532551"/>
        </c:manualLayout>
      </c:layout>
      <c:barChart>
        <c:barDir val="col"/>
        <c:grouping val="clustered"/>
        <c:varyColors val="0"/>
        <c:ser>
          <c:idx val="0"/>
          <c:order val="0"/>
          <c:tx>
            <c:strRef>
              <c:f>List1!$C$6</c:f>
              <c:strCache>
                <c:ptCount val="1"/>
                <c:pt idx="0">
                  <c:v>BB</c:v>
                </c:pt>
              </c:strCache>
            </c:strRef>
          </c:tx>
          <c:spPr>
            <a:solidFill>
              <a:srgbClr val="004595"/>
            </a:solidFill>
            <a:ln>
              <a:noFill/>
            </a:ln>
            <a:effectLst/>
          </c:spPr>
          <c:invertIfNegative val="0"/>
          <c:dPt>
            <c:idx val="4"/>
            <c:invertIfNegative val="0"/>
            <c:bubble3D val="0"/>
            <c:spPr>
              <a:solidFill>
                <a:srgbClr val="BD2A33"/>
              </a:solidFill>
              <a:ln>
                <a:noFill/>
              </a:ln>
              <a:effectLst/>
            </c:spPr>
            <c:extLst>
              <c:ext xmlns:c16="http://schemas.microsoft.com/office/drawing/2014/chart" uri="{C3380CC4-5D6E-409C-BE32-E72D297353CC}">
                <c16:uniqueId val="{00000001-04C7-49C7-A6F0-990022A47667}"/>
              </c:ext>
            </c:extLst>
          </c:dPt>
          <c:dPt>
            <c:idx val="5"/>
            <c:invertIfNegative val="0"/>
            <c:bubble3D val="0"/>
            <c:spPr>
              <a:solidFill>
                <a:srgbClr val="BD2A33"/>
              </a:solidFill>
              <a:ln>
                <a:noFill/>
              </a:ln>
              <a:effectLst/>
            </c:spPr>
            <c:extLst>
              <c:ext xmlns:c16="http://schemas.microsoft.com/office/drawing/2014/chart" uri="{C3380CC4-5D6E-409C-BE32-E72D297353CC}">
                <c16:uniqueId val="{00000003-04C7-49C7-A6F0-990022A47667}"/>
              </c:ext>
            </c:extLst>
          </c:dPt>
          <c:dPt>
            <c:idx val="6"/>
            <c:invertIfNegative val="0"/>
            <c:bubble3D val="0"/>
            <c:spPr>
              <a:solidFill>
                <a:srgbClr val="BD2A33"/>
              </a:solidFill>
              <a:ln>
                <a:noFill/>
              </a:ln>
              <a:effectLst/>
            </c:spPr>
            <c:extLst>
              <c:ext xmlns:c16="http://schemas.microsoft.com/office/drawing/2014/chart" uri="{C3380CC4-5D6E-409C-BE32-E72D297353CC}">
                <c16:uniqueId val="{00000005-04C7-49C7-A6F0-990022A47667}"/>
              </c:ext>
            </c:extLst>
          </c:dPt>
          <c:dPt>
            <c:idx val="7"/>
            <c:invertIfNegative val="0"/>
            <c:bubble3D val="0"/>
            <c:spPr>
              <a:solidFill>
                <a:srgbClr val="BD2A33"/>
              </a:solidFill>
              <a:ln>
                <a:noFill/>
              </a:ln>
              <a:effectLst/>
            </c:spPr>
            <c:extLst>
              <c:ext xmlns:c16="http://schemas.microsoft.com/office/drawing/2014/chart" uri="{C3380CC4-5D6E-409C-BE32-E72D297353CC}">
                <c16:uniqueId val="{00000007-04C7-49C7-A6F0-990022A47667}"/>
              </c:ext>
            </c:extLst>
          </c:dPt>
          <c:dLbls>
            <c:dLbl>
              <c:idx val="0"/>
              <c:layout/>
              <c:tx>
                <c:rich>
                  <a:bodyPr/>
                  <a:lstStyle/>
                  <a:p>
                    <a:r>
                      <a:rPr lang="en-US" sz="900" b="0" i="0" u="none" strike="noStrike" baseline="0">
                        <a:solidFill>
                          <a:srgbClr val="FF0000"/>
                        </a:solidFill>
                        <a:effectLst/>
                      </a:rPr>
                      <a:t>−62,8</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F5B-4118-8199-079495E8C705}"/>
                </c:ext>
              </c:extLst>
            </c:dLbl>
            <c:dLbl>
              <c:idx val="1"/>
              <c:layout>
                <c:manualLayout>
                  <c:x val="2.021099337273174E-17"/>
                  <c:y val="1.459852895873022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04C7-49C7-A6F0-990022A47667}"/>
                </c:ext>
              </c:extLst>
            </c:dLbl>
            <c:dLbl>
              <c:idx val="2"/>
              <c:layout/>
              <c:tx>
                <c:rich>
                  <a:bodyPr/>
                  <a:lstStyle/>
                  <a:p>
                    <a:r>
                      <a:rPr lang="en-US" sz="900" b="0" i="0" u="none" strike="noStrike" baseline="0">
                        <a:solidFill>
                          <a:srgbClr val="FF0000"/>
                        </a:solidFill>
                        <a:effectLst/>
                      </a:rPr>
                      <a:t>−6,2</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5F5B-4118-8199-079495E8C705}"/>
                </c:ext>
              </c:extLst>
            </c:dLbl>
            <c:dLbl>
              <c:idx val="4"/>
              <c:layout>
                <c:manualLayout>
                  <c:x val="-1.7638888888888888E-2"/>
                  <c:y val="5.839488216190037E-2"/>
                </c:manualLayout>
              </c:layout>
              <c:tx>
                <c:rich>
                  <a:bodyPr/>
                  <a:lstStyle/>
                  <a:p>
                    <a:r>
                      <a:rPr lang="en-US" sz="900" b="0" i="0" u="none" strike="noStrike" baseline="0">
                        <a:solidFill>
                          <a:srgbClr val="FF0000"/>
                        </a:solidFill>
                        <a:effectLst/>
                      </a:rPr>
                      <a:t>−92,7</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4C7-49C7-A6F0-990022A47667}"/>
                </c:ext>
              </c:extLst>
            </c:dLbl>
            <c:dLbl>
              <c:idx val="5"/>
              <c:layout/>
              <c:tx>
                <c:rich>
                  <a:bodyPr/>
                  <a:lstStyle/>
                  <a:p>
                    <a:r>
                      <a:rPr lang="en-US" sz="900" b="0" i="0" u="none" strike="noStrike" baseline="0">
                        <a:solidFill>
                          <a:srgbClr val="FF0000"/>
                        </a:solidFill>
                        <a:effectLst/>
                      </a:rPr>
                      <a:t>−7,5</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04C7-49C7-A6F0-990022A47667}"/>
                </c:ext>
              </c:extLst>
            </c:dLbl>
            <c:dLbl>
              <c:idx val="7"/>
              <c:layout/>
              <c:tx>
                <c:rich>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r>
                      <a:rPr lang="en-US" sz="900" b="0" i="0" u="none" strike="noStrike" baseline="0">
                        <a:solidFill>
                          <a:srgbClr val="FF0000"/>
                        </a:solidFill>
                        <a:effectLst/>
                      </a:rPr>
                      <a:t>−23,6</a:t>
                    </a:r>
                    <a:endParaRPr lang="en-US">
                      <a:solidFill>
                        <a:srgbClr val="FF0000"/>
                      </a:solidFill>
                    </a:endParaRPr>
                  </a:p>
                </c:rich>
              </c:tx>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9117"/>
                        <a:gd name="adj2" fmla="val -131426"/>
                      </a:avLst>
                    </a:prstGeom>
                    <a:noFill/>
                    <a:ln>
                      <a:noFill/>
                    </a:ln>
                  </c15:spPr>
                  <c15:layout/>
                </c:ext>
                <c:ext xmlns:c16="http://schemas.microsoft.com/office/drawing/2014/chart" uri="{C3380CC4-5D6E-409C-BE32-E72D297353CC}">
                  <c16:uniqueId val="{00000007-04C7-49C7-A6F0-990022A47667}"/>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List1!$D$4:$K$5</c:f>
              <c:multiLvlStrCache>
                <c:ptCount val="8"/>
                <c:lvl>
                  <c:pt idx="0">
                    <c:v>2015</c:v>
                  </c:pt>
                  <c:pt idx="1">
                    <c:v>2016</c:v>
                  </c:pt>
                  <c:pt idx="2">
                    <c:v>2017</c:v>
                  </c:pt>
                  <c:pt idx="3">
                    <c:v>2018</c:v>
                  </c:pt>
                  <c:pt idx="4">
                    <c:v>2015</c:v>
                  </c:pt>
                  <c:pt idx="5">
                    <c:v>2016</c:v>
                  </c:pt>
                  <c:pt idx="6">
                    <c:v>2017</c:v>
                  </c:pt>
                  <c:pt idx="7">
                    <c:v>2018</c:v>
                  </c:pt>
                </c:lvl>
                <c:lvl>
                  <c:pt idx="0">
                    <c:v>Saldo</c:v>
                  </c:pt>
                  <c:pt idx="4">
                    <c:v>Výsledek hospodaření</c:v>
                  </c:pt>
                </c:lvl>
              </c:multiLvlStrCache>
            </c:multiLvlStrRef>
          </c:cat>
          <c:val>
            <c:numRef>
              <c:f>List1!$D$6:$K$6</c:f>
              <c:numCache>
                <c:formatCode>General</c:formatCode>
                <c:ptCount val="8"/>
                <c:pt idx="0">
                  <c:v>-62.8</c:v>
                </c:pt>
                <c:pt idx="1">
                  <c:v>61.8</c:v>
                </c:pt>
                <c:pt idx="2">
                  <c:v>-6.2</c:v>
                </c:pt>
                <c:pt idx="3">
                  <c:v>2.9</c:v>
                </c:pt>
                <c:pt idx="4">
                  <c:v>-92.7</c:v>
                </c:pt>
                <c:pt idx="5">
                  <c:v>-7.5</c:v>
                </c:pt>
                <c:pt idx="6">
                  <c:v>18.399999999999999</c:v>
                </c:pt>
                <c:pt idx="7">
                  <c:v>-23.6</c:v>
                </c:pt>
              </c:numCache>
            </c:numRef>
          </c:val>
          <c:extLst>
            <c:ext xmlns:c16="http://schemas.microsoft.com/office/drawing/2014/chart" uri="{C3380CC4-5D6E-409C-BE32-E72D297353CC}">
              <c16:uniqueId val="{00000009-04C7-49C7-A6F0-990022A47667}"/>
            </c:ext>
          </c:extLst>
        </c:ser>
        <c:dLbls>
          <c:showLegendKey val="0"/>
          <c:showVal val="0"/>
          <c:showCatName val="0"/>
          <c:showSerName val="0"/>
          <c:showPercent val="0"/>
          <c:showBubbleSize val="0"/>
        </c:dLbls>
        <c:gapWidth val="219"/>
        <c:overlap val="-27"/>
        <c:axId val="420881551"/>
        <c:axId val="419204703"/>
      </c:barChart>
      <c:catAx>
        <c:axId val="420881551"/>
        <c:scaling>
          <c:orientation val="minMax"/>
        </c:scaling>
        <c:delete val="0"/>
        <c:axPos val="b"/>
        <c:numFmt formatCode="General" sourceLinked="1"/>
        <c:majorTickMark val="out"/>
        <c:minorTickMark val="out"/>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419204703"/>
        <c:crosses val="autoZero"/>
        <c:auto val="1"/>
        <c:lblAlgn val="ctr"/>
        <c:lblOffset val="100"/>
        <c:noMultiLvlLbl val="0"/>
      </c:catAx>
      <c:valAx>
        <c:axId val="419204703"/>
        <c:scaling>
          <c:orientation val="minMax"/>
          <c:max val="65"/>
          <c:min val="-100"/>
        </c:scaling>
        <c:delete val="1"/>
        <c:axPos val="l"/>
        <c:numFmt formatCode="General" sourceLinked="1"/>
        <c:majorTickMark val="out"/>
        <c:minorTickMark val="none"/>
        <c:tickLblPos val="nextTo"/>
        <c:crossAx val="420881551"/>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0736896094004264E-2"/>
          <c:y val="9.9072560352345795E-2"/>
          <c:w val="0.46122238939998322"/>
          <c:h val="0.84609315657694417"/>
        </c:manualLayout>
      </c:layout>
      <c:doughnutChart>
        <c:varyColors val="1"/>
        <c:ser>
          <c:idx val="0"/>
          <c:order val="0"/>
          <c:dPt>
            <c:idx val="0"/>
            <c:bubble3D val="0"/>
            <c:spPr>
              <a:solidFill>
                <a:srgbClr val="D9EAFF"/>
              </a:solidFill>
              <a:ln w="19050">
                <a:solidFill>
                  <a:schemeClr val="lt1"/>
                </a:solidFill>
              </a:ln>
              <a:effectLst/>
            </c:spPr>
            <c:extLst>
              <c:ext xmlns:c16="http://schemas.microsoft.com/office/drawing/2014/chart" uri="{C3380CC4-5D6E-409C-BE32-E72D297353CC}">
                <c16:uniqueId val="{00000001-4506-4730-B1D6-F5FFAFC4C502}"/>
              </c:ext>
            </c:extLst>
          </c:dPt>
          <c:dPt>
            <c:idx val="1"/>
            <c:bubble3D val="0"/>
            <c:spPr>
              <a:solidFill>
                <a:srgbClr val="004595"/>
              </a:solidFill>
              <a:ln w="19050">
                <a:solidFill>
                  <a:schemeClr val="lt1"/>
                </a:solidFill>
              </a:ln>
              <a:effectLst/>
            </c:spPr>
            <c:extLst>
              <c:ext xmlns:c16="http://schemas.microsoft.com/office/drawing/2014/chart" uri="{C3380CC4-5D6E-409C-BE32-E72D297353CC}">
                <c16:uniqueId val="{00000003-4506-4730-B1D6-F5FFAFC4C502}"/>
              </c:ext>
            </c:extLst>
          </c:dPt>
          <c:dPt>
            <c:idx val="2"/>
            <c:bubble3D val="0"/>
            <c:spPr>
              <a:solidFill>
                <a:srgbClr val="BD2A33"/>
              </a:solidFill>
              <a:ln w="19050">
                <a:solidFill>
                  <a:schemeClr val="lt1"/>
                </a:solidFill>
              </a:ln>
              <a:effectLst/>
            </c:spPr>
            <c:extLst>
              <c:ext xmlns:c16="http://schemas.microsoft.com/office/drawing/2014/chart" uri="{C3380CC4-5D6E-409C-BE32-E72D297353CC}">
                <c16:uniqueId val="{00000005-4506-4730-B1D6-F5FFAFC4C502}"/>
              </c:ext>
            </c:extLst>
          </c:dPt>
          <c:dPt>
            <c:idx val="3"/>
            <c:bubble3D val="0"/>
            <c:spPr>
              <a:solidFill>
                <a:srgbClr val="BD2A33">
                  <a:alpha val="60000"/>
                </a:srgbClr>
              </a:solidFill>
              <a:ln w="19050">
                <a:solidFill>
                  <a:schemeClr val="lt1"/>
                </a:solidFill>
              </a:ln>
              <a:effectLst/>
            </c:spPr>
            <c:extLst>
              <c:ext xmlns:c16="http://schemas.microsoft.com/office/drawing/2014/chart" uri="{C3380CC4-5D6E-409C-BE32-E72D297353CC}">
                <c16:uniqueId val="{00000007-4506-4730-B1D6-F5FFAFC4C502}"/>
              </c:ext>
            </c:extLst>
          </c:dPt>
          <c:dLbls>
            <c:dLbl>
              <c:idx val="0"/>
              <c:layout>
                <c:manualLayout>
                  <c:x val="2.9334491898990036E-2"/>
                  <c:y val="-4.6075026647869888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506-4730-B1D6-F5FFAFC4C502}"/>
                </c:ext>
              </c:extLst>
            </c:dLbl>
            <c:dLbl>
              <c:idx val="1"/>
              <c:layout>
                <c:manualLayout>
                  <c:x val="2.9401857935767949E-2"/>
                  <c:y val="-1.784797741886089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506-4730-B1D6-F5FFAFC4C502}"/>
                </c:ext>
              </c:extLst>
            </c:dLbl>
            <c:dLbl>
              <c:idx val="2"/>
              <c:layout>
                <c:manualLayout>
                  <c:x val="-8.3735658275201647E-3"/>
                  <c:y val="-2.379709483515830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506-4730-B1D6-F5FFAFC4C502}"/>
                </c:ext>
              </c:extLst>
            </c:dLbl>
            <c:dLbl>
              <c:idx val="3"/>
              <c:layout>
                <c:manualLayout>
                  <c:x val="-1.6666748026614484E-2"/>
                  <c:y val="-5.28943806597418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506-4730-B1D6-F5FFAFC4C50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ext>
            </c:extLst>
          </c:dLbls>
          <c:cat>
            <c:strRef>
              <c:f>'Analýza PaN D'!$L$22:$L$25</c:f>
              <c:strCache>
                <c:ptCount val="4"/>
                <c:pt idx="0">
                  <c:v>Daně z příjmů fyzických osob</c:v>
                </c:pt>
                <c:pt idx="1">
                  <c:v>Pojistné na sociální pojištění</c:v>
                </c:pt>
                <c:pt idx="2">
                  <c:v>Daň z přidané hodnoty</c:v>
                </c:pt>
                <c:pt idx="3">
                  <c:v>Spotřební a energetické daně</c:v>
                </c:pt>
              </c:strCache>
            </c:strRef>
          </c:cat>
          <c:val>
            <c:numRef>
              <c:f>'Analýza PaN D'!$M$22:$M$25</c:f>
              <c:numCache>
                <c:formatCode>0.0</c:formatCode>
                <c:ptCount val="4"/>
                <c:pt idx="0">
                  <c:v>48.326919911810002</c:v>
                </c:pt>
                <c:pt idx="1">
                  <c:v>130.37831642479</c:v>
                </c:pt>
                <c:pt idx="2">
                  <c:v>48.732952666439999</c:v>
                </c:pt>
                <c:pt idx="3">
                  <c:v>25.2634019497</c:v>
                </c:pt>
              </c:numCache>
            </c:numRef>
          </c:val>
          <c:extLst>
            <c:ext xmlns:c16="http://schemas.microsoft.com/office/drawing/2014/chart" uri="{C3380CC4-5D6E-409C-BE32-E72D297353CC}">
              <c16:uniqueId val="{00000008-4506-4730-B1D6-F5FFAFC4C502}"/>
            </c:ext>
          </c:extLst>
        </c:ser>
        <c:dLbls>
          <c:showLegendKey val="0"/>
          <c:showVal val="0"/>
          <c:showCatName val="0"/>
          <c:showSerName val="0"/>
          <c:showPercent val="0"/>
          <c:showBubbleSize val="0"/>
          <c:showLeaderLines val="0"/>
        </c:dLbls>
        <c:firstSliceAng val="0"/>
        <c:holeSize val="50"/>
      </c:doughnutChart>
      <c:spPr>
        <a:noFill/>
        <a:ln>
          <a:noFill/>
        </a:ln>
        <a:effectLst/>
      </c:spPr>
    </c:plotArea>
    <c:legend>
      <c:legendPos val="r"/>
      <c:layout>
        <c:manualLayout>
          <c:xMode val="edge"/>
          <c:yMode val="edge"/>
          <c:x val="0.49179810366233667"/>
          <c:y val="7.3399857251716244E-2"/>
          <c:w val="0.50820202144863813"/>
          <c:h val="0.9079368390564821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7855493815781387E-2"/>
          <c:y val="9.049868766404201E-2"/>
          <c:w val="0.97556175879352891"/>
          <c:h val="0.62064556499973933"/>
        </c:manualLayout>
      </c:layout>
      <c:barChart>
        <c:barDir val="col"/>
        <c:grouping val="clustered"/>
        <c:varyColors val="0"/>
        <c:ser>
          <c:idx val="0"/>
          <c:order val="0"/>
          <c:tx>
            <c:strRef>
              <c:f>'Sum P'!$D$46</c:f>
              <c:strCache>
                <c:ptCount val="1"/>
                <c:pt idx="0">
                  <c:v>Daň z příjmů právnických osob</c:v>
                </c:pt>
              </c:strCache>
            </c:strRef>
          </c:tx>
          <c:spPr>
            <a:solidFill>
              <a:srgbClr val="004595"/>
            </a:solidFill>
            <a:ln>
              <a:noFill/>
            </a:ln>
            <a:effectLst/>
          </c:spPr>
          <c:invertIfNegative val="0"/>
          <c:dLbls>
            <c:dLbl>
              <c:idx val="1"/>
              <c:layout/>
              <c:tx>
                <c:rich>
                  <a:bodyPr/>
                  <a:lstStyle/>
                  <a:p>
                    <a:r>
                      <a:rPr lang="en-US" sz="900" b="0" i="0" u="none" strike="noStrike" baseline="0">
                        <a:solidFill>
                          <a:srgbClr val="FF0000"/>
                        </a:solidFill>
                        <a:effectLst/>
                      </a:rPr>
                      <a:t>−43,8</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BC3-49E0-A0CD-EFBE0C074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'Sum P'!$E$45:$G$45</c:f>
              <c:numCache>
                <c:formatCode>General</c:formatCode>
                <c:ptCount val="3"/>
                <c:pt idx="0">
                  <c:v>2008</c:v>
                </c:pt>
                <c:pt idx="1">
                  <c:v>2009</c:v>
                </c:pt>
                <c:pt idx="2">
                  <c:v>2010</c:v>
                </c:pt>
              </c:numCache>
            </c:numRef>
          </c:cat>
          <c:val>
            <c:numRef>
              <c:f>'Sum P'!$E$46:$G$46</c:f>
              <c:numCache>
                <c:formatCode>0.0_ ;[Red]\-0.0\ </c:formatCode>
                <c:ptCount val="3"/>
                <c:pt idx="0">
                  <c:v>12.423</c:v>
                </c:pt>
                <c:pt idx="1">
                  <c:v>-43.835999999999999</c:v>
                </c:pt>
                <c:pt idx="2">
                  <c:v>2.9670000000000001</c:v>
                </c:pt>
              </c:numCache>
            </c:numRef>
          </c:val>
          <c:extLst>
            <c:ext xmlns:c16="http://schemas.microsoft.com/office/drawing/2014/chart" uri="{C3380CC4-5D6E-409C-BE32-E72D297353CC}">
              <c16:uniqueId val="{00000000-B473-4B21-9BFF-9CB8275B9288}"/>
            </c:ext>
          </c:extLst>
        </c:ser>
        <c:ser>
          <c:idx val="1"/>
          <c:order val="1"/>
          <c:tx>
            <c:strRef>
              <c:f>'Sum P'!$D$47</c:f>
              <c:strCache>
                <c:ptCount val="1"/>
                <c:pt idx="0">
                  <c:v>Daně z příjmů fyzických osob</c:v>
                </c:pt>
              </c:strCache>
            </c:strRef>
          </c:tx>
          <c:spPr>
            <a:solidFill>
              <a:srgbClr val="004595">
                <a:alpha val="60000"/>
              </a:srgbClr>
            </a:solidFill>
            <a:ln>
              <a:noFill/>
            </a:ln>
            <a:effectLst/>
          </c:spPr>
          <c:invertIfNegative val="0"/>
          <c:dLbls>
            <c:dLbl>
              <c:idx val="0"/>
              <c:layout/>
              <c:tx>
                <c:rich>
                  <a:bodyPr/>
                  <a:lstStyle/>
                  <a:p>
                    <a:r>
                      <a:rPr lang="en-US" sz="900" b="0" i="0" u="none" strike="noStrike" baseline="0">
                        <a:solidFill>
                          <a:srgbClr val="FF0000"/>
                        </a:solidFill>
                        <a:effectLst/>
                      </a:rPr>
                      <a:t>−7,2</a:t>
                    </a:r>
                    <a:endParaRPr lang="en-US"/>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BC3-49E0-A0CD-EFBE0C07425B}"/>
                </c:ext>
              </c:extLst>
            </c:dLbl>
            <c:dLbl>
              <c:idx val="1"/>
              <c:layout/>
              <c:tx>
                <c:rich>
                  <a:bodyPr/>
                  <a:lstStyle/>
                  <a:p>
                    <a:r>
                      <a:rPr lang="en-US" sz="900" b="0" i="0" u="none" strike="noStrike" baseline="0">
                        <a:solidFill>
                          <a:srgbClr val="FF0000"/>
                        </a:solidFill>
                        <a:effectLst/>
                      </a:rPr>
                      <a:t>−9,3</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BC3-49E0-A0CD-EFBE0C074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'Sum P'!$E$45:$G$45</c:f>
              <c:numCache>
                <c:formatCode>General</c:formatCode>
                <c:ptCount val="3"/>
                <c:pt idx="0">
                  <c:v>2008</c:v>
                </c:pt>
                <c:pt idx="1">
                  <c:v>2009</c:v>
                </c:pt>
                <c:pt idx="2">
                  <c:v>2010</c:v>
                </c:pt>
              </c:numCache>
            </c:numRef>
          </c:cat>
          <c:val>
            <c:numRef>
              <c:f>'Sum P'!$E$47:$G$47</c:f>
              <c:numCache>
                <c:formatCode>0.0_ ;[Red]\-0.0\ </c:formatCode>
                <c:ptCount val="3"/>
                <c:pt idx="0">
                  <c:v>-7.18</c:v>
                </c:pt>
                <c:pt idx="1">
                  <c:v>-9.3059999999999992</c:v>
                </c:pt>
                <c:pt idx="2">
                  <c:v>1.8380000000000001</c:v>
                </c:pt>
              </c:numCache>
            </c:numRef>
          </c:val>
          <c:extLst>
            <c:ext xmlns:c16="http://schemas.microsoft.com/office/drawing/2014/chart" uri="{C3380CC4-5D6E-409C-BE32-E72D297353CC}">
              <c16:uniqueId val="{00000001-B473-4B21-9BFF-9CB8275B9288}"/>
            </c:ext>
          </c:extLst>
        </c:ser>
        <c:ser>
          <c:idx val="2"/>
          <c:order val="2"/>
          <c:tx>
            <c:strRef>
              <c:f>'Sum P'!$D$48</c:f>
              <c:strCache>
                <c:ptCount val="1"/>
                <c:pt idx="0">
                  <c:v>Pojistné na sociální zabezpečení</c:v>
                </c:pt>
              </c:strCache>
            </c:strRef>
          </c:tx>
          <c:spPr>
            <a:solidFill>
              <a:srgbClr val="C3C5C6"/>
            </a:solidFill>
            <a:ln>
              <a:noFill/>
            </a:ln>
            <a:effectLst/>
          </c:spPr>
          <c:invertIfNegative val="0"/>
          <c:dLbls>
            <c:dLbl>
              <c:idx val="1"/>
              <c:layout/>
              <c:tx>
                <c:rich>
                  <a:bodyPr/>
                  <a:lstStyle/>
                  <a:p>
                    <a:r>
                      <a:rPr lang="en-US" sz="900" b="0" i="0" u="none" strike="noStrike" baseline="0">
                        <a:solidFill>
                          <a:srgbClr val="FF0000"/>
                        </a:solidFill>
                        <a:effectLst/>
                      </a:rPr>
                      <a:t>−37,7</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BC3-49E0-A0CD-EFBE0C074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'Sum P'!$E$45:$G$45</c:f>
              <c:numCache>
                <c:formatCode>General</c:formatCode>
                <c:ptCount val="3"/>
                <c:pt idx="0">
                  <c:v>2008</c:v>
                </c:pt>
                <c:pt idx="1">
                  <c:v>2009</c:v>
                </c:pt>
                <c:pt idx="2">
                  <c:v>2010</c:v>
                </c:pt>
              </c:numCache>
            </c:numRef>
          </c:cat>
          <c:val>
            <c:numRef>
              <c:f>'Sum P'!$E$48:$G$48</c:f>
              <c:numCache>
                <c:formatCode>0.0_ ;[Red]\-0.0\ </c:formatCode>
                <c:ptCount val="3"/>
                <c:pt idx="0">
                  <c:v>18.38</c:v>
                </c:pt>
                <c:pt idx="1">
                  <c:v>-37.659999999999997</c:v>
                </c:pt>
                <c:pt idx="2">
                  <c:v>7.9940123899999902</c:v>
                </c:pt>
              </c:numCache>
            </c:numRef>
          </c:val>
          <c:extLst>
            <c:ext xmlns:c16="http://schemas.microsoft.com/office/drawing/2014/chart" uri="{C3380CC4-5D6E-409C-BE32-E72D297353CC}">
              <c16:uniqueId val="{00000002-B473-4B21-9BFF-9CB8275B9288}"/>
            </c:ext>
          </c:extLst>
        </c:ser>
        <c:ser>
          <c:idx val="3"/>
          <c:order val="3"/>
          <c:tx>
            <c:strRef>
              <c:f>'Sum P'!$D$49</c:f>
              <c:strCache>
                <c:ptCount val="1"/>
                <c:pt idx="0">
                  <c:v>Daň z přidané hodnoty</c:v>
                </c:pt>
              </c:strCache>
            </c:strRef>
          </c:tx>
          <c:spPr>
            <a:solidFill>
              <a:srgbClr val="BD2A33"/>
            </a:solidFill>
            <a:ln>
              <a:noFill/>
            </a:ln>
            <a:effectLst/>
          </c:spPr>
          <c:invertIfNegative val="0"/>
          <c:dLbls>
            <c:dLbl>
              <c:idx val="1"/>
              <c:layout/>
              <c:tx>
                <c:rich>
                  <a:bodyPr/>
                  <a:lstStyle/>
                  <a:p>
                    <a:r>
                      <a:rPr lang="en-US" sz="900" b="0" i="0" u="none" strike="noStrike" baseline="0">
                        <a:solidFill>
                          <a:srgbClr val="FF0000"/>
                        </a:solidFill>
                        <a:effectLst/>
                      </a:rPr>
                      <a:t>−1,1</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3BC3-49E0-A0CD-EFBE0C074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'Sum P'!$E$45:$G$45</c:f>
              <c:numCache>
                <c:formatCode>General</c:formatCode>
                <c:ptCount val="3"/>
                <c:pt idx="0">
                  <c:v>2008</c:v>
                </c:pt>
                <c:pt idx="1">
                  <c:v>2009</c:v>
                </c:pt>
                <c:pt idx="2">
                  <c:v>2010</c:v>
                </c:pt>
              </c:numCache>
            </c:numRef>
          </c:cat>
          <c:val>
            <c:numRef>
              <c:f>'Sum P'!$E$49:$G$49</c:f>
              <c:numCache>
                <c:formatCode>0.0_ ;[Red]\-0.0\ </c:formatCode>
                <c:ptCount val="3"/>
                <c:pt idx="0">
                  <c:v>11.188000000000001</c:v>
                </c:pt>
                <c:pt idx="1">
                  <c:v>-1.099</c:v>
                </c:pt>
                <c:pt idx="2">
                  <c:v>11.103999999999999</c:v>
                </c:pt>
              </c:numCache>
            </c:numRef>
          </c:val>
          <c:extLst>
            <c:ext xmlns:c16="http://schemas.microsoft.com/office/drawing/2014/chart" uri="{C3380CC4-5D6E-409C-BE32-E72D297353CC}">
              <c16:uniqueId val="{00000003-B473-4B21-9BFF-9CB8275B9288}"/>
            </c:ext>
          </c:extLst>
        </c:ser>
        <c:ser>
          <c:idx val="4"/>
          <c:order val="4"/>
          <c:tx>
            <c:strRef>
              <c:f>'Sum P'!$D$50</c:f>
              <c:strCache>
                <c:ptCount val="1"/>
                <c:pt idx="0">
                  <c:v>Spotřební a energetické daně</c:v>
                </c:pt>
              </c:strCache>
            </c:strRef>
          </c:tx>
          <c:spPr>
            <a:solidFill>
              <a:srgbClr val="BD2A33">
                <a:alpha val="60000"/>
              </a:srgbClr>
            </a:solidFill>
            <a:ln>
              <a:noFill/>
            </a:ln>
            <a:effectLst/>
          </c:spPr>
          <c:invertIfNegative val="0"/>
          <c:dLbls>
            <c:dLbl>
              <c:idx val="0"/>
              <c:layout/>
              <c:tx>
                <c:rich>
                  <a:bodyPr/>
                  <a:lstStyle/>
                  <a:p>
                    <a:r>
                      <a:rPr lang="en-US" sz="900" b="0" i="0" u="none" strike="noStrike" baseline="0">
                        <a:solidFill>
                          <a:srgbClr val="FF0000"/>
                        </a:solidFill>
                        <a:effectLst/>
                      </a:rPr>
                      <a:t>−6,1</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BC3-49E0-A0CD-EFBE0C07425B}"/>
                </c:ext>
              </c:extLst>
            </c:dLbl>
            <c:dLbl>
              <c:idx val="1"/>
              <c:layout/>
              <c:tx>
                <c:rich>
                  <a:bodyPr/>
                  <a:lstStyle/>
                  <a:p>
                    <a:r>
                      <a:rPr lang="en-US" sz="900" b="0" i="0" u="none" strike="noStrike" baseline="0">
                        <a:solidFill>
                          <a:srgbClr val="FF0000"/>
                        </a:solidFill>
                        <a:effectLst/>
                      </a:rPr>
                      <a:t>−1,7</a:t>
                    </a:r>
                    <a:endParaRPr lang="en-US">
                      <a:solidFill>
                        <a:srgbClr val="FF0000"/>
                      </a:solidFill>
                    </a:endParaRPr>
                  </a:p>
                </c:rich>
              </c:tx>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BC3-49E0-A0CD-EFBE0C07425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'Sum P'!$E$45:$G$45</c:f>
              <c:numCache>
                <c:formatCode>General</c:formatCode>
                <c:ptCount val="3"/>
                <c:pt idx="0">
                  <c:v>2008</c:v>
                </c:pt>
                <c:pt idx="1">
                  <c:v>2009</c:v>
                </c:pt>
                <c:pt idx="2">
                  <c:v>2010</c:v>
                </c:pt>
              </c:numCache>
            </c:numRef>
          </c:cat>
          <c:val>
            <c:numRef>
              <c:f>'Sum P'!$E$50:$G$50</c:f>
              <c:numCache>
                <c:formatCode>0.0_ ;[Red]\-0.0\ </c:formatCode>
                <c:ptCount val="3"/>
                <c:pt idx="0">
                  <c:v>-6.0529999999999999</c:v>
                </c:pt>
                <c:pt idx="1">
                  <c:v>-1.7</c:v>
                </c:pt>
                <c:pt idx="2">
                  <c:v>7.0220000000000002</c:v>
                </c:pt>
              </c:numCache>
            </c:numRef>
          </c:val>
          <c:extLst>
            <c:ext xmlns:c16="http://schemas.microsoft.com/office/drawing/2014/chart" uri="{C3380CC4-5D6E-409C-BE32-E72D297353CC}">
              <c16:uniqueId val="{00000004-B473-4B21-9BFF-9CB8275B9288}"/>
            </c:ext>
          </c:extLst>
        </c:ser>
        <c:dLbls>
          <c:dLblPos val="outEnd"/>
          <c:showLegendKey val="0"/>
          <c:showVal val="1"/>
          <c:showCatName val="0"/>
          <c:showSerName val="0"/>
          <c:showPercent val="0"/>
          <c:showBubbleSize val="0"/>
        </c:dLbls>
        <c:gapWidth val="95"/>
        <c:overlap val="-12"/>
        <c:axId val="113935104"/>
        <c:axId val="113936640"/>
      </c:barChart>
      <c:catAx>
        <c:axId val="113935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13936640"/>
        <c:crosses val="autoZero"/>
        <c:auto val="1"/>
        <c:lblAlgn val="ctr"/>
        <c:lblOffset val="100"/>
        <c:noMultiLvlLbl val="0"/>
      </c:catAx>
      <c:valAx>
        <c:axId val="113936640"/>
        <c:scaling>
          <c:orientation val="minMax"/>
          <c:max val="25"/>
          <c:min val="-60"/>
        </c:scaling>
        <c:delete val="0"/>
        <c:axPos val="l"/>
        <c:numFmt formatCode="0.0_ ;[Red]\-0.0\ "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13935104"/>
        <c:crosses val="autoZero"/>
        <c:crossBetween val="between"/>
      </c:valAx>
      <c:spPr>
        <a:noFill/>
        <a:ln>
          <a:noFill/>
        </a:ln>
        <a:effectLst/>
      </c:spPr>
    </c:plotArea>
    <c:legend>
      <c:legendPos val="b"/>
      <c:layout>
        <c:manualLayout>
          <c:xMode val="edge"/>
          <c:yMode val="edge"/>
          <c:x val="1.6417563189216732E-2"/>
          <c:y val="0.76989657749734941"/>
          <c:w val="0.95904531164373685"/>
          <c:h val="0.197887747475274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13524982605521E-2"/>
          <c:y val="5.6074728790601019E-2"/>
          <c:w val="0.96170836022546358"/>
          <c:h val="0.61686630080330873"/>
        </c:manualLayout>
      </c:layout>
      <c:barChart>
        <c:barDir val="col"/>
        <c:grouping val="clustered"/>
        <c:varyColors val="0"/>
        <c:ser>
          <c:idx val="0"/>
          <c:order val="0"/>
          <c:tx>
            <c:strRef>
              <c:f>'A SD'!$A$31</c:f>
              <c:strCache>
                <c:ptCount val="1"/>
                <c:pt idx="0">
                  <c:v>Daň ze zemního plynu</c:v>
                </c:pt>
              </c:strCache>
            </c:strRef>
          </c:tx>
          <c:spPr>
            <a:solidFill>
              <a:srgbClr val="BD2A33"/>
            </a:solidFill>
            <a:ln>
              <a:noFill/>
            </a:ln>
            <a:effectLst/>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'A SD'!$B$30:$F$30</c:f>
              <c:numCache>
                <c:formatCode>General</c:formatCode>
                <c:ptCount val="5"/>
                <c:pt idx="0">
                  <c:v>2014</c:v>
                </c:pt>
                <c:pt idx="1">
                  <c:v>2015</c:v>
                </c:pt>
                <c:pt idx="2">
                  <c:v>2016</c:v>
                </c:pt>
                <c:pt idx="3">
                  <c:v>2017</c:v>
                </c:pt>
                <c:pt idx="4">
                  <c:v>2018</c:v>
                </c:pt>
              </c:numCache>
            </c:numRef>
          </c:cat>
          <c:val>
            <c:numRef>
              <c:f>'A SD'!$B$31:$F$31</c:f>
              <c:numCache>
                <c:formatCode>0.0</c:formatCode>
                <c:ptCount val="5"/>
                <c:pt idx="0">
                  <c:v>1.1378346984800001</c:v>
                </c:pt>
                <c:pt idx="1">
                  <c:v>1.1492675025899999</c:v>
                </c:pt>
                <c:pt idx="2">
                  <c:v>1.1672658070499999</c:v>
                </c:pt>
                <c:pt idx="3">
                  <c:v>1.2999369455100001</c:v>
                </c:pt>
                <c:pt idx="4">
                  <c:v>1.34924354994</c:v>
                </c:pt>
              </c:numCache>
            </c:numRef>
          </c:val>
          <c:extLst>
            <c:ext xmlns:c16="http://schemas.microsoft.com/office/drawing/2014/chart" uri="{C3380CC4-5D6E-409C-BE32-E72D297353CC}">
              <c16:uniqueId val="{00000000-6C49-45D3-A67F-39FAE272DB1B}"/>
            </c:ext>
          </c:extLst>
        </c:ser>
        <c:ser>
          <c:idx val="1"/>
          <c:order val="1"/>
          <c:tx>
            <c:strRef>
              <c:f>'A SD'!$A$32</c:f>
              <c:strCache>
                <c:ptCount val="1"/>
                <c:pt idx="0">
                  <c:v>Daň z pevných paliv</c:v>
                </c:pt>
              </c:strCache>
            </c:strRef>
          </c:tx>
          <c:spPr>
            <a:solidFill>
              <a:srgbClr val="BD2A33">
                <a:alpha val="80000"/>
              </a:srgbClr>
            </a:solidFill>
            <a:ln>
              <a:noFill/>
            </a:ln>
            <a:effectLst/>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'A SD'!$B$30:$F$30</c:f>
              <c:numCache>
                <c:formatCode>General</c:formatCode>
                <c:ptCount val="5"/>
                <c:pt idx="0">
                  <c:v>2014</c:v>
                </c:pt>
                <c:pt idx="1">
                  <c:v>2015</c:v>
                </c:pt>
                <c:pt idx="2">
                  <c:v>2016</c:v>
                </c:pt>
                <c:pt idx="3">
                  <c:v>2017</c:v>
                </c:pt>
                <c:pt idx="4">
                  <c:v>2018</c:v>
                </c:pt>
              </c:numCache>
            </c:numRef>
          </c:cat>
          <c:val>
            <c:numRef>
              <c:f>'A SD'!$B$32:$F$32</c:f>
              <c:numCache>
                <c:formatCode>0.0</c:formatCode>
                <c:ptCount val="5"/>
                <c:pt idx="0">
                  <c:v>0.40328938749999999</c:v>
                </c:pt>
                <c:pt idx="1">
                  <c:v>0.41673939560000006</c:v>
                </c:pt>
                <c:pt idx="2">
                  <c:v>0.41981792091000003</c:v>
                </c:pt>
                <c:pt idx="3">
                  <c:v>0.45680928583000002</c:v>
                </c:pt>
                <c:pt idx="4">
                  <c:v>0.40133274838999994</c:v>
                </c:pt>
              </c:numCache>
            </c:numRef>
          </c:val>
          <c:extLst>
            <c:ext xmlns:c16="http://schemas.microsoft.com/office/drawing/2014/chart" uri="{C3380CC4-5D6E-409C-BE32-E72D297353CC}">
              <c16:uniqueId val="{00000001-6C49-45D3-A67F-39FAE272DB1B}"/>
            </c:ext>
          </c:extLst>
        </c:ser>
        <c:ser>
          <c:idx val="2"/>
          <c:order val="2"/>
          <c:tx>
            <c:strRef>
              <c:f>'A SD'!$A$33</c:f>
              <c:strCache>
                <c:ptCount val="1"/>
                <c:pt idx="0">
                  <c:v>Daň z elektřiny</c:v>
                </c:pt>
              </c:strCache>
            </c:strRef>
          </c:tx>
          <c:spPr>
            <a:solidFill>
              <a:srgbClr val="BD2A33">
                <a:alpha val="60000"/>
              </a:srgbClr>
            </a:solidFill>
            <a:ln>
              <a:noFill/>
            </a:ln>
            <a:effectLst/>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'A SD'!$B$30:$F$30</c:f>
              <c:numCache>
                <c:formatCode>General</c:formatCode>
                <c:ptCount val="5"/>
                <c:pt idx="0">
                  <c:v>2014</c:v>
                </c:pt>
                <c:pt idx="1">
                  <c:v>2015</c:v>
                </c:pt>
                <c:pt idx="2">
                  <c:v>2016</c:v>
                </c:pt>
                <c:pt idx="3">
                  <c:v>2017</c:v>
                </c:pt>
                <c:pt idx="4">
                  <c:v>2018</c:v>
                </c:pt>
              </c:numCache>
            </c:numRef>
          </c:cat>
          <c:val>
            <c:numRef>
              <c:f>'A SD'!$B$33:$F$33</c:f>
              <c:numCache>
                <c:formatCode>0.0</c:formatCode>
                <c:ptCount val="5"/>
                <c:pt idx="0">
                  <c:v>1.25640298235</c:v>
                </c:pt>
                <c:pt idx="1">
                  <c:v>1.22529894186</c:v>
                </c:pt>
                <c:pt idx="2">
                  <c:v>1.4510697045600001</c:v>
                </c:pt>
                <c:pt idx="3">
                  <c:v>1.5369094514000001</c:v>
                </c:pt>
                <c:pt idx="4">
                  <c:v>1.5678653199799999</c:v>
                </c:pt>
              </c:numCache>
            </c:numRef>
          </c:val>
          <c:extLst>
            <c:ext xmlns:c16="http://schemas.microsoft.com/office/drawing/2014/chart" uri="{C3380CC4-5D6E-409C-BE32-E72D297353CC}">
              <c16:uniqueId val="{00000002-6C49-45D3-A67F-39FAE272DB1B}"/>
            </c:ext>
          </c:extLst>
        </c:ser>
        <c:dLbls>
          <c:showLegendKey val="0"/>
          <c:showVal val="0"/>
          <c:showCatName val="0"/>
          <c:showSerName val="0"/>
          <c:showPercent val="0"/>
          <c:showBubbleSize val="0"/>
        </c:dLbls>
        <c:gapWidth val="147"/>
        <c:overlap val="-41"/>
        <c:axId val="114688768"/>
        <c:axId val="114690304"/>
      </c:barChart>
      <c:catAx>
        <c:axId val="11468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cs-CZ"/>
          </a:p>
        </c:txPr>
        <c:crossAx val="114690304"/>
        <c:crosses val="autoZero"/>
        <c:auto val="1"/>
        <c:lblAlgn val="ctr"/>
        <c:lblOffset val="100"/>
        <c:noMultiLvlLbl val="0"/>
      </c:catAx>
      <c:valAx>
        <c:axId val="114690304"/>
        <c:scaling>
          <c:orientation val="minMax"/>
        </c:scaling>
        <c:delete val="0"/>
        <c:axPos val="l"/>
        <c:numFmt formatCode="0.0" sourceLinked="1"/>
        <c:majorTickMark val="none"/>
        <c:minorTickMark val="none"/>
        <c:tickLblPos val="none"/>
        <c:spPr>
          <a:noFill/>
          <a:ln>
            <a:noFill/>
          </a:ln>
          <a:effectLst/>
        </c:spPr>
        <c:txPr>
          <a:bodyPr rot="-60000000" vert="horz"/>
          <a:lstStyle/>
          <a:p>
            <a:pPr>
              <a:defRPr/>
            </a:pPr>
            <a:endParaRPr lang="cs-CZ"/>
          </a:p>
        </c:txPr>
        <c:crossAx val="114688768"/>
        <c:crosses val="autoZero"/>
        <c:crossBetween val="between"/>
        <c:majorUnit val="0.5"/>
      </c:valAx>
      <c:spPr>
        <a:noFill/>
        <a:ln>
          <a:noFill/>
        </a:ln>
        <a:effectLst/>
      </c:spPr>
    </c:plotArea>
    <c:legend>
      <c:legendPos val="b"/>
      <c:layout>
        <c:manualLayout>
          <c:xMode val="edge"/>
          <c:yMode val="edge"/>
          <c:x val="0.12841357945010973"/>
          <c:y val="0.88297065139584829"/>
          <c:w val="0.73706045422008204"/>
          <c:h val="0.11702948908882178"/>
        </c:manualLayout>
      </c:layout>
      <c:overlay val="0"/>
      <c:spPr>
        <a:noFill/>
        <a:ln>
          <a:noFill/>
        </a:ln>
        <a:effectLst/>
      </c:spPr>
      <c:txPr>
        <a:bodyPr rot="0" vert="horz"/>
        <a:lstStyle/>
        <a:p>
          <a:pPr algn="just">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DBFE9D-5F9B-49A6-8E00-347AFBD1D478}" type="doc">
      <dgm:prSet loTypeId="urn:microsoft.com/office/officeart/2005/8/layout/chevron1" loCatId="process" qsTypeId="urn:microsoft.com/office/officeart/2005/8/quickstyle/simple1" qsCatId="simple" csTypeId="urn:microsoft.com/office/officeart/2005/8/colors/accent1_2" csCatId="accent1" phldr="1"/>
      <dgm:spPr/>
    </dgm:pt>
    <dgm:pt modelId="{148DE8D1-E9FF-4482-A839-95AC4AC77D59}">
      <dgm:prSet phldrT="[Text]" custT="1"/>
      <dgm:spPr>
        <a:solidFill>
          <a:srgbClr val="004595"/>
        </a:solidFill>
      </dgm:spPr>
      <dgm:t>
        <a:bodyPr/>
        <a:lstStyle/>
        <a:p>
          <a:pPr algn="ctr"/>
          <a:r>
            <a:rPr lang="cs-CZ" sz="1000" b="1">
              <a:solidFill>
                <a:schemeClr val="bg1"/>
              </a:solidFill>
            </a:rPr>
            <a:t>1 245,7</a:t>
          </a:r>
        </a:p>
      </dgm:t>
    </dgm:pt>
    <dgm:pt modelId="{DF33E944-6D29-4918-AD0E-06814FB945F0}" type="parTrans" cxnId="{AE712D47-C00D-44CA-87B1-E286AB812B20}">
      <dgm:prSet/>
      <dgm:spPr/>
      <dgm:t>
        <a:bodyPr/>
        <a:lstStyle/>
        <a:p>
          <a:pPr algn="ctr"/>
          <a:endParaRPr lang="cs-CZ" sz="1000" b="1">
            <a:solidFill>
              <a:schemeClr val="bg1"/>
            </a:solidFill>
          </a:endParaRPr>
        </a:p>
      </dgm:t>
    </dgm:pt>
    <dgm:pt modelId="{E68940CF-E9FD-412B-B6DB-4B9B24329327}" type="sibTrans" cxnId="{AE712D47-C00D-44CA-87B1-E286AB812B20}">
      <dgm:prSet/>
      <dgm:spPr/>
      <dgm:t>
        <a:bodyPr/>
        <a:lstStyle/>
        <a:p>
          <a:pPr algn="ctr"/>
          <a:endParaRPr lang="cs-CZ" sz="1000" b="1">
            <a:solidFill>
              <a:schemeClr val="bg1"/>
            </a:solidFill>
          </a:endParaRPr>
        </a:p>
      </dgm:t>
    </dgm:pt>
    <dgm:pt modelId="{10F26D53-6C44-4B15-A33B-E976F2B4BD08}">
      <dgm:prSet phldrT="[Text]" custT="1"/>
      <dgm:spPr>
        <a:solidFill>
          <a:srgbClr val="D9EAFF"/>
        </a:solidFill>
      </dgm:spPr>
      <dgm:t>
        <a:bodyPr/>
        <a:lstStyle/>
        <a:p>
          <a:pPr algn="ctr"/>
          <a:r>
            <a:rPr lang="cs-CZ" sz="1000" b="1">
              <a:solidFill>
                <a:sysClr val="windowText" lastClr="000000"/>
              </a:solidFill>
            </a:rPr>
            <a:t>1 278,2</a:t>
          </a:r>
        </a:p>
      </dgm:t>
    </dgm:pt>
    <dgm:pt modelId="{2C760CA2-6467-4DB4-9958-66B26F5A609F}" type="parTrans" cxnId="{3C3E6C7A-9D78-4277-AC87-1A743685D311}">
      <dgm:prSet/>
      <dgm:spPr/>
      <dgm:t>
        <a:bodyPr/>
        <a:lstStyle/>
        <a:p>
          <a:pPr algn="ctr"/>
          <a:endParaRPr lang="cs-CZ" sz="1000" b="1">
            <a:solidFill>
              <a:schemeClr val="bg1"/>
            </a:solidFill>
          </a:endParaRPr>
        </a:p>
      </dgm:t>
    </dgm:pt>
    <dgm:pt modelId="{BD6F1839-DC82-4D98-8C20-4E1910490785}" type="sibTrans" cxnId="{3C3E6C7A-9D78-4277-AC87-1A743685D311}">
      <dgm:prSet/>
      <dgm:spPr/>
      <dgm:t>
        <a:bodyPr/>
        <a:lstStyle/>
        <a:p>
          <a:pPr algn="ctr"/>
          <a:endParaRPr lang="cs-CZ" sz="1000" b="1">
            <a:solidFill>
              <a:schemeClr val="bg1"/>
            </a:solidFill>
          </a:endParaRPr>
        </a:p>
      </dgm:t>
    </dgm:pt>
    <dgm:pt modelId="{45892356-C6E2-4FAD-992F-CFC55D5EC7FA}">
      <dgm:prSet phldrT="[Text]" custT="1"/>
      <dgm:spPr>
        <a:solidFill>
          <a:srgbClr val="D9EAFF"/>
        </a:solidFill>
      </dgm:spPr>
      <dgm:t>
        <a:bodyPr/>
        <a:lstStyle/>
        <a:p>
          <a:pPr algn="ctr"/>
          <a:r>
            <a:rPr lang="cs-CZ" sz="1000" b="1">
              <a:solidFill>
                <a:sysClr val="windowText" lastClr="000000"/>
              </a:solidFill>
            </a:rPr>
            <a:t>1 274,2</a:t>
          </a:r>
        </a:p>
      </dgm:t>
    </dgm:pt>
    <dgm:pt modelId="{98ACA22B-4DB5-4DC8-8972-051CE39E9F39}" type="parTrans" cxnId="{AFDBA88C-2A91-4F8E-8363-7389A1C8D6D8}">
      <dgm:prSet/>
      <dgm:spPr/>
      <dgm:t>
        <a:bodyPr/>
        <a:lstStyle/>
        <a:p>
          <a:pPr algn="ctr"/>
          <a:endParaRPr lang="cs-CZ" sz="1000" b="1">
            <a:solidFill>
              <a:schemeClr val="bg1"/>
            </a:solidFill>
          </a:endParaRPr>
        </a:p>
      </dgm:t>
    </dgm:pt>
    <dgm:pt modelId="{E4DAB33E-4417-4C00-A9B2-6B85AFA7A350}" type="sibTrans" cxnId="{AFDBA88C-2A91-4F8E-8363-7389A1C8D6D8}">
      <dgm:prSet/>
      <dgm:spPr/>
      <dgm:t>
        <a:bodyPr/>
        <a:lstStyle/>
        <a:p>
          <a:pPr algn="ctr"/>
          <a:endParaRPr lang="cs-CZ" sz="1000" b="1">
            <a:solidFill>
              <a:schemeClr val="bg1"/>
            </a:solidFill>
          </a:endParaRPr>
        </a:p>
      </dgm:t>
    </dgm:pt>
    <dgm:pt modelId="{B25A3EF3-4D65-445F-B689-DEF23CBE7E8B}">
      <dgm:prSet custT="1"/>
      <dgm:spPr>
        <a:solidFill>
          <a:srgbClr val="D9EAFF"/>
        </a:solidFill>
      </dgm:spPr>
      <dgm:t>
        <a:bodyPr/>
        <a:lstStyle/>
        <a:p>
          <a:pPr algn="ctr"/>
          <a:r>
            <a:rPr lang="cs-CZ" sz="1000" b="1">
              <a:solidFill>
                <a:sysClr val="windowText" lastClr="000000"/>
              </a:solidFill>
            </a:rPr>
            <a:t>1 394,0</a:t>
          </a:r>
        </a:p>
      </dgm:t>
    </dgm:pt>
    <dgm:pt modelId="{5D1DDA5E-BDCB-4290-BB56-791F9A296A71}" type="parTrans" cxnId="{CF2C65C2-029C-46B4-8406-DC124F9C93A1}">
      <dgm:prSet/>
      <dgm:spPr/>
      <dgm:t>
        <a:bodyPr/>
        <a:lstStyle/>
        <a:p>
          <a:pPr algn="ctr"/>
          <a:endParaRPr lang="cs-CZ" sz="1000" b="1">
            <a:solidFill>
              <a:schemeClr val="bg1"/>
            </a:solidFill>
          </a:endParaRPr>
        </a:p>
      </dgm:t>
    </dgm:pt>
    <dgm:pt modelId="{951D0FF7-1AE4-44CD-9F9D-1601C8A91720}" type="sibTrans" cxnId="{CF2C65C2-029C-46B4-8406-DC124F9C93A1}">
      <dgm:prSet/>
      <dgm:spPr/>
      <dgm:t>
        <a:bodyPr/>
        <a:lstStyle/>
        <a:p>
          <a:pPr algn="ctr"/>
          <a:endParaRPr lang="cs-CZ" sz="1000" b="1">
            <a:solidFill>
              <a:schemeClr val="bg1"/>
            </a:solidFill>
          </a:endParaRPr>
        </a:p>
      </dgm:t>
    </dgm:pt>
    <dgm:pt modelId="{2813F7F2-942A-43DE-878C-AD0A36A4FD4A}">
      <dgm:prSet custT="1"/>
      <dgm:spPr>
        <a:solidFill>
          <a:srgbClr val="004595"/>
        </a:solidFill>
      </dgm:spPr>
      <dgm:t>
        <a:bodyPr/>
        <a:lstStyle/>
        <a:p>
          <a:pPr algn="ctr"/>
          <a:r>
            <a:rPr lang="cs-CZ" sz="1000" b="1">
              <a:solidFill>
                <a:schemeClr val="bg1"/>
              </a:solidFill>
            </a:rPr>
            <a:t>1 441,0</a:t>
          </a:r>
        </a:p>
      </dgm:t>
    </dgm:pt>
    <dgm:pt modelId="{2DEFD3D1-E563-488C-94DF-1D84910FAEA2}" type="parTrans" cxnId="{E18F449B-2ACB-4C21-AB29-9C8505313664}">
      <dgm:prSet/>
      <dgm:spPr/>
      <dgm:t>
        <a:bodyPr/>
        <a:lstStyle/>
        <a:p>
          <a:pPr algn="ctr"/>
          <a:endParaRPr lang="cs-CZ" sz="1000" b="1">
            <a:solidFill>
              <a:schemeClr val="bg1"/>
            </a:solidFill>
          </a:endParaRPr>
        </a:p>
      </dgm:t>
    </dgm:pt>
    <dgm:pt modelId="{633DF286-28EF-431E-94FE-B5C5B75CD7BF}" type="sibTrans" cxnId="{E18F449B-2ACB-4C21-AB29-9C8505313664}">
      <dgm:prSet/>
      <dgm:spPr/>
      <dgm:t>
        <a:bodyPr/>
        <a:lstStyle/>
        <a:p>
          <a:pPr algn="ctr"/>
          <a:endParaRPr lang="cs-CZ" sz="1000" b="1">
            <a:solidFill>
              <a:schemeClr val="bg1"/>
            </a:solidFill>
          </a:endParaRPr>
        </a:p>
      </dgm:t>
    </dgm:pt>
    <dgm:pt modelId="{3D7127AA-0103-41A5-A733-1DD469775E03}" type="pres">
      <dgm:prSet presAssocID="{10DBFE9D-5F9B-49A6-8E00-347AFBD1D478}" presName="Name0" presStyleCnt="0">
        <dgm:presLayoutVars>
          <dgm:dir/>
          <dgm:animLvl val="lvl"/>
          <dgm:resizeHandles val="exact"/>
        </dgm:presLayoutVars>
      </dgm:prSet>
      <dgm:spPr/>
    </dgm:pt>
    <dgm:pt modelId="{80C448D9-74F2-474D-862C-19CAC443A71D}" type="pres">
      <dgm:prSet presAssocID="{148DE8D1-E9FF-4482-A839-95AC4AC77D59}" presName="parTxOnly" presStyleLbl="node1" presStyleIdx="0" presStyleCnt="5">
        <dgm:presLayoutVars>
          <dgm:chMax val="0"/>
          <dgm:chPref val="0"/>
          <dgm:bulletEnabled val="1"/>
        </dgm:presLayoutVars>
      </dgm:prSet>
      <dgm:spPr/>
      <dgm:t>
        <a:bodyPr/>
        <a:lstStyle/>
        <a:p>
          <a:endParaRPr lang="cs-CZ"/>
        </a:p>
      </dgm:t>
    </dgm:pt>
    <dgm:pt modelId="{9D9DCCAD-3E18-458D-AF20-A77D1485B8C3}" type="pres">
      <dgm:prSet presAssocID="{E68940CF-E9FD-412B-B6DB-4B9B24329327}" presName="parTxOnlySpace" presStyleCnt="0"/>
      <dgm:spPr/>
    </dgm:pt>
    <dgm:pt modelId="{3349AD46-834B-4782-AEC3-2BA8A5520667}" type="pres">
      <dgm:prSet presAssocID="{10F26D53-6C44-4B15-A33B-E976F2B4BD08}" presName="parTxOnly" presStyleLbl="node1" presStyleIdx="1" presStyleCnt="5">
        <dgm:presLayoutVars>
          <dgm:chMax val="0"/>
          <dgm:chPref val="0"/>
          <dgm:bulletEnabled val="1"/>
        </dgm:presLayoutVars>
      </dgm:prSet>
      <dgm:spPr/>
      <dgm:t>
        <a:bodyPr/>
        <a:lstStyle/>
        <a:p>
          <a:endParaRPr lang="cs-CZ"/>
        </a:p>
      </dgm:t>
    </dgm:pt>
    <dgm:pt modelId="{054D58B9-58D6-4801-A3BA-ED1B8D98C31C}" type="pres">
      <dgm:prSet presAssocID="{BD6F1839-DC82-4D98-8C20-4E1910490785}" presName="parTxOnlySpace" presStyleCnt="0"/>
      <dgm:spPr/>
    </dgm:pt>
    <dgm:pt modelId="{4A66C85D-CD31-42EA-9103-380060E77DA6}" type="pres">
      <dgm:prSet presAssocID="{45892356-C6E2-4FAD-992F-CFC55D5EC7FA}" presName="parTxOnly" presStyleLbl="node1" presStyleIdx="2" presStyleCnt="5">
        <dgm:presLayoutVars>
          <dgm:chMax val="0"/>
          <dgm:chPref val="0"/>
          <dgm:bulletEnabled val="1"/>
        </dgm:presLayoutVars>
      </dgm:prSet>
      <dgm:spPr/>
      <dgm:t>
        <a:bodyPr/>
        <a:lstStyle/>
        <a:p>
          <a:endParaRPr lang="cs-CZ"/>
        </a:p>
      </dgm:t>
    </dgm:pt>
    <dgm:pt modelId="{031B3898-8D29-4DE9-95D7-DB509823BE91}" type="pres">
      <dgm:prSet presAssocID="{E4DAB33E-4417-4C00-A9B2-6B85AFA7A350}" presName="parTxOnlySpace" presStyleCnt="0"/>
      <dgm:spPr/>
    </dgm:pt>
    <dgm:pt modelId="{10D91149-B52D-4ACD-97A6-258531ADAAF9}" type="pres">
      <dgm:prSet presAssocID="{B25A3EF3-4D65-445F-B689-DEF23CBE7E8B}" presName="parTxOnly" presStyleLbl="node1" presStyleIdx="3" presStyleCnt="5">
        <dgm:presLayoutVars>
          <dgm:chMax val="0"/>
          <dgm:chPref val="0"/>
          <dgm:bulletEnabled val="1"/>
        </dgm:presLayoutVars>
      </dgm:prSet>
      <dgm:spPr/>
      <dgm:t>
        <a:bodyPr/>
        <a:lstStyle/>
        <a:p>
          <a:endParaRPr lang="cs-CZ"/>
        </a:p>
      </dgm:t>
    </dgm:pt>
    <dgm:pt modelId="{7838497D-8D99-4F57-8695-C34596E56C40}" type="pres">
      <dgm:prSet presAssocID="{951D0FF7-1AE4-44CD-9F9D-1601C8A91720}" presName="parTxOnlySpace" presStyleCnt="0"/>
      <dgm:spPr/>
    </dgm:pt>
    <dgm:pt modelId="{877A4749-2278-4F19-9545-F984BF59F7EB}" type="pres">
      <dgm:prSet presAssocID="{2813F7F2-942A-43DE-878C-AD0A36A4FD4A}" presName="parTxOnly" presStyleLbl="node1" presStyleIdx="4" presStyleCnt="5">
        <dgm:presLayoutVars>
          <dgm:chMax val="0"/>
          <dgm:chPref val="0"/>
          <dgm:bulletEnabled val="1"/>
        </dgm:presLayoutVars>
      </dgm:prSet>
      <dgm:spPr/>
      <dgm:t>
        <a:bodyPr/>
        <a:lstStyle/>
        <a:p>
          <a:endParaRPr lang="cs-CZ"/>
        </a:p>
      </dgm:t>
    </dgm:pt>
  </dgm:ptLst>
  <dgm:cxnLst>
    <dgm:cxn modelId="{AFDBA88C-2A91-4F8E-8363-7389A1C8D6D8}" srcId="{10DBFE9D-5F9B-49A6-8E00-347AFBD1D478}" destId="{45892356-C6E2-4FAD-992F-CFC55D5EC7FA}" srcOrd="2" destOrd="0" parTransId="{98ACA22B-4DB5-4DC8-8972-051CE39E9F39}" sibTransId="{E4DAB33E-4417-4C00-A9B2-6B85AFA7A350}"/>
    <dgm:cxn modelId="{E244AB2A-3A81-4D7A-8D60-5BB8EAF09DB3}" type="presOf" srcId="{B25A3EF3-4D65-445F-B689-DEF23CBE7E8B}" destId="{10D91149-B52D-4ACD-97A6-258531ADAAF9}" srcOrd="0" destOrd="0" presId="urn:microsoft.com/office/officeart/2005/8/layout/chevron1"/>
    <dgm:cxn modelId="{CF2C65C2-029C-46B4-8406-DC124F9C93A1}" srcId="{10DBFE9D-5F9B-49A6-8E00-347AFBD1D478}" destId="{B25A3EF3-4D65-445F-B689-DEF23CBE7E8B}" srcOrd="3" destOrd="0" parTransId="{5D1DDA5E-BDCB-4290-BB56-791F9A296A71}" sibTransId="{951D0FF7-1AE4-44CD-9F9D-1601C8A91720}"/>
    <dgm:cxn modelId="{3C3E6C7A-9D78-4277-AC87-1A743685D311}" srcId="{10DBFE9D-5F9B-49A6-8E00-347AFBD1D478}" destId="{10F26D53-6C44-4B15-A33B-E976F2B4BD08}" srcOrd="1" destOrd="0" parTransId="{2C760CA2-6467-4DB4-9958-66B26F5A609F}" sibTransId="{BD6F1839-DC82-4D98-8C20-4E1910490785}"/>
    <dgm:cxn modelId="{AE712D47-C00D-44CA-87B1-E286AB812B20}" srcId="{10DBFE9D-5F9B-49A6-8E00-347AFBD1D478}" destId="{148DE8D1-E9FF-4482-A839-95AC4AC77D59}" srcOrd="0" destOrd="0" parTransId="{DF33E944-6D29-4918-AD0E-06814FB945F0}" sibTransId="{E68940CF-E9FD-412B-B6DB-4B9B24329327}"/>
    <dgm:cxn modelId="{8F31564E-5FD0-4AE5-9E0C-9729D672EA4A}" type="presOf" srcId="{45892356-C6E2-4FAD-992F-CFC55D5EC7FA}" destId="{4A66C85D-CD31-42EA-9103-380060E77DA6}" srcOrd="0" destOrd="0" presId="urn:microsoft.com/office/officeart/2005/8/layout/chevron1"/>
    <dgm:cxn modelId="{AAADD12C-F6B1-4A7E-B727-2DDF2DD04F99}" type="presOf" srcId="{10DBFE9D-5F9B-49A6-8E00-347AFBD1D478}" destId="{3D7127AA-0103-41A5-A733-1DD469775E03}" srcOrd="0" destOrd="0" presId="urn:microsoft.com/office/officeart/2005/8/layout/chevron1"/>
    <dgm:cxn modelId="{13D816B6-D5C2-4794-81E9-C6BACAD1C86C}" type="presOf" srcId="{148DE8D1-E9FF-4482-A839-95AC4AC77D59}" destId="{80C448D9-74F2-474D-862C-19CAC443A71D}" srcOrd="0" destOrd="0" presId="urn:microsoft.com/office/officeart/2005/8/layout/chevron1"/>
    <dgm:cxn modelId="{F168D627-7040-4F15-BB05-E0C9AD13A7DB}" type="presOf" srcId="{10F26D53-6C44-4B15-A33B-E976F2B4BD08}" destId="{3349AD46-834B-4782-AEC3-2BA8A5520667}" srcOrd="0" destOrd="0" presId="urn:microsoft.com/office/officeart/2005/8/layout/chevron1"/>
    <dgm:cxn modelId="{FFD109E3-B3A5-4593-8A2F-3E13470B1035}" type="presOf" srcId="{2813F7F2-942A-43DE-878C-AD0A36A4FD4A}" destId="{877A4749-2278-4F19-9545-F984BF59F7EB}" srcOrd="0" destOrd="0" presId="urn:microsoft.com/office/officeart/2005/8/layout/chevron1"/>
    <dgm:cxn modelId="{E18F449B-2ACB-4C21-AB29-9C8505313664}" srcId="{10DBFE9D-5F9B-49A6-8E00-347AFBD1D478}" destId="{2813F7F2-942A-43DE-878C-AD0A36A4FD4A}" srcOrd="4" destOrd="0" parTransId="{2DEFD3D1-E563-488C-94DF-1D84910FAEA2}" sibTransId="{633DF286-28EF-431E-94FE-B5C5B75CD7BF}"/>
    <dgm:cxn modelId="{CF5FA207-D39F-4B15-A386-939E2BF7B5A9}" type="presParOf" srcId="{3D7127AA-0103-41A5-A733-1DD469775E03}" destId="{80C448D9-74F2-474D-862C-19CAC443A71D}" srcOrd="0" destOrd="0" presId="urn:microsoft.com/office/officeart/2005/8/layout/chevron1"/>
    <dgm:cxn modelId="{0B8767BE-4B08-47E4-9CC5-CEC95119A525}" type="presParOf" srcId="{3D7127AA-0103-41A5-A733-1DD469775E03}" destId="{9D9DCCAD-3E18-458D-AF20-A77D1485B8C3}" srcOrd="1" destOrd="0" presId="urn:microsoft.com/office/officeart/2005/8/layout/chevron1"/>
    <dgm:cxn modelId="{C5BC592B-E5DC-4D4E-AB79-38EFD1427FEA}" type="presParOf" srcId="{3D7127AA-0103-41A5-A733-1DD469775E03}" destId="{3349AD46-834B-4782-AEC3-2BA8A5520667}" srcOrd="2" destOrd="0" presId="urn:microsoft.com/office/officeart/2005/8/layout/chevron1"/>
    <dgm:cxn modelId="{197A562D-FE43-4E6A-B169-03F564C0226A}" type="presParOf" srcId="{3D7127AA-0103-41A5-A733-1DD469775E03}" destId="{054D58B9-58D6-4801-A3BA-ED1B8D98C31C}" srcOrd="3" destOrd="0" presId="urn:microsoft.com/office/officeart/2005/8/layout/chevron1"/>
    <dgm:cxn modelId="{15274292-EB7F-467C-83E6-2613604D47BA}" type="presParOf" srcId="{3D7127AA-0103-41A5-A733-1DD469775E03}" destId="{4A66C85D-CD31-42EA-9103-380060E77DA6}" srcOrd="4" destOrd="0" presId="urn:microsoft.com/office/officeart/2005/8/layout/chevron1"/>
    <dgm:cxn modelId="{516A9C36-C970-43D7-8B5F-8EA45DA068F3}" type="presParOf" srcId="{3D7127AA-0103-41A5-A733-1DD469775E03}" destId="{031B3898-8D29-4DE9-95D7-DB509823BE91}" srcOrd="5" destOrd="0" presId="urn:microsoft.com/office/officeart/2005/8/layout/chevron1"/>
    <dgm:cxn modelId="{6B5F2212-E4F2-4667-8628-CA155C9B350A}" type="presParOf" srcId="{3D7127AA-0103-41A5-A733-1DD469775E03}" destId="{10D91149-B52D-4ACD-97A6-258531ADAAF9}" srcOrd="6" destOrd="0" presId="urn:microsoft.com/office/officeart/2005/8/layout/chevron1"/>
    <dgm:cxn modelId="{C7556D52-1D94-4AB8-A58E-4D1AD43A95E9}" type="presParOf" srcId="{3D7127AA-0103-41A5-A733-1DD469775E03}" destId="{7838497D-8D99-4F57-8695-C34596E56C40}" srcOrd="7" destOrd="0" presId="urn:microsoft.com/office/officeart/2005/8/layout/chevron1"/>
    <dgm:cxn modelId="{B816EC82-712B-4813-8CDF-474369AA1CE3}" type="presParOf" srcId="{3D7127AA-0103-41A5-A733-1DD469775E03}" destId="{877A4749-2278-4F19-9545-F984BF59F7EB}" srcOrd="8" destOrd="0" presId="urn:microsoft.com/office/officeart/2005/8/layout/chevron1"/>
  </dgm:cxnLst>
  <dgm:bg>
    <a:solidFill>
      <a:schemeClr val="lt1"/>
    </a:solidFill>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A6347D2-E774-46FA-B777-F1A30B1B32AE}"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cs-CZ"/>
        </a:p>
      </dgm:t>
    </dgm:pt>
    <dgm:pt modelId="{4D953984-3ACF-4D10-86C2-DD0EECD2045E}">
      <dgm:prSet phldrT="[Text]" custT="1"/>
      <dgm:spPr>
        <a:xfrm>
          <a:off x="67223" y="415"/>
          <a:ext cx="726504" cy="290601"/>
        </a:xfrm>
        <a:noFill/>
        <a:ln w="12700" cap="flat" cmpd="sng" algn="ctr">
          <a:solidFill>
            <a:sysClr val="window" lastClr="FFFFFF">
              <a:hueOff val="0"/>
              <a:satOff val="0"/>
              <a:lumOff val="0"/>
              <a:alphaOff val="0"/>
            </a:sysClr>
          </a:solidFill>
          <a:prstDash val="solid"/>
          <a:miter lim="800000"/>
        </a:ln>
        <a:effectLst/>
      </dgm:spPr>
      <dgm:t>
        <a:bodyPr/>
        <a:lstStyle/>
        <a:p>
          <a:pPr marL="0" algn="ctr">
            <a:lnSpc>
              <a:spcPct val="50000"/>
            </a:lnSpc>
            <a:spcBef>
              <a:spcPts val="600"/>
            </a:spcBef>
            <a:spcAft>
              <a:spcPts val="0"/>
            </a:spcAft>
          </a:pPr>
          <a:r>
            <a:rPr lang="cs-CZ" sz="800" b="0">
              <a:solidFill>
                <a:schemeClr val="tx1"/>
              </a:solidFill>
              <a:latin typeface="Calibri" panose="020F0502020204030204"/>
              <a:ea typeface="+mn-ea"/>
              <a:cs typeface="+mn-cs"/>
            </a:rPr>
            <a:t>v mld. Kč</a:t>
          </a:r>
        </a:p>
      </dgm:t>
    </dgm:pt>
    <dgm:pt modelId="{F16E41CB-26E5-43DD-9796-987A9D8D425D}" type="parTrans" cxnId="{ECAEA752-CBE7-4547-A8A8-48159546DDCD}">
      <dgm:prSet/>
      <dgm:spPr/>
      <dgm:t>
        <a:bodyPr/>
        <a:lstStyle/>
        <a:p>
          <a:endParaRPr lang="cs-CZ" sz="2400" b="1">
            <a:solidFill>
              <a:schemeClr val="tx1"/>
            </a:solidFill>
          </a:endParaRPr>
        </a:p>
      </dgm:t>
    </dgm:pt>
    <dgm:pt modelId="{65D9BC79-1E0E-4540-B0A4-914D9CDA1CEF}" type="sibTrans" cxnId="{ECAEA752-CBE7-4547-A8A8-48159546DDCD}">
      <dgm:prSet/>
      <dgm:spPr/>
      <dgm:t>
        <a:bodyPr/>
        <a:lstStyle/>
        <a:p>
          <a:endParaRPr lang="cs-CZ" sz="2400" b="1">
            <a:solidFill>
              <a:schemeClr val="tx1"/>
            </a:solidFill>
          </a:endParaRPr>
        </a:p>
      </dgm:t>
    </dgm:pt>
    <dgm:pt modelId="{A1CF1E31-5801-448F-B337-DBA64B602091}">
      <dgm:prSet phldrT="[Text]" custT="1"/>
      <dgm:spPr>
        <a:xfrm>
          <a:off x="699282" y="25116"/>
          <a:ext cx="602998" cy="241199"/>
        </a:xfrm>
        <a:solidFill>
          <a:srgbClr val="D9EAFF">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2014</a:t>
          </a:r>
        </a:p>
      </dgm:t>
    </dgm:pt>
    <dgm:pt modelId="{BFA133A1-756A-45F1-8766-59F7BCFDAA6C}" type="parTrans" cxnId="{7796AACE-01AA-4552-8B2C-43ECF3FCBCD7}">
      <dgm:prSet/>
      <dgm:spPr/>
      <dgm:t>
        <a:bodyPr/>
        <a:lstStyle/>
        <a:p>
          <a:endParaRPr lang="cs-CZ" sz="2400" b="1">
            <a:solidFill>
              <a:schemeClr val="tx1"/>
            </a:solidFill>
          </a:endParaRPr>
        </a:p>
      </dgm:t>
    </dgm:pt>
    <dgm:pt modelId="{D30FBF5B-3185-4475-AA36-3B0290B49DAD}" type="sibTrans" cxnId="{7796AACE-01AA-4552-8B2C-43ECF3FCBCD7}">
      <dgm:prSet/>
      <dgm:spPr/>
      <dgm:t>
        <a:bodyPr/>
        <a:lstStyle/>
        <a:p>
          <a:endParaRPr lang="cs-CZ" sz="2400" b="1">
            <a:solidFill>
              <a:schemeClr val="tx1"/>
            </a:solidFill>
          </a:endParaRPr>
        </a:p>
      </dgm:t>
    </dgm:pt>
    <dgm:pt modelId="{358C9A41-D250-4EE4-9337-6B3886DC0DC0}">
      <dgm:prSet phldrT="[Text]" custT="1"/>
      <dgm:spPr>
        <a:xfrm>
          <a:off x="1217861" y="25116"/>
          <a:ext cx="602998" cy="241199"/>
        </a:xfrm>
        <a:solidFill>
          <a:srgbClr val="D9EAFF">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2015</a:t>
          </a:r>
        </a:p>
      </dgm:t>
    </dgm:pt>
    <dgm:pt modelId="{37117464-C6AC-4707-B9BD-209DE83C59FB}" type="parTrans" cxnId="{ED7784F0-CB07-46A9-9099-A96DEBF07610}">
      <dgm:prSet/>
      <dgm:spPr/>
      <dgm:t>
        <a:bodyPr/>
        <a:lstStyle/>
        <a:p>
          <a:endParaRPr lang="cs-CZ" sz="2400" b="1">
            <a:solidFill>
              <a:schemeClr val="tx1"/>
            </a:solidFill>
          </a:endParaRPr>
        </a:p>
      </dgm:t>
    </dgm:pt>
    <dgm:pt modelId="{EB460E09-C9FC-4808-8795-EB45393F3985}" type="sibTrans" cxnId="{ED7784F0-CB07-46A9-9099-A96DEBF07610}">
      <dgm:prSet/>
      <dgm:spPr/>
      <dgm:t>
        <a:bodyPr/>
        <a:lstStyle/>
        <a:p>
          <a:endParaRPr lang="cs-CZ" sz="2400" b="1">
            <a:solidFill>
              <a:schemeClr val="tx1"/>
            </a:solidFill>
          </a:endParaRPr>
        </a:p>
      </dgm:t>
    </dgm:pt>
    <dgm:pt modelId="{78174B99-CB2F-41B4-84A1-1438F1481E64}">
      <dgm:prSet phldrT="[Text]" custT="1"/>
      <dgm:spPr>
        <a:xfrm>
          <a:off x="67223" y="331701"/>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900" b="1">
              <a:solidFill>
                <a:schemeClr val="tx1"/>
              </a:solidFill>
              <a:latin typeface="Calibri" panose="020F0502020204030204"/>
              <a:ea typeface="+mn-ea"/>
              <a:cs typeface="+mn-cs"/>
            </a:rPr>
            <a:t>Celkové příjmy</a:t>
          </a:r>
        </a:p>
      </dgm:t>
    </dgm:pt>
    <dgm:pt modelId="{D7C31FB7-9F0B-4DC9-9E58-D2D92803A3E7}" type="parTrans" cxnId="{FBE2A66C-BAEB-4055-B249-C62290420E1D}">
      <dgm:prSet/>
      <dgm:spPr/>
      <dgm:t>
        <a:bodyPr/>
        <a:lstStyle/>
        <a:p>
          <a:endParaRPr lang="cs-CZ" sz="2400" b="1">
            <a:solidFill>
              <a:schemeClr val="tx1"/>
            </a:solidFill>
          </a:endParaRPr>
        </a:p>
      </dgm:t>
    </dgm:pt>
    <dgm:pt modelId="{949F9C5E-8E40-433E-9C30-8C6B1B901287}" type="sibTrans" cxnId="{FBE2A66C-BAEB-4055-B249-C62290420E1D}">
      <dgm:prSet/>
      <dgm:spPr/>
      <dgm:t>
        <a:bodyPr/>
        <a:lstStyle/>
        <a:p>
          <a:endParaRPr lang="cs-CZ" sz="2400" b="1">
            <a:solidFill>
              <a:schemeClr val="tx1"/>
            </a:solidFill>
          </a:endParaRPr>
        </a:p>
      </dgm:t>
    </dgm:pt>
    <dgm:pt modelId="{2EDBE3C3-8A52-4A3A-9194-3724DB8ACE24}">
      <dgm:prSet phldrT="[Text]" custT="1"/>
      <dgm:spPr>
        <a:xfrm>
          <a:off x="699282" y="356402"/>
          <a:ext cx="602998" cy="241199"/>
        </a:xfrm>
        <a:solidFill>
          <a:srgbClr val="BD2A33">
            <a:alpha val="20000"/>
          </a:srgbClr>
        </a:solidFill>
        <a:ln w="12700" cap="flat" cmpd="sng" algn="ctr">
          <a:noFill/>
          <a:prstDash val="solid"/>
          <a:miter lim="800000"/>
        </a:ln>
        <a:effectLst/>
      </dgm:spPr>
      <dgm:t>
        <a:bodyPr/>
        <a:lstStyle/>
        <a:p>
          <a:r>
            <a:rPr lang="cs-CZ" sz="900" b="1">
              <a:solidFill>
                <a:schemeClr val="tx1"/>
              </a:solidFill>
              <a:latin typeface="Calibri" panose="020F0502020204030204"/>
              <a:ea typeface="+mn-ea"/>
              <a:cs typeface="+mn-cs"/>
            </a:rPr>
            <a:t>1 133,8</a:t>
          </a:r>
        </a:p>
      </dgm:t>
    </dgm:pt>
    <dgm:pt modelId="{7648DE78-9420-4106-B5C2-036985F43A06}" type="parTrans" cxnId="{D854AD87-6BC3-451D-BF2E-A403FC00D3A8}">
      <dgm:prSet/>
      <dgm:spPr/>
      <dgm:t>
        <a:bodyPr/>
        <a:lstStyle/>
        <a:p>
          <a:endParaRPr lang="cs-CZ" sz="2400" b="1">
            <a:solidFill>
              <a:schemeClr val="tx1"/>
            </a:solidFill>
          </a:endParaRPr>
        </a:p>
      </dgm:t>
    </dgm:pt>
    <dgm:pt modelId="{57DB7BDA-E66E-4670-B460-59BDCDF1EA8F}" type="sibTrans" cxnId="{D854AD87-6BC3-451D-BF2E-A403FC00D3A8}">
      <dgm:prSet/>
      <dgm:spPr/>
      <dgm:t>
        <a:bodyPr/>
        <a:lstStyle/>
        <a:p>
          <a:endParaRPr lang="cs-CZ" sz="2400" b="1">
            <a:solidFill>
              <a:schemeClr val="tx1"/>
            </a:solidFill>
          </a:endParaRPr>
        </a:p>
      </dgm:t>
    </dgm:pt>
    <dgm:pt modelId="{BAB9C705-956B-4C48-87C1-811A07CE45F3}">
      <dgm:prSet phldrT="[Text]" custT="1"/>
      <dgm:spPr>
        <a:xfrm>
          <a:off x="1217861" y="356402"/>
          <a:ext cx="602998" cy="241199"/>
        </a:xfrm>
        <a:solidFill>
          <a:srgbClr val="BD2A33">
            <a:alpha val="40000"/>
          </a:srgbClr>
        </a:solidFill>
        <a:ln w="12700" cap="flat" cmpd="sng" algn="ctr">
          <a:noFill/>
          <a:prstDash val="solid"/>
          <a:miter lim="800000"/>
        </a:ln>
        <a:effectLst/>
      </dgm:spPr>
      <dgm:t>
        <a:bodyPr/>
        <a:lstStyle/>
        <a:p>
          <a:r>
            <a:rPr lang="cs-CZ" sz="900" b="1">
              <a:solidFill>
                <a:schemeClr val="tx1"/>
              </a:solidFill>
              <a:latin typeface="Calibri" panose="020F0502020204030204"/>
              <a:ea typeface="+mn-ea"/>
              <a:cs typeface="+mn-cs"/>
            </a:rPr>
            <a:t>1 234,5</a:t>
          </a:r>
        </a:p>
      </dgm:t>
    </dgm:pt>
    <dgm:pt modelId="{5060BF98-44BD-4F09-9401-9C30985B369C}" type="parTrans" cxnId="{2E4F9EB2-8F1A-4534-BF6D-3D10D5EEB47E}">
      <dgm:prSet/>
      <dgm:spPr/>
      <dgm:t>
        <a:bodyPr/>
        <a:lstStyle/>
        <a:p>
          <a:endParaRPr lang="cs-CZ" sz="2400" b="1">
            <a:solidFill>
              <a:schemeClr val="tx1"/>
            </a:solidFill>
          </a:endParaRPr>
        </a:p>
      </dgm:t>
    </dgm:pt>
    <dgm:pt modelId="{FC896497-7C28-4987-BB69-76BA32DE4EF9}" type="sibTrans" cxnId="{2E4F9EB2-8F1A-4534-BF6D-3D10D5EEB47E}">
      <dgm:prSet/>
      <dgm:spPr/>
      <dgm:t>
        <a:bodyPr/>
        <a:lstStyle/>
        <a:p>
          <a:endParaRPr lang="cs-CZ" sz="2400" b="1">
            <a:solidFill>
              <a:schemeClr val="tx1"/>
            </a:solidFill>
          </a:endParaRPr>
        </a:p>
      </dgm:t>
    </dgm:pt>
    <dgm:pt modelId="{10EEAB1A-174F-4182-8129-99D15D7AB9CF}">
      <dgm:prSet phldrT="[Text]" custT="1"/>
      <dgm:spPr>
        <a:xfrm>
          <a:off x="67223" y="662987"/>
          <a:ext cx="726504" cy="290601"/>
        </a:xfrm>
        <a:solidFill>
          <a:srgbClr val="D9EAFF"/>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Daňové příjmy</a:t>
          </a:r>
        </a:p>
      </dgm:t>
    </dgm:pt>
    <dgm:pt modelId="{9621A7A5-593F-4E40-9A9F-6395F70BF010}" type="parTrans" cxnId="{A08410E1-484C-4B88-AD39-0AA25FB467E7}">
      <dgm:prSet/>
      <dgm:spPr/>
      <dgm:t>
        <a:bodyPr/>
        <a:lstStyle/>
        <a:p>
          <a:endParaRPr lang="cs-CZ" sz="2400" b="1">
            <a:solidFill>
              <a:schemeClr val="tx1"/>
            </a:solidFill>
          </a:endParaRPr>
        </a:p>
      </dgm:t>
    </dgm:pt>
    <dgm:pt modelId="{988FF4AE-EDFA-4F28-A5CC-08BF75833141}" type="sibTrans" cxnId="{A08410E1-484C-4B88-AD39-0AA25FB467E7}">
      <dgm:prSet/>
      <dgm:spPr/>
      <dgm:t>
        <a:bodyPr/>
        <a:lstStyle/>
        <a:p>
          <a:endParaRPr lang="cs-CZ" sz="2400" b="1">
            <a:solidFill>
              <a:schemeClr val="tx1"/>
            </a:solidFill>
          </a:endParaRPr>
        </a:p>
      </dgm:t>
    </dgm:pt>
    <dgm:pt modelId="{BD31FC45-3A97-40A0-952F-7F630CAADFF7}">
      <dgm:prSet phldrT="[Text]" custT="1"/>
      <dgm:spPr>
        <a:xfrm>
          <a:off x="2255018" y="356402"/>
          <a:ext cx="602998" cy="241199"/>
        </a:xfrm>
        <a:solidFill>
          <a:srgbClr val="BD2A33">
            <a:alpha val="80000"/>
          </a:srgbClr>
        </a:solidFill>
        <a:ln w="12700" cap="flat" cmpd="sng" algn="ctr">
          <a:noFill/>
          <a:prstDash val="solid"/>
          <a:miter lim="800000"/>
        </a:ln>
        <a:effectLst/>
      </dgm:spPr>
      <dgm:t>
        <a:bodyPr/>
        <a:lstStyle/>
        <a:p>
          <a:r>
            <a:rPr lang="cs-CZ" sz="900" b="1">
              <a:solidFill>
                <a:schemeClr val="tx1"/>
              </a:solidFill>
              <a:latin typeface="Calibri" panose="020F0502020204030204"/>
              <a:ea typeface="+mn-ea"/>
              <a:cs typeface="+mn-cs"/>
            </a:rPr>
            <a:t>1 273,6</a:t>
          </a:r>
        </a:p>
      </dgm:t>
    </dgm:pt>
    <dgm:pt modelId="{7F98EE7C-F0D8-43D7-8240-2E47B95F7EED}" type="parTrans" cxnId="{EE73EFEB-6030-4D28-9DBA-FF585117EA09}">
      <dgm:prSet/>
      <dgm:spPr/>
      <dgm:t>
        <a:bodyPr/>
        <a:lstStyle/>
        <a:p>
          <a:endParaRPr lang="cs-CZ" sz="2400" b="1">
            <a:solidFill>
              <a:schemeClr val="tx1"/>
            </a:solidFill>
          </a:endParaRPr>
        </a:p>
      </dgm:t>
    </dgm:pt>
    <dgm:pt modelId="{E8A55DA6-FCA5-42C9-855D-834E3421F7A2}" type="sibTrans" cxnId="{EE73EFEB-6030-4D28-9DBA-FF585117EA09}">
      <dgm:prSet/>
      <dgm:spPr/>
      <dgm:t>
        <a:bodyPr/>
        <a:lstStyle/>
        <a:p>
          <a:endParaRPr lang="cs-CZ" sz="2400" b="1">
            <a:solidFill>
              <a:schemeClr val="tx1"/>
            </a:solidFill>
          </a:endParaRPr>
        </a:p>
      </dgm:t>
    </dgm:pt>
    <dgm:pt modelId="{D16CAD34-9C66-484C-BBDC-A5E42BF3D225}">
      <dgm:prSet phldrT="[Text]" custT="1"/>
      <dgm:spPr>
        <a:xfrm>
          <a:off x="3292175" y="25116"/>
          <a:ext cx="602998" cy="241199"/>
        </a:xfrm>
        <a:solidFill>
          <a:srgbClr val="D9EAFF">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2018</a:t>
          </a:r>
          <a:r>
            <a:rPr lang="cs-CZ" sz="800"/>
            <a:t>–</a:t>
          </a:r>
          <a:r>
            <a:rPr lang="cs-CZ" sz="800" b="1">
              <a:solidFill>
                <a:schemeClr val="tx1"/>
              </a:solidFill>
              <a:latin typeface="Calibri" panose="020F0502020204030204"/>
              <a:ea typeface="+mn-ea"/>
              <a:cs typeface="+mn-cs"/>
            </a:rPr>
            <a:t>2017</a:t>
          </a:r>
        </a:p>
      </dgm:t>
    </dgm:pt>
    <dgm:pt modelId="{808DF22A-3A20-4FBB-8A78-D8AC7AAE1BF0}" type="parTrans" cxnId="{F8380EE1-40BA-4909-AC03-FE163230E010}">
      <dgm:prSet/>
      <dgm:spPr/>
      <dgm:t>
        <a:bodyPr/>
        <a:lstStyle/>
        <a:p>
          <a:endParaRPr lang="cs-CZ" sz="2400" b="1">
            <a:solidFill>
              <a:schemeClr val="tx1"/>
            </a:solidFill>
          </a:endParaRPr>
        </a:p>
      </dgm:t>
    </dgm:pt>
    <dgm:pt modelId="{45B66F3E-68B1-4323-9B56-387FA6FB0408}" type="sibTrans" cxnId="{F8380EE1-40BA-4909-AC03-FE163230E010}">
      <dgm:prSet/>
      <dgm:spPr/>
      <dgm:t>
        <a:bodyPr/>
        <a:lstStyle/>
        <a:p>
          <a:endParaRPr lang="cs-CZ" sz="2400" b="1">
            <a:solidFill>
              <a:schemeClr val="tx1"/>
            </a:solidFill>
          </a:endParaRPr>
        </a:p>
      </dgm:t>
    </dgm:pt>
    <dgm:pt modelId="{5A11B889-0B82-46C6-AA06-198B94C240BA}">
      <dgm:prSet phldrT="[Text]" custT="1"/>
      <dgm:spPr>
        <a:xfrm>
          <a:off x="1736439" y="25116"/>
          <a:ext cx="602998" cy="241199"/>
        </a:xfrm>
        <a:solidFill>
          <a:srgbClr val="D9EAFF">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2016</a:t>
          </a:r>
          <a:endParaRPr lang="cs-CZ" sz="900" b="1">
            <a:solidFill>
              <a:schemeClr val="tx1"/>
            </a:solidFill>
            <a:latin typeface="Calibri" panose="020F0502020204030204"/>
            <a:ea typeface="+mn-ea"/>
            <a:cs typeface="+mn-cs"/>
          </a:endParaRPr>
        </a:p>
      </dgm:t>
    </dgm:pt>
    <dgm:pt modelId="{85632010-DCDE-49B9-B7C8-1BA4BC10AB96}" type="parTrans" cxnId="{7F8520E7-18CD-4AD7-9246-8612BFB7B683}">
      <dgm:prSet/>
      <dgm:spPr/>
      <dgm:t>
        <a:bodyPr/>
        <a:lstStyle/>
        <a:p>
          <a:endParaRPr lang="cs-CZ" sz="2400" b="1">
            <a:solidFill>
              <a:schemeClr val="tx1"/>
            </a:solidFill>
          </a:endParaRPr>
        </a:p>
      </dgm:t>
    </dgm:pt>
    <dgm:pt modelId="{3E41D1D9-E567-4048-A439-D1D74FF4254F}" type="sibTrans" cxnId="{7F8520E7-18CD-4AD7-9246-8612BFB7B683}">
      <dgm:prSet/>
      <dgm:spPr/>
      <dgm:t>
        <a:bodyPr/>
        <a:lstStyle/>
        <a:p>
          <a:endParaRPr lang="cs-CZ" sz="2400" b="1">
            <a:solidFill>
              <a:schemeClr val="tx1"/>
            </a:solidFill>
          </a:endParaRPr>
        </a:p>
      </dgm:t>
    </dgm:pt>
    <dgm:pt modelId="{EC97A157-B1ED-4108-8FEF-1E4923639515}">
      <dgm:prSet phldrT="[Text]" custT="1"/>
      <dgm:spPr>
        <a:xfrm>
          <a:off x="2255018" y="25116"/>
          <a:ext cx="602998" cy="241199"/>
        </a:xfrm>
        <a:solidFill>
          <a:srgbClr val="D9EAFF">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2017</a:t>
          </a:r>
        </a:p>
      </dgm:t>
    </dgm:pt>
    <dgm:pt modelId="{9D7F40E7-42DB-4EEC-B91F-E81F9F00800B}" type="parTrans" cxnId="{BF1CF443-1178-4CD3-9263-76DABC19179B}">
      <dgm:prSet/>
      <dgm:spPr/>
      <dgm:t>
        <a:bodyPr/>
        <a:lstStyle/>
        <a:p>
          <a:endParaRPr lang="cs-CZ" sz="2400" b="1">
            <a:solidFill>
              <a:schemeClr val="tx1"/>
            </a:solidFill>
          </a:endParaRPr>
        </a:p>
      </dgm:t>
    </dgm:pt>
    <dgm:pt modelId="{5E219547-CBEE-409D-BC33-EF0F7574158E}" type="sibTrans" cxnId="{BF1CF443-1178-4CD3-9263-76DABC19179B}">
      <dgm:prSet/>
      <dgm:spPr/>
      <dgm:t>
        <a:bodyPr/>
        <a:lstStyle/>
        <a:p>
          <a:endParaRPr lang="cs-CZ" sz="2400" b="1">
            <a:solidFill>
              <a:schemeClr val="tx1"/>
            </a:solidFill>
          </a:endParaRPr>
        </a:p>
      </dgm:t>
    </dgm:pt>
    <dgm:pt modelId="{5C5B4CF2-03CD-467B-842D-BF255C666D8D}">
      <dgm:prSet phldrT="[Text]" custT="1"/>
      <dgm:spPr>
        <a:xfrm>
          <a:off x="2773597" y="25116"/>
          <a:ext cx="602998" cy="241199"/>
        </a:xfrm>
        <a:solidFill>
          <a:srgbClr val="D9EAFF">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2018</a:t>
          </a:r>
        </a:p>
      </dgm:t>
    </dgm:pt>
    <dgm:pt modelId="{2146FB9C-8A70-4886-876C-F201956EA5EF}" type="parTrans" cxnId="{7074881D-F902-419B-A3D3-69D166603E82}">
      <dgm:prSet/>
      <dgm:spPr/>
      <dgm:t>
        <a:bodyPr/>
        <a:lstStyle/>
        <a:p>
          <a:endParaRPr lang="cs-CZ" sz="2400" b="1">
            <a:solidFill>
              <a:schemeClr val="tx1"/>
            </a:solidFill>
          </a:endParaRPr>
        </a:p>
      </dgm:t>
    </dgm:pt>
    <dgm:pt modelId="{4A97EA9F-0D43-4C4E-B773-0126E6BF88A2}" type="sibTrans" cxnId="{7074881D-F902-419B-A3D3-69D166603E82}">
      <dgm:prSet/>
      <dgm:spPr/>
      <dgm:t>
        <a:bodyPr/>
        <a:lstStyle/>
        <a:p>
          <a:endParaRPr lang="cs-CZ" sz="2400" b="1">
            <a:solidFill>
              <a:schemeClr val="tx1"/>
            </a:solidFill>
          </a:endParaRPr>
        </a:p>
      </dgm:t>
    </dgm:pt>
    <dgm:pt modelId="{209F4FE5-7545-474C-A12F-B61E24BF3255}">
      <dgm:prSet phldrT="[Text]" custT="1"/>
      <dgm:spPr>
        <a:xfrm>
          <a:off x="1736439" y="356402"/>
          <a:ext cx="602998" cy="241199"/>
        </a:xfrm>
        <a:solidFill>
          <a:srgbClr val="BD2A33">
            <a:alpha val="60000"/>
          </a:srgbClr>
        </a:solidFill>
        <a:ln w="12700" cap="flat" cmpd="sng" algn="ctr">
          <a:noFill/>
          <a:prstDash val="solid"/>
          <a:miter lim="800000"/>
        </a:ln>
        <a:effectLst/>
      </dgm:spPr>
      <dgm:t>
        <a:bodyPr/>
        <a:lstStyle/>
        <a:p>
          <a:r>
            <a:rPr lang="cs-CZ" sz="900" b="1">
              <a:solidFill>
                <a:schemeClr val="tx1"/>
              </a:solidFill>
              <a:latin typeface="Calibri" panose="020F0502020204030204"/>
              <a:ea typeface="+mn-ea"/>
              <a:cs typeface="+mn-cs"/>
            </a:rPr>
            <a:t>1 281,6</a:t>
          </a:r>
        </a:p>
      </dgm:t>
    </dgm:pt>
    <dgm:pt modelId="{63AD4E18-C162-4B96-9CE0-7B2422FA6253}" type="parTrans" cxnId="{68950414-8404-4C29-ACAA-54C9C6DAD015}">
      <dgm:prSet/>
      <dgm:spPr/>
      <dgm:t>
        <a:bodyPr/>
        <a:lstStyle/>
        <a:p>
          <a:endParaRPr lang="cs-CZ" sz="2400" b="1">
            <a:solidFill>
              <a:schemeClr val="tx1"/>
            </a:solidFill>
          </a:endParaRPr>
        </a:p>
      </dgm:t>
    </dgm:pt>
    <dgm:pt modelId="{365929A1-29A6-40CB-8A04-7CD33DA95ED2}" type="sibTrans" cxnId="{68950414-8404-4C29-ACAA-54C9C6DAD015}">
      <dgm:prSet/>
      <dgm:spPr/>
      <dgm:t>
        <a:bodyPr/>
        <a:lstStyle/>
        <a:p>
          <a:endParaRPr lang="cs-CZ" sz="2400" b="1">
            <a:solidFill>
              <a:schemeClr val="tx1"/>
            </a:solidFill>
          </a:endParaRPr>
        </a:p>
      </dgm:t>
    </dgm:pt>
    <dgm:pt modelId="{B7AB5797-52D3-4168-94E9-B5B272FA6C3D}">
      <dgm:prSet phldrT="[Text]" custT="1"/>
      <dgm:spPr>
        <a:xfrm>
          <a:off x="1736439" y="687688"/>
          <a:ext cx="602998" cy="241199"/>
        </a:xfrm>
        <a:solidFill>
          <a:srgbClr val="004595">
            <a:alpha val="6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1 071,5</a:t>
          </a:r>
        </a:p>
      </dgm:t>
    </dgm:pt>
    <dgm:pt modelId="{481AFC01-99CA-46E0-87DB-7575ED20FCFD}" type="parTrans" cxnId="{1E8F49F5-B1EF-4DD8-92A0-160CF075C052}">
      <dgm:prSet/>
      <dgm:spPr/>
      <dgm:t>
        <a:bodyPr/>
        <a:lstStyle/>
        <a:p>
          <a:endParaRPr lang="cs-CZ" sz="2400" b="1">
            <a:solidFill>
              <a:schemeClr val="tx1"/>
            </a:solidFill>
          </a:endParaRPr>
        </a:p>
      </dgm:t>
    </dgm:pt>
    <dgm:pt modelId="{AB6F074E-C192-402C-B1F8-7A5A7BBE2373}" type="sibTrans" cxnId="{1E8F49F5-B1EF-4DD8-92A0-160CF075C052}">
      <dgm:prSet/>
      <dgm:spPr/>
      <dgm:t>
        <a:bodyPr/>
        <a:lstStyle/>
        <a:p>
          <a:endParaRPr lang="cs-CZ" sz="2400" b="1">
            <a:solidFill>
              <a:schemeClr val="tx1"/>
            </a:solidFill>
          </a:endParaRPr>
        </a:p>
      </dgm:t>
    </dgm:pt>
    <dgm:pt modelId="{3B04C11E-1E1D-4B33-905E-D561049DA493}">
      <dgm:prSet phldrT="[Text]" custT="1"/>
      <dgm:spPr>
        <a:xfrm>
          <a:off x="699282" y="687688"/>
          <a:ext cx="602998" cy="241199"/>
        </a:xfrm>
        <a:solidFill>
          <a:srgbClr val="004595">
            <a:alpha val="2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952,5</a:t>
          </a:r>
        </a:p>
      </dgm:t>
    </dgm:pt>
    <dgm:pt modelId="{9A5D6920-F92B-401E-8ABC-E4BDCB79BFC4}" type="parTrans" cxnId="{310A3113-A0E8-4F71-BAB5-F6696697AF1D}">
      <dgm:prSet/>
      <dgm:spPr/>
      <dgm:t>
        <a:bodyPr/>
        <a:lstStyle/>
        <a:p>
          <a:endParaRPr lang="cs-CZ" sz="2400" b="1">
            <a:solidFill>
              <a:schemeClr val="tx1"/>
            </a:solidFill>
          </a:endParaRPr>
        </a:p>
      </dgm:t>
    </dgm:pt>
    <dgm:pt modelId="{1C6F6D06-2691-49C6-9ECD-584EE3F45D1E}" type="sibTrans" cxnId="{310A3113-A0E8-4F71-BAB5-F6696697AF1D}">
      <dgm:prSet/>
      <dgm:spPr/>
      <dgm:t>
        <a:bodyPr/>
        <a:lstStyle/>
        <a:p>
          <a:endParaRPr lang="cs-CZ" sz="2400" b="1">
            <a:solidFill>
              <a:schemeClr val="tx1"/>
            </a:solidFill>
          </a:endParaRPr>
        </a:p>
      </dgm:t>
    </dgm:pt>
    <dgm:pt modelId="{6CC8CB00-F4BD-4923-B21D-476D50CE4744}">
      <dgm:prSet phldrT="[Text]" custT="1"/>
      <dgm:spPr>
        <a:xfrm>
          <a:off x="1217861" y="687688"/>
          <a:ext cx="602998" cy="241199"/>
        </a:xfrm>
        <a:solidFill>
          <a:srgbClr val="004595">
            <a:alpha val="4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1 002,1</a:t>
          </a:r>
        </a:p>
      </dgm:t>
    </dgm:pt>
    <dgm:pt modelId="{3A0F8BA9-3017-44A7-92D0-493BE9266296}" type="parTrans" cxnId="{6CEAB6DC-D4C5-47A3-86E6-BEC62BA98C30}">
      <dgm:prSet/>
      <dgm:spPr/>
      <dgm:t>
        <a:bodyPr/>
        <a:lstStyle/>
        <a:p>
          <a:endParaRPr lang="cs-CZ" sz="2400" b="1">
            <a:solidFill>
              <a:schemeClr val="tx1"/>
            </a:solidFill>
          </a:endParaRPr>
        </a:p>
      </dgm:t>
    </dgm:pt>
    <dgm:pt modelId="{58CCD390-3616-4FCE-96E5-24C51DBD1F9B}" type="sibTrans" cxnId="{6CEAB6DC-D4C5-47A3-86E6-BEC62BA98C30}">
      <dgm:prSet/>
      <dgm:spPr/>
      <dgm:t>
        <a:bodyPr/>
        <a:lstStyle/>
        <a:p>
          <a:endParaRPr lang="cs-CZ" sz="2400" b="1">
            <a:solidFill>
              <a:schemeClr val="tx1"/>
            </a:solidFill>
          </a:endParaRPr>
        </a:p>
      </dgm:t>
    </dgm:pt>
    <dgm:pt modelId="{F3284C33-24B6-4B66-B189-2B622835057C}">
      <dgm:prSet phldrT="[Text]" custT="1"/>
      <dgm:spPr>
        <a:xfrm>
          <a:off x="699282" y="1681546"/>
          <a:ext cx="602998" cy="241199"/>
        </a:xfrm>
        <a:solidFill>
          <a:srgbClr val="004595">
            <a:alpha val="2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134,4</a:t>
          </a:r>
        </a:p>
      </dgm:t>
    </dgm:pt>
    <dgm:pt modelId="{8AFE330C-98CA-4AD3-AE7A-768557BEFE65}" type="parTrans" cxnId="{B59E9779-8FEE-4F05-8ED6-4E564D7FBC08}">
      <dgm:prSet/>
      <dgm:spPr/>
      <dgm:t>
        <a:bodyPr/>
        <a:lstStyle/>
        <a:p>
          <a:endParaRPr lang="cs-CZ" sz="2400" b="1">
            <a:solidFill>
              <a:schemeClr val="tx1"/>
            </a:solidFill>
          </a:endParaRPr>
        </a:p>
      </dgm:t>
    </dgm:pt>
    <dgm:pt modelId="{EA202FD0-9207-43E4-A75C-CF84D2DFCF32}" type="sibTrans" cxnId="{B59E9779-8FEE-4F05-8ED6-4E564D7FBC08}">
      <dgm:prSet/>
      <dgm:spPr/>
      <dgm:t>
        <a:bodyPr/>
        <a:lstStyle/>
        <a:p>
          <a:endParaRPr lang="cs-CZ" sz="2400" b="1">
            <a:solidFill>
              <a:schemeClr val="tx1"/>
            </a:solidFill>
          </a:endParaRPr>
        </a:p>
      </dgm:t>
    </dgm:pt>
    <dgm:pt modelId="{5E1DDC45-BB69-45B2-AB77-187440A26013}">
      <dgm:prSet phldrT="[Text]" custT="1"/>
      <dgm:spPr>
        <a:xfrm>
          <a:off x="67223" y="1656844"/>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800" b="1">
              <a:solidFill>
                <a:schemeClr val="tx1"/>
              </a:solidFill>
              <a:latin typeface="Calibri" panose="020F0502020204030204"/>
              <a:ea typeface="+mn-ea"/>
              <a:cs typeface="+mn-cs"/>
            </a:rPr>
            <a:t>Přijaté transfery</a:t>
          </a:r>
        </a:p>
      </dgm:t>
    </dgm:pt>
    <dgm:pt modelId="{6D6EEDE8-D2E9-4960-860F-9A823AF410E4}" type="parTrans" cxnId="{D76FD38C-B70D-4BE9-8F04-A1BA63113E06}">
      <dgm:prSet/>
      <dgm:spPr/>
      <dgm:t>
        <a:bodyPr/>
        <a:lstStyle/>
        <a:p>
          <a:endParaRPr lang="cs-CZ" sz="2400" b="1">
            <a:solidFill>
              <a:schemeClr val="tx1"/>
            </a:solidFill>
          </a:endParaRPr>
        </a:p>
      </dgm:t>
    </dgm:pt>
    <dgm:pt modelId="{BFA40536-BA00-4246-8051-EC1809A8D0E2}" type="sibTrans" cxnId="{D76FD38C-B70D-4BE9-8F04-A1BA63113E06}">
      <dgm:prSet/>
      <dgm:spPr/>
      <dgm:t>
        <a:bodyPr/>
        <a:lstStyle/>
        <a:p>
          <a:endParaRPr lang="cs-CZ" sz="2400" b="1">
            <a:solidFill>
              <a:schemeClr val="tx1"/>
            </a:solidFill>
          </a:endParaRPr>
        </a:p>
      </dgm:t>
    </dgm:pt>
    <dgm:pt modelId="{FEA4DDB3-3A97-44AC-828D-91A1B7C2F815}">
      <dgm:prSet phldrT="[Text]" custT="1"/>
      <dgm:spPr>
        <a:xfrm>
          <a:off x="2773597" y="687688"/>
          <a:ext cx="602998" cy="241199"/>
        </a:xfrm>
        <a:solidFill>
          <a:srgbClr val="004595"/>
        </a:solidFill>
        <a:ln w="12700" cap="flat" cmpd="sng" algn="ctr">
          <a:noFill/>
          <a:prstDash val="solid"/>
          <a:miter lim="800000"/>
        </a:ln>
        <a:effectLst/>
      </dgm:spPr>
      <dgm:t>
        <a:bodyPr/>
        <a:lstStyle/>
        <a:p>
          <a:r>
            <a:rPr lang="cs-CZ" sz="800" b="1">
              <a:solidFill>
                <a:schemeClr val="bg1"/>
              </a:solidFill>
              <a:latin typeface="Calibri" panose="020F0502020204030204"/>
              <a:ea typeface="+mn-ea"/>
              <a:cs typeface="+mn-cs"/>
            </a:rPr>
            <a:t>1 240,4</a:t>
          </a:r>
        </a:p>
      </dgm:t>
    </dgm:pt>
    <dgm:pt modelId="{30C3A696-7896-4142-98B8-911DAA51A0C2}" type="parTrans" cxnId="{BD1F13C6-0963-459B-B4C1-46A35A1AF419}">
      <dgm:prSet/>
      <dgm:spPr/>
      <dgm:t>
        <a:bodyPr/>
        <a:lstStyle/>
        <a:p>
          <a:endParaRPr lang="cs-CZ" sz="2400" b="1">
            <a:solidFill>
              <a:schemeClr val="tx1"/>
            </a:solidFill>
          </a:endParaRPr>
        </a:p>
      </dgm:t>
    </dgm:pt>
    <dgm:pt modelId="{A392C771-08EA-4F6A-B577-51DE6D88CA16}" type="sibTrans" cxnId="{BD1F13C6-0963-459B-B4C1-46A35A1AF419}">
      <dgm:prSet/>
      <dgm:spPr/>
      <dgm:t>
        <a:bodyPr/>
        <a:lstStyle/>
        <a:p>
          <a:endParaRPr lang="cs-CZ" sz="2400" b="1">
            <a:solidFill>
              <a:schemeClr val="tx1"/>
            </a:solidFill>
          </a:endParaRPr>
        </a:p>
      </dgm:t>
    </dgm:pt>
    <dgm:pt modelId="{D83646A4-A7B1-4063-96EE-F494AE1354F3}">
      <dgm:prSet phldrT="[Text]" custT="1"/>
      <dgm:spPr>
        <a:xfrm>
          <a:off x="2255018" y="687688"/>
          <a:ext cx="602998" cy="241199"/>
        </a:xfrm>
        <a:solidFill>
          <a:srgbClr val="004595">
            <a:alpha val="8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1 155,6</a:t>
          </a:r>
        </a:p>
      </dgm:t>
    </dgm:pt>
    <dgm:pt modelId="{8E629B7D-0666-4E55-A6F7-0D502A314A0E}" type="parTrans" cxnId="{7E4DF2E4-B591-466C-A14D-9B687B7A49BF}">
      <dgm:prSet/>
      <dgm:spPr/>
      <dgm:t>
        <a:bodyPr/>
        <a:lstStyle/>
        <a:p>
          <a:endParaRPr lang="cs-CZ" sz="2400" b="1">
            <a:solidFill>
              <a:schemeClr val="tx1"/>
            </a:solidFill>
          </a:endParaRPr>
        </a:p>
      </dgm:t>
    </dgm:pt>
    <dgm:pt modelId="{CCD5F0B8-6925-4DD9-AEB0-82326B9BC3C4}" type="sibTrans" cxnId="{7E4DF2E4-B591-466C-A14D-9B687B7A49BF}">
      <dgm:prSet/>
      <dgm:spPr/>
      <dgm:t>
        <a:bodyPr/>
        <a:lstStyle/>
        <a:p>
          <a:endParaRPr lang="cs-CZ" sz="2400" b="1">
            <a:solidFill>
              <a:schemeClr val="tx1"/>
            </a:solidFill>
          </a:endParaRPr>
        </a:p>
      </dgm:t>
    </dgm:pt>
    <dgm:pt modelId="{5C86C45D-0504-41F5-9ED8-B8588DC4BB71}">
      <dgm:prSet phldrT="[Text]" custT="1"/>
      <dgm:spPr>
        <a:xfrm>
          <a:off x="67223" y="994273"/>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800" b="1">
              <a:solidFill>
                <a:schemeClr val="tx1"/>
              </a:solidFill>
              <a:latin typeface="Calibri" panose="020F0502020204030204"/>
              <a:ea typeface="+mn-ea"/>
              <a:cs typeface="+mn-cs"/>
            </a:rPr>
            <a:t>Nedaňové příjmy</a:t>
          </a:r>
        </a:p>
      </dgm:t>
    </dgm:pt>
    <dgm:pt modelId="{958CFC62-690E-4A69-9661-5397DCEA31BF}" type="parTrans" cxnId="{FAB24F56-6565-450D-B1E9-FF353CA1B578}">
      <dgm:prSet/>
      <dgm:spPr/>
      <dgm:t>
        <a:bodyPr/>
        <a:lstStyle/>
        <a:p>
          <a:endParaRPr lang="cs-CZ" sz="2400" b="1">
            <a:solidFill>
              <a:schemeClr val="tx1"/>
            </a:solidFill>
          </a:endParaRPr>
        </a:p>
      </dgm:t>
    </dgm:pt>
    <dgm:pt modelId="{66C83E80-71BF-41C0-B162-00C0E2E64806}" type="sibTrans" cxnId="{FAB24F56-6565-450D-B1E9-FF353CA1B578}">
      <dgm:prSet/>
      <dgm:spPr/>
      <dgm:t>
        <a:bodyPr/>
        <a:lstStyle/>
        <a:p>
          <a:endParaRPr lang="cs-CZ" sz="2400" b="1">
            <a:solidFill>
              <a:schemeClr val="tx1"/>
            </a:solidFill>
          </a:endParaRPr>
        </a:p>
      </dgm:t>
    </dgm:pt>
    <dgm:pt modelId="{62A6766A-7015-4663-8F88-379392C1BE11}">
      <dgm:prSet phldrT="[Text]" custT="1"/>
      <dgm:spPr>
        <a:xfrm>
          <a:off x="2773597" y="356402"/>
          <a:ext cx="602998" cy="241199"/>
        </a:xfrm>
        <a:solidFill>
          <a:srgbClr val="BD2A33"/>
        </a:solidFill>
        <a:ln w="12700" cap="flat" cmpd="sng" algn="ctr">
          <a:noFill/>
          <a:prstDash val="solid"/>
          <a:miter lim="800000"/>
        </a:ln>
        <a:effectLst/>
      </dgm:spPr>
      <dgm:t>
        <a:bodyPr/>
        <a:lstStyle/>
        <a:p>
          <a:r>
            <a:rPr lang="cs-CZ" sz="900" b="1">
              <a:solidFill>
                <a:schemeClr val="bg1"/>
              </a:solidFill>
              <a:latin typeface="Calibri" panose="020F0502020204030204"/>
              <a:ea typeface="+mn-ea"/>
              <a:cs typeface="+mn-cs"/>
            </a:rPr>
            <a:t>1 403,9</a:t>
          </a:r>
        </a:p>
      </dgm:t>
    </dgm:pt>
    <dgm:pt modelId="{A6578421-CDAE-4169-BBBB-C5D113A31D27}" type="parTrans" cxnId="{C286652C-92D4-4C9C-9D35-5919CAAAAAD2}">
      <dgm:prSet/>
      <dgm:spPr/>
      <dgm:t>
        <a:bodyPr/>
        <a:lstStyle/>
        <a:p>
          <a:endParaRPr lang="cs-CZ" sz="2400" b="1">
            <a:solidFill>
              <a:schemeClr val="tx1"/>
            </a:solidFill>
          </a:endParaRPr>
        </a:p>
      </dgm:t>
    </dgm:pt>
    <dgm:pt modelId="{F2D2666E-A48C-4B56-8FCA-BC93C49761A9}" type="sibTrans" cxnId="{C286652C-92D4-4C9C-9D35-5919CAAAAAD2}">
      <dgm:prSet/>
      <dgm:spPr/>
      <dgm:t>
        <a:bodyPr/>
        <a:lstStyle/>
        <a:p>
          <a:endParaRPr lang="cs-CZ" sz="2400" b="1">
            <a:solidFill>
              <a:schemeClr val="tx1"/>
            </a:solidFill>
          </a:endParaRPr>
        </a:p>
      </dgm:t>
    </dgm:pt>
    <dgm:pt modelId="{0FD9EDD5-D66F-4DBF-9BBC-F557C161D16F}">
      <dgm:prSet phldrT="[Text]" custT="1"/>
      <dgm:spPr>
        <a:xfrm>
          <a:off x="3292175" y="356402"/>
          <a:ext cx="602998" cy="241199"/>
        </a:xfrm>
        <a:solidFill>
          <a:srgbClr val="C3C5C6">
            <a:alpha val="89804"/>
          </a:srgbClr>
        </a:solidFill>
        <a:ln w="12700" cap="flat" cmpd="sng" algn="ctr">
          <a:noFill/>
          <a:prstDash val="solid"/>
          <a:miter lim="800000"/>
        </a:ln>
        <a:effectLst/>
      </dgm:spPr>
      <dgm:t>
        <a:bodyPr/>
        <a:lstStyle/>
        <a:p>
          <a:r>
            <a:rPr lang="cs-CZ" sz="900" b="1">
              <a:solidFill>
                <a:schemeClr val="tx1"/>
              </a:solidFill>
              <a:latin typeface="Calibri" panose="020F0502020204030204"/>
              <a:ea typeface="+mn-ea"/>
              <a:cs typeface="+mn-cs"/>
            </a:rPr>
            <a:t>130,3</a:t>
          </a:r>
        </a:p>
      </dgm:t>
    </dgm:pt>
    <dgm:pt modelId="{5B66ACB1-D36E-4B3D-8D5E-050A802E2EEE}" type="parTrans" cxnId="{BF446106-2748-465C-82A9-5AB1C93995B0}">
      <dgm:prSet/>
      <dgm:spPr/>
      <dgm:t>
        <a:bodyPr/>
        <a:lstStyle/>
        <a:p>
          <a:endParaRPr lang="cs-CZ" sz="2400" b="1">
            <a:solidFill>
              <a:schemeClr val="tx1"/>
            </a:solidFill>
          </a:endParaRPr>
        </a:p>
      </dgm:t>
    </dgm:pt>
    <dgm:pt modelId="{918144D0-6648-46AE-8155-2887C7596364}" type="sibTrans" cxnId="{BF446106-2748-465C-82A9-5AB1C93995B0}">
      <dgm:prSet/>
      <dgm:spPr/>
      <dgm:t>
        <a:bodyPr/>
        <a:lstStyle/>
        <a:p>
          <a:endParaRPr lang="cs-CZ" sz="2400" b="1">
            <a:solidFill>
              <a:schemeClr val="tx1"/>
            </a:solidFill>
          </a:endParaRPr>
        </a:p>
      </dgm:t>
    </dgm:pt>
    <dgm:pt modelId="{B56FF771-0284-45CC-BEB5-0F13737F543B}">
      <dgm:prSet phldrT="[Text]" custT="1"/>
      <dgm:spPr>
        <a:xfrm>
          <a:off x="3292175" y="687688"/>
          <a:ext cx="602998" cy="241199"/>
        </a:xfrm>
        <a:solidFill>
          <a:srgbClr val="C3C5C6">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84,8</a:t>
          </a:r>
        </a:p>
      </dgm:t>
    </dgm:pt>
    <dgm:pt modelId="{F2722C6C-F3DC-46AB-9DAF-1C1E74197FB1}" type="parTrans" cxnId="{BDE4C5AD-FA79-48AC-B2D5-CFCDEF48DF44}">
      <dgm:prSet/>
      <dgm:spPr/>
      <dgm:t>
        <a:bodyPr/>
        <a:lstStyle/>
        <a:p>
          <a:endParaRPr lang="cs-CZ" sz="2400" b="1">
            <a:solidFill>
              <a:schemeClr val="tx1"/>
            </a:solidFill>
          </a:endParaRPr>
        </a:p>
      </dgm:t>
    </dgm:pt>
    <dgm:pt modelId="{5906F1DB-1147-4252-9733-DD3E465D39BC}" type="sibTrans" cxnId="{BDE4C5AD-FA79-48AC-B2D5-CFCDEF48DF44}">
      <dgm:prSet/>
      <dgm:spPr/>
      <dgm:t>
        <a:bodyPr/>
        <a:lstStyle/>
        <a:p>
          <a:endParaRPr lang="cs-CZ" sz="2400" b="1">
            <a:solidFill>
              <a:schemeClr val="tx1"/>
            </a:solidFill>
          </a:endParaRPr>
        </a:p>
      </dgm:t>
    </dgm:pt>
    <dgm:pt modelId="{CB9AED34-48FE-4838-9BE2-47F194315E75}">
      <dgm:prSet phldrT="[Text]" custT="1"/>
      <dgm:spPr>
        <a:xfrm>
          <a:off x="699282" y="1350260"/>
          <a:ext cx="602998" cy="241199"/>
        </a:xfrm>
        <a:solidFill>
          <a:srgbClr val="004595">
            <a:alpha val="2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4,9</a:t>
          </a:r>
        </a:p>
      </dgm:t>
    </dgm:pt>
    <dgm:pt modelId="{FB5DDF3B-026B-42DB-9E42-2EFF000CA664}" type="parTrans" cxnId="{9E7E485C-927F-486B-B270-4BCA96D1580B}">
      <dgm:prSet/>
      <dgm:spPr/>
      <dgm:t>
        <a:bodyPr/>
        <a:lstStyle/>
        <a:p>
          <a:endParaRPr lang="cs-CZ" sz="2400" b="1">
            <a:solidFill>
              <a:schemeClr val="tx1"/>
            </a:solidFill>
          </a:endParaRPr>
        </a:p>
      </dgm:t>
    </dgm:pt>
    <dgm:pt modelId="{0A5E7085-385E-4424-A15C-F11183ECD8D1}" type="sibTrans" cxnId="{9E7E485C-927F-486B-B270-4BCA96D1580B}">
      <dgm:prSet/>
      <dgm:spPr/>
      <dgm:t>
        <a:bodyPr/>
        <a:lstStyle/>
        <a:p>
          <a:endParaRPr lang="cs-CZ" sz="2400" b="1">
            <a:solidFill>
              <a:schemeClr val="tx1"/>
            </a:solidFill>
          </a:endParaRPr>
        </a:p>
      </dgm:t>
    </dgm:pt>
    <dgm:pt modelId="{254C9866-5F23-40FC-B5EF-776D5B090C45}">
      <dgm:prSet phldrT="[Text]" custT="1"/>
      <dgm:spPr>
        <a:xfrm>
          <a:off x="67223" y="1325558"/>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800" b="1">
              <a:solidFill>
                <a:schemeClr val="tx1"/>
              </a:solidFill>
              <a:latin typeface="Calibri" panose="020F0502020204030204"/>
              <a:ea typeface="+mn-ea"/>
              <a:cs typeface="+mn-cs"/>
            </a:rPr>
            <a:t>Kapitálové příjmy</a:t>
          </a:r>
        </a:p>
      </dgm:t>
    </dgm:pt>
    <dgm:pt modelId="{56A030EF-FD75-422E-B94B-F40DC0C92F11}" type="parTrans" cxnId="{6A3BFFDA-A59C-4C94-BAE6-6ADC8F76C7F4}">
      <dgm:prSet/>
      <dgm:spPr/>
      <dgm:t>
        <a:bodyPr/>
        <a:lstStyle/>
        <a:p>
          <a:endParaRPr lang="cs-CZ" sz="2400" b="1">
            <a:solidFill>
              <a:schemeClr val="tx1"/>
            </a:solidFill>
          </a:endParaRPr>
        </a:p>
      </dgm:t>
    </dgm:pt>
    <dgm:pt modelId="{193CBE89-BDA9-41A9-A445-CC6B818C72B2}" type="sibTrans" cxnId="{6A3BFFDA-A59C-4C94-BAE6-6ADC8F76C7F4}">
      <dgm:prSet/>
      <dgm:spPr/>
      <dgm:t>
        <a:bodyPr/>
        <a:lstStyle/>
        <a:p>
          <a:endParaRPr lang="cs-CZ" sz="2400" b="1">
            <a:solidFill>
              <a:schemeClr val="tx1"/>
            </a:solidFill>
          </a:endParaRPr>
        </a:p>
      </dgm:t>
    </dgm:pt>
    <dgm:pt modelId="{8C82CBD6-9B91-494C-B5BE-A24E7DAC987A}">
      <dgm:prSet phldrT="[Text]" custT="1"/>
      <dgm:spPr>
        <a:xfrm>
          <a:off x="699282" y="1018974"/>
          <a:ext cx="602998" cy="241199"/>
        </a:xfrm>
        <a:solidFill>
          <a:srgbClr val="004595">
            <a:alpha val="2000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cs-CZ" sz="800" b="1">
              <a:solidFill>
                <a:schemeClr val="tx1"/>
              </a:solidFill>
              <a:latin typeface="Calibri" panose="020F0502020204030204"/>
              <a:ea typeface="+mn-ea"/>
              <a:cs typeface="+mn-cs"/>
            </a:rPr>
            <a:t>42,0</a:t>
          </a:r>
        </a:p>
      </dgm:t>
    </dgm:pt>
    <dgm:pt modelId="{F992937B-D676-4E14-883A-7DE4DC15F33C}" type="parTrans" cxnId="{E4FC23FD-1C6E-4B34-92DC-11761E205FF0}">
      <dgm:prSet/>
      <dgm:spPr/>
      <dgm:t>
        <a:bodyPr/>
        <a:lstStyle/>
        <a:p>
          <a:endParaRPr lang="cs-CZ" sz="2400" b="1">
            <a:solidFill>
              <a:schemeClr val="tx1"/>
            </a:solidFill>
          </a:endParaRPr>
        </a:p>
      </dgm:t>
    </dgm:pt>
    <dgm:pt modelId="{D500B32E-0679-4C74-9104-62736048009E}" type="sibTrans" cxnId="{E4FC23FD-1C6E-4B34-92DC-11761E205FF0}">
      <dgm:prSet/>
      <dgm:spPr/>
      <dgm:t>
        <a:bodyPr/>
        <a:lstStyle/>
        <a:p>
          <a:endParaRPr lang="cs-CZ" sz="2400" b="1">
            <a:solidFill>
              <a:schemeClr val="tx1"/>
            </a:solidFill>
          </a:endParaRPr>
        </a:p>
      </dgm:t>
    </dgm:pt>
    <dgm:pt modelId="{F23B00AF-5335-4B06-B9E0-C407B399300E}">
      <dgm:prSet phldrT="[Text]" custT="1"/>
      <dgm:spPr>
        <a:xfrm>
          <a:off x="1217861" y="1018974"/>
          <a:ext cx="602998" cy="241199"/>
        </a:xfrm>
        <a:solidFill>
          <a:srgbClr val="004595">
            <a:alpha val="4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38,6</a:t>
          </a:r>
        </a:p>
      </dgm:t>
    </dgm:pt>
    <dgm:pt modelId="{4D263FDF-B3C7-4003-9A94-D213C7AE82CA}" type="parTrans" cxnId="{C679B2AC-5D46-4842-A9A8-65991FDCF730}">
      <dgm:prSet/>
      <dgm:spPr/>
      <dgm:t>
        <a:bodyPr/>
        <a:lstStyle/>
        <a:p>
          <a:endParaRPr lang="cs-CZ" sz="2400" b="1">
            <a:solidFill>
              <a:schemeClr val="tx1"/>
            </a:solidFill>
          </a:endParaRPr>
        </a:p>
      </dgm:t>
    </dgm:pt>
    <dgm:pt modelId="{9479A454-AB9D-4130-A99D-BBA20460FA4A}" type="sibTrans" cxnId="{C679B2AC-5D46-4842-A9A8-65991FDCF730}">
      <dgm:prSet/>
      <dgm:spPr/>
      <dgm:t>
        <a:bodyPr/>
        <a:lstStyle/>
        <a:p>
          <a:endParaRPr lang="cs-CZ" sz="2400" b="1">
            <a:solidFill>
              <a:schemeClr val="tx1"/>
            </a:solidFill>
          </a:endParaRPr>
        </a:p>
      </dgm:t>
    </dgm:pt>
    <dgm:pt modelId="{25F081A6-E845-4409-887B-05E369030AE7}">
      <dgm:prSet phldrT="[Text]" custT="1"/>
      <dgm:spPr>
        <a:xfrm>
          <a:off x="1736439" y="1018974"/>
          <a:ext cx="602998" cy="241199"/>
        </a:xfrm>
        <a:solidFill>
          <a:srgbClr val="004595">
            <a:alpha val="6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33,9</a:t>
          </a:r>
        </a:p>
      </dgm:t>
    </dgm:pt>
    <dgm:pt modelId="{788DD0A1-8EE1-41D8-B087-36D8BF896EA8}" type="parTrans" cxnId="{5CADA5D1-8101-4106-AB4B-B56D02493082}">
      <dgm:prSet/>
      <dgm:spPr/>
      <dgm:t>
        <a:bodyPr/>
        <a:lstStyle/>
        <a:p>
          <a:endParaRPr lang="cs-CZ" sz="2400" b="1">
            <a:solidFill>
              <a:schemeClr val="tx1"/>
            </a:solidFill>
          </a:endParaRPr>
        </a:p>
      </dgm:t>
    </dgm:pt>
    <dgm:pt modelId="{57FA23F5-AAC5-4EF6-817D-4976FD6CF51E}" type="sibTrans" cxnId="{5CADA5D1-8101-4106-AB4B-B56D02493082}">
      <dgm:prSet/>
      <dgm:spPr/>
      <dgm:t>
        <a:bodyPr/>
        <a:lstStyle/>
        <a:p>
          <a:endParaRPr lang="cs-CZ" sz="2400" b="1">
            <a:solidFill>
              <a:schemeClr val="tx1"/>
            </a:solidFill>
          </a:endParaRPr>
        </a:p>
      </dgm:t>
    </dgm:pt>
    <dgm:pt modelId="{A107A654-54F0-418A-AAED-D6694D3FF9AE}">
      <dgm:prSet phldrT="[Text]" custT="1"/>
      <dgm:spPr>
        <a:xfrm>
          <a:off x="2255018" y="1018974"/>
          <a:ext cx="602998" cy="241199"/>
        </a:xfrm>
        <a:solidFill>
          <a:srgbClr val="004595">
            <a:alpha val="8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24,4</a:t>
          </a:r>
        </a:p>
      </dgm:t>
    </dgm:pt>
    <dgm:pt modelId="{07A7D715-E3B4-42E9-A1E1-55E6AE08A9D2}" type="parTrans" cxnId="{904960D1-1AAD-4FEA-A610-B5320936AEBF}">
      <dgm:prSet/>
      <dgm:spPr/>
      <dgm:t>
        <a:bodyPr/>
        <a:lstStyle/>
        <a:p>
          <a:endParaRPr lang="cs-CZ" sz="2400" b="1">
            <a:solidFill>
              <a:schemeClr val="tx1"/>
            </a:solidFill>
          </a:endParaRPr>
        </a:p>
      </dgm:t>
    </dgm:pt>
    <dgm:pt modelId="{2EFF7EC7-9DD7-4E89-B36E-9B6DDE8DE8E8}" type="sibTrans" cxnId="{904960D1-1AAD-4FEA-A610-B5320936AEBF}">
      <dgm:prSet/>
      <dgm:spPr/>
      <dgm:t>
        <a:bodyPr/>
        <a:lstStyle/>
        <a:p>
          <a:endParaRPr lang="cs-CZ" sz="2400" b="1">
            <a:solidFill>
              <a:schemeClr val="tx1"/>
            </a:solidFill>
          </a:endParaRPr>
        </a:p>
      </dgm:t>
    </dgm:pt>
    <dgm:pt modelId="{6FF2215A-98C9-46E9-9B44-A4318822E1FF}">
      <dgm:prSet phldrT="[Text]" custT="1"/>
      <dgm:spPr>
        <a:xfrm>
          <a:off x="2773597" y="1018974"/>
          <a:ext cx="602998" cy="241199"/>
        </a:xfrm>
        <a:solidFill>
          <a:srgbClr val="004595"/>
        </a:solidFill>
        <a:ln w="12700" cap="flat" cmpd="sng" algn="ctr">
          <a:noFill/>
          <a:prstDash val="solid"/>
          <a:miter lim="800000"/>
        </a:ln>
        <a:effectLst/>
      </dgm:spPr>
      <dgm:t>
        <a:bodyPr/>
        <a:lstStyle/>
        <a:p>
          <a:r>
            <a:rPr lang="cs-CZ" sz="800" b="1">
              <a:solidFill>
                <a:schemeClr val="bg1"/>
              </a:solidFill>
              <a:latin typeface="Calibri" panose="020F0502020204030204"/>
              <a:ea typeface="+mn-ea"/>
              <a:cs typeface="+mn-cs"/>
            </a:rPr>
            <a:t>23,5</a:t>
          </a:r>
        </a:p>
      </dgm:t>
    </dgm:pt>
    <dgm:pt modelId="{5AD1B92A-4001-4268-8D70-1A396F83A308}" type="parTrans" cxnId="{B537E768-1179-43D6-9D74-C847D16AF998}">
      <dgm:prSet/>
      <dgm:spPr/>
      <dgm:t>
        <a:bodyPr/>
        <a:lstStyle/>
        <a:p>
          <a:endParaRPr lang="cs-CZ" sz="2400" b="1">
            <a:solidFill>
              <a:schemeClr val="tx1"/>
            </a:solidFill>
          </a:endParaRPr>
        </a:p>
      </dgm:t>
    </dgm:pt>
    <dgm:pt modelId="{C28617C6-CB83-42F9-9DC7-65202EACE19E}" type="sibTrans" cxnId="{B537E768-1179-43D6-9D74-C847D16AF998}">
      <dgm:prSet/>
      <dgm:spPr/>
      <dgm:t>
        <a:bodyPr/>
        <a:lstStyle/>
        <a:p>
          <a:endParaRPr lang="cs-CZ" sz="2400" b="1">
            <a:solidFill>
              <a:schemeClr val="tx1"/>
            </a:solidFill>
          </a:endParaRPr>
        </a:p>
      </dgm:t>
    </dgm:pt>
    <dgm:pt modelId="{93447B53-24D9-4435-9944-0A8CE12A31FD}">
      <dgm:prSet phldrT="[Text]" custT="1"/>
      <dgm:spPr>
        <a:xfrm>
          <a:off x="3292175" y="1018974"/>
          <a:ext cx="602998" cy="241199"/>
        </a:xfrm>
        <a:solidFill>
          <a:srgbClr val="C3C5C6">
            <a:alpha val="90000"/>
          </a:srgbClr>
        </a:solidFill>
        <a:ln w="12700" cap="flat" cmpd="sng" algn="ctr">
          <a:noFill/>
          <a:prstDash val="solid"/>
          <a:miter lim="800000"/>
        </a:ln>
        <a:effectLst/>
      </dgm:spPr>
      <dgm:t>
        <a:bodyPr/>
        <a:lstStyle/>
        <a:p>
          <a:r>
            <a:rPr lang="cs-CZ" sz="800" b="1">
              <a:solidFill>
                <a:srgbClr val="FF0000"/>
              </a:solidFill>
              <a:latin typeface="+mn-lt"/>
            </a:rPr>
            <a:t>–</a:t>
          </a:r>
          <a:r>
            <a:rPr lang="cs-CZ" sz="800" b="1">
              <a:solidFill>
                <a:srgbClr val="FF0000"/>
              </a:solidFill>
              <a:latin typeface="+mn-lt"/>
              <a:ea typeface="+mn-ea"/>
              <a:cs typeface="+mn-cs"/>
            </a:rPr>
            <a:t>0,9</a:t>
          </a:r>
        </a:p>
      </dgm:t>
    </dgm:pt>
    <dgm:pt modelId="{09123B89-1F8B-4854-979E-0A5C277A87A8}" type="parTrans" cxnId="{2CBF76AB-21EC-41A9-91C9-AE76936A02E4}">
      <dgm:prSet/>
      <dgm:spPr/>
      <dgm:t>
        <a:bodyPr/>
        <a:lstStyle/>
        <a:p>
          <a:endParaRPr lang="cs-CZ" sz="2400" b="1">
            <a:solidFill>
              <a:schemeClr val="tx1"/>
            </a:solidFill>
          </a:endParaRPr>
        </a:p>
      </dgm:t>
    </dgm:pt>
    <dgm:pt modelId="{611625C5-F15E-4884-9C12-AA885229D3D0}" type="sibTrans" cxnId="{2CBF76AB-21EC-41A9-91C9-AE76936A02E4}">
      <dgm:prSet/>
      <dgm:spPr/>
      <dgm:t>
        <a:bodyPr/>
        <a:lstStyle/>
        <a:p>
          <a:endParaRPr lang="cs-CZ" sz="2400" b="1">
            <a:solidFill>
              <a:schemeClr val="tx1"/>
            </a:solidFill>
          </a:endParaRPr>
        </a:p>
      </dgm:t>
    </dgm:pt>
    <dgm:pt modelId="{4C18DD45-41C3-4954-8AD1-DDE473F06B57}">
      <dgm:prSet phldrT="[Text]" custT="1"/>
      <dgm:spPr>
        <a:xfrm>
          <a:off x="1217861" y="1350260"/>
          <a:ext cx="602998" cy="241199"/>
        </a:xfrm>
        <a:solidFill>
          <a:srgbClr val="004595">
            <a:alpha val="4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7,9</a:t>
          </a:r>
        </a:p>
      </dgm:t>
    </dgm:pt>
    <dgm:pt modelId="{2FB36A29-4BDE-4F9C-83AA-EDBCF52A7CA3}" type="parTrans" cxnId="{099E3F79-3B22-4617-A77A-9F556E944CE2}">
      <dgm:prSet/>
      <dgm:spPr/>
      <dgm:t>
        <a:bodyPr/>
        <a:lstStyle/>
        <a:p>
          <a:endParaRPr lang="cs-CZ" sz="2400" b="1">
            <a:solidFill>
              <a:schemeClr val="tx1"/>
            </a:solidFill>
          </a:endParaRPr>
        </a:p>
      </dgm:t>
    </dgm:pt>
    <dgm:pt modelId="{4CF4E488-48C8-41A9-B4CF-9B8299C6299D}" type="sibTrans" cxnId="{099E3F79-3B22-4617-A77A-9F556E944CE2}">
      <dgm:prSet/>
      <dgm:spPr/>
      <dgm:t>
        <a:bodyPr/>
        <a:lstStyle/>
        <a:p>
          <a:endParaRPr lang="cs-CZ" sz="2400" b="1">
            <a:solidFill>
              <a:schemeClr val="tx1"/>
            </a:solidFill>
          </a:endParaRPr>
        </a:p>
      </dgm:t>
    </dgm:pt>
    <dgm:pt modelId="{92B6C3DD-0AB7-4931-87F2-1F5F98559367}">
      <dgm:prSet phldrT="[Text]" custT="1"/>
      <dgm:spPr>
        <a:xfrm>
          <a:off x="1736439" y="1350260"/>
          <a:ext cx="602998" cy="241199"/>
        </a:xfrm>
        <a:solidFill>
          <a:srgbClr val="004595">
            <a:alpha val="6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6,5</a:t>
          </a:r>
        </a:p>
      </dgm:t>
    </dgm:pt>
    <dgm:pt modelId="{E9095294-33F4-470B-9451-DD8FDC4EA599}" type="parTrans" cxnId="{040B88BF-DE10-426A-8D6E-9F77F0AA9631}">
      <dgm:prSet/>
      <dgm:spPr/>
      <dgm:t>
        <a:bodyPr/>
        <a:lstStyle/>
        <a:p>
          <a:endParaRPr lang="cs-CZ" sz="2400" b="1">
            <a:solidFill>
              <a:schemeClr val="tx1"/>
            </a:solidFill>
          </a:endParaRPr>
        </a:p>
      </dgm:t>
    </dgm:pt>
    <dgm:pt modelId="{2FB1259C-168E-4BBF-8E85-6EED5B01B8B6}" type="sibTrans" cxnId="{040B88BF-DE10-426A-8D6E-9F77F0AA9631}">
      <dgm:prSet/>
      <dgm:spPr/>
      <dgm:t>
        <a:bodyPr/>
        <a:lstStyle/>
        <a:p>
          <a:endParaRPr lang="cs-CZ" sz="2400" b="1">
            <a:solidFill>
              <a:schemeClr val="tx1"/>
            </a:solidFill>
          </a:endParaRPr>
        </a:p>
      </dgm:t>
    </dgm:pt>
    <dgm:pt modelId="{3389A320-7E6C-4B46-9B00-35B2A44C7FDC}">
      <dgm:prSet phldrT="[Text]" custT="1"/>
      <dgm:spPr>
        <a:xfrm>
          <a:off x="2255018" y="1350260"/>
          <a:ext cx="602998" cy="241199"/>
        </a:xfrm>
        <a:solidFill>
          <a:srgbClr val="004595">
            <a:alpha val="8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8,4</a:t>
          </a:r>
        </a:p>
      </dgm:t>
    </dgm:pt>
    <dgm:pt modelId="{CDC683A9-5CEC-4DB2-9962-19EF22A8E4A0}" type="parTrans" cxnId="{EAB9C5B7-6466-4EBE-97A5-C26BEC1BA2D9}">
      <dgm:prSet/>
      <dgm:spPr/>
      <dgm:t>
        <a:bodyPr/>
        <a:lstStyle/>
        <a:p>
          <a:endParaRPr lang="cs-CZ" sz="2400" b="1">
            <a:solidFill>
              <a:schemeClr val="tx1"/>
            </a:solidFill>
          </a:endParaRPr>
        </a:p>
      </dgm:t>
    </dgm:pt>
    <dgm:pt modelId="{E8BF84B5-27DF-4935-A50F-AFDBAC5713CF}" type="sibTrans" cxnId="{EAB9C5B7-6466-4EBE-97A5-C26BEC1BA2D9}">
      <dgm:prSet/>
      <dgm:spPr/>
      <dgm:t>
        <a:bodyPr/>
        <a:lstStyle/>
        <a:p>
          <a:endParaRPr lang="cs-CZ" sz="2400" b="1">
            <a:solidFill>
              <a:schemeClr val="tx1"/>
            </a:solidFill>
          </a:endParaRPr>
        </a:p>
      </dgm:t>
    </dgm:pt>
    <dgm:pt modelId="{6083513D-45FA-4A8F-9475-B5EAA6A267B7}">
      <dgm:prSet phldrT="[Text]" custT="1"/>
      <dgm:spPr>
        <a:xfrm>
          <a:off x="2773597" y="1350260"/>
          <a:ext cx="602998" cy="241199"/>
        </a:xfrm>
        <a:solidFill>
          <a:srgbClr val="004595"/>
        </a:solidFill>
        <a:ln w="12700" cap="flat" cmpd="sng" algn="ctr">
          <a:noFill/>
          <a:prstDash val="solid"/>
          <a:miter lim="800000"/>
        </a:ln>
        <a:effectLst/>
      </dgm:spPr>
      <dgm:t>
        <a:bodyPr/>
        <a:lstStyle/>
        <a:p>
          <a:r>
            <a:rPr lang="cs-CZ" sz="800" b="1">
              <a:solidFill>
                <a:schemeClr val="bg1"/>
              </a:solidFill>
              <a:latin typeface="Calibri" panose="020F0502020204030204"/>
              <a:ea typeface="+mn-ea"/>
              <a:cs typeface="+mn-cs"/>
            </a:rPr>
            <a:t>17,6</a:t>
          </a:r>
        </a:p>
      </dgm:t>
    </dgm:pt>
    <dgm:pt modelId="{9E374857-E02F-4C34-B88E-F49E4EF97408}" type="parTrans" cxnId="{CBDD55F8-18AA-4483-9FEB-8E017BEEDF58}">
      <dgm:prSet/>
      <dgm:spPr/>
      <dgm:t>
        <a:bodyPr/>
        <a:lstStyle/>
        <a:p>
          <a:endParaRPr lang="cs-CZ" sz="2400" b="1">
            <a:solidFill>
              <a:schemeClr val="tx1"/>
            </a:solidFill>
          </a:endParaRPr>
        </a:p>
      </dgm:t>
    </dgm:pt>
    <dgm:pt modelId="{F0CD90D5-4C64-44E8-9422-91608BB3EA84}" type="sibTrans" cxnId="{CBDD55F8-18AA-4483-9FEB-8E017BEEDF58}">
      <dgm:prSet/>
      <dgm:spPr/>
      <dgm:t>
        <a:bodyPr/>
        <a:lstStyle/>
        <a:p>
          <a:endParaRPr lang="cs-CZ" sz="2400" b="1">
            <a:solidFill>
              <a:schemeClr val="tx1"/>
            </a:solidFill>
          </a:endParaRPr>
        </a:p>
      </dgm:t>
    </dgm:pt>
    <dgm:pt modelId="{47FCF111-49CF-4285-AFAC-576F75F7C461}">
      <dgm:prSet phldrT="[Text]" custT="1"/>
      <dgm:spPr>
        <a:xfrm>
          <a:off x="3292175" y="1350260"/>
          <a:ext cx="602998" cy="241199"/>
        </a:xfrm>
        <a:solidFill>
          <a:srgbClr val="C3C5C6">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9,3</a:t>
          </a:r>
        </a:p>
      </dgm:t>
    </dgm:pt>
    <dgm:pt modelId="{67321D49-F130-4C14-97D1-64EEE898CE93}" type="parTrans" cxnId="{3DFE604B-724C-4881-8744-1D358C8ADD8D}">
      <dgm:prSet/>
      <dgm:spPr/>
      <dgm:t>
        <a:bodyPr/>
        <a:lstStyle/>
        <a:p>
          <a:endParaRPr lang="cs-CZ" sz="2400" b="1">
            <a:solidFill>
              <a:schemeClr val="tx1"/>
            </a:solidFill>
          </a:endParaRPr>
        </a:p>
      </dgm:t>
    </dgm:pt>
    <dgm:pt modelId="{E9ADB847-5564-4CB9-AB89-36850ED0952A}" type="sibTrans" cxnId="{3DFE604B-724C-4881-8744-1D358C8ADD8D}">
      <dgm:prSet/>
      <dgm:spPr/>
      <dgm:t>
        <a:bodyPr/>
        <a:lstStyle/>
        <a:p>
          <a:endParaRPr lang="cs-CZ" sz="2400" b="1">
            <a:solidFill>
              <a:schemeClr val="tx1"/>
            </a:solidFill>
          </a:endParaRPr>
        </a:p>
      </dgm:t>
    </dgm:pt>
    <dgm:pt modelId="{770BAE23-BF7C-46A3-B313-EFF05E5AEF38}">
      <dgm:prSet phldrT="[Text]" custT="1"/>
      <dgm:spPr>
        <a:xfrm>
          <a:off x="1217861" y="1681546"/>
          <a:ext cx="602998" cy="241199"/>
        </a:xfrm>
        <a:solidFill>
          <a:srgbClr val="004595">
            <a:alpha val="4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185,9</a:t>
          </a:r>
        </a:p>
      </dgm:t>
    </dgm:pt>
    <dgm:pt modelId="{EFC0006D-08D3-4BC5-89FB-37CBF8411771}" type="parTrans" cxnId="{AA033F25-86FF-4758-94A5-9B4D14B0AFE9}">
      <dgm:prSet/>
      <dgm:spPr/>
      <dgm:t>
        <a:bodyPr/>
        <a:lstStyle/>
        <a:p>
          <a:endParaRPr lang="cs-CZ" sz="2400" b="1">
            <a:solidFill>
              <a:schemeClr val="tx1"/>
            </a:solidFill>
          </a:endParaRPr>
        </a:p>
      </dgm:t>
    </dgm:pt>
    <dgm:pt modelId="{CA272639-BB79-480B-B967-8D69E00998CC}" type="sibTrans" cxnId="{AA033F25-86FF-4758-94A5-9B4D14B0AFE9}">
      <dgm:prSet/>
      <dgm:spPr/>
      <dgm:t>
        <a:bodyPr/>
        <a:lstStyle/>
        <a:p>
          <a:endParaRPr lang="cs-CZ" sz="2400" b="1">
            <a:solidFill>
              <a:schemeClr val="tx1"/>
            </a:solidFill>
          </a:endParaRPr>
        </a:p>
      </dgm:t>
    </dgm:pt>
    <dgm:pt modelId="{53E08440-3DB0-4AC6-9B54-632654D7D718}">
      <dgm:prSet phldrT="[Text]" custT="1"/>
      <dgm:spPr>
        <a:xfrm>
          <a:off x="1736439" y="1681546"/>
          <a:ext cx="602998" cy="241199"/>
        </a:xfrm>
        <a:solidFill>
          <a:srgbClr val="004595">
            <a:alpha val="6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169,7</a:t>
          </a:r>
        </a:p>
      </dgm:t>
    </dgm:pt>
    <dgm:pt modelId="{4D9121ED-A027-4E20-9792-D26891D21571}" type="parTrans" cxnId="{FC6B2E31-E483-46CA-9007-5311EE05CE1C}">
      <dgm:prSet/>
      <dgm:spPr/>
      <dgm:t>
        <a:bodyPr/>
        <a:lstStyle/>
        <a:p>
          <a:endParaRPr lang="cs-CZ" sz="2400" b="1">
            <a:solidFill>
              <a:schemeClr val="tx1"/>
            </a:solidFill>
          </a:endParaRPr>
        </a:p>
      </dgm:t>
    </dgm:pt>
    <dgm:pt modelId="{8633D9F9-727A-4367-B4C0-7830A01D1709}" type="sibTrans" cxnId="{FC6B2E31-E483-46CA-9007-5311EE05CE1C}">
      <dgm:prSet/>
      <dgm:spPr/>
      <dgm:t>
        <a:bodyPr/>
        <a:lstStyle/>
        <a:p>
          <a:endParaRPr lang="cs-CZ" sz="2400" b="1">
            <a:solidFill>
              <a:schemeClr val="tx1"/>
            </a:solidFill>
          </a:endParaRPr>
        </a:p>
      </dgm:t>
    </dgm:pt>
    <dgm:pt modelId="{240C86E3-9B0E-4A95-B39C-2E8B9D8039E9}">
      <dgm:prSet phldrT="[Text]" custT="1"/>
      <dgm:spPr>
        <a:xfrm>
          <a:off x="2255018" y="1681546"/>
          <a:ext cx="602998" cy="241199"/>
        </a:xfrm>
        <a:solidFill>
          <a:srgbClr val="004595">
            <a:alpha val="8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85,2</a:t>
          </a:r>
        </a:p>
      </dgm:t>
    </dgm:pt>
    <dgm:pt modelId="{E7497187-E3D4-4521-9EF4-AC3F9048BAD7}" type="parTrans" cxnId="{9BF74CD0-DDA3-4984-BBD5-EBE4121A6B77}">
      <dgm:prSet/>
      <dgm:spPr/>
      <dgm:t>
        <a:bodyPr/>
        <a:lstStyle/>
        <a:p>
          <a:endParaRPr lang="cs-CZ" sz="2400" b="1">
            <a:solidFill>
              <a:schemeClr val="tx1"/>
            </a:solidFill>
          </a:endParaRPr>
        </a:p>
      </dgm:t>
    </dgm:pt>
    <dgm:pt modelId="{7F421A30-A650-4087-8902-D37EC076D2B2}" type="sibTrans" cxnId="{9BF74CD0-DDA3-4984-BBD5-EBE4121A6B77}">
      <dgm:prSet/>
      <dgm:spPr/>
      <dgm:t>
        <a:bodyPr/>
        <a:lstStyle/>
        <a:p>
          <a:endParaRPr lang="cs-CZ" sz="2400" b="1">
            <a:solidFill>
              <a:schemeClr val="tx1"/>
            </a:solidFill>
          </a:endParaRPr>
        </a:p>
      </dgm:t>
    </dgm:pt>
    <dgm:pt modelId="{81C9E0CD-61B2-4599-8EE8-5F88AD37A8A6}">
      <dgm:prSet phldrT="[Text]" custT="1"/>
      <dgm:spPr>
        <a:xfrm>
          <a:off x="2773597" y="1681546"/>
          <a:ext cx="602998" cy="241199"/>
        </a:xfrm>
        <a:solidFill>
          <a:srgbClr val="004595"/>
        </a:solidFill>
        <a:ln w="12700" cap="flat" cmpd="sng" algn="ctr">
          <a:noFill/>
          <a:prstDash val="solid"/>
          <a:miter lim="800000"/>
        </a:ln>
        <a:effectLst/>
      </dgm:spPr>
      <dgm:t>
        <a:bodyPr/>
        <a:lstStyle/>
        <a:p>
          <a:r>
            <a:rPr lang="cs-CZ" sz="800" b="1">
              <a:solidFill>
                <a:schemeClr val="bg1"/>
              </a:solidFill>
              <a:latin typeface="Calibri" panose="020F0502020204030204"/>
              <a:ea typeface="+mn-ea"/>
              <a:cs typeface="+mn-cs"/>
            </a:rPr>
            <a:t>122,4</a:t>
          </a:r>
        </a:p>
      </dgm:t>
    </dgm:pt>
    <dgm:pt modelId="{D92C2D58-F7F0-47BD-A27E-AB53C06CA92E}" type="parTrans" cxnId="{2C6BE0B1-B92F-422F-93E7-6E9D7DF3C080}">
      <dgm:prSet/>
      <dgm:spPr/>
      <dgm:t>
        <a:bodyPr/>
        <a:lstStyle/>
        <a:p>
          <a:endParaRPr lang="cs-CZ" sz="2400" b="1">
            <a:solidFill>
              <a:schemeClr val="tx1"/>
            </a:solidFill>
          </a:endParaRPr>
        </a:p>
      </dgm:t>
    </dgm:pt>
    <dgm:pt modelId="{09D6FDFA-8B96-42A0-82BC-AFFDE5E87FA2}" type="sibTrans" cxnId="{2C6BE0B1-B92F-422F-93E7-6E9D7DF3C080}">
      <dgm:prSet/>
      <dgm:spPr/>
      <dgm:t>
        <a:bodyPr/>
        <a:lstStyle/>
        <a:p>
          <a:endParaRPr lang="cs-CZ" sz="2400" b="1">
            <a:solidFill>
              <a:schemeClr val="tx1"/>
            </a:solidFill>
          </a:endParaRPr>
        </a:p>
      </dgm:t>
    </dgm:pt>
    <dgm:pt modelId="{C563B505-1618-404A-8748-1E1B6B6E73EC}">
      <dgm:prSet phldrT="[Text]" custT="1"/>
      <dgm:spPr>
        <a:xfrm>
          <a:off x="3292175" y="1681546"/>
          <a:ext cx="602998" cy="241199"/>
        </a:xfrm>
        <a:solidFill>
          <a:srgbClr val="C3C5C6">
            <a:alpha val="90000"/>
          </a:srgbClr>
        </a:solidFill>
        <a:ln w="12700" cap="flat" cmpd="sng" algn="ctr">
          <a:noFill/>
          <a:prstDash val="solid"/>
          <a:miter lim="800000"/>
        </a:ln>
        <a:effectLst/>
      </dgm:spPr>
      <dgm:t>
        <a:bodyPr/>
        <a:lstStyle/>
        <a:p>
          <a:r>
            <a:rPr lang="cs-CZ" sz="800" b="1">
              <a:solidFill>
                <a:schemeClr val="tx1"/>
              </a:solidFill>
              <a:latin typeface="Calibri" panose="020F0502020204030204"/>
              <a:ea typeface="+mn-ea"/>
              <a:cs typeface="+mn-cs"/>
            </a:rPr>
            <a:t>37,2</a:t>
          </a:r>
        </a:p>
      </dgm:t>
    </dgm:pt>
    <dgm:pt modelId="{FC97D372-CD28-4EBC-8E20-F2D7CB76026D}" type="parTrans" cxnId="{BEA380CB-6B9C-4154-A0DB-4710AB02409A}">
      <dgm:prSet/>
      <dgm:spPr/>
      <dgm:t>
        <a:bodyPr/>
        <a:lstStyle/>
        <a:p>
          <a:endParaRPr lang="cs-CZ" sz="2400" b="1">
            <a:solidFill>
              <a:schemeClr val="tx1"/>
            </a:solidFill>
          </a:endParaRPr>
        </a:p>
      </dgm:t>
    </dgm:pt>
    <dgm:pt modelId="{9B96F9FF-D582-49A6-89A9-BF450AB54C2F}" type="sibTrans" cxnId="{BEA380CB-6B9C-4154-A0DB-4710AB02409A}">
      <dgm:prSet/>
      <dgm:spPr/>
      <dgm:t>
        <a:bodyPr/>
        <a:lstStyle/>
        <a:p>
          <a:endParaRPr lang="cs-CZ" sz="2400" b="1">
            <a:solidFill>
              <a:schemeClr val="tx1"/>
            </a:solidFill>
          </a:endParaRPr>
        </a:p>
      </dgm:t>
    </dgm:pt>
    <dgm:pt modelId="{110F5A43-F211-43B5-A555-8C9EEBADA2D4}" type="pres">
      <dgm:prSet presAssocID="{1A6347D2-E774-46FA-B777-F1A30B1B32AE}" presName="Name0" presStyleCnt="0">
        <dgm:presLayoutVars>
          <dgm:chPref val="3"/>
          <dgm:dir/>
          <dgm:animLvl val="lvl"/>
          <dgm:resizeHandles/>
        </dgm:presLayoutVars>
      </dgm:prSet>
      <dgm:spPr/>
      <dgm:t>
        <a:bodyPr/>
        <a:lstStyle/>
        <a:p>
          <a:endParaRPr lang="cs-CZ"/>
        </a:p>
      </dgm:t>
    </dgm:pt>
    <dgm:pt modelId="{89981277-0A47-47D1-A0CA-10765B466ED1}" type="pres">
      <dgm:prSet presAssocID="{4D953984-3ACF-4D10-86C2-DD0EECD2045E}" presName="horFlow" presStyleCnt="0"/>
      <dgm:spPr/>
    </dgm:pt>
    <dgm:pt modelId="{4324C8AE-0C84-4B57-A0DB-F530EDB074FB}" type="pres">
      <dgm:prSet presAssocID="{4D953984-3ACF-4D10-86C2-DD0EECD2045E}" presName="bigChev" presStyleLbl="node1" presStyleIdx="0" presStyleCnt="6" custScaleX="108701"/>
      <dgm:spPr>
        <a:prstGeom prst="chevron">
          <a:avLst/>
        </a:prstGeom>
      </dgm:spPr>
      <dgm:t>
        <a:bodyPr/>
        <a:lstStyle/>
        <a:p>
          <a:endParaRPr lang="cs-CZ"/>
        </a:p>
      </dgm:t>
    </dgm:pt>
    <dgm:pt modelId="{2151C726-09A8-41A7-9257-FBCF34984038}" type="pres">
      <dgm:prSet presAssocID="{BFA133A1-756A-45F1-8766-59F7BCFDAA6C}" presName="parTrans" presStyleCnt="0"/>
      <dgm:spPr/>
    </dgm:pt>
    <dgm:pt modelId="{EA6E9049-714D-4F70-9449-67590FE925DF}" type="pres">
      <dgm:prSet presAssocID="{A1CF1E31-5801-448F-B337-DBA64B602091}" presName="node" presStyleLbl="alignAccFollowNode1" presStyleIdx="0" presStyleCnt="36">
        <dgm:presLayoutVars>
          <dgm:bulletEnabled val="1"/>
        </dgm:presLayoutVars>
      </dgm:prSet>
      <dgm:spPr>
        <a:prstGeom prst="chevron">
          <a:avLst/>
        </a:prstGeom>
      </dgm:spPr>
      <dgm:t>
        <a:bodyPr/>
        <a:lstStyle/>
        <a:p>
          <a:endParaRPr lang="cs-CZ"/>
        </a:p>
      </dgm:t>
    </dgm:pt>
    <dgm:pt modelId="{ABA96DD0-7385-4751-B5CE-7EFD9DEA4C59}" type="pres">
      <dgm:prSet presAssocID="{D30FBF5B-3185-4475-AA36-3B0290B49DAD}" presName="sibTrans" presStyleCnt="0"/>
      <dgm:spPr/>
    </dgm:pt>
    <dgm:pt modelId="{E17CDDBE-C54E-41F3-B442-C82AC2798B30}" type="pres">
      <dgm:prSet presAssocID="{358C9A41-D250-4EE4-9337-6B3886DC0DC0}" presName="node" presStyleLbl="alignAccFollowNode1" presStyleIdx="1" presStyleCnt="36">
        <dgm:presLayoutVars>
          <dgm:bulletEnabled val="1"/>
        </dgm:presLayoutVars>
      </dgm:prSet>
      <dgm:spPr>
        <a:prstGeom prst="chevron">
          <a:avLst/>
        </a:prstGeom>
      </dgm:spPr>
      <dgm:t>
        <a:bodyPr/>
        <a:lstStyle/>
        <a:p>
          <a:endParaRPr lang="cs-CZ"/>
        </a:p>
      </dgm:t>
    </dgm:pt>
    <dgm:pt modelId="{88DDF0DC-9738-43F9-AD8F-A06A9FCF4148}" type="pres">
      <dgm:prSet presAssocID="{EB460E09-C9FC-4808-8795-EB45393F3985}" presName="sibTrans" presStyleCnt="0"/>
      <dgm:spPr/>
    </dgm:pt>
    <dgm:pt modelId="{26A82BEF-68BE-4FEF-A542-D5EE7C04721A}" type="pres">
      <dgm:prSet presAssocID="{5A11B889-0B82-46C6-AA06-198B94C240BA}" presName="node" presStyleLbl="alignAccFollowNode1" presStyleIdx="2" presStyleCnt="36">
        <dgm:presLayoutVars>
          <dgm:bulletEnabled val="1"/>
        </dgm:presLayoutVars>
      </dgm:prSet>
      <dgm:spPr>
        <a:prstGeom prst="chevron">
          <a:avLst/>
        </a:prstGeom>
      </dgm:spPr>
      <dgm:t>
        <a:bodyPr/>
        <a:lstStyle/>
        <a:p>
          <a:endParaRPr lang="cs-CZ"/>
        </a:p>
      </dgm:t>
    </dgm:pt>
    <dgm:pt modelId="{75082378-69D2-49C0-BBAB-3B84D10518D6}" type="pres">
      <dgm:prSet presAssocID="{3E41D1D9-E567-4048-A439-D1D74FF4254F}" presName="sibTrans" presStyleCnt="0"/>
      <dgm:spPr/>
    </dgm:pt>
    <dgm:pt modelId="{833188DE-4E3C-4E12-83E9-AF15E2D9BFD2}" type="pres">
      <dgm:prSet presAssocID="{EC97A157-B1ED-4108-8FEF-1E4923639515}" presName="node" presStyleLbl="alignAccFollowNode1" presStyleIdx="3" presStyleCnt="36">
        <dgm:presLayoutVars>
          <dgm:bulletEnabled val="1"/>
        </dgm:presLayoutVars>
      </dgm:prSet>
      <dgm:spPr>
        <a:prstGeom prst="chevron">
          <a:avLst/>
        </a:prstGeom>
      </dgm:spPr>
      <dgm:t>
        <a:bodyPr/>
        <a:lstStyle/>
        <a:p>
          <a:endParaRPr lang="cs-CZ"/>
        </a:p>
      </dgm:t>
    </dgm:pt>
    <dgm:pt modelId="{1A7B4BD8-9A49-446F-9582-0DEAC581B14A}" type="pres">
      <dgm:prSet presAssocID="{5E219547-CBEE-409D-BC33-EF0F7574158E}" presName="sibTrans" presStyleCnt="0"/>
      <dgm:spPr/>
    </dgm:pt>
    <dgm:pt modelId="{4BC069EA-54EB-411A-9913-8C17480DA2D5}" type="pres">
      <dgm:prSet presAssocID="{5C5B4CF2-03CD-467B-842D-BF255C666D8D}" presName="node" presStyleLbl="alignAccFollowNode1" presStyleIdx="4" presStyleCnt="36">
        <dgm:presLayoutVars>
          <dgm:bulletEnabled val="1"/>
        </dgm:presLayoutVars>
      </dgm:prSet>
      <dgm:spPr>
        <a:prstGeom prst="chevron">
          <a:avLst/>
        </a:prstGeom>
      </dgm:spPr>
      <dgm:t>
        <a:bodyPr/>
        <a:lstStyle/>
        <a:p>
          <a:endParaRPr lang="cs-CZ"/>
        </a:p>
      </dgm:t>
    </dgm:pt>
    <dgm:pt modelId="{43F38896-F396-4B63-9208-4D7C552D8F04}" type="pres">
      <dgm:prSet presAssocID="{4A97EA9F-0D43-4C4E-B773-0126E6BF88A2}" presName="sibTrans" presStyleCnt="0"/>
      <dgm:spPr/>
    </dgm:pt>
    <dgm:pt modelId="{D3A25E5F-696A-492F-9F7A-F9DECAD0E80A}" type="pres">
      <dgm:prSet presAssocID="{D16CAD34-9C66-484C-BBDC-A5E42BF3D225}" presName="node" presStyleLbl="alignAccFollowNode1" presStyleIdx="5" presStyleCnt="36">
        <dgm:presLayoutVars>
          <dgm:bulletEnabled val="1"/>
        </dgm:presLayoutVars>
      </dgm:prSet>
      <dgm:spPr>
        <a:prstGeom prst="chevron">
          <a:avLst/>
        </a:prstGeom>
      </dgm:spPr>
      <dgm:t>
        <a:bodyPr/>
        <a:lstStyle/>
        <a:p>
          <a:endParaRPr lang="cs-CZ"/>
        </a:p>
      </dgm:t>
    </dgm:pt>
    <dgm:pt modelId="{A9BEE66F-36BB-44B3-B70B-8A3D13CEF7BE}" type="pres">
      <dgm:prSet presAssocID="{4D953984-3ACF-4D10-86C2-DD0EECD2045E}" presName="vSp" presStyleCnt="0"/>
      <dgm:spPr/>
    </dgm:pt>
    <dgm:pt modelId="{42328518-1889-434F-BA29-67500AD6A3E3}" type="pres">
      <dgm:prSet presAssocID="{78174B99-CB2F-41B4-84A1-1438F1481E64}" presName="horFlow" presStyleCnt="0"/>
      <dgm:spPr/>
    </dgm:pt>
    <dgm:pt modelId="{108D6996-3FEB-43E6-98A6-B3CEA7AF6F97}" type="pres">
      <dgm:prSet presAssocID="{78174B99-CB2F-41B4-84A1-1438F1481E64}" presName="bigChev" presStyleLbl="node1" presStyleIdx="1" presStyleCnt="6" custScaleX="105525"/>
      <dgm:spPr>
        <a:prstGeom prst="chevron">
          <a:avLst/>
        </a:prstGeom>
      </dgm:spPr>
      <dgm:t>
        <a:bodyPr/>
        <a:lstStyle/>
        <a:p>
          <a:endParaRPr lang="cs-CZ"/>
        </a:p>
      </dgm:t>
    </dgm:pt>
    <dgm:pt modelId="{3274A788-D1B1-42E9-A0B9-97FC70252455}" type="pres">
      <dgm:prSet presAssocID="{7648DE78-9420-4106-B5C2-036985F43A06}" presName="parTrans" presStyleCnt="0"/>
      <dgm:spPr/>
    </dgm:pt>
    <dgm:pt modelId="{DD05987A-3EC2-4CCA-9869-1F1361695B14}" type="pres">
      <dgm:prSet presAssocID="{2EDBE3C3-8A52-4A3A-9194-3724DB8ACE24}" presName="node" presStyleLbl="alignAccFollowNode1" presStyleIdx="6" presStyleCnt="36">
        <dgm:presLayoutVars>
          <dgm:bulletEnabled val="1"/>
        </dgm:presLayoutVars>
      </dgm:prSet>
      <dgm:spPr>
        <a:prstGeom prst="chevron">
          <a:avLst/>
        </a:prstGeom>
      </dgm:spPr>
      <dgm:t>
        <a:bodyPr/>
        <a:lstStyle/>
        <a:p>
          <a:endParaRPr lang="cs-CZ"/>
        </a:p>
      </dgm:t>
    </dgm:pt>
    <dgm:pt modelId="{074DC42B-66ED-496B-ADFF-445C4D1A79C7}" type="pres">
      <dgm:prSet presAssocID="{57DB7BDA-E66E-4670-B460-59BDCDF1EA8F}" presName="sibTrans" presStyleCnt="0"/>
      <dgm:spPr/>
    </dgm:pt>
    <dgm:pt modelId="{E0B3BD13-AF19-47FA-8B20-BF9AA0D890B4}" type="pres">
      <dgm:prSet presAssocID="{BAB9C705-956B-4C48-87C1-811A07CE45F3}" presName="node" presStyleLbl="alignAccFollowNode1" presStyleIdx="7" presStyleCnt="36">
        <dgm:presLayoutVars>
          <dgm:bulletEnabled val="1"/>
        </dgm:presLayoutVars>
      </dgm:prSet>
      <dgm:spPr>
        <a:prstGeom prst="chevron">
          <a:avLst/>
        </a:prstGeom>
      </dgm:spPr>
      <dgm:t>
        <a:bodyPr/>
        <a:lstStyle/>
        <a:p>
          <a:endParaRPr lang="cs-CZ"/>
        </a:p>
      </dgm:t>
    </dgm:pt>
    <dgm:pt modelId="{8724CBF4-700F-4F2B-89EC-DB5AB15B0263}" type="pres">
      <dgm:prSet presAssocID="{FC896497-7C28-4987-BB69-76BA32DE4EF9}" presName="sibTrans" presStyleCnt="0"/>
      <dgm:spPr/>
    </dgm:pt>
    <dgm:pt modelId="{39403DC2-8A29-4B93-A1AD-2A564629EE5C}" type="pres">
      <dgm:prSet presAssocID="{209F4FE5-7545-474C-A12F-B61E24BF3255}" presName="node" presStyleLbl="alignAccFollowNode1" presStyleIdx="8" presStyleCnt="36">
        <dgm:presLayoutVars>
          <dgm:bulletEnabled val="1"/>
        </dgm:presLayoutVars>
      </dgm:prSet>
      <dgm:spPr>
        <a:prstGeom prst="chevron">
          <a:avLst/>
        </a:prstGeom>
      </dgm:spPr>
      <dgm:t>
        <a:bodyPr/>
        <a:lstStyle/>
        <a:p>
          <a:endParaRPr lang="cs-CZ"/>
        </a:p>
      </dgm:t>
    </dgm:pt>
    <dgm:pt modelId="{EDDE672C-DAC3-4202-9BBA-0CD4F65E941E}" type="pres">
      <dgm:prSet presAssocID="{365929A1-29A6-40CB-8A04-7CD33DA95ED2}" presName="sibTrans" presStyleCnt="0"/>
      <dgm:spPr/>
    </dgm:pt>
    <dgm:pt modelId="{4AFDE68C-9E06-4875-8967-539174B30ADD}" type="pres">
      <dgm:prSet presAssocID="{BD31FC45-3A97-40A0-952F-7F630CAADFF7}" presName="node" presStyleLbl="alignAccFollowNode1" presStyleIdx="9" presStyleCnt="36">
        <dgm:presLayoutVars>
          <dgm:bulletEnabled val="1"/>
        </dgm:presLayoutVars>
      </dgm:prSet>
      <dgm:spPr>
        <a:prstGeom prst="chevron">
          <a:avLst/>
        </a:prstGeom>
      </dgm:spPr>
      <dgm:t>
        <a:bodyPr/>
        <a:lstStyle/>
        <a:p>
          <a:endParaRPr lang="cs-CZ"/>
        </a:p>
      </dgm:t>
    </dgm:pt>
    <dgm:pt modelId="{6EC87B21-6427-4FE5-AF36-A804927921DB}" type="pres">
      <dgm:prSet presAssocID="{E8A55DA6-FCA5-42C9-855D-834E3421F7A2}" presName="sibTrans" presStyleCnt="0"/>
      <dgm:spPr/>
    </dgm:pt>
    <dgm:pt modelId="{805827EE-806F-459E-9BE2-BC7F4C63625B}" type="pres">
      <dgm:prSet presAssocID="{62A6766A-7015-4663-8F88-379392C1BE11}" presName="node" presStyleLbl="alignAccFollowNode1" presStyleIdx="10" presStyleCnt="36">
        <dgm:presLayoutVars>
          <dgm:bulletEnabled val="1"/>
        </dgm:presLayoutVars>
      </dgm:prSet>
      <dgm:spPr>
        <a:prstGeom prst="chevron">
          <a:avLst/>
        </a:prstGeom>
      </dgm:spPr>
      <dgm:t>
        <a:bodyPr/>
        <a:lstStyle/>
        <a:p>
          <a:endParaRPr lang="cs-CZ"/>
        </a:p>
      </dgm:t>
    </dgm:pt>
    <dgm:pt modelId="{45AA2FE5-9708-4508-BB8A-E6C1FBF3E3DE}" type="pres">
      <dgm:prSet presAssocID="{F2D2666E-A48C-4B56-8FCA-BC93C49761A9}" presName="sibTrans" presStyleCnt="0"/>
      <dgm:spPr/>
    </dgm:pt>
    <dgm:pt modelId="{341966EF-3C67-433C-892A-FBE5F2F03106}" type="pres">
      <dgm:prSet presAssocID="{0FD9EDD5-D66F-4DBF-9BBC-F557C161D16F}" presName="node" presStyleLbl="alignAccFollowNode1" presStyleIdx="11" presStyleCnt="36">
        <dgm:presLayoutVars>
          <dgm:bulletEnabled val="1"/>
        </dgm:presLayoutVars>
      </dgm:prSet>
      <dgm:spPr>
        <a:prstGeom prst="chevron">
          <a:avLst/>
        </a:prstGeom>
      </dgm:spPr>
      <dgm:t>
        <a:bodyPr/>
        <a:lstStyle/>
        <a:p>
          <a:endParaRPr lang="cs-CZ"/>
        </a:p>
      </dgm:t>
    </dgm:pt>
    <dgm:pt modelId="{DCDED6E6-4835-446E-AE1D-11C056A415A0}" type="pres">
      <dgm:prSet presAssocID="{78174B99-CB2F-41B4-84A1-1438F1481E64}" presName="vSp" presStyleCnt="0"/>
      <dgm:spPr/>
    </dgm:pt>
    <dgm:pt modelId="{E0A57FD5-40E2-457A-8DCD-AECCFCC1CD91}" type="pres">
      <dgm:prSet presAssocID="{10EEAB1A-174F-4182-8129-99D15D7AB9CF}" presName="horFlow" presStyleCnt="0"/>
      <dgm:spPr/>
    </dgm:pt>
    <dgm:pt modelId="{271D193C-BAC1-45D4-9F55-82CC0206262A}" type="pres">
      <dgm:prSet presAssocID="{10EEAB1A-174F-4182-8129-99D15D7AB9CF}" presName="bigChev" presStyleLbl="node1" presStyleIdx="2" presStyleCnt="6" custScaleX="105525"/>
      <dgm:spPr>
        <a:prstGeom prst="chevron">
          <a:avLst/>
        </a:prstGeom>
      </dgm:spPr>
      <dgm:t>
        <a:bodyPr/>
        <a:lstStyle/>
        <a:p>
          <a:endParaRPr lang="cs-CZ"/>
        </a:p>
      </dgm:t>
    </dgm:pt>
    <dgm:pt modelId="{A02F81FF-E421-460D-A25E-FC1AFFE195F5}" type="pres">
      <dgm:prSet presAssocID="{9A5D6920-F92B-401E-8ABC-E4BDCB79BFC4}" presName="parTrans" presStyleCnt="0"/>
      <dgm:spPr/>
    </dgm:pt>
    <dgm:pt modelId="{47012AB8-D9C4-4B00-AA2F-9FE5BCB3AE2B}" type="pres">
      <dgm:prSet presAssocID="{3B04C11E-1E1D-4B33-905E-D561049DA493}" presName="node" presStyleLbl="alignAccFollowNode1" presStyleIdx="12" presStyleCnt="36">
        <dgm:presLayoutVars>
          <dgm:bulletEnabled val="1"/>
        </dgm:presLayoutVars>
      </dgm:prSet>
      <dgm:spPr>
        <a:prstGeom prst="chevron">
          <a:avLst/>
        </a:prstGeom>
      </dgm:spPr>
      <dgm:t>
        <a:bodyPr/>
        <a:lstStyle/>
        <a:p>
          <a:endParaRPr lang="cs-CZ"/>
        </a:p>
      </dgm:t>
    </dgm:pt>
    <dgm:pt modelId="{37EAEF79-AFD4-4254-A1DD-043C950A9181}" type="pres">
      <dgm:prSet presAssocID="{1C6F6D06-2691-49C6-9ECD-584EE3F45D1E}" presName="sibTrans" presStyleCnt="0"/>
      <dgm:spPr/>
    </dgm:pt>
    <dgm:pt modelId="{49C1FADA-A17D-4E70-A3E9-E768A1AF2D9C}" type="pres">
      <dgm:prSet presAssocID="{6CC8CB00-F4BD-4923-B21D-476D50CE4744}" presName="node" presStyleLbl="alignAccFollowNode1" presStyleIdx="13" presStyleCnt="36">
        <dgm:presLayoutVars>
          <dgm:bulletEnabled val="1"/>
        </dgm:presLayoutVars>
      </dgm:prSet>
      <dgm:spPr>
        <a:prstGeom prst="chevron">
          <a:avLst/>
        </a:prstGeom>
      </dgm:spPr>
      <dgm:t>
        <a:bodyPr/>
        <a:lstStyle/>
        <a:p>
          <a:endParaRPr lang="cs-CZ"/>
        </a:p>
      </dgm:t>
    </dgm:pt>
    <dgm:pt modelId="{0E20D554-1779-452B-BF7D-5988665B2857}" type="pres">
      <dgm:prSet presAssocID="{58CCD390-3616-4FCE-96E5-24C51DBD1F9B}" presName="sibTrans" presStyleCnt="0"/>
      <dgm:spPr/>
    </dgm:pt>
    <dgm:pt modelId="{190C9095-C4CF-4C8B-9843-FC9A87C43110}" type="pres">
      <dgm:prSet presAssocID="{B7AB5797-52D3-4168-94E9-B5B272FA6C3D}" presName="node" presStyleLbl="alignAccFollowNode1" presStyleIdx="14" presStyleCnt="36">
        <dgm:presLayoutVars>
          <dgm:bulletEnabled val="1"/>
        </dgm:presLayoutVars>
      </dgm:prSet>
      <dgm:spPr>
        <a:prstGeom prst="chevron">
          <a:avLst/>
        </a:prstGeom>
      </dgm:spPr>
      <dgm:t>
        <a:bodyPr/>
        <a:lstStyle/>
        <a:p>
          <a:endParaRPr lang="cs-CZ"/>
        </a:p>
      </dgm:t>
    </dgm:pt>
    <dgm:pt modelId="{3A29FBB7-BFD7-40DF-B926-DFC96F12E73B}" type="pres">
      <dgm:prSet presAssocID="{AB6F074E-C192-402C-B1F8-7A5A7BBE2373}" presName="sibTrans" presStyleCnt="0"/>
      <dgm:spPr/>
    </dgm:pt>
    <dgm:pt modelId="{729925F6-6C21-4C2A-A124-CB5331D4D0A1}" type="pres">
      <dgm:prSet presAssocID="{D83646A4-A7B1-4063-96EE-F494AE1354F3}" presName="node" presStyleLbl="alignAccFollowNode1" presStyleIdx="15" presStyleCnt="36">
        <dgm:presLayoutVars>
          <dgm:bulletEnabled val="1"/>
        </dgm:presLayoutVars>
      </dgm:prSet>
      <dgm:spPr>
        <a:prstGeom prst="chevron">
          <a:avLst/>
        </a:prstGeom>
      </dgm:spPr>
      <dgm:t>
        <a:bodyPr/>
        <a:lstStyle/>
        <a:p>
          <a:endParaRPr lang="cs-CZ"/>
        </a:p>
      </dgm:t>
    </dgm:pt>
    <dgm:pt modelId="{F87B3730-9DBA-4FB1-BEC3-203582704E71}" type="pres">
      <dgm:prSet presAssocID="{CCD5F0B8-6925-4DD9-AEB0-82326B9BC3C4}" presName="sibTrans" presStyleCnt="0"/>
      <dgm:spPr/>
    </dgm:pt>
    <dgm:pt modelId="{F1F41FAD-CF79-4184-9D4A-4B24B3BD1679}" type="pres">
      <dgm:prSet presAssocID="{FEA4DDB3-3A97-44AC-828D-91A1B7C2F815}" presName="node" presStyleLbl="alignAccFollowNode1" presStyleIdx="16" presStyleCnt="36">
        <dgm:presLayoutVars>
          <dgm:bulletEnabled val="1"/>
        </dgm:presLayoutVars>
      </dgm:prSet>
      <dgm:spPr>
        <a:prstGeom prst="chevron">
          <a:avLst/>
        </a:prstGeom>
      </dgm:spPr>
      <dgm:t>
        <a:bodyPr/>
        <a:lstStyle/>
        <a:p>
          <a:endParaRPr lang="cs-CZ"/>
        </a:p>
      </dgm:t>
    </dgm:pt>
    <dgm:pt modelId="{CEC64482-0253-43ED-B9B7-046F5EB620B3}" type="pres">
      <dgm:prSet presAssocID="{A392C771-08EA-4F6A-B577-51DE6D88CA16}" presName="sibTrans" presStyleCnt="0"/>
      <dgm:spPr/>
    </dgm:pt>
    <dgm:pt modelId="{4C65EDB7-00FC-46A4-9C20-9DA139026CE1}" type="pres">
      <dgm:prSet presAssocID="{B56FF771-0284-45CC-BEB5-0F13737F543B}" presName="node" presStyleLbl="alignAccFollowNode1" presStyleIdx="17" presStyleCnt="36">
        <dgm:presLayoutVars>
          <dgm:bulletEnabled val="1"/>
        </dgm:presLayoutVars>
      </dgm:prSet>
      <dgm:spPr>
        <a:prstGeom prst="chevron">
          <a:avLst/>
        </a:prstGeom>
      </dgm:spPr>
      <dgm:t>
        <a:bodyPr/>
        <a:lstStyle/>
        <a:p>
          <a:endParaRPr lang="cs-CZ"/>
        </a:p>
      </dgm:t>
    </dgm:pt>
    <dgm:pt modelId="{7E5BF45C-0115-41ED-9326-05FE7C694700}" type="pres">
      <dgm:prSet presAssocID="{10EEAB1A-174F-4182-8129-99D15D7AB9CF}" presName="vSp" presStyleCnt="0"/>
      <dgm:spPr/>
    </dgm:pt>
    <dgm:pt modelId="{1BB6BA2D-2500-4816-8327-0A4F6B34843B}" type="pres">
      <dgm:prSet presAssocID="{5C86C45D-0504-41F5-9ED8-B8588DC4BB71}" presName="horFlow" presStyleCnt="0"/>
      <dgm:spPr/>
    </dgm:pt>
    <dgm:pt modelId="{3B038CE9-4800-42E2-ADC1-CECE41DB3D7F}" type="pres">
      <dgm:prSet presAssocID="{5C86C45D-0504-41F5-9ED8-B8588DC4BB71}" presName="bigChev" presStyleLbl="node1" presStyleIdx="3" presStyleCnt="6" custScaleX="105525"/>
      <dgm:spPr>
        <a:prstGeom prst="chevron">
          <a:avLst/>
        </a:prstGeom>
      </dgm:spPr>
      <dgm:t>
        <a:bodyPr/>
        <a:lstStyle/>
        <a:p>
          <a:endParaRPr lang="cs-CZ"/>
        </a:p>
      </dgm:t>
    </dgm:pt>
    <dgm:pt modelId="{C69CFF36-F175-4B28-88C2-30012360F175}" type="pres">
      <dgm:prSet presAssocID="{F992937B-D676-4E14-883A-7DE4DC15F33C}" presName="parTrans" presStyleCnt="0"/>
      <dgm:spPr/>
    </dgm:pt>
    <dgm:pt modelId="{0C4F5166-7B8C-4DC5-9D99-03C90D522575}" type="pres">
      <dgm:prSet presAssocID="{8C82CBD6-9B91-494C-B5BE-A24E7DAC987A}" presName="node" presStyleLbl="alignAccFollowNode1" presStyleIdx="18" presStyleCnt="36">
        <dgm:presLayoutVars>
          <dgm:bulletEnabled val="1"/>
        </dgm:presLayoutVars>
      </dgm:prSet>
      <dgm:spPr>
        <a:prstGeom prst="chevron">
          <a:avLst/>
        </a:prstGeom>
      </dgm:spPr>
      <dgm:t>
        <a:bodyPr/>
        <a:lstStyle/>
        <a:p>
          <a:endParaRPr lang="cs-CZ"/>
        </a:p>
      </dgm:t>
    </dgm:pt>
    <dgm:pt modelId="{13F7C1A8-0FA6-4047-8DEF-A7F40DB089B6}" type="pres">
      <dgm:prSet presAssocID="{D500B32E-0679-4C74-9104-62736048009E}" presName="sibTrans" presStyleCnt="0"/>
      <dgm:spPr/>
    </dgm:pt>
    <dgm:pt modelId="{7CB82BEA-AE28-47E4-BA52-D78E48C0F651}" type="pres">
      <dgm:prSet presAssocID="{F23B00AF-5335-4B06-B9E0-C407B399300E}" presName="node" presStyleLbl="alignAccFollowNode1" presStyleIdx="19" presStyleCnt="36">
        <dgm:presLayoutVars>
          <dgm:bulletEnabled val="1"/>
        </dgm:presLayoutVars>
      </dgm:prSet>
      <dgm:spPr>
        <a:prstGeom prst="chevron">
          <a:avLst/>
        </a:prstGeom>
      </dgm:spPr>
      <dgm:t>
        <a:bodyPr/>
        <a:lstStyle/>
        <a:p>
          <a:endParaRPr lang="cs-CZ"/>
        </a:p>
      </dgm:t>
    </dgm:pt>
    <dgm:pt modelId="{530B6F05-6DFC-43D0-92E5-B644BDD10F2A}" type="pres">
      <dgm:prSet presAssocID="{9479A454-AB9D-4130-A99D-BBA20460FA4A}" presName="sibTrans" presStyleCnt="0"/>
      <dgm:spPr/>
    </dgm:pt>
    <dgm:pt modelId="{3963FC4F-805E-4287-BBFA-DE711BEEDB2C}" type="pres">
      <dgm:prSet presAssocID="{25F081A6-E845-4409-887B-05E369030AE7}" presName="node" presStyleLbl="alignAccFollowNode1" presStyleIdx="20" presStyleCnt="36">
        <dgm:presLayoutVars>
          <dgm:bulletEnabled val="1"/>
        </dgm:presLayoutVars>
      </dgm:prSet>
      <dgm:spPr>
        <a:prstGeom prst="chevron">
          <a:avLst/>
        </a:prstGeom>
      </dgm:spPr>
      <dgm:t>
        <a:bodyPr/>
        <a:lstStyle/>
        <a:p>
          <a:endParaRPr lang="cs-CZ"/>
        </a:p>
      </dgm:t>
    </dgm:pt>
    <dgm:pt modelId="{24B223E9-9351-4648-AEE2-D4038D026EF0}" type="pres">
      <dgm:prSet presAssocID="{57FA23F5-AAC5-4EF6-817D-4976FD6CF51E}" presName="sibTrans" presStyleCnt="0"/>
      <dgm:spPr/>
    </dgm:pt>
    <dgm:pt modelId="{68FF06A0-95BF-4EB5-BCC0-FE24A744B17A}" type="pres">
      <dgm:prSet presAssocID="{A107A654-54F0-418A-AAED-D6694D3FF9AE}" presName="node" presStyleLbl="alignAccFollowNode1" presStyleIdx="21" presStyleCnt="36">
        <dgm:presLayoutVars>
          <dgm:bulletEnabled val="1"/>
        </dgm:presLayoutVars>
      </dgm:prSet>
      <dgm:spPr>
        <a:prstGeom prst="chevron">
          <a:avLst/>
        </a:prstGeom>
      </dgm:spPr>
      <dgm:t>
        <a:bodyPr/>
        <a:lstStyle/>
        <a:p>
          <a:endParaRPr lang="cs-CZ"/>
        </a:p>
      </dgm:t>
    </dgm:pt>
    <dgm:pt modelId="{1169AA05-4D8B-4B3D-9FEC-0917DC98EC23}" type="pres">
      <dgm:prSet presAssocID="{2EFF7EC7-9DD7-4E89-B36E-9B6DDE8DE8E8}" presName="sibTrans" presStyleCnt="0"/>
      <dgm:spPr/>
    </dgm:pt>
    <dgm:pt modelId="{1FAD3650-64BC-4728-B0DE-4DF577F605F2}" type="pres">
      <dgm:prSet presAssocID="{6FF2215A-98C9-46E9-9B44-A4318822E1FF}" presName="node" presStyleLbl="alignAccFollowNode1" presStyleIdx="22" presStyleCnt="36">
        <dgm:presLayoutVars>
          <dgm:bulletEnabled val="1"/>
        </dgm:presLayoutVars>
      </dgm:prSet>
      <dgm:spPr>
        <a:prstGeom prst="chevron">
          <a:avLst/>
        </a:prstGeom>
      </dgm:spPr>
      <dgm:t>
        <a:bodyPr/>
        <a:lstStyle/>
        <a:p>
          <a:endParaRPr lang="cs-CZ"/>
        </a:p>
      </dgm:t>
    </dgm:pt>
    <dgm:pt modelId="{CCD5C5F7-8FEC-426D-9ABE-706AE504B669}" type="pres">
      <dgm:prSet presAssocID="{C28617C6-CB83-42F9-9DC7-65202EACE19E}" presName="sibTrans" presStyleCnt="0"/>
      <dgm:spPr/>
    </dgm:pt>
    <dgm:pt modelId="{C132509D-D53A-413A-B4A6-5E3503422542}" type="pres">
      <dgm:prSet presAssocID="{93447B53-24D9-4435-9944-0A8CE12A31FD}" presName="node" presStyleLbl="alignAccFollowNode1" presStyleIdx="23" presStyleCnt="36">
        <dgm:presLayoutVars>
          <dgm:bulletEnabled val="1"/>
        </dgm:presLayoutVars>
      </dgm:prSet>
      <dgm:spPr>
        <a:prstGeom prst="chevron">
          <a:avLst/>
        </a:prstGeom>
      </dgm:spPr>
      <dgm:t>
        <a:bodyPr/>
        <a:lstStyle/>
        <a:p>
          <a:endParaRPr lang="cs-CZ"/>
        </a:p>
      </dgm:t>
    </dgm:pt>
    <dgm:pt modelId="{E8464853-05EE-4D8D-9F2F-B5B84C2F94B1}" type="pres">
      <dgm:prSet presAssocID="{5C86C45D-0504-41F5-9ED8-B8588DC4BB71}" presName="vSp" presStyleCnt="0"/>
      <dgm:spPr/>
    </dgm:pt>
    <dgm:pt modelId="{EA2275CB-DA8B-4317-82D1-F94D8FDFED9C}" type="pres">
      <dgm:prSet presAssocID="{254C9866-5F23-40FC-B5EF-776D5B090C45}" presName="horFlow" presStyleCnt="0"/>
      <dgm:spPr/>
    </dgm:pt>
    <dgm:pt modelId="{A299FC5C-1339-4079-8517-1DD3EECA853E}" type="pres">
      <dgm:prSet presAssocID="{254C9866-5F23-40FC-B5EF-776D5B090C45}" presName="bigChev" presStyleLbl="node1" presStyleIdx="4" presStyleCnt="6" custScaleX="108000"/>
      <dgm:spPr>
        <a:prstGeom prst="chevron">
          <a:avLst/>
        </a:prstGeom>
      </dgm:spPr>
      <dgm:t>
        <a:bodyPr/>
        <a:lstStyle/>
        <a:p>
          <a:endParaRPr lang="cs-CZ"/>
        </a:p>
      </dgm:t>
    </dgm:pt>
    <dgm:pt modelId="{3D3A8F47-FF13-4731-A655-EC4E32E44E03}" type="pres">
      <dgm:prSet presAssocID="{FB5DDF3B-026B-42DB-9E42-2EFF000CA664}" presName="parTrans" presStyleCnt="0"/>
      <dgm:spPr/>
    </dgm:pt>
    <dgm:pt modelId="{3FDD460E-C514-4FC3-8C45-360F099B4F8F}" type="pres">
      <dgm:prSet presAssocID="{CB9AED34-48FE-4838-9BE2-47F194315E75}" presName="node" presStyleLbl="alignAccFollowNode1" presStyleIdx="24" presStyleCnt="36">
        <dgm:presLayoutVars>
          <dgm:bulletEnabled val="1"/>
        </dgm:presLayoutVars>
      </dgm:prSet>
      <dgm:spPr>
        <a:prstGeom prst="chevron">
          <a:avLst/>
        </a:prstGeom>
      </dgm:spPr>
      <dgm:t>
        <a:bodyPr/>
        <a:lstStyle/>
        <a:p>
          <a:endParaRPr lang="cs-CZ"/>
        </a:p>
      </dgm:t>
    </dgm:pt>
    <dgm:pt modelId="{39224646-B618-44AB-9C36-7A3386D52819}" type="pres">
      <dgm:prSet presAssocID="{0A5E7085-385E-4424-A15C-F11183ECD8D1}" presName="sibTrans" presStyleCnt="0"/>
      <dgm:spPr/>
    </dgm:pt>
    <dgm:pt modelId="{468992ED-F4D8-4F6D-B1A1-6343BD006473}" type="pres">
      <dgm:prSet presAssocID="{4C18DD45-41C3-4954-8AD1-DDE473F06B57}" presName="node" presStyleLbl="alignAccFollowNode1" presStyleIdx="25" presStyleCnt="36">
        <dgm:presLayoutVars>
          <dgm:bulletEnabled val="1"/>
        </dgm:presLayoutVars>
      </dgm:prSet>
      <dgm:spPr>
        <a:prstGeom prst="chevron">
          <a:avLst/>
        </a:prstGeom>
      </dgm:spPr>
      <dgm:t>
        <a:bodyPr/>
        <a:lstStyle/>
        <a:p>
          <a:endParaRPr lang="cs-CZ"/>
        </a:p>
      </dgm:t>
    </dgm:pt>
    <dgm:pt modelId="{17EC2A43-5AAF-4977-BE63-79221E6AFBDA}" type="pres">
      <dgm:prSet presAssocID="{4CF4E488-48C8-41A9-B4CF-9B8299C6299D}" presName="sibTrans" presStyleCnt="0"/>
      <dgm:spPr/>
    </dgm:pt>
    <dgm:pt modelId="{26A4A151-D07C-4DA7-A913-637EC8E300DA}" type="pres">
      <dgm:prSet presAssocID="{92B6C3DD-0AB7-4931-87F2-1F5F98559367}" presName="node" presStyleLbl="alignAccFollowNode1" presStyleIdx="26" presStyleCnt="36">
        <dgm:presLayoutVars>
          <dgm:bulletEnabled val="1"/>
        </dgm:presLayoutVars>
      </dgm:prSet>
      <dgm:spPr>
        <a:prstGeom prst="chevron">
          <a:avLst/>
        </a:prstGeom>
      </dgm:spPr>
      <dgm:t>
        <a:bodyPr/>
        <a:lstStyle/>
        <a:p>
          <a:endParaRPr lang="cs-CZ"/>
        </a:p>
      </dgm:t>
    </dgm:pt>
    <dgm:pt modelId="{E9BBE036-BEEA-4DC6-9B8F-89F427AE7B0C}" type="pres">
      <dgm:prSet presAssocID="{2FB1259C-168E-4BBF-8E85-6EED5B01B8B6}" presName="sibTrans" presStyleCnt="0"/>
      <dgm:spPr/>
    </dgm:pt>
    <dgm:pt modelId="{C2FAB8ED-1119-4492-9E82-19860B0208EA}" type="pres">
      <dgm:prSet presAssocID="{3389A320-7E6C-4B46-9B00-35B2A44C7FDC}" presName="node" presStyleLbl="alignAccFollowNode1" presStyleIdx="27" presStyleCnt="36">
        <dgm:presLayoutVars>
          <dgm:bulletEnabled val="1"/>
        </dgm:presLayoutVars>
      </dgm:prSet>
      <dgm:spPr>
        <a:prstGeom prst="chevron">
          <a:avLst/>
        </a:prstGeom>
      </dgm:spPr>
      <dgm:t>
        <a:bodyPr/>
        <a:lstStyle/>
        <a:p>
          <a:endParaRPr lang="cs-CZ"/>
        </a:p>
      </dgm:t>
    </dgm:pt>
    <dgm:pt modelId="{4E954184-C965-4EB7-86FC-C745C04336FA}" type="pres">
      <dgm:prSet presAssocID="{E8BF84B5-27DF-4935-A50F-AFDBAC5713CF}" presName="sibTrans" presStyleCnt="0"/>
      <dgm:spPr/>
    </dgm:pt>
    <dgm:pt modelId="{C7C89D5B-53E8-48DF-B6AA-56A4462BAFA3}" type="pres">
      <dgm:prSet presAssocID="{6083513D-45FA-4A8F-9475-B5EAA6A267B7}" presName="node" presStyleLbl="alignAccFollowNode1" presStyleIdx="28" presStyleCnt="36">
        <dgm:presLayoutVars>
          <dgm:bulletEnabled val="1"/>
        </dgm:presLayoutVars>
      </dgm:prSet>
      <dgm:spPr>
        <a:prstGeom prst="chevron">
          <a:avLst/>
        </a:prstGeom>
      </dgm:spPr>
      <dgm:t>
        <a:bodyPr/>
        <a:lstStyle/>
        <a:p>
          <a:endParaRPr lang="cs-CZ"/>
        </a:p>
      </dgm:t>
    </dgm:pt>
    <dgm:pt modelId="{96B243E4-394F-4BDD-9475-F9E4705EF67E}" type="pres">
      <dgm:prSet presAssocID="{F0CD90D5-4C64-44E8-9422-91608BB3EA84}" presName="sibTrans" presStyleCnt="0"/>
      <dgm:spPr/>
    </dgm:pt>
    <dgm:pt modelId="{EF1309B9-1C6C-4BAE-82EC-68F65162E24D}" type="pres">
      <dgm:prSet presAssocID="{47FCF111-49CF-4285-AFAC-576F75F7C461}" presName="node" presStyleLbl="alignAccFollowNode1" presStyleIdx="29" presStyleCnt="36">
        <dgm:presLayoutVars>
          <dgm:bulletEnabled val="1"/>
        </dgm:presLayoutVars>
      </dgm:prSet>
      <dgm:spPr>
        <a:prstGeom prst="chevron">
          <a:avLst/>
        </a:prstGeom>
      </dgm:spPr>
      <dgm:t>
        <a:bodyPr/>
        <a:lstStyle/>
        <a:p>
          <a:endParaRPr lang="cs-CZ"/>
        </a:p>
      </dgm:t>
    </dgm:pt>
    <dgm:pt modelId="{0646A03B-EA04-434B-B439-D751B3BACF48}" type="pres">
      <dgm:prSet presAssocID="{254C9866-5F23-40FC-B5EF-776D5B090C45}" presName="vSp" presStyleCnt="0"/>
      <dgm:spPr/>
    </dgm:pt>
    <dgm:pt modelId="{F86666FE-A6D6-46B5-AAEC-266B196FA6A6}" type="pres">
      <dgm:prSet presAssocID="{5E1DDC45-BB69-45B2-AB77-187440A26013}" presName="horFlow" presStyleCnt="0"/>
      <dgm:spPr/>
    </dgm:pt>
    <dgm:pt modelId="{480089F2-B50A-49A9-8423-0D7B6F8D6839}" type="pres">
      <dgm:prSet presAssocID="{5E1DDC45-BB69-45B2-AB77-187440A26013}" presName="bigChev" presStyleLbl="node1" presStyleIdx="5" presStyleCnt="6" custScaleX="105525"/>
      <dgm:spPr>
        <a:prstGeom prst="chevron">
          <a:avLst/>
        </a:prstGeom>
      </dgm:spPr>
      <dgm:t>
        <a:bodyPr/>
        <a:lstStyle/>
        <a:p>
          <a:endParaRPr lang="cs-CZ"/>
        </a:p>
      </dgm:t>
    </dgm:pt>
    <dgm:pt modelId="{F77BFCEE-4073-4AD0-BE8D-62725D896C7F}" type="pres">
      <dgm:prSet presAssocID="{8AFE330C-98CA-4AD3-AE7A-768557BEFE65}" presName="parTrans" presStyleCnt="0"/>
      <dgm:spPr/>
    </dgm:pt>
    <dgm:pt modelId="{98847991-7FC9-459A-8113-3B3CE09C913D}" type="pres">
      <dgm:prSet presAssocID="{F3284C33-24B6-4B66-B189-2B622835057C}" presName="node" presStyleLbl="alignAccFollowNode1" presStyleIdx="30" presStyleCnt="36">
        <dgm:presLayoutVars>
          <dgm:bulletEnabled val="1"/>
        </dgm:presLayoutVars>
      </dgm:prSet>
      <dgm:spPr>
        <a:prstGeom prst="chevron">
          <a:avLst/>
        </a:prstGeom>
      </dgm:spPr>
      <dgm:t>
        <a:bodyPr/>
        <a:lstStyle/>
        <a:p>
          <a:endParaRPr lang="cs-CZ"/>
        </a:p>
      </dgm:t>
    </dgm:pt>
    <dgm:pt modelId="{01698EAE-0D11-4A18-B3F4-A1C86E27EAC9}" type="pres">
      <dgm:prSet presAssocID="{EA202FD0-9207-43E4-A75C-CF84D2DFCF32}" presName="sibTrans" presStyleCnt="0"/>
      <dgm:spPr/>
    </dgm:pt>
    <dgm:pt modelId="{1FB013AE-1265-4AA4-B877-3F73C2284B66}" type="pres">
      <dgm:prSet presAssocID="{770BAE23-BF7C-46A3-B313-EFF05E5AEF38}" presName="node" presStyleLbl="alignAccFollowNode1" presStyleIdx="31" presStyleCnt="36">
        <dgm:presLayoutVars>
          <dgm:bulletEnabled val="1"/>
        </dgm:presLayoutVars>
      </dgm:prSet>
      <dgm:spPr>
        <a:prstGeom prst="chevron">
          <a:avLst/>
        </a:prstGeom>
      </dgm:spPr>
      <dgm:t>
        <a:bodyPr/>
        <a:lstStyle/>
        <a:p>
          <a:endParaRPr lang="cs-CZ"/>
        </a:p>
      </dgm:t>
    </dgm:pt>
    <dgm:pt modelId="{52ECFEBC-E5C8-4962-A8B2-D186175656AD}" type="pres">
      <dgm:prSet presAssocID="{CA272639-BB79-480B-B967-8D69E00998CC}" presName="sibTrans" presStyleCnt="0"/>
      <dgm:spPr/>
    </dgm:pt>
    <dgm:pt modelId="{ADA72AC0-44B6-4A6F-B510-D4F3F5EC9133}" type="pres">
      <dgm:prSet presAssocID="{53E08440-3DB0-4AC6-9B54-632654D7D718}" presName="node" presStyleLbl="alignAccFollowNode1" presStyleIdx="32" presStyleCnt="36">
        <dgm:presLayoutVars>
          <dgm:bulletEnabled val="1"/>
        </dgm:presLayoutVars>
      </dgm:prSet>
      <dgm:spPr>
        <a:prstGeom prst="chevron">
          <a:avLst/>
        </a:prstGeom>
      </dgm:spPr>
      <dgm:t>
        <a:bodyPr/>
        <a:lstStyle/>
        <a:p>
          <a:endParaRPr lang="cs-CZ"/>
        </a:p>
      </dgm:t>
    </dgm:pt>
    <dgm:pt modelId="{7C309829-76F0-49D2-A08E-9FDF6D798E56}" type="pres">
      <dgm:prSet presAssocID="{8633D9F9-727A-4367-B4C0-7830A01D1709}" presName="sibTrans" presStyleCnt="0"/>
      <dgm:spPr/>
    </dgm:pt>
    <dgm:pt modelId="{CED83E52-2D06-4554-B3C8-B83EF9FCC5F9}" type="pres">
      <dgm:prSet presAssocID="{240C86E3-9B0E-4A95-B39C-2E8B9D8039E9}" presName="node" presStyleLbl="alignAccFollowNode1" presStyleIdx="33" presStyleCnt="36">
        <dgm:presLayoutVars>
          <dgm:bulletEnabled val="1"/>
        </dgm:presLayoutVars>
      </dgm:prSet>
      <dgm:spPr>
        <a:prstGeom prst="chevron">
          <a:avLst/>
        </a:prstGeom>
      </dgm:spPr>
      <dgm:t>
        <a:bodyPr/>
        <a:lstStyle/>
        <a:p>
          <a:endParaRPr lang="cs-CZ"/>
        </a:p>
      </dgm:t>
    </dgm:pt>
    <dgm:pt modelId="{113612B7-D534-41D0-B461-FC7187CC946D}" type="pres">
      <dgm:prSet presAssocID="{7F421A30-A650-4087-8902-D37EC076D2B2}" presName="sibTrans" presStyleCnt="0"/>
      <dgm:spPr/>
    </dgm:pt>
    <dgm:pt modelId="{C3CA2D55-BA82-448D-883B-AFED746031DF}" type="pres">
      <dgm:prSet presAssocID="{81C9E0CD-61B2-4599-8EE8-5F88AD37A8A6}" presName="node" presStyleLbl="alignAccFollowNode1" presStyleIdx="34" presStyleCnt="36">
        <dgm:presLayoutVars>
          <dgm:bulletEnabled val="1"/>
        </dgm:presLayoutVars>
      </dgm:prSet>
      <dgm:spPr>
        <a:prstGeom prst="chevron">
          <a:avLst/>
        </a:prstGeom>
      </dgm:spPr>
      <dgm:t>
        <a:bodyPr/>
        <a:lstStyle/>
        <a:p>
          <a:endParaRPr lang="cs-CZ"/>
        </a:p>
      </dgm:t>
    </dgm:pt>
    <dgm:pt modelId="{CA476C41-3C5B-4F25-A35B-23334CCE1A8B}" type="pres">
      <dgm:prSet presAssocID="{09D6FDFA-8B96-42A0-82BC-AFFDE5E87FA2}" presName="sibTrans" presStyleCnt="0"/>
      <dgm:spPr/>
    </dgm:pt>
    <dgm:pt modelId="{C7C2FC6F-CBA8-4A3D-9DA7-B9AF86FEE370}" type="pres">
      <dgm:prSet presAssocID="{C563B505-1618-404A-8748-1E1B6B6E73EC}" presName="node" presStyleLbl="alignAccFollowNode1" presStyleIdx="35" presStyleCnt="36">
        <dgm:presLayoutVars>
          <dgm:bulletEnabled val="1"/>
        </dgm:presLayoutVars>
      </dgm:prSet>
      <dgm:spPr>
        <a:prstGeom prst="chevron">
          <a:avLst/>
        </a:prstGeom>
      </dgm:spPr>
      <dgm:t>
        <a:bodyPr/>
        <a:lstStyle/>
        <a:p>
          <a:endParaRPr lang="cs-CZ"/>
        </a:p>
      </dgm:t>
    </dgm:pt>
  </dgm:ptLst>
  <dgm:cxnLst>
    <dgm:cxn modelId="{9BF74CD0-DDA3-4984-BBD5-EBE4121A6B77}" srcId="{5E1DDC45-BB69-45B2-AB77-187440A26013}" destId="{240C86E3-9B0E-4A95-B39C-2E8B9D8039E9}" srcOrd="3" destOrd="0" parTransId="{E7497187-E3D4-4521-9EF4-AC3F9048BAD7}" sibTransId="{7F421A30-A650-4087-8902-D37EC076D2B2}"/>
    <dgm:cxn modelId="{5F6E7885-3FBF-4F6B-84DF-E5C83F069B74}" type="presOf" srcId="{5C86C45D-0504-41F5-9ED8-B8588DC4BB71}" destId="{3B038CE9-4800-42E2-ADC1-CECE41DB3D7F}" srcOrd="0" destOrd="0" presId="urn:microsoft.com/office/officeart/2005/8/layout/lProcess3"/>
    <dgm:cxn modelId="{DFF650C2-C7FA-41F0-92F2-CF2FB269C05A}" type="presOf" srcId="{4D953984-3ACF-4D10-86C2-DD0EECD2045E}" destId="{4324C8AE-0C84-4B57-A0DB-F530EDB074FB}" srcOrd="0" destOrd="0" presId="urn:microsoft.com/office/officeart/2005/8/layout/lProcess3"/>
    <dgm:cxn modelId="{34615857-8CF1-48EC-B1AE-8874376DC5C2}" type="presOf" srcId="{8C82CBD6-9B91-494C-B5BE-A24E7DAC987A}" destId="{0C4F5166-7B8C-4DC5-9D99-03C90D522575}" srcOrd="0" destOrd="0" presId="urn:microsoft.com/office/officeart/2005/8/layout/lProcess3"/>
    <dgm:cxn modelId="{D67D2036-4C42-4E5D-AAAA-42C06326EAEE}" type="presOf" srcId="{254C9866-5F23-40FC-B5EF-776D5B090C45}" destId="{A299FC5C-1339-4079-8517-1DD3EECA853E}" srcOrd="0" destOrd="0" presId="urn:microsoft.com/office/officeart/2005/8/layout/lProcess3"/>
    <dgm:cxn modelId="{AA033F25-86FF-4758-94A5-9B4D14B0AFE9}" srcId="{5E1DDC45-BB69-45B2-AB77-187440A26013}" destId="{770BAE23-BF7C-46A3-B313-EFF05E5AEF38}" srcOrd="1" destOrd="0" parTransId="{EFC0006D-08D3-4BC5-89FB-37CBF8411771}" sibTransId="{CA272639-BB79-480B-B967-8D69E00998CC}"/>
    <dgm:cxn modelId="{B59E9779-8FEE-4F05-8ED6-4E564D7FBC08}" srcId="{5E1DDC45-BB69-45B2-AB77-187440A26013}" destId="{F3284C33-24B6-4B66-B189-2B622835057C}" srcOrd="0" destOrd="0" parTransId="{8AFE330C-98CA-4AD3-AE7A-768557BEFE65}" sibTransId="{EA202FD0-9207-43E4-A75C-CF84D2DFCF32}"/>
    <dgm:cxn modelId="{7E4DF2E4-B591-466C-A14D-9B687B7A49BF}" srcId="{10EEAB1A-174F-4182-8129-99D15D7AB9CF}" destId="{D83646A4-A7B1-4063-96EE-F494AE1354F3}" srcOrd="3" destOrd="0" parTransId="{8E629B7D-0666-4E55-A6F7-0D502A314A0E}" sibTransId="{CCD5F0B8-6925-4DD9-AEB0-82326B9BC3C4}"/>
    <dgm:cxn modelId="{C67CAB07-41F1-409A-9F06-6F4F9D4EB991}" type="presOf" srcId="{770BAE23-BF7C-46A3-B313-EFF05E5AEF38}" destId="{1FB013AE-1265-4AA4-B877-3F73C2284B66}" srcOrd="0" destOrd="0" presId="urn:microsoft.com/office/officeart/2005/8/layout/lProcess3"/>
    <dgm:cxn modelId="{308F2257-DF63-4345-B4F8-B8B61610CCA9}" type="presOf" srcId="{B56FF771-0284-45CC-BEB5-0F13737F543B}" destId="{4C65EDB7-00FC-46A4-9C20-9DA139026CE1}" srcOrd="0" destOrd="0" presId="urn:microsoft.com/office/officeart/2005/8/layout/lProcess3"/>
    <dgm:cxn modelId="{EAB9C5B7-6466-4EBE-97A5-C26BEC1BA2D9}" srcId="{254C9866-5F23-40FC-B5EF-776D5B090C45}" destId="{3389A320-7E6C-4B46-9B00-35B2A44C7FDC}" srcOrd="3" destOrd="0" parTransId="{CDC683A9-5CEC-4DB2-9962-19EF22A8E4A0}" sibTransId="{E8BF84B5-27DF-4935-A50F-AFDBAC5713CF}"/>
    <dgm:cxn modelId="{B313D72B-6038-4A25-88AD-2A1C018EC6CF}" type="presOf" srcId="{5E1DDC45-BB69-45B2-AB77-187440A26013}" destId="{480089F2-B50A-49A9-8423-0D7B6F8D6839}" srcOrd="0" destOrd="0" presId="urn:microsoft.com/office/officeart/2005/8/layout/lProcess3"/>
    <dgm:cxn modelId="{5BD4E26E-8DE6-4173-B45D-BB4A584731A7}" type="presOf" srcId="{BAB9C705-956B-4C48-87C1-811A07CE45F3}" destId="{E0B3BD13-AF19-47FA-8B20-BF9AA0D890B4}" srcOrd="0" destOrd="0" presId="urn:microsoft.com/office/officeart/2005/8/layout/lProcess3"/>
    <dgm:cxn modelId="{C286652C-92D4-4C9C-9D35-5919CAAAAAD2}" srcId="{78174B99-CB2F-41B4-84A1-1438F1481E64}" destId="{62A6766A-7015-4663-8F88-379392C1BE11}" srcOrd="4" destOrd="0" parTransId="{A6578421-CDAE-4169-BBBB-C5D113A31D27}" sibTransId="{F2D2666E-A48C-4B56-8FCA-BC93C49761A9}"/>
    <dgm:cxn modelId="{6CEAB6DC-D4C5-47A3-86E6-BEC62BA98C30}" srcId="{10EEAB1A-174F-4182-8129-99D15D7AB9CF}" destId="{6CC8CB00-F4BD-4923-B21D-476D50CE4744}" srcOrd="1" destOrd="0" parTransId="{3A0F8BA9-3017-44A7-92D0-493BE9266296}" sibTransId="{58CCD390-3616-4FCE-96E5-24C51DBD1F9B}"/>
    <dgm:cxn modelId="{DC90E02E-C9EB-48FE-B238-B67D319D5B0D}" type="presOf" srcId="{93447B53-24D9-4435-9944-0A8CE12A31FD}" destId="{C132509D-D53A-413A-B4A6-5E3503422542}" srcOrd="0" destOrd="0" presId="urn:microsoft.com/office/officeart/2005/8/layout/lProcess3"/>
    <dgm:cxn modelId="{4FFB2243-AD8E-4F8F-AD6D-F9041EEE02CB}" type="presOf" srcId="{A1CF1E31-5801-448F-B337-DBA64B602091}" destId="{EA6E9049-714D-4F70-9449-67590FE925DF}" srcOrd="0" destOrd="0" presId="urn:microsoft.com/office/officeart/2005/8/layout/lProcess3"/>
    <dgm:cxn modelId="{F5307CE6-D0D7-4577-9D32-9A402C9705D5}" type="presOf" srcId="{240C86E3-9B0E-4A95-B39C-2E8B9D8039E9}" destId="{CED83E52-2D06-4554-B3C8-B83EF9FCC5F9}" srcOrd="0" destOrd="0" presId="urn:microsoft.com/office/officeart/2005/8/layout/lProcess3"/>
    <dgm:cxn modelId="{64C87A25-432F-4EE5-BB67-6CEDA43802D8}" type="presOf" srcId="{1A6347D2-E774-46FA-B777-F1A30B1B32AE}" destId="{110F5A43-F211-43B5-A555-8C9EEBADA2D4}" srcOrd="0" destOrd="0" presId="urn:microsoft.com/office/officeart/2005/8/layout/lProcess3"/>
    <dgm:cxn modelId="{F7CB5E38-B9B2-475E-A24D-ACC35042F239}" type="presOf" srcId="{25F081A6-E845-4409-887B-05E369030AE7}" destId="{3963FC4F-805E-4287-BBFA-DE711BEEDB2C}" srcOrd="0" destOrd="0" presId="urn:microsoft.com/office/officeart/2005/8/layout/lProcess3"/>
    <dgm:cxn modelId="{BDE4C5AD-FA79-48AC-B2D5-CFCDEF48DF44}" srcId="{10EEAB1A-174F-4182-8129-99D15D7AB9CF}" destId="{B56FF771-0284-45CC-BEB5-0F13737F543B}" srcOrd="5" destOrd="0" parTransId="{F2722C6C-F3DC-46AB-9DAF-1C1E74197FB1}" sibTransId="{5906F1DB-1147-4252-9733-DD3E465D39BC}"/>
    <dgm:cxn modelId="{CE2D8627-E1EC-427F-96C6-8376AD2EEFDB}" type="presOf" srcId="{358C9A41-D250-4EE4-9337-6B3886DC0DC0}" destId="{E17CDDBE-C54E-41F3-B442-C82AC2798B30}" srcOrd="0" destOrd="0" presId="urn:microsoft.com/office/officeart/2005/8/layout/lProcess3"/>
    <dgm:cxn modelId="{68950414-8404-4C29-ACAA-54C9C6DAD015}" srcId="{78174B99-CB2F-41B4-84A1-1438F1481E64}" destId="{209F4FE5-7545-474C-A12F-B61E24BF3255}" srcOrd="2" destOrd="0" parTransId="{63AD4E18-C162-4B96-9CE0-7B2422FA6253}" sibTransId="{365929A1-29A6-40CB-8A04-7CD33DA95ED2}"/>
    <dgm:cxn modelId="{2C6BE0B1-B92F-422F-93E7-6E9D7DF3C080}" srcId="{5E1DDC45-BB69-45B2-AB77-187440A26013}" destId="{81C9E0CD-61B2-4599-8EE8-5F88AD37A8A6}" srcOrd="4" destOrd="0" parTransId="{D92C2D58-F7F0-47BD-A27E-AB53C06CA92E}" sibTransId="{09D6FDFA-8B96-42A0-82BC-AFFDE5E87FA2}"/>
    <dgm:cxn modelId="{C679B2AC-5D46-4842-A9A8-65991FDCF730}" srcId="{5C86C45D-0504-41F5-9ED8-B8588DC4BB71}" destId="{F23B00AF-5335-4B06-B9E0-C407B399300E}" srcOrd="1" destOrd="0" parTransId="{4D263FDF-B3C7-4003-9A94-D213C7AE82CA}" sibTransId="{9479A454-AB9D-4130-A99D-BBA20460FA4A}"/>
    <dgm:cxn modelId="{F5390BC2-5915-4D3F-8EBE-58357C06A4F6}" type="presOf" srcId="{FEA4DDB3-3A97-44AC-828D-91A1B7C2F815}" destId="{F1F41FAD-CF79-4184-9D4A-4B24B3BD1679}" srcOrd="0" destOrd="0" presId="urn:microsoft.com/office/officeart/2005/8/layout/lProcess3"/>
    <dgm:cxn modelId="{5CADA5D1-8101-4106-AB4B-B56D02493082}" srcId="{5C86C45D-0504-41F5-9ED8-B8588DC4BB71}" destId="{25F081A6-E845-4409-887B-05E369030AE7}" srcOrd="2" destOrd="0" parTransId="{788DD0A1-8EE1-41D8-B087-36D8BF896EA8}" sibTransId="{57FA23F5-AAC5-4EF6-817D-4976FD6CF51E}"/>
    <dgm:cxn modelId="{3DFE604B-724C-4881-8744-1D358C8ADD8D}" srcId="{254C9866-5F23-40FC-B5EF-776D5B090C45}" destId="{47FCF111-49CF-4285-AFAC-576F75F7C461}" srcOrd="5" destOrd="0" parTransId="{67321D49-F130-4C14-97D1-64EEE898CE93}" sibTransId="{E9ADB847-5564-4CB9-AB89-36850ED0952A}"/>
    <dgm:cxn modelId="{3B42D7F9-DFD0-441D-9F18-321ADA49AF47}" type="presOf" srcId="{F3284C33-24B6-4B66-B189-2B622835057C}" destId="{98847991-7FC9-459A-8113-3B3CE09C913D}" srcOrd="0" destOrd="0" presId="urn:microsoft.com/office/officeart/2005/8/layout/lProcess3"/>
    <dgm:cxn modelId="{B5564803-F5F9-4014-911E-E154F0C85191}" type="presOf" srcId="{EC97A157-B1ED-4108-8FEF-1E4923639515}" destId="{833188DE-4E3C-4E12-83E9-AF15E2D9BFD2}" srcOrd="0" destOrd="0" presId="urn:microsoft.com/office/officeart/2005/8/layout/lProcess3"/>
    <dgm:cxn modelId="{AAEAEADC-BBE5-4A85-8DCF-BFBA90D01B4F}" type="presOf" srcId="{BD31FC45-3A97-40A0-952F-7F630CAADFF7}" destId="{4AFDE68C-9E06-4875-8967-539174B30ADD}" srcOrd="0" destOrd="0" presId="urn:microsoft.com/office/officeart/2005/8/layout/lProcess3"/>
    <dgm:cxn modelId="{BF1CF443-1178-4CD3-9263-76DABC19179B}" srcId="{4D953984-3ACF-4D10-86C2-DD0EECD2045E}" destId="{EC97A157-B1ED-4108-8FEF-1E4923639515}" srcOrd="3" destOrd="0" parTransId="{9D7F40E7-42DB-4EEC-B91F-E81F9F00800B}" sibTransId="{5E219547-CBEE-409D-BC33-EF0F7574158E}"/>
    <dgm:cxn modelId="{D657CF24-9986-45B2-A6CC-669E91E28A26}" type="presOf" srcId="{CB9AED34-48FE-4838-9BE2-47F194315E75}" destId="{3FDD460E-C514-4FC3-8C45-360F099B4F8F}" srcOrd="0" destOrd="0" presId="urn:microsoft.com/office/officeart/2005/8/layout/lProcess3"/>
    <dgm:cxn modelId="{712CCC01-B446-4143-9B26-31E3391F38FD}" type="presOf" srcId="{92B6C3DD-0AB7-4931-87F2-1F5F98559367}" destId="{26A4A151-D07C-4DA7-A913-637EC8E300DA}" srcOrd="0" destOrd="0" presId="urn:microsoft.com/office/officeart/2005/8/layout/lProcess3"/>
    <dgm:cxn modelId="{EE73EFEB-6030-4D28-9DBA-FF585117EA09}" srcId="{78174B99-CB2F-41B4-84A1-1438F1481E64}" destId="{BD31FC45-3A97-40A0-952F-7F630CAADFF7}" srcOrd="3" destOrd="0" parTransId="{7F98EE7C-F0D8-43D7-8240-2E47B95F7EED}" sibTransId="{E8A55DA6-FCA5-42C9-855D-834E3421F7A2}"/>
    <dgm:cxn modelId="{928E7FB3-9936-4D4C-B9B6-72844F2875F9}" type="presOf" srcId="{B7AB5797-52D3-4168-94E9-B5B272FA6C3D}" destId="{190C9095-C4CF-4C8B-9843-FC9A87C43110}" srcOrd="0" destOrd="0" presId="urn:microsoft.com/office/officeart/2005/8/layout/lProcess3"/>
    <dgm:cxn modelId="{7A6E2191-A70D-4569-B524-88A49A5B22FA}" type="presOf" srcId="{0FD9EDD5-D66F-4DBF-9BBC-F557C161D16F}" destId="{341966EF-3C67-433C-892A-FBE5F2F03106}" srcOrd="0" destOrd="0" presId="urn:microsoft.com/office/officeart/2005/8/layout/lProcess3"/>
    <dgm:cxn modelId="{040B88BF-DE10-426A-8D6E-9F77F0AA9631}" srcId="{254C9866-5F23-40FC-B5EF-776D5B090C45}" destId="{92B6C3DD-0AB7-4931-87F2-1F5F98559367}" srcOrd="2" destOrd="0" parTransId="{E9095294-33F4-470B-9451-DD8FDC4EA599}" sibTransId="{2FB1259C-168E-4BBF-8E85-6EED5B01B8B6}"/>
    <dgm:cxn modelId="{4D4A54AD-733B-4E7D-8320-D4995DFF4E7B}" type="presOf" srcId="{6FF2215A-98C9-46E9-9B44-A4318822E1FF}" destId="{1FAD3650-64BC-4728-B0DE-4DF577F605F2}" srcOrd="0" destOrd="0" presId="urn:microsoft.com/office/officeart/2005/8/layout/lProcess3"/>
    <dgm:cxn modelId="{47825CE8-9B8C-4956-B169-962433248900}" type="presOf" srcId="{5C5B4CF2-03CD-467B-842D-BF255C666D8D}" destId="{4BC069EA-54EB-411A-9913-8C17480DA2D5}" srcOrd="0" destOrd="0" presId="urn:microsoft.com/office/officeart/2005/8/layout/lProcess3"/>
    <dgm:cxn modelId="{D854AD87-6BC3-451D-BF2E-A403FC00D3A8}" srcId="{78174B99-CB2F-41B4-84A1-1438F1481E64}" destId="{2EDBE3C3-8A52-4A3A-9194-3724DB8ACE24}" srcOrd="0" destOrd="0" parTransId="{7648DE78-9420-4106-B5C2-036985F43A06}" sibTransId="{57DB7BDA-E66E-4670-B460-59BDCDF1EA8F}"/>
    <dgm:cxn modelId="{F8380EE1-40BA-4909-AC03-FE163230E010}" srcId="{4D953984-3ACF-4D10-86C2-DD0EECD2045E}" destId="{D16CAD34-9C66-484C-BBDC-A5E42BF3D225}" srcOrd="5" destOrd="0" parTransId="{808DF22A-3A20-4FBB-8A78-D8AC7AAE1BF0}" sibTransId="{45B66F3E-68B1-4323-9B56-387FA6FB0408}"/>
    <dgm:cxn modelId="{6F62FD60-8DAE-475E-A66E-7D1982EBB80C}" type="presOf" srcId="{3389A320-7E6C-4B46-9B00-35B2A44C7FDC}" destId="{C2FAB8ED-1119-4492-9E82-19860B0208EA}" srcOrd="0" destOrd="0" presId="urn:microsoft.com/office/officeart/2005/8/layout/lProcess3"/>
    <dgm:cxn modelId="{E3221AC5-98DA-4248-B955-897C111A5118}" type="presOf" srcId="{D83646A4-A7B1-4063-96EE-F494AE1354F3}" destId="{729925F6-6C21-4C2A-A124-CB5331D4D0A1}" srcOrd="0" destOrd="0" presId="urn:microsoft.com/office/officeart/2005/8/layout/lProcess3"/>
    <dgm:cxn modelId="{A08410E1-484C-4B88-AD39-0AA25FB467E7}" srcId="{1A6347D2-E774-46FA-B777-F1A30B1B32AE}" destId="{10EEAB1A-174F-4182-8129-99D15D7AB9CF}" srcOrd="2" destOrd="0" parTransId="{9621A7A5-593F-4E40-9A9F-6395F70BF010}" sibTransId="{988FF4AE-EDFA-4F28-A5CC-08BF75833141}"/>
    <dgm:cxn modelId="{1A2B5A23-B6EF-47E1-9B45-3DADDCED2DBE}" type="presOf" srcId="{D16CAD34-9C66-484C-BBDC-A5E42BF3D225}" destId="{D3A25E5F-696A-492F-9F7A-F9DECAD0E80A}" srcOrd="0" destOrd="0" presId="urn:microsoft.com/office/officeart/2005/8/layout/lProcess3"/>
    <dgm:cxn modelId="{FAB24F56-6565-450D-B1E9-FF353CA1B578}" srcId="{1A6347D2-E774-46FA-B777-F1A30B1B32AE}" destId="{5C86C45D-0504-41F5-9ED8-B8588DC4BB71}" srcOrd="3" destOrd="0" parTransId="{958CFC62-690E-4A69-9661-5397DCEA31BF}" sibTransId="{66C83E80-71BF-41C0-B162-00C0E2E64806}"/>
    <dgm:cxn modelId="{9E7E485C-927F-486B-B270-4BCA96D1580B}" srcId="{254C9866-5F23-40FC-B5EF-776D5B090C45}" destId="{CB9AED34-48FE-4838-9BE2-47F194315E75}" srcOrd="0" destOrd="0" parTransId="{FB5DDF3B-026B-42DB-9E42-2EFF000CA664}" sibTransId="{0A5E7085-385E-4424-A15C-F11183ECD8D1}"/>
    <dgm:cxn modelId="{1EA05F70-360E-4C67-AD57-7FF19E0D4C84}" type="presOf" srcId="{3B04C11E-1E1D-4B33-905E-D561049DA493}" destId="{47012AB8-D9C4-4B00-AA2F-9FE5BCB3AE2B}" srcOrd="0" destOrd="0" presId="urn:microsoft.com/office/officeart/2005/8/layout/lProcess3"/>
    <dgm:cxn modelId="{881C22E3-E024-4296-BB9D-3EE32487F377}" type="presOf" srcId="{209F4FE5-7545-474C-A12F-B61E24BF3255}" destId="{39403DC2-8A29-4B93-A1AD-2A564629EE5C}" srcOrd="0" destOrd="0" presId="urn:microsoft.com/office/officeart/2005/8/layout/lProcess3"/>
    <dgm:cxn modelId="{5F50BE38-6501-4DCC-AF0C-55FA77884990}" type="presOf" srcId="{10EEAB1A-174F-4182-8129-99D15D7AB9CF}" destId="{271D193C-BAC1-45D4-9F55-82CC0206262A}" srcOrd="0" destOrd="0" presId="urn:microsoft.com/office/officeart/2005/8/layout/lProcess3"/>
    <dgm:cxn modelId="{BF446106-2748-465C-82A9-5AB1C93995B0}" srcId="{78174B99-CB2F-41B4-84A1-1438F1481E64}" destId="{0FD9EDD5-D66F-4DBF-9BBC-F557C161D16F}" srcOrd="5" destOrd="0" parTransId="{5B66ACB1-D36E-4B3D-8D5E-050A802E2EEE}" sibTransId="{918144D0-6648-46AE-8155-2887C7596364}"/>
    <dgm:cxn modelId="{FF2E30D5-28CF-439A-B67C-581103A44941}" type="presOf" srcId="{A107A654-54F0-418A-AAED-D6694D3FF9AE}" destId="{68FF06A0-95BF-4EB5-BCC0-FE24A744B17A}" srcOrd="0" destOrd="0" presId="urn:microsoft.com/office/officeart/2005/8/layout/lProcess3"/>
    <dgm:cxn modelId="{904960D1-1AAD-4FEA-A610-B5320936AEBF}" srcId="{5C86C45D-0504-41F5-9ED8-B8588DC4BB71}" destId="{A107A654-54F0-418A-AAED-D6694D3FF9AE}" srcOrd="3" destOrd="0" parTransId="{07A7D715-E3B4-42E9-A1E1-55E6AE08A9D2}" sibTransId="{2EFF7EC7-9DD7-4E89-B36E-9B6DDE8DE8E8}"/>
    <dgm:cxn modelId="{AB904891-B29F-4250-A5A5-EC26D54407F5}" type="presOf" srcId="{62A6766A-7015-4663-8F88-379392C1BE11}" destId="{805827EE-806F-459E-9BE2-BC7F4C63625B}" srcOrd="0" destOrd="0" presId="urn:microsoft.com/office/officeart/2005/8/layout/lProcess3"/>
    <dgm:cxn modelId="{7F8520E7-18CD-4AD7-9246-8612BFB7B683}" srcId="{4D953984-3ACF-4D10-86C2-DD0EECD2045E}" destId="{5A11B889-0B82-46C6-AA06-198B94C240BA}" srcOrd="2" destOrd="0" parTransId="{85632010-DCDE-49B9-B7C8-1BA4BC10AB96}" sibTransId="{3E41D1D9-E567-4048-A439-D1D74FF4254F}"/>
    <dgm:cxn modelId="{310A3113-A0E8-4F71-BAB5-F6696697AF1D}" srcId="{10EEAB1A-174F-4182-8129-99D15D7AB9CF}" destId="{3B04C11E-1E1D-4B33-905E-D561049DA493}" srcOrd="0" destOrd="0" parTransId="{9A5D6920-F92B-401E-8ABC-E4BDCB79BFC4}" sibTransId="{1C6F6D06-2691-49C6-9ECD-584EE3F45D1E}"/>
    <dgm:cxn modelId="{2CBF76AB-21EC-41A9-91C9-AE76936A02E4}" srcId="{5C86C45D-0504-41F5-9ED8-B8588DC4BB71}" destId="{93447B53-24D9-4435-9944-0A8CE12A31FD}" srcOrd="5" destOrd="0" parTransId="{09123B89-1F8B-4854-979E-0A5C277A87A8}" sibTransId="{611625C5-F15E-4884-9C12-AA885229D3D0}"/>
    <dgm:cxn modelId="{C9587956-1B1D-4227-87D8-57D3466BFBF5}" type="presOf" srcId="{6CC8CB00-F4BD-4923-B21D-476D50CE4744}" destId="{49C1FADA-A17D-4E70-A3E9-E768A1AF2D9C}" srcOrd="0" destOrd="0" presId="urn:microsoft.com/office/officeart/2005/8/layout/lProcess3"/>
    <dgm:cxn modelId="{2918B8DE-AB00-42C7-818D-4DFE83DFE10B}" type="presOf" srcId="{6083513D-45FA-4A8F-9475-B5EAA6A267B7}" destId="{C7C89D5B-53E8-48DF-B6AA-56A4462BAFA3}" srcOrd="0" destOrd="0" presId="urn:microsoft.com/office/officeart/2005/8/layout/lProcess3"/>
    <dgm:cxn modelId="{D76FD38C-B70D-4BE9-8F04-A1BA63113E06}" srcId="{1A6347D2-E774-46FA-B777-F1A30B1B32AE}" destId="{5E1DDC45-BB69-45B2-AB77-187440A26013}" srcOrd="5" destOrd="0" parTransId="{6D6EEDE8-D2E9-4960-860F-9A823AF410E4}" sibTransId="{BFA40536-BA00-4246-8051-EC1809A8D0E2}"/>
    <dgm:cxn modelId="{E4FC23FD-1C6E-4B34-92DC-11761E205FF0}" srcId="{5C86C45D-0504-41F5-9ED8-B8588DC4BB71}" destId="{8C82CBD6-9B91-494C-B5BE-A24E7DAC987A}" srcOrd="0" destOrd="0" parTransId="{F992937B-D676-4E14-883A-7DE4DC15F33C}" sibTransId="{D500B32E-0679-4C74-9104-62736048009E}"/>
    <dgm:cxn modelId="{9DF8CD4B-6CAC-43EA-A7B6-357B0BCE457C}" type="presOf" srcId="{4C18DD45-41C3-4954-8AD1-DDE473F06B57}" destId="{468992ED-F4D8-4F6D-B1A1-6343BD006473}" srcOrd="0" destOrd="0" presId="urn:microsoft.com/office/officeart/2005/8/layout/lProcess3"/>
    <dgm:cxn modelId="{7796AACE-01AA-4552-8B2C-43ECF3FCBCD7}" srcId="{4D953984-3ACF-4D10-86C2-DD0EECD2045E}" destId="{A1CF1E31-5801-448F-B337-DBA64B602091}" srcOrd="0" destOrd="0" parTransId="{BFA133A1-756A-45F1-8766-59F7BCFDAA6C}" sibTransId="{D30FBF5B-3185-4475-AA36-3B0290B49DAD}"/>
    <dgm:cxn modelId="{ECAEA752-CBE7-4547-A8A8-48159546DDCD}" srcId="{1A6347D2-E774-46FA-B777-F1A30B1B32AE}" destId="{4D953984-3ACF-4D10-86C2-DD0EECD2045E}" srcOrd="0" destOrd="0" parTransId="{F16E41CB-26E5-43DD-9796-987A9D8D425D}" sibTransId="{65D9BC79-1E0E-4540-B0A4-914D9CDA1CEF}"/>
    <dgm:cxn modelId="{1E8F49F5-B1EF-4DD8-92A0-160CF075C052}" srcId="{10EEAB1A-174F-4182-8129-99D15D7AB9CF}" destId="{B7AB5797-52D3-4168-94E9-B5B272FA6C3D}" srcOrd="2" destOrd="0" parTransId="{481AFC01-99CA-46E0-87DB-7575ED20FCFD}" sibTransId="{AB6F074E-C192-402C-B1F8-7A5A7BBE2373}"/>
    <dgm:cxn modelId="{7074881D-F902-419B-A3D3-69D166603E82}" srcId="{4D953984-3ACF-4D10-86C2-DD0EECD2045E}" destId="{5C5B4CF2-03CD-467B-842D-BF255C666D8D}" srcOrd="4" destOrd="0" parTransId="{2146FB9C-8A70-4886-876C-F201956EA5EF}" sibTransId="{4A97EA9F-0D43-4C4E-B773-0126E6BF88A2}"/>
    <dgm:cxn modelId="{EC78930E-C516-4686-ADF6-9E3F7BBF6364}" type="presOf" srcId="{81C9E0CD-61B2-4599-8EE8-5F88AD37A8A6}" destId="{C3CA2D55-BA82-448D-883B-AFED746031DF}" srcOrd="0" destOrd="0" presId="urn:microsoft.com/office/officeart/2005/8/layout/lProcess3"/>
    <dgm:cxn modelId="{099E3F79-3B22-4617-A77A-9F556E944CE2}" srcId="{254C9866-5F23-40FC-B5EF-776D5B090C45}" destId="{4C18DD45-41C3-4954-8AD1-DDE473F06B57}" srcOrd="1" destOrd="0" parTransId="{2FB36A29-4BDE-4F9C-83AA-EDBCF52A7CA3}" sibTransId="{4CF4E488-48C8-41A9-B4CF-9B8299C6299D}"/>
    <dgm:cxn modelId="{BEA380CB-6B9C-4154-A0DB-4710AB02409A}" srcId="{5E1DDC45-BB69-45B2-AB77-187440A26013}" destId="{C563B505-1618-404A-8748-1E1B6B6E73EC}" srcOrd="5" destOrd="0" parTransId="{FC97D372-CD28-4EBC-8E20-F2D7CB76026D}" sibTransId="{9B96F9FF-D582-49A6-89A9-BF450AB54C2F}"/>
    <dgm:cxn modelId="{FD27FC6F-30AD-4979-9713-032434D95C4C}" type="presOf" srcId="{5A11B889-0B82-46C6-AA06-198B94C240BA}" destId="{26A82BEF-68BE-4FEF-A542-D5EE7C04721A}" srcOrd="0" destOrd="0" presId="urn:microsoft.com/office/officeart/2005/8/layout/lProcess3"/>
    <dgm:cxn modelId="{B537E768-1179-43D6-9D74-C847D16AF998}" srcId="{5C86C45D-0504-41F5-9ED8-B8588DC4BB71}" destId="{6FF2215A-98C9-46E9-9B44-A4318822E1FF}" srcOrd="4" destOrd="0" parTransId="{5AD1B92A-4001-4268-8D70-1A396F83A308}" sibTransId="{C28617C6-CB83-42F9-9DC7-65202EACE19E}"/>
    <dgm:cxn modelId="{3B951A52-C956-4E3E-BEAD-5E0F31C576CE}" type="presOf" srcId="{47FCF111-49CF-4285-AFAC-576F75F7C461}" destId="{EF1309B9-1C6C-4BAE-82EC-68F65162E24D}" srcOrd="0" destOrd="0" presId="urn:microsoft.com/office/officeart/2005/8/layout/lProcess3"/>
    <dgm:cxn modelId="{BEDB6D3F-8793-4626-8623-6C182F0A8CDB}" type="presOf" srcId="{2EDBE3C3-8A52-4A3A-9194-3724DB8ACE24}" destId="{DD05987A-3EC2-4CCA-9869-1F1361695B14}" srcOrd="0" destOrd="0" presId="urn:microsoft.com/office/officeart/2005/8/layout/lProcess3"/>
    <dgm:cxn modelId="{32F73529-ECCF-4B9E-801E-3D0A30F40846}" type="presOf" srcId="{C563B505-1618-404A-8748-1E1B6B6E73EC}" destId="{C7C2FC6F-CBA8-4A3D-9DA7-B9AF86FEE370}" srcOrd="0" destOrd="0" presId="urn:microsoft.com/office/officeart/2005/8/layout/lProcess3"/>
    <dgm:cxn modelId="{ED7784F0-CB07-46A9-9099-A96DEBF07610}" srcId="{4D953984-3ACF-4D10-86C2-DD0EECD2045E}" destId="{358C9A41-D250-4EE4-9337-6B3886DC0DC0}" srcOrd="1" destOrd="0" parTransId="{37117464-C6AC-4707-B9BD-209DE83C59FB}" sibTransId="{EB460E09-C9FC-4808-8795-EB45393F3985}"/>
    <dgm:cxn modelId="{CBDD55F8-18AA-4483-9FEB-8E017BEEDF58}" srcId="{254C9866-5F23-40FC-B5EF-776D5B090C45}" destId="{6083513D-45FA-4A8F-9475-B5EAA6A267B7}" srcOrd="4" destOrd="0" parTransId="{9E374857-E02F-4C34-B88E-F49E4EF97408}" sibTransId="{F0CD90D5-4C64-44E8-9422-91608BB3EA84}"/>
    <dgm:cxn modelId="{BD1F13C6-0963-459B-B4C1-46A35A1AF419}" srcId="{10EEAB1A-174F-4182-8129-99D15D7AB9CF}" destId="{FEA4DDB3-3A97-44AC-828D-91A1B7C2F815}" srcOrd="4" destOrd="0" parTransId="{30C3A696-7896-4142-98B8-911DAA51A0C2}" sibTransId="{A392C771-08EA-4F6A-B577-51DE6D88CA16}"/>
    <dgm:cxn modelId="{EFBAA232-42A9-4C17-A725-9F3D5AA293C9}" type="presOf" srcId="{78174B99-CB2F-41B4-84A1-1438F1481E64}" destId="{108D6996-3FEB-43E6-98A6-B3CEA7AF6F97}" srcOrd="0" destOrd="0" presId="urn:microsoft.com/office/officeart/2005/8/layout/lProcess3"/>
    <dgm:cxn modelId="{FBE2A66C-BAEB-4055-B249-C62290420E1D}" srcId="{1A6347D2-E774-46FA-B777-F1A30B1B32AE}" destId="{78174B99-CB2F-41B4-84A1-1438F1481E64}" srcOrd="1" destOrd="0" parTransId="{D7C31FB7-9F0B-4DC9-9E58-D2D92803A3E7}" sibTransId="{949F9C5E-8E40-433E-9C30-8C6B1B901287}"/>
    <dgm:cxn modelId="{303ADA22-FF07-4BE9-8969-5183C4DFF3FD}" type="presOf" srcId="{F23B00AF-5335-4B06-B9E0-C407B399300E}" destId="{7CB82BEA-AE28-47E4-BA52-D78E48C0F651}" srcOrd="0" destOrd="0" presId="urn:microsoft.com/office/officeart/2005/8/layout/lProcess3"/>
    <dgm:cxn modelId="{FC6B2E31-E483-46CA-9007-5311EE05CE1C}" srcId="{5E1DDC45-BB69-45B2-AB77-187440A26013}" destId="{53E08440-3DB0-4AC6-9B54-632654D7D718}" srcOrd="2" destOrd="0" parTransId="{4D9121ED-A027-4E20-9792-D26891D21571}" sibTransId="{8633D9F9-727A-4367-B4C0-7830A01D1709}"/>
    <dgm:cxn modelId="{7081D2C1-2657-4839-8F02-EEEBB2BA2E76}" type="presOf" srcId="{53E08440-3DB0-4AC6-9B54-632654D7D718}" destId="{ADA72AC0-44B6-4A6F-B510-D4F3F5EC9133}" srcOrd="0" destOrd="0" presId="urn:microsoft.com/office/officeart/2005/8/layout/lProcess3"/>
    <dgm:cxn modelId="{2E4F9EB2-8F1A-4534-BF6D-3D10D5EEB47E}" srcId="{78174B99-CB2F-41B4-84A1-1438F1481E64}" destId="{BAB9C705-956B-4C48-87C1-811A07CE45F3}" srcOrd="1" destOrd="0" parTransId="{5060BF98-44BD-4F09-9401-9C30985B369C}" sibTransId="{FC896497-7C28-4987-BB69-76BA32DE4EF9}"/>
    <dgm:cxn modelId="{6A3BFFDA-A59C-4C94-BAE6-6ADC8F76C7F4}" srcId="{1A6347D2-E774-46FA-B777-F1A30B1B32AE}" destId="{254C9866-5F23-40FC-B5EF-776D5B090C45}" srcOrd="4" destOrd="0" parTransId="{56A030EF-FD75-422E-B94B-F40DC0C92F11}" sibTransId="{193CBE89-BDA9-41A9-A445-CC6B818C72B2}"/>
    <dgm:cxn modelId="{02268F0E-153A-4A2D-99CF-43EA3E6964F6}" type="presParOf" srcId="{110F5A43-F211-43B5-A555-8C9EEBADA2D4}" destId="{89981277-0A47-47D1-A0CA-10765B466ED1}" srcOrd="0" destOrd="0" presId="urn:microsoft.com/office/officeart/2005/8/layout/lProcess3"/>
    <dgm:cxn modelId="{E520A3E9-701F-4530-AF44-65F16625BEB1}" type="presParOf" srcId="{89981277-0A47-47D1-A0CA-10765B466ED1}" destId="{4324C8AE-0C84-4B57-A0DB-F530EDB074FB}" srcOrd="0" destOrd="0" presId="urn:microsoft.com/office/officeart/2005/8/layout/lProcess3"/>
    <dgm:cxn modelId="{03B44445-D701-450E-811C-95CC2E690092}" type="presParOf" srcId="{89981277-0A47-47D1-A0CA-10765B466ED1}" destId="{2151C726-09A8-41A7-9257-FBCF34984038}" srcOrd="1" destOrd="0" presId="urn:microsoft.com/office/officeart/2005/8/layout/lProcess3"/>
    <dgm:cxn modelId="{A2365261-49C2-4D64-9643-D1D72AEA5EA2}" type="presParOf" srcId="{89981277-0A47-47D1-A0CA-10765B466ED1}" destId="{EA6E9049-714D-4F70-9449-67590FE925DF}" srcOrd="2" destOrd="0" presId="urn:microsoft.com/office/officeart/2005/8/layout/lProcess3"/>
    <dgm:cxn modelId="{64BCE87C-D2CE-4BD8-A99A-6CE4FF688C30}" type="presParOf" srcId="{89981277-0A47-47D1-A0CA-10765B466ED1}" destId="{ABA96DD0-7385-4751-B5CE-7EFD9DEA4C59}" srcOrd="3" destOrd="0" presId="urn:microsoft.com/office/officeart/2005/8/layout/lProcess3"/>
    <dgm:cxn modelId="{D2587BED-2A2C-4476-BA1E-1B2413C64802}" type="presParOf" srcId="{89981277-0A47-47D1-A0CA-10765B466ED1}" destId="{E17CDDBE-C54E-41F3-B442-C82AC2798B30}" srcOrd="4" destOrd="0" presId="urn:microsoft.com/office/officeart/2005/8/layout/lProcess3"/>
    <dgm:cxn modelId="{295D13C6-E492-497F-BCCA-3D5A0A78DC18}" type="presParOf" srcId="{89981277-0A47-47D1-A0CA-10765B466ED1}" destId="{88DDF0DC-9738-43F9-AD8F-A06A9FCF4148}" srcOrd="5" destOrd="0" presId="urn:microsoft.com/office/officeart/2005/8/layout/lProcess3"/>
    <dgm:cxn modelId="{7CCE0B6E-7D4E-4122-AEE1-1DAB0BA72338}" type="presParOf" srcId="{89981277-0A47-47D1-A0CA-10765B466ED1}" destId="{26A82BEF-68BE-4FEF-A542-D5EE7C04721A}" srcOrd="6" destOrd="0" presId="urn:microsoft.com/office/officeart/2005/8/layout/lProcess3"/>
    <dgm:cxn modelId="{C73054C8-C075-4555-925A-BADB9BBA82DB}" type="presParOf" srcId="{89981277-0A47-47D1-A0CA-10765B466ED1}" destId="{75082378-69D2-49C0-BBAB-3B84D10518D6}" srcOrd="7" destOrd="0" presId="urn:microsoft.com/office/officeart/2005/8/layout/lProcess3"/>
    <dgm:cxn modelId="{7201B3D4-375C-4D43-8E00-63583B134426}" type="presParOf" srcId="{89981277-0A47-47D1-A0CA-10765B466ED1}" destId="{833188DE-4E3C-4E12-83E9-AF15E2D9BFD2}" srcOrd="8" destOrd="0" presId="urn:microsoft.com/office/officeart/2005/8/layout/lProcess3"/>
    <dgm:cxn modelId="{D1BC0A6D-7AA4-4C29-90D1-1F98E129822C}" type="presParOf" srcId="{89981277-0A47-47D1-A0CA-10765B466ED1}" destId="{1A7B4BD8-9A49-446F-9582-0DEAC581B14A}" srcOrd="9" destOrd="0" presId="urn:microsoft.com/office/officeart/2005/8/layout/lProcess3"/>
    <dgm:cxn modelId="{DCD4E122-0E8E-4969-9527-CB21D7103E61}" type="presParOf" srcId="{89981277-0A47-47D1-A0CA-10765B466ED1}" destId="{4BC069EA-54EB-411A-9913-8C17480DA2D5}" srcOrd="10" destOrd="0" presId="urn:microsoft.com/office/officeart/2005/8/layout/lProcess3"/>
    <dgm:cxn modelId="{3B77368B-96F9-4AA2-81A1-11B08B81CC80}" type="presParOf" srcId="{89981277-0A47-47D1-A0CA-10765B466ED1}" destId="{43F38896-F396-4B63-9208-4D7C552D8F04}" srcOrd="11" destOrd="0" presId="urn:microsoft.com/office/officeart/2005/8/layout/lProcess3"/>
    <dgm:cxn modelId="{A663346D-1EE5-4BC8-8455-26255B70277B}" type="presParOf" srcId="{89981277-0A47-47D1-A0CA-10765B466ED1}" destId="{D3A25E5F-696A-492F-9F7A-F9DECAD0E80A}" srcOrd="12" destOrd="0" presId="urn:microsoft.com/office/officeart/2005/8/layout/lProcess3"/>
    <dgm:cxn modelId="{E0992C41-342A-4752-AC27-4BA61E4EAA49}" type="presParOf" srcId="{110F5A43-F211-43B5-A555-8C9EEBADA2D4}" destId="{A9BEE66F-36BB-44B3-B70B-8A3D13CEF7BE}" srcOrd="1" destOrd="0" presId="urn:microsoft.com/office/officeart/2005/8/layout/lProcess3"/>
    <dgm:cxn modelId="{8A03AEE8-C6F9-4401-9A4E-FC5E16930A02}" type="presParOf" srcId="{110F5A43-F211-43B5-A555-8C9EEBADA2D4}" destId="{42328518-1889-434F-BA29-67500AD6A3E3}" srcOrd="2" destOrd="0" presId="urn:microsoft.com/office/officeart/2005/8/layout/lProcess3"/>
    <dgm:cxn modelId="{1F3010B9-7830-49DD-BC11-8CD7C91B5884}" type="presParOf" srcId="{42328518-1889-434F-BA29-67500AD6A3E3}" destId="{108D6996-3FEB-43E6-98A6-B3CEA7AF6F97}" srcOrd="0" destOrd="0" presId="urn:microsoft.com/office/officeart/2005/8/layout/lProcess3"/>
    <dgm:cxn modelId="{4C18A105-C4E3-41C2-9A7E-C274D7046675}" type="presParOf" srcId="{42328518-1889-434F-BA29-67500AD6A3E3}" destId="{3274A788-D1B1-42E9-A0B9-97FC70252455}" srcOrd="1" destOrd="0" presId="urn:microsoft.com/office/officeart/2005/8/layout/lProcess3"/>
    <dgm:cxn modelId="{146628BE-30FC-4D4B-B033-B0B7CFC32D16}" type="presParOf" srcId="{42328518-1889-434F-BA29-67500AD6A3E3}" destId="{DD05987A-3EC2-4CCA-9869-1F1361695B14}" srcOrd="2" destOrd="0" presId="urn:microsoft.com/office/officeart/2005/8/layout/lProcess3"/>
    <dgm:cxn modelId="{970216B3-C42C-420D-8A2D-ECE087DA471E}" type="presParOf" srcId="{42328518-1889-434F-BA29-67500AD6A3E3}" destId="{074DC42B-66ED-496B-ADFF-445C4D1A79C7}" srcOrd="3" destOrd="0" presId="urn:microsoft.com/office/officeart/2005/8/layout/lProcess3"/>
    <dgm:cxn modelId="{29E1F7F3-69BD-41CB-AFB7-37E924B89894}" type="presParOf" srcId="{42328518-1889-434F-BA29-67500AD6A3E3}" destId="{E0B3BD13-AF19-47FA-8B20-BF9AA0D890B4}" srcOrd="4" destOrd="0" presId="urn:microsoft.com/office/officeart/2005/8/layout/lProcess3"/>
    <dgm:cxn modelId="{6A2C47D9-E458-436C-81FD-342C7B09EC4B}" type="presParOf" srcId="{42328518-1889-434F-BA29-67500AD6A3E3}" destId="{8724CBF4-700F-4F2B-89EC-DB5AB15B0263}" srcOrd="5" destOrd="0" presId="urn:microsoft.com/office/officeart/2005/8/layout/lProcess3"/>
    <dgm:cxn modelId="{47DDC5D2-E0F2-467E-833B-D2A4E1E0EC73}" type="presParOf" srcId="{42328518-1889-434F-BA29-67500AD6A3E3}" destId="{39403DC2-8A29-4B93-A1AD-2A564629EE5C}" srcOrd="6" destOrd="0" presId="urn:microsoft.com/office/officeart/2005/8/layout/lProcess3"/>
    <dgm:cxn modelId="{756A6001-679E-458E-9B73-B07C963877CE}" type="presParOf" srcId="{42328518-1889-434F-BA29-67500AD6A3E3}" destId="{EDDE672C-DAC3-4202-9BBA-0CD4F65E941E}" srcOrd="7" destOrd="0" presId="urn:microsoft.com/office/officeart/2005/8/layout/lProcess3"/>
    <dgm:cxn modelId="{08F88425-8E27-4093-A0DC-813E4900F3A8}" type="presParOf" srcId="{42328518-1889-434F-BA29-67500AD6A3E3}" destId="{4AFDE68C-9E06-4875-8967-539174B30ADD}" srcOrd="8" destOrd="0" presId="urn:microsoft.com/office/officeart/2005/8/layout/lProcess3"/>
    <dgm:cxn modelId="{0EA45F1A-9380-42A2-9952-CFDE9E9BEA4F}" type="presParOf" srcId="{42328518-1889-434F-BA29-67500AD6A3E3}" destId="{6EC87B21-6427-4FE5-AF36-A804927921DB}" srcOrd="9" destOrd="0" presId="urn:microsoft.com/office/officeart/2005/8/layout/lProcess3"/>
    <dgm:cxn modelId="{5301BE05-270A-433B-AD2B-135A987607D2}" type="presParOf" srcId="{42328518-1889-434F-BA29-67500AD6A3E3}" destId="{805827EE-806F-459E-9BE2-BC7F4C63625B}" srcOrd="10" destOrd="0" presId="urn:microsoft.com/office/officeart/2005/8/layout/lProcess3"/>
    <dgm:cxn modelId="{0D0B3DA4-20A4-467B-9B64-55B086D35DAD}" type="presParOf" srcId="{42328518-1889-434F-BA29-67500AD6A3E3}" destId="{45AA2FE5-9708-4508-BB8A-E6C1FBF3E3DE}" srcOrd="11" destOrd="0" presId="urn:microsoft.com/office/officeart/2005/8/layout/lProcess3"/>
    <dgm:cxn modelId="{0DCF0DD6-9FA9-4488-8C54-30311D3544EB}" type="presParOf" srcId="{42328518-1889-434F-BA29-67500AD6A3E3}" destId="{341966EF-3C67-433C-892A-FBE5F2F03106}" srcOrd="12" destOrd="0" presId="urn:microsoft.com/office/officeart/2005/8/layout/lProcess3"/>
    <dgm:cxn modelId="{0A2437FF-6BCA-4E3E-ADEC-A50C8ACDF946}" type="presParOf" srcId="{110F5A43-F211-43B5-A555-8C9EEBADA2D4}" destId="{DCDED6E6-4835-446E-AE1D-11C056A415A0}" srcOrd="3" destOrd="0" presId="urn:microsoft.com/office/officeart/2005/8/layout/lProcess3"/>
    <dgm:cxn modelId="{874F0A7F-3007-4827-B1D9-52ADE0AA6347}" type="presParOf" srcId="{110F5A43-F211-43B5-A555-8C9EEBADA2D4}" destId="{E0A57FD5-40E2-457A-8DCD-AECCFCC1CD91}" srcOrd="4" destOrd="0" presId="urn:microsoft.com/office/officeart/2005/8/layout/lProcess3"/>
    <dgm:cxn modelId="{B1473E69-9DCD-4CEF-8970-037EADAC7488}" type="presParOf" srcId="{E0A57FD5-40E2-457A-8DCD-AECCFCC1CD91}" destId="{271D193C-BAC1-45D4-9F55-82CC0206262A}" srcOrd="0" destOrd="0" presId="urn:microsoft.com/office/officeart/2005/8/layout/lProcess3"/>
    <dgm:cxn modelId="{D510334E-4555-4E50-8AA5-89C1E04AECC7}" type="presParOf" srcId="{E0A57FD5-40E2-457A-8DCD-AECCFCC1CD91}" destId="{A02F81FF-E421-460D-A25E-FC1AFFE195F5}" srcOrd="1" destOrd="0" presId="urn:microsoft.com/office/officeart/2005/8/layout/lProcess3"/>
    <dgm:cxn modelId="{F0EA9193-1CDA-4917-9655-7F7F5334FD21}" type="presParOf" srcId="{E0A57FD5-40E2-457A-8DCD-AECCFCC1CD91}" destId="{47012AB8-D9C4-4B00-AA2F-9FE5BCB3AE2B}" srcOrd="2" destOrd="0" presId="urn:microsoft.com/office/officeart/2005/8/layout/lProcess3"/>
    <dgm:cxn modelId="{BF28E445-C9E0-4DA7-B512-428ADF527AE1}" type="presParOf" srcId="{E0A57FD5-40E2-457A-8DCD-AECCFCC1CD91}" destId="{37EAEF79-AFD4-4254-A1DD-043C950A9181}" srcOrd="3" destOrd="0" presId="urn:microsoft.com/office/officeart/2005/8/layout/lProcess3"/>
    <dgm:cxn modelId="{91BD598F-F2BF-4A83-8A3F-18E83BA396CA}" type="presParOf" srcId="{E0A57FD5-40E2-457A-8DCD-AECCFCC1CD91}" destId="{49C1FADA-A17D-4E70-A3E9-E768A1AF2D9C}" srcOrd="4" destOrd="0" presId="urn:microsoft.com/office/officeart/2005/8/layout/lProcess3"/>
    <dgm:cxn modelId="{C2C7F8AE-648B-4464-8844-2D561A7A8B86}" type="presParOf" srcId="{E0A57FD5-40E2-457A-8DCD-AECCFCC1CD91}" destId="{0E20D554-1779-452B-BF7D-5988665B2857}" srcOrd="5" destOrd="0" presId="urn:microsoft.com/office/officeart/2005/8/layout/lProcess3"/>
    <dgm:cxn modelId="{9D3EED5B-615B-4127-889B-2ABFDBD16394}" type="presParOf" srcId="{E0A57FD5-40E2-457A-8DCD-AECCFCC1CD91}" destId="{190C9095-C4CF-4C8B-9843-FC9A87C43110}" srcOrd="6" destOrd="0" presId="urn:microsoft.com/office/officeart/2005/8/layout/lProcess3"/>
    <dgm:cxn modelId="{CB9D10C5-CBDC-483B-8BDA-1FBFCED05588}" type="presParOf" srcId="{E0A57FD5-40E2-457A-8DCD-AECCFCC1CD91}" destId="{3A29FBB7-BFD7-40DF-B926-DFC96F12E73B}" srcOrd="7" destOrd="0" presId="urn:microsoft.com/office/officeart/2005/8/layout/lProcess3"/>
    <dgm:cxn modelId="{AA3F43FD-4634-4E5B-9544-AAAD4DD6EEC7}" type="presParOf" srcId="{E0A57FD5-40E2-457A-8DCD-AECCFCC1CD91}" destId="{729925F6-6C21-4C2A-A124-CB5331D4D0A1}" srcOrd="8" destOrd="0" presId="urn:microsoft.com/office/officeart/2005/8/layout/lProcess3"/>
    <dgm:cxn modelId="{A83428E5-A39A-433B-B09D-3D368668C3A6}" type="presParOf" srcId="{E0A57FD5-40E2-457A-8DCD-AECCFCC1CD91}" destId="{F87B3730-9DBA-4FB1-BEC3-203582704E71}" srcOrd="9" destOrd="0" presId="urn:microsoft.com/office/officeart/2005/8/layout/lProcess3"/>
    <dgm:cxn modelId="{3501B0D1-2DE6-43C3-85D3-9FAAB22444EE}" type="presParOf" srcId="{E0A57FD5-40E2-457A-8DCD-AECCFCC1CD91}" destId="{F1F41FAD-CF79-4184-9D4A-4B24B3BD1679}" srcOrd="10" destOrd="0" presId="urn:microsoft.com/office/officeart/2005/8/layout/lProcess3"/>
    <dgm:cxn modelId="{F837E110-5302-4DE9-B256-E750BB538079}" type="presParOf" srcId="{E0A57FD5-40E2-457A-8DCD-AECCFCC1CD91}" destId="{CEC64482-0253-43ED-B9B7-046F5EB620B3}" srcOrd="11" destOrd="0" presId="urn:microsoft.com/office/officeart/2005/8/layout/lProcess3"/>
    <dgm:cxn modelId="{1CCEE263-A32A-4FD9-AD47-BEBC83931C0B}" type="presParOf" srcId="{E0A57FD5-40E2-457A-8DCD-AECCFCC1CD91}" destId="{4C65EDB7-00FC-46A4-9C20-9DA139026CE1}" srcOrd="12" destOrd="0" presId="urn:microsoft.com/office/officeart/2005/8/layout/lProcess3"/>
    <dgm:cxn modelId="{7B79AC19-D59F-46DD-8E06-FF73A8062070}" type="presParOf" srcId="{110F5A43-F211-43B5-A555-8C9EEBADA2D4}" destId="{7E5BF45C-0115-41ED-9326-05FE7C694700}" srcOrd="5" destOrd="0" presId="urn:microsoft.com/office/officeart/2005/8/layout/lProcess3"/>
    <dgm:cxn modelId="{92151F78-F21F-4B77-88AF-45A686D323F4}" type="presParOf" srcId="{110F5A43-F211-43B5-A555-8C9EEBADA2D4}" destId="{1BB6BA2D-2500-4816-8327-0A4F6B34843B}" srcOrd="6" destOrd="0" presId="urn:microsoft.com/office/officeart/2005/8/layout/lProcess3"/>
    <dgm:cxn modelId="{31C14AF9-C1D7-4CC7-970A-500734994772}" type="presParOf" srcId="{1BB6BA2D-2500-4816-8327-0A4F6B34843B}" destId="{3B038CE9-4800-42E2-ADC1-CECE41DB3D7F}" srcOrd="0" destOrd="0" presId="urn:microsoft.com/office/officeart/2005/8/layout/lProcess3"/>
    <dgm:cxn modelId="{E61C184B-514F-4150-8A7C-ACC3190EA893}" type="presParOf" srcId="{1BB6BA2D-2500-4816-8327-0A4F6B34843B}" destId="{C69CFF36-F175-4B28-88C2-30012360F175}" srcOrd="1" destOrd="0" presId="urn:microsoft.com/office/officeart/2005/8/layout/lProcess3"/>
    <dgm:cxn modelId="{51A8EEDD-2A07-4049-A56B-B2F4B9281785}" type="presParOf" srcId="{1BB6BA2D-2500-4816-8327-0A4F6B34843B}" destId="{0C4F5166-7B8C-4DC5-9D99-03C90D522575}" srcOrd="2" destOrd="0" presId="urn:microsoft.com/office/officeart/2005/8/layout/lProcess3"/>
    <dgm:cxn modelId="{FD0AC5BF-C4E3-4693-89CE-A36889D77AD2}" type="presParOf" srcId="{1BB6BA2D-2500-4816-8327-0A4F6B34843B}" destId="{13F7C1A8-0FA6-4047-8DEF-A7F40DB089B6}" srcOrd="3" destOrd="0" presId="urn:microsoft.com/office/officeart/2005/8/layout/lProcess3"/>
    <dgm:cxn modelId="{1FD3B04B-E2FF-4DA7-8BDA-D8FA96176F16}" type="presParOf" srcId="{1BB6BA2D-2500-4816-8327-0A4F6B34843B}" destId="{7CB82BEA-AE28-47E4-BA52-D78E48C0F651}" srcOrd="4" destOrd="0" presId="urn:microsoft.com/office/officeart/2005/8/layout/lProcess3"/>
    <dgm:cxn modelId="{B9FB629E-F8FC-44D4-9FCB-C85F20F3C4ED}" type="presParOf" srcId="{1BB6BA2D-2500-4816-8327-0A4F6B34843B}" destId="{530B6F05-6DFC-43D0-92E5-B644BDD10F2A}" srcOrd="5" destOrd="0" presId="urn:microsoft.com/office/officeart/2005/8/layout/lProcess3"/>
    <dgm:cxn modelId="{6E19BAB5-03BC-4FCF-94EF-416B09F4E23C}" type="presParOf" srcId="{1BB6BA2D-2500-4816-8327-0A4F6B34843B}" destId="{3963FC4F-805E-4287-BBFA-DE711BEEDB2C}" srcOrd="6" destOrd="0" presId="urn:microsoft.com/office/officeart/2005/8/layout/lProcess3"/>
    <dgm:cxn modelId="{FC89C22D-AA34-4EDD-BD83-E09E051BFE24}" type="presParOf" srcId="{1BB6BA2D-2500-4816-8327-0A4F6B34843B}" destId="{24B223E9-9351-4648-AEE2-D4038D026EF0}" srcOrd="7" destOrd="0" presId="urn:microsoft.com/office/officeart/2005/8/layout/lProcess3"/>
    <dgm:cxn modelId="{C17A14C7-C653-49FE-A61B-6C3539B6EACD}" type="presParOf" srcId="{1BB6BA2D-2500-4816-8327-0A4F6B34843B}" destId="{68FF06A0-95BF-4EB5-BCC0-FE24A744B17A}" srcOrd="8" destOrd="0" presId="urn:microsoft.com/office/officeart/2005/8/layout/lProcess3"/>
    <dgm:cxn modelId="{DF25222E-8957-4139-BEF6-417D75A6D73B}" type="presParOf" srcId="{1BB6BA2D-2500-4816-8327-0A4F6B34843B}" destId="{1169AA05-4D8B-4B3D-9FEC-0917DC98EC23}" srcOrd="9" destOrd="0" presId="urn:microsoft.com/office/officeart/2005/8/layout/lProcess3"/>
    <dgm:cxn modelId="{9EB797F7-48A6-4708-BF1C-3FDA77540A91}" type="presParOf" srcId="{1BB6BA2D-2500-4816-8327-0A4F6B34843B}" destId="{1FAD3650-64BC-4728-B0DE-4DF577F605F2}" srcOrd="10" destOrd="0" presId="urn:microsoft.com/office/officeart/2005/8/layout/lProcess3"/>
    <dgm:cxn modelId="{55358029-5FF3-4FCB-8D88-52F08FD20AE4}" type="presParOf" srcId="{1BB6BA2D-2500-4816-8327-0A4F6B34843B}" destId="{CCD5C5F7-8FEC-426D-9ABE-706AE504B669}" srcOrd="11" destOrd="0" presId="urn:microsoft.com/office/officeart/2005/8/layout/lProcess3"/>
    <dgm:cxn modelId="{CEE18C56-38D7-4B78-B6D1-044B90020EAE}" type="presParOf" srcId="{1BB6BA2D-2500-4816-8327-0A4F6B34843B}" destId="{C132509D-D53A-413A-B4A6-5E3503422542}" srcOrd="12" destOrd="0" presId="urn:microsoft.com/office/officeart/2005/8/layout/lProcess3"/>
    <dgm:cxn modelId="{454819C8-24B2-4F84-9A0E-61504BF7EB1B}" type="presParOf" srcId="{110F5A43-F211-43B5-A555-8C9EEBADA2D4}" destId="{E8464853-05EE-4D8D-9F2F-B5B84C2F94B1}" srcOrd="7" destOrd="0" presId="urn:microsoft.com/office/officeart/2005/8/layout/lProcess3"/>
    <dgm:cxn modelId="{E6818DEC-0DF6-4F52-ADBA-709D247058B1}" type="presParOf" srcId="{110F5A43-F211-43B5-A555-8C9EEBADA2D4}" destId="{EA2275CB-DA8B-4317-82D1-F94D8FDFED9C}" srcOrd="8" destOrd="0" presId="urn:microsoft.com/office/officeart/2005/8/layout/lProcess3"/>
    <dgm:cxn modelId="{41E29457-3BEA-4E4F-BB32-F72A2160E639}" type="presParOf" srcId="{EA2275CB-DA8B-4317-82D1-F94D8FDFED9C}" destId="{A299FC5C-1339-4079-8517-1DD3EECA853E}" srcOrd="0" destOrd="0" presId="urn:microsoft.com/office/officeart/2005/8/layout/lProcess3"/>
    <dgm:cxn modelId="{731FA4DE-7922-40E6-BC17-240EFC3A080C}" type="presParOf" srcId="{EA2275CB-DA8B-4317-82D1-F94D8FDFED9C}" destId="{3D3A8F47-FF13-4731-A655-EC4E32E44E03}" srcOrd="1" destOrd="0" presId="urn:microsoft.com/office/officeart/2005/8/layout/lProcess3"/>
    <dgm:cxn modelId="{CCF8FBD0-F014-414F-9827-4B4A83989C7C}" type="presParOf" srcId="{EA2275CB-DA8B-4317-82D1-F94D8FDFED9C}" destId="{3FDD460E-C514-4FC3-8C45-360F099B4F8F}" srcOrd="2" destOrd="0" presId="urn:microsoft.com/office/officeart/2005/8/layout/lProcess3"/>
    <dgm:cxn modelId="{E529C8C4-872B-475E-805A-8F52BB5236FA}" type="presParOf" srcId="{EA2275CB-DA8B-4317-82D1-F94D8FDFED9C}" destId="{39224646-B618-44AB-9C36-7A3386D52819}" srcOrd="3" destOrd="0" presId="urn:microsoft.com/office/officeart/2005/8/layout/lProcess3"/>
    <dgm:cxn modelId="{9AC71F41-7A82-489C-9F19-2B7FA392956D}" type="presParOf" srcId="{EA2275CB-DA8B-4317-82D1-F94D8FDFED9C}" destId="{468992ED-F4D8-4F6D-B1A1-6343BD006473}" srcOrd="4" destOrd="0" presId="urn:microsoft.com/office/officeart/2005/8/layout/lProcess3"/>
    <dgm:cxn modelId="{6C97E244-5A5A-4274-A336-62A267E68B9C}" type="presParOf" srcId="{EA2275CB-DA8B-4317-82D1-F94D8FDFED9C}" destId="{17EC2A43-5AAF-4977-BE63-79221E6AFBDA}" srcOrd="5" destOrd="0" presId="urn:microsoft.com/office/officeart/2005/8/layout/lProcess3"/>
    <dgm:cxn modelId="{56205C24-52C6-4179-95AA-947D3F276EC3}" type="presParOf" srcId="{EA2275CB-DA8B-4317-82D1-F94D8FDFED9C}" destId="{26A4A151-D07C-4DA7-A913-637EC8E300DA}" srcOrd="6" destOrd="0" presId="urn:microsoft.com/office/officeart/2005/8/layout/lProcess3"/>
    <dgm:cxn modelId="{42F4E378-67ED-4E09-A817-4A0422D97F83}" type="presParOf" srcId="{EA2275CB-DA8B-4317-82D1-F94D8FDFED9C}" destId="{E9BBE036-BEEA-4DC6-9B8F-89F427AE7B0C}" srcOrd="7" destOrd="0" presId="urn:microsoft.com/office/officeart/2005/8/layout/lProcess3"/>
    <dgm:cxn modelId="{7782F02C-0B85-45DF-A716-19D2DD2BDE9E}" type="presParOf" srcId="{EA2275CB-DA8B-4317-82D1-F94D8FDFED9C}" destId="{C2FAB8ED-1119-4492-9E82-19860B0208EA}" srcOrd="8" destOrd="0" presId="urn:microsoft.com/office/officeart/2005/8/layout/lProcess3"/>
    <dgm:cxn modelId="{33E3DA17-3650-4BDB-9B2F-2683DC3999DE}" type="presParOf" srcId="{EA2275CB-DA8B-4317-82D1-F94D8FDFED9C}" destId="{4E954184-C965-4EB7-86FC-C745C04336FA}" srcOrd="9" destOrd="0" presId="urn:microsoft.com/office/officeart/2005/8/layout/lProcess3"/>
    <dgm:cxn modelId="{697563E6-925B-4499-B4A6-8AC237B05ECF}" type="presParOf" srcId="{EA2275CB-DA8B-4317-82D1-F94D8FDFED9C}" destId="{C7C89D5B-53E8-48DF-B6AA-56A4462BAFA3}" srcOrd="10" destOrd="0" presId="urn:microsoft.com/office/officeart/2005/8/layout/lProcess3"/>
    <dgm:cxn modelId="{DE3DF799-B7AA-4B2E-B5E7-0E92E1418070}" type="presParOf" srcId="{EA2275CB-DA8B-4317-82D1-F94D8FDFED9C}" destId="{96B243E4-394F-4BDD-9475-F9E4705EF67E}" srcOrd="11" destOrd="0" presId="urn:microsoft.com/office/officeart/2005/8/layout/lProcess3"/>
    <dgm:cxn modelId="{DFF297F5-1B73-4E27-A9B5-5173AF16F55E}" type="presParOf" srcId="{EA2275CB-DA8B-4317-82D1-F94D8FDFED9C}" destId="{EF1309B9-1C6C-4BAE-82EC-68F65162E24D}" srcOrd="12" destOrd="0" presId="urn:microsoft.com/office/officeart/2005/8/layout/lProcess3"/>
    <dgm:cxn modelId="{A09B996F-BF18-4D8C-82B3-87EC7C34ACB7}" type="presParOf" srcId="{110F5A43-F211-43B5-A555-8C9EEBADA2D4}" destId="{0646A03B-EA04-434B-B439-D751B3BACF48}" srcOrd="9" destOrd="0" presId="urn:microsoft.com/office/officeart/2005/8/layout/lProcess3"/>
    <dgm:cxn modelId="{ABFF5FD6-580B-4D06-9166-884073DFB642}" type="presParOf" srcId="{110F5A43-F211-43B5-A555-8C9EEBADA2D4}" destId="{F86666FE-A6D6-46B5-AAEC-266B196FA6A6}" srcOrd="10" destOrd="0" presId="urn:microsoft.com/office/officeart/2005/8/layout/lProcess3"/>
    <dgm:cxn modelId="{3475ED57-9E1A-4FC1-A008-50FD8B7AB5E0}" type="presParOf" srcId="{F86666FE-A6D6-46B5-AAEC-266B196FA6A6}" destId="{480089F2-B50A-49A9-8423-0D7B6F8D6839}" srcOrd="0" destOrd="0" presId="urn:microsoft.com/office/officeart/2005/8/layout/lProcess3"/>
    <dgm:cxn modelId="{974CA3A4-58FF-4EA1-9231-8C6AC28AF3A7}" type="presParOf" srcId="{F86666FE-A6D6-46B5-AAEC-266B196FA6A6}" destId="{F77BFCEE-4073-4AD0-BE8D-62725D896C7F}" srcOrd="1" destOrd="0" presId="urn:microsoft.com/office/officeart/2005/8/layout/lProcess3"/>
    <dgm:cxn modelId="{4FFAAA25-CD65-4702-BA48-E66602AE3AAE}" type="presParOf" srcId="{F86666FE-A6D6-46B5-AAEC-266B196FA6A6}" destId="{98847991-7FC9-459A-8113-3B3CE09C913D}" srcOrd="2" destOrd="0" presId="urn:microsoft.com/office/officeart/2005/8/layout/lProcess3"/>
    <dgm:cxn modelId="{08C38159-7B95-4F36-BE7D-0FF5280936A5}" type="presParOf" srcId="{F86666FE-A6D6-46B5-AAEC-266B196FA6A6}" destId="{01698EAE-0D11-4A18-B3F4-A1C86E27EAC9}" srcOrd="3" destOrd="0" presId="urn:microsoft.com/office/officeart/2005/8/layout/lProcess3"/>
    <dgm:cxn modelId="{001F9562-DDA2-4745-906F-7A0783C12581}" type="presParOf" srcId="{F86666FE-A6D6-46B5-AAEC-266B196FA6A6}" destId="{1FB013AE-1265-4AA4-B877-3F73C2284B66}" srcOrd="4" destOrd="0" presId="urn:microsoft.com/office/officeart/2005/8/layout/lProcess3"/>
    <dgm:cxn modelId="{172B407A-10A4-42CC-BCFB-92289703C878}" type="presParOf" srcId="{F86666FE-A6D6-46B5-AAEC-266B196FA6A6}" destId="{52ECFEBC-E5C8-4962-A8B2-D186175656AD}" srcOrd="5" destOrd="0" presId="urn:microsoft.com/office/officeart/2005/8/layout/lProcess3"/>
    <dgm:cxn modelId="{A64726E2-CFE4-4F7C-8FD0-12C06FF8DB00}" type="presParOf" srcId="{F86666FE-A6D6-46B5-AAEC-266B196FA6A6}" destId="{ADA72AC0-44B6-4A6F-B510-D4F3F5EC9133}" srcOrd="6" destOrd="0" presId="urn:microsoft.com/office/officeart/2005/8/layout/lProcess3"/>
    <dgm:cxn modelId="{B6E567C2-5C5A-45FF-99D8-5B5406B37EE7}" type="presParOf" srcId="{F86666FE-A6D6-46B5-AAEC-266B196FA6A6}" destId="{7C309829-76F0-49D2-A08E-9FDF6D798E56}" srcOrd="7" destOrd="0" presId="urn:microsoft.com/office/officeart/2005/8/layout/lProcess3"/>
    <dgm:cxn modelId="{54E688BD-97F7-49D0-BF98-6B0F7470FCF9}" type="presParOf" srcId="{F86666FE-A6D6-46B5-AAEC-266B196FA6A6}" destId="{CED83E52-2D06-4554-B3C8-B83EF9FCC5F9}" srcOrd="8" destOrd="0" presId="urn:microsoft.com/office/officeart/2005/8/layout/lProcess3"/>
    <dgm:cxn modelId="{13E26EF7-F4F1-456F-AD12-53117003CA4E}" type="presParOf" srcId="{F86666FE-A6D6-46B5-AAEC-266B196FA6A6}" destId="{113612B7-D534-41D0-B461-FC7187CC946D}" srcOrd="9" destOrd="0" presId="urn:microsoft.com/office/officeart/2005/8/layout/lProcess3"/>
    <dgm:cxn modelId="{01BDE059-A0DE-4B08-A125-85530661FEBE}" type="presParOf" srcId="{F86666FE-A6D6-46B5-AAEC-266B196FA6A6}" destId="{C3CA2D55-BA82-448D-883B-AFED746031DF}" srcOrd="10" destOrd="0" presId="urn:microsoft.com/office/officeart/2005/8/layout/lProcess3"/>
    <dgm:cxn modelId="{D10EF159-5373-425F-ACD8-E88C2553CF0A}" type="presParOf" srcId="{F86666FE-A6D6-46B5-AAEC-266B196FA6A6}" destId="{CA476C41-3C5B-4F25-A35B-23334CCE1A8B}" srcOrd="11" destOrd="0" presId="urn:microsoft.com/office/officeart/2005/8/layout/lProcess3"/>
    <dgm:cxn modelId="{1D259DFC-EC52-4904-B5DA-A5E370AF7CE6}" type="presParOf" srcId="{F86666FE-A6D6-46B5-AAEC-266B196FA6A6}" destId="{C7C2FC6F-CBA8-4A3D-9DA7-B9AF86FEE370}" srcOrd="12" destOrd="0" presId="urn:microsoft.com/office/officeart/2005/8/layout/lProcess3"/>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A6347D2-E774-46FA-B777-F1A30B1B32AE}"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cs-CZ"/>
        </a:p>
      </dgm:t>
    </dgm:pt>
    <dgm:pt modelId="{4D953984-3ACF-4D10-86C2-DD0EECD2045E}">
      <dgm:prSet phldrT="[Text]" custT="1"/>
      <dgm:spPr>
        <a:xfrm>
          <a:off x="1992" y="114379"/>
          <a:ext cx="825661" cy="303828"/>
        </a:xfrm>
        <a:prstGeom prst="chevron">
          <a:avLst/>
        </a:prstGeom>
        <a:noFill/>
        <a:ln w="12700" cap="flat" cmpd="sng" algn="ctr">
          <a:solidFill>
            <a:sysClr val="window" lastClr="FFFFFF">
              <a:hueOff val="0"/>
              <a:satOff val="0"/>
              <a:lumOff val="0"/>
              <a:alphaOff val="0"/>
            </a:sysClr>
          </a:solidFill>
          <a:prstDash val="solid"/>
          <a:miter lim="800000"/>
        </a:ln>
        <a:effectLst/>
      </dgm:spPr>
      <dgm:t>
        <a:bodyPr/>
        <a:lstStyle/>
        <a:p>
          <a:pPr marL="0" algn="ctr">
            <a:lnSpc>
              <a:spcPct val="50000"/>
            </a:lnSpc>
            <a:spcBef>
              <a:spcPts val="600"/>
            </a:spcBef>
            <a:spcAft>
              <a:spcPts val="0"/>
            </a:spcAft>
          </a:pPr>
          <a:r>
            <a:rPr lang="cs-CZ" sz="800" b="0">
              <a:solidFill>
                <a:sysClr val="windowText" lastClr="000000"/>
              </a:solidFill>
              <a:latin typeface="Calibri" panose="020F0502020204030204"/>
              <a:ea typeface="+mn-ea"/>
              <a:cs typeface="+mn-cs"/>
            </a:rPr>
            <a:t>v mld. Kč</a:t>
          </a:r>
        </a:p>
      </dgm:t>
    </dgm:pt>
    <dgm:pt modelId="{F16E41CB-26E5-43DD-9796-987A9D8D425D}" type="parTrans" cxnId="{ECAEA752-CBE7-4547-A8A8-48159546DDCD}">
      <dgm:prSet/>
      <dgm:spPr/>
      <dgm:t>
        <a:bodyPr/>
        <a:lstStyle/>
        <a:p>
          <a:endParaRPr lang="cs-CZ" sz="800" b="1">
            <a:solidFill>
              <a:schemeClr val="tx1"/>
            </a:solidFill>
          </a:endParaRPr>
        </a:p>
      </dgm:t>
    </dgm:pt>
    <dgm:pt modelId="{65D9BC79-1E0E-4540-B0A4-914D9CDA1CEF}" type="sibTrans" cxnId="{ECAEA752-CBE7-4547-A8A8-48159546DDCD}">
      <dgm:prSet/>
      <dgm:spPr/>
      <dgm:t>
        <a:bodyPr/>
        <a:lstStyle/>
        <a:p>
          <a:endParaRPr lang="cs-CZ" sz="800" b="1">
            <a:solidFill>
              <a:schemeClr val="tx1"/>
            </a:solidFill>
          </a:endParaRPr>
        </a:p>
      </dgm:t>
    </dgm:pt>
    <dgm:pt modelId="{A1CF1E31-5801-448F-B337-DBA64B602091}">
      <dgm:prSet phldrT="[Text]" custT="1"/>
      <dgm:spPr>
        <a:xfrm>
          <a:off x="728909" y="140205"/>
          <a:ext cx="630443" cy="252177"/>
        </a:xfrm>
        <a:prstGeom prst="chevron">
          <a:avLst/>
        </a:prstGeom>
        <a:solidFill>
          <a:srgbClr val="D9EAFF">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2014</a:t>
          </a:r>
        </a:p>
      </dgm:t>
    </dgm:pt>
    <dgm:pt modelId="{BFA133A1-756A-45F1-8766-59F7BCFDAA6C}" type="parTrans" cxnId="{7796AACE-01AA-4552-8B2C-43ECF3FCBCD7}">
      <dgm:prSet/>
      <dgm:spPr/>
      <dgm:t>
        <a:bodyPr/>
        <a:lstStyle/>
        <a:p>
          <a:endParaRPr lang="cs-CZ" sz="800" b="1">
            <a:solidFill>
              <a:schemeClr val="tx1"/>
            </a:solidFill>
          </a:endParaRPr>
        </a:p>
      </dgm:t>
    </dgm:pt>
    <dgm:pt modelId="{D30FBF5B-3185-4475-AA36-3B0290B49DAD}" type="sibTrans" cxnId="{7796AACE-01AA-4552-8B2C-43ECF3FCBCD7}">
      <dgm:prSet/>
      <dgm:spPr/>
      <dgm:t>
        <a:bodyPr/>
        <a:lstStyle/>
        <a:p>
          <a:endParaRPr lang="cs-CZ" sz="800" b="1">
            <a:solidFill>
              <a:schemeClr val="tx1"/>
            </a:solidFill>
          </a:endParaRPr>
        </a:p>
      </dgm:t>
    </dgm:pt>
    <dgm:pt modelId="{358C9A41-D250-4EE4-9337-6B3886DC0DC0}">
      <dgm:prSet phldrT="[Text]" custT="1"/>
      <dgm:spPr>
        <a:xfrm>
          <a:off x="1271091" y="140205"/>
          <a:ext cx="630443" cy="252177"/>
        </a:xfrm>
        <a:prstGeom prst="chevron">
          <a:avLst/>
        </a:prstGeom>
        <a:solidFill>
          <a:srgbClr val="D9EAFF">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2015</a:t>
          </a:r>
        </a:p>
      </dgm:t>
    </dgm:pt>
    <dgm:pt modelId="{37117464-C6AC-4707-B9BD-209DE83C59FB}" type="parTrans" cxnId="{ED7784F0-CB07-46A9-9099-A96DEBF07610}">
      <dgm:prSet/>
      <dgm:spPr/>
      <dgm:t>
        <a:bodyPr/>
        <a:lstStyle/>
        <a:p>
          <a:endParaRPr lang="cs-CZ" sz="800" b="1">
            <a:solidFill>
              <a:schemeClr val="tx1"/>
            </a:solidFill>
          </a:endParaRPr>
        </a:p>
      </dgm:t>
    </dgm:pt>
    <dgm:pt modelId="{EB460E09-C9FC-4808-8795-EB45393F3985}" type="sibTrans" cxnId="{ED7784F0-CB07-46A9-9099-A96DEBF07610}">
      <dgm:prSet/>
      <dgm:spPr/>
      <dgm:t>
        <a:bodyPr/>
        <a:lstStyle/>
        <a:p>
          <a:endParaRPr lang="cs-CZ" sz="800" b="1">
            <a:solidFill>
              <a:schemeClr val="tx1"/>
            </a:solidFill>
          </a:endParaRPr>
        </a:p>
      </dgm:t>
    </dgm:pt>
    <dgm:pt modelId="{78174B99-CB2F-41B4-84A1-1438F1481E64}">
      <dgm:prSet phldrT="[Text]" custT="1"/>
      <dgm:spPr>
        <a:xfrm>
          <a:off x="1992" y="460744"/>
          <a:ext cx="801537" cy="303828"/>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900" b="1">
              <a:solidFill>
                <a:sysClr val="windowText" lastClr="000000"/>
              </a:solidFill>
              <a:latin typeface="Calibri" panose="020F0502020204030204"/>
              <a:ea typeface="+mn-ea"/>
              <a:cs typeface="+mn-cs"/>
            </a:rPr>
            <a:t>Celkové výdaje</a:t>
          </a:r>
        </a:p>
      </dgm:t>
    </dgm:pt>
    <dgm:pt modelId="{D7C31FB7-9F0B-4DC9-9E58-D2D92803A3E7}" type="parTrans" cxnId="{FBE2A66C-BAEB-4055-B249-C62290420E1D}">
      <dgm:prSet/>
      <dgm:spPr/>
      <dgm:t>
        <a:bodyPr/>
        <a:lstStyle/>
        <a:p>
          <a:endParaRPr lang="cs-CZ" sz="800" b="1">
            <a:solidFill>
              <a:schemeClr val="tx1"/>
            </a:solidFill>
          </a:endParaRPr>
        </a:p>
      </dgm:t>
    </dgm:pt>
    <dgm:pt modelId="{949F9C5E-8E40-433E-9C30-8C6B1B901287}" type="sibTrans" cxnId="{FBE2A66C-BAEB-4055-B249-C62290420E1D}">
      <dgm:prSet/>
      <dgm:spPr/>
      <dgm:t>
        <a:bodyPr/>
        <a:lstStyle/>
        <a:p>
          <a:endParaRPr lang="cs-CZ" sz="800" b="1">
            <a:solidFill>
              <a:schemeClr val="tx1"/>
            </a:solidFill>
          </a:endParaRPr>
        </a:p>
      </dgm:t>
    </dgm:pt>
    <dgm:pt modelId="{2EDBE3C3-8A52-4A3A-9194-3724DB8ACE24}">
      <dgm:prSet phldrT="[Text]" custT="1"/>
      <dgm:spPr>
        <a:xfrm>
          <a:off x="704785" y="486569"/>
          <a:ext cx="630443" cy="252177"/>
        </a:xfrm>
        <a:prstGeom prst="chevron">
          <a:avLst/>
        </a:prstGeom>
        <a:solidFill>
          <a:srgbClr val="BD2A33">
            <a:alpha val="20000"/>
          </a:srgbClr>
        </a:solidFill>
        <a:ln w="12700" cap="flat" cmpd="sng" algn="ctr">
          <a:noFill/>
          <a:prstDash val="solid"/>
          <a:miter lim="800000"/>
        </a:ln>
        <a:effectLst/>
      </dgm:spPr>
      <dgm:t>
        <a:bodyPr/>
        <a:lstStyle/>
        <a:p>
          <a:r>
            <a:rPr lang="cs-CZ" sz="900" b="1">
              <a:solidFill>
                <a:sysClr val="windowText" lastClr="000000"/>
              </a:solidFill>
              <a:latin typeface="Calibri" panose="020F0502020204030204"/>
              <a:ea typeface="+mn-ea"/>
              <a:cs typeface="+mn-cs"/>
            </a:rPr>
            <a:t>1 211,6</a:t>
          </a:r>
        </a:p>
      </dgm:t>
    </dgm:pt>
    <dgm:pt modelId="{7648DE78-9420-4106-B5C2-036985F43A06}" type="parTrans" cxnId="{D854AD87-6BC3-451D-BF2E-A403FC00D3A8}">
      <dgm:prSet/>
      <dgm:spPr/>
      <dgm:t>
        <a:bodyPr/>
        <a:lstStyle/>
        <a:p>
          <a:endParaRPr lang="cs-CZ" sz="800" b="1">
            <a:solidFill>
              <a:schemeClr val="tx1"/>
            </a:solidFill>
          </a:endParaRPr>
        </a:p>
      </dgm:t>
    </dgm:pt>
    <dgm:pt modelId="{57DB7BDA-E66E-4670-B460-59BDCDF1EA8F}" type="sibTrans" cxnId="{D854AD87-6BC3-451D-BF2E-A403FC00D3A8}">
      <dgm:prSet/>
      <dgm:spPr/>
      <dgm:t>
        <a:bodyPr/>
        <a:lstStyle/>
        <a:p>
          <a:endParaRPr lang="cs-CZ" sz="800" b="1">
            <a:solidFill>
              <a:schemeClr val="tx1"/>
            </a:solidFill>
          </a:endParaRPr>
        </a:p>
      </dgm:t>
    </dgm:pt>
    <dgm:pt modelId="{BAB9C705-956B-4C48-87C1-811A07CE45F3}">
      <dgm:prSet phldrT="[Text]" custT="1"/>
      <dgm:spPr>
        <a:xfrm>
          <a:off x="1246967" y="486569"/>
          <a:ext cx="630443" cy="252177"/>
        </a:xfrm>
        <a:prstGeom prst="chevron">
          <a:avLst/>
        </a:prstGeom>
        <a:solidFill>
          <a:srgbClr val="BD2A33">
            <a:alpha val="40000"/>
          </a:srgbClr>
        </a:solidFill>
        <a:ln w="12700" cap="flat" cmpd="sng" algn="ctr">
          <a:noFill/>
          <a:prstDash val="solid"/>
          <a:miter lim="800000"/>
        </a:ln>
        <a:effectLst/>
      </dgm:spPr>
      <dgm:t>
        <a:bodyPr/>
        <a:lstStyle/>
        <a:p>
          <a:r>
            <a:rPr lang="cs-CZ" sz="900" b="1">
              <a:solidFill>
                <a:sysClr val="windowText" lastClr="000000"/>
              </a:solidFill>
              <a:latin typeface="Calibri" panose="020F0502020204030204"/>
              <a:ea typeface="+mn-ea"/>
              <a:cs typeface="+mn-cs"/>
            </a:rPr>
            <a:t>1 297,3</a:t>
          </a:r>
        </a:p>
      </dgm:t>
    </dgm:pt>
    <dgm:pt modelId="{5060BF98-44BD-4F09-9401-9C30985B369C}" type="parTrans" cxnId="{2E4F9EB2-8F1A-4534-BF6D-3D10D5EEB47E}">
      <dgm:prSet/>
      <dgm:spPr/>
      <dgm:t>
        <a:bodyPr/>
        <a:lstStyle/>
        <a:p>
          <a:endParaRPr lang="cs-CZ" sz="800" b="1">
            <a:solidFill>
              <a:schemeClr val="tx1"/>
            </a:solidFill>
          </a:endParaRPr>
        </a:p>
      </dgm:t>
    </dgm:pt>
    <dgm:pt modelId="{FC896497-7C28-4987-BB69-76BA32DE4EF9}" type="sibTrans" cxnId="{2E4F9EB2-8F1A-4534-BF6D-3D10D5EEB47E}">
      <dgm:prSet/>
      <dgm:spPr/>
      <dgm:t>
        <a:bodyPr/>
        <a:lstStyle/>
        <a:p>
          <a:endParaRPr lang="cs-CZ" sz="800" b="1">
            <a:solidFill>
              <a:schemeClr val="tx1"/>
            </a:solidFill>
          </a:endParaRPr>
        </a:p>
      </dgm:t>
    </dgm:pt>
    <dgm:pt modelId="{10EEAB1A-174F-4182-8129-99D15D7AB9CF}">
      <dgm:prSet phldrT="[Text]" custT="1"/>
      <dgm:spPr>
        <a:xfrm>
          <a:off x="1992" y="807108"/>
          <a:ext cx="801537" cy="303828"/>
        </a:xfrm>
        <a:prstGeom prst="chevron">
          <a:avLst/>
        </a:prstGeom>
        <a:solidFill>
          <a:srgbClr val="D9EAFF"/>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Běžné výdaje</a:t>
          </a:r>
        </a:p>
      </dgm:t>
    </dgm:pt>
    <dgm:pt modelId="{9621A7A5-593F-4E40-9A9F-6395F70BF010}" type="parTrans" cxnId="{A08410E1-484C-4B88-AD39-0AA25FB467E7}">
      <dgm:prSet/>
      <dgm:spPr/>
      <dgm:t>
        <a:bodyPr/>
        <a:lstStyle/>
        <a:p>
          <a:endParaRPr lang="cs-CZ" sz="800" b="1">
            <a:solidFill>
              <a:schemeClr val="tx1"/>
            </a:solidFill>
          </a:endParaRPr>
        </a:p>
      </dgm:t>
    </dgm:pt>
    <dgm:pt modelId="{988FF4AE-EDFA-4F28-A5CC-08BF75833141}" type="sibTrans" cxnId="{A08410E1-484C-4B88-AD39-0AA25FB467E7}">
      <dgm:prSet/>
      <dgm:spPr/>
      <dgm:t>
        <a:bodyPr/>
        <a:lstStyle/>
        <a:p>
          <a:endParaRPr lang="cs-CZ" sz="800" b="1">
            <a:solidFill>
              <a:schemeClr val="tx1"/>
            </a:solidFill>
          </a:endParaRPr>
        </a:p>
      </dgm:t>
    </dgm:pt>
    <dgm:pt modelId="{BD31FC45-3A97-40A0-952F-7F630CAADFF7}">
      <dgm:prSet phldrT="[Text]" custT="1"/>
      <dgm:spPr>
        <a:xfrm>
          <a:off x="2331330" y="486569"/>
          <a:ext cx="630443" cy="252177"/>
        </a:xfrm>
        <a:prstGeom prst="chevron">
          <a:avLst/>
        </a:prstGeom>
        <a:solidFill>
          <a:srgbClr val="BD2A33">
            <a:alpha val="80000"/>
          </a:srgbClr>
        </a:solidFill>
        <a:ln w="12700" cap="flat" cmpd="sng" algn="ctr">
          <a:noFill/>
          <a:prstDash val="solid"/>
          <a:miter lim="800000"/>
        </a:ln>
        <a:effectLst/>
      </dgm:spPr>
      <dgm:t>
        <a:bodyPr/>
        <a:lstStyle/>
        <a:p>
          <a:r>
            <a:rPr lang="cs-CZ" sz="900" b="1">
              <a:solidFill>
                <a:sysClr val="windowText" lastClr="000000"/>
              </a:solidFill>
              <a:latin typeface="Calibri" panose="020F0502020204030204"/>
              <a:ea typeface="+mn-ea"/>
              <a:cs typeface="+mn-cs"/>
            </a:rPr>
            <a:t>1 279,8</a:t>
          </a:r>
        </a:p>
      </dgm:t>
    </dgm:pt>
    <dgm:pt modelId="{7F98EE7C-F0D8-43D7-8240-2E47B95F7EED}" type="parTrans" cxnId="{EE73EFEB-6030-4D28-9DBA-FF585117EA09}">
      <dgm:prSet/>
      <dgm:spPr/>
      <dgm:t>
        <a:bodyPr/>
        <a:lstStyle/>
        <a:p>
          <a:endParaRPr lang="cs-CZ" sz="800" b="1">
            <a:solidFill>
              <a:schemeClr val="tx1"/>
            </a:solidFill>
          </a:endParaRPr>
        </a:p>
      </dgm:t>
    </dgm:pt>
    <dgm:pt modelId="{E8A55DA6-FCA5-42C9-855D-834E3421F7A2}" type="sibTrans" cxnId="{EE73EFEB-6030-4D28-9DBA-FF585117EA09}">
      <dgm:prSet/>
      <dgm:spPr/>
      <dgm:t>
        <a:bodyPr/>
        <a:lstStyle/>
        <a:p>
          <a:endParaRPr lang="cs-CZ" sz="800" b="1">
            <a:solidFill>
              <a:schemeClr val="tx1"/>
            </a:solidFill>
          </a:endParaRPr>
        </a:p>
      </dgm:t>
    </dgm:pt>
    <dgm:pt modelId="{D16CAD34-9C66-484C-BBDC-A5E42BF3D225}">
      <dgm:prSet phldrT="[Text]" custT="1"/>
      <dgm:spPr>
        <a:xfrm>
          <a:off x="3439818" y="140205"/>
          <a:ext cx="630443" cy="252177"/>
        </a:xfrm>
        <a:prstGeom prst="chevron">
          <a:avLst/>
        </a:prstGeom>
        <a:solidFill>
          <a:srgbClr val="D9EAFF">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2018</a:t>
          </a:r>
          <a:r>
            <a:rPr lang="cs-CZ" sz="800"/>
            <a:t>–</a:t>
          </a:r>
          <a:r>
            <a:rPr lang="cs-CZ" sz="800" b="1">
              <a:solidFill>
                <a:sysClr val="windowText" lastClr="000000"/>
              </a:solidFill>
              <a:latin typeface="Calibri" panose="020F0502020204030204"/>
              <a:ea typeface="+mn-ea"/>
              <a:cs typeface="+mn-cs"/>
            </a:rPr>
            <a:t>2017</a:t>
          </a:r>
        </a:p>
      </dgm:t>
    </dgm:pt>
    <dgm:pt modelId="{808DF22A-3A20-4FBB-8A78-D8AC7AAE1BF0}" type="parTrans" cxnId="{F8380EE1-40BA-4909-AC03-FE163230E010}">
      <dgm:prSet/>
      <dgm:spPr/>
      <dgm:t>
        <a:bodyPr/>
        <a:lstStyle/>
        <a:p>
          <a:endParaRPr lang="cs-CZ" sz="800" b="1">
            <a:solidFill>
              <a:schemeClr val="tx1"/>
            </a:solidFill>
          </a:endParaRPr>
        </a:p>
      </dgm:t>
    </dgm:pt>
    <dgm:pt modelId="{45B66F3E-68B1-4323-9B56-387FA6FB0408}" type="sibTrans" cxnId="{F8380EE1-40BA-4909-AC03-FE163230E010}">
      <dgm:prSet/>
      <dgm:spPr/>
      <dgm:t>
        <a:bodyPr/>
        <a:lstStyle/>
        <a:p>
          <a:endParaRPr lang="cs-CZ" sz="800" b="1">
            <a:solidFill>
              <a:schemeClr val="tx1"/>
            </a:solidFill>
          </a:endParaRPr>
        </a:p>
      </dgm:t>
    </dgm:pt>
    <dgm:pt modelId="{5A11B889-0B82-46C6-AA06-198B94C240BA}">
      <dgm:prSet phldrT="[Text]" custT="1"/>
      <dgm:spPr>
        <a:xfrm>
          <a:off x="1813273" y="140205"/>
          <a:ext cx="630443" cy="252177"/>
        </a:xfrm>
        <a:prstGeom prst="chevron">
          <a:avLst/>
        </a:prstGeom>
        <a:solidFill>
          <a:srgbClr val="D9EAFF">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2016</a:t>
          </a:r>
        </a:p>
      </dgm:t>
    </dgm:pt>
    <dgm:pt modelId="{85632010-DCDE-49B9-B7C8-1BA4BC10AB96}" type="parTrans" cxnId="{7F8520E7-18CD-4AD7-9246-8612BFB7B683}">
      <dgm:prSet/>
      <dgm:spPr/>
      <dgm:t>
        <a:bodyPr/>
        <a:lstStyle/>
        <a:p>
          <a:endParaRPr lang="cs-CZ" sz="800" b="1">
            <a:solidFill>
              <a:schemeClr val="tx1"/>
            </a:solidFill>
          </a:endParaRPr>
        </a:p>
      </dgm:t>
    </dgm:pt>
    <dgm:pt modelId="{3E41D1D9-E567-4048-A439-D1D74FF4254F}" type="sibTrans" cxnId="{7F8520E7-18CD-4AD7-9246-8612BFB7B683}">
      <dgm:prSet/>
      <dgm:spPr/>
      <dgm:t>
        <a:bodyPr/>
        <a:lstStyle/>
        <a:p>
          <a:endParaRPr lang="cs-CZ" sz="800" b="1">
            <a:solidFill>
              <a:schemeClr val="tx1"/>
            </a:solidFill>
          </a:endParaRPr>
        </a:p>
      </dgm:t>
    </dgm:pt>
    <dgm:pt modelId="{EC97A157-B1ED-4108-8FEF-1E4923639515}">
      <dgm:prSet phldrT="[Text]" custT="1"/>
      <dgm:spPr>
        <a:xfrm>
          <a:off x="2355454" y="140205"/>
          <a:ext cx="630443" cy="252177"/>
        </a:xfrm>
        <a:prstGeom prst="chevron">
          <a:avLst/>
        </a:prstGeom>
        <a:solidFill>
          <a:srgbClr val="D9EAFF">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2017</a:t>
          </a:r>
        </a:p>
      </dgm:t>
    </dgm:pt>
    <dgm:pt modelId="{9D7F40E7-42DB-4EEC-B91F-E81F9F00800B}" type="parTrans" cxnId="{BF1CF443-1178-4CD3-9263-76DABC19179B}">
      <dgm:prSet/>
      <dgm:spPr/>
      <dgm:t>
        <a:bodyPr/>
        <a:lstStyle/>
        <a:p>
          <a:endParaRPr lang="cs-CZ" sz="800" b="1">
            <a:solidFill>
              <a:schemeClr val="tx1"/>
            </a:solidFill>
          </a:endParaRPr>
        </a:p>
      </dgm:t>
    </dgm:pt>
    <dgm:pt modelId="{5E219547-CBEE-409D-BC33-EF0F7574158E}" type="sibTrans" cxnId="{BF1CF443-1178-4CD3-9263-76DABC19179B}">
      <dgm:prSet/>
      <dgm:spPr/>
      <dgm:t>
        <a:bodyPr/>
        <a:lstStyle/>
        <a:p>
          <a:endParaRPr lang="cs-CZ" sz="800" b="1">
            <a:solidFill>
              <a:schemeClr val="tx1"/>
            </a:solidFill>
          </a:endParaRPr>
        </a:p>
      </dgm:t>
    </dgm:pt>
    <dgm:pt modelId="{5C5B4CF2-03CD-467B-842D-BF255C666D8D}">
      <dgm:prSet phldrT="[Text]" custT="1"/>
      <dgm:spPr>
        <a:xfrm>
          <a:off x="2897636" y="140205"/>
          <a:ext cx="630443" cy="252177"/>
        </a:xfrm>
        <a:prstGeom prst="chevron">
          <a:avLst/>
        </a:prstGeom>
        <a:solidFill>
          <a:srgbClr val="D9EAFF">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2018</a:t>
          </a:r>
        </a:p>
      </dgm:t>
    </dgm:pt>
    <dgm:pt modelId="{2146FB9C-8A70-4886-876C-F201956EA5EF}" type="parTrans" cxnId="{7074881D-F902-419B-A3D3-69D166603E82}">
      <dgm:prSet/>
      <dgm:spPr/>
      <dgm:t>
        <a:bodyPr/>
        <a:lstStyle/>
        <a:p>
          <a:endParaRPr lang="cs-CZ" sz="800" b="1">
            <a:solidFill>
              <a:schemeClr val="tx1"/>
            </a:solidFill>
          </a:endParaRPr>
        </a:p>
      </dgm:t>
    </dgm:pt>
    <dgm:pt modelId="{4A97EA9F-0D43-4C4E-B773-0126E6BF88A2}" type="sibTrans" cxnId="{7074881D-F902-419B-A3D3-69D166603E82}">
      <dgm:prSet/>
      <dgm:spPr/>
      <dgm:t>
        <a:bodyPr/>
        <a:lstStyle/>
        <a:p>
          <a:endParaRPr lang="cs-CZ" sz="800" b="1">
            <a:solidFill>
              <a:schemeClr val="tx1"/>
            </a:solidFill>
          </a:endParaRPr>
        </a:p>
      </dgm:t>
    </dgm:pt>
    <dgm:pt modelId="{209F4FE5-7545-474C-A12F-B61E24BF3255}">
      <dgm:prSet phldrT="[Text]" custT="1"/>
      <dgm:spPr>
        <a:xfrm>
          <a:off x="1789149" y="486569"/>
          <a:ext cx="630443" cy="252177"/>
        </a:xfrm>
        <a:prstGeom prst="chevron">
          <a:avLst/>
        </a:prstGeom>
        <a:solidFill>
          <a:srgbClr val="BD2A33">
            <a:alpha val="60000"/>
          </a:srgbClr>
        </a:solidFill>
        <a:ln w="12700" cap="flat" cmpd="sng" algn="ctr">
          <a:noFill/>
          <a:prstDash val="solid"/>
          <a:miter lim="800000"/>
        </a:ln>
        <a:effectLst/>
      </dgm:spPr>
      <dgm:t>
        <a:bodyPr/>
        <a:lstStyle/>
        <a:p>
          <a:r>
            <a:rPr lang="cs-CZ" sz="900" b="1">
              <a:solidFill>
                <a:sysClr val="windowText" lastClr="000000"/>
              </a:solidFill>
              <a:latin typeface="Calibri" panose="020F0502020204030204"/>
              <a:ea typeface="+mn-ea"/>
              <a:cs typeface="+mn-cs"/>
            </a:rPr>
            <a:t>1 219,8</a:t>
          </a:r>
        </a:p>
      </dgm:t>
    </dgm:pt>
    <dgm:pt modelId="{63AD4E18-C162-4B96-9CE0-7B2422FA6253}" type="parTrans" cxnId="{68950414-8404-4C29-ACAA-54C9C6DAD015}">
      <dgm:prSet/>
      <dgm:spPr/>
      <dgm:t>
        <a:bodyPr/>
        <a:lstStyle/>
        <a:p>
          <a:endParaRPr lang="cs-CZ" sz="800" b="1">
            <a:solidFill>
              <a:schemeClr val="tx1"/>
            </a:solidFill>
          </a:endParaRPr>
        </a:p>
      </dgm:t>
    </dgm:pt>
    <dgm:pt modelId="{365929A1-29A6-40CB-8A04-7CD33DA95ED2}" type="sibTrans" cxnId="{68950414-8404-4C29-ACAA-54C9C6DAD015}">
      <dgm:prSet/>
      <dgm:spPr/>
      <dgm:t>
        <a:bodyPr/>
        <a:lstStyle/>
        <a:p>
          <a:endParaRPr lang="cs-CZ" sz="800" b="1">
            <a:solidFill>
              <a:schemeClr val="tx1"/>
            </a:solidFill>
          </a:endParaRPr>
        </a:p>
      </dgm:t>
    </dgm:pt>
    <dgm:pt modelId="{B7AB5797-52D3-4168-94E9-B5B272FA6C3D}">
      <dgm:prSet phldrT="[Text]" custT="1"/>
      <dgm:spPr>
        <a:xfrm>
          <a:off x="1789149" y="832934"/>
          <a:ext cx="630443" cy="252177"/>
        </a:xfrm>
        <a:prstGeom prst="chevron">
          <a:avLst/>
        </a:prstGeom>
        <a:solidFill>
          <a:srgbClr val="004595">
            <a:alpha val="6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1 135,6</a:t>
          </a:r>
        </a:p>
      </dgm:t>
    </dgm:pt>
    <dgm:pt modelId="{481AFC01-99CA-46E0-87DB-7575ED20FCFD}" type="parTrans" cxnId="{1E8F49F5-B1EF-4DD8-92A0-160CF075C052}">
      <dgm:prSet/>
      <dgm:spPr/>
      <dgm:t>
        <a:bodyPr/>
        <a:lstStyle/>
        <a:p>
          <a:endParaRPr lang="cs-CZ" sz="800" b="1">
            <a:solidFill>
              <a:schemeClr val="tx1"/>
            </a:solidFill>
          </a:endParaRPr>
        </a:p>
      </dgm:t>
    </dgm:pt>
    <dgm:pt modelId="{AB6F074E-C192-402C-B1F8-7A5A7BBE2373}" type="sibTrans" cxnId="{1E8F49F5-B1EF-4DD8-92A0-160CF075C052}">
      <dgm:prSet/>
      <dgm:spPr/>
      <dgm:t>
        <a:bodyPr/>
        <a:lstStyle/>
        <a:p>
          <a:endParaRPr lang="cs-CZ" sz="800" b="1">
            <a:solidFill>
              <a:schemeClr val="tx1"/>
            </a:solidFill>
          </a:endParaRPr>
        </a:p>
      </dgm:t>
    </dgm:pt>
    <dgm:pt modelId="{3B04C11E-1E1D-4B33-905E-D561049DA493}">
      <dgm:prSet phldrT="[Text]" custT="1"/>
      <dgm:spPr>
        <a:xfrm>
          <a:off x="704785" y="832934"/>
          <a:ext cx="630443" cy="252177"/>
        </a:xfrm>
        <a:prstGeom prst="chevron">
          <a:avLst/>
        </a:prstGeom>
        <a:solidFill>
          <a:srgbClr val="004595">
            <a:alpha val="2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1 100,1</a:t>
          </a:r>
        </a:p>
      </dgm:t>
    </dgm:pt>
    <dgm:pt modelId="{9A5D6920-F92B-401E-8ABC-E4BDCB79BFC4}" type="parTrans" cxnId="{310A3113-A0E8-4F71-BAB5-F6696697AF1D}">
      <dgm:prSet/>
      <dgm:spPr/>
      <dgm:t>
        <a:bodyPr/>
        <a:lstStyle/>
        <a:p>
          <a:endParaRPr lang="cs-CZ" sz="800" b="1">
            <a:solidFill>
              <a:schemeClr val="tx1"/>
            </a:solidFill>
          </a:endParaRPr>
        </a:p>
      </dgm:t>
    </dgm:pt>
    <dgm:pt modelId="{1C6F6D06-2691-49C6-9ECD-584EE3F45D1E}" type="sibTrans" cxnId="{310A3113-A0E8-4F71-BAB5-F6696697AF1D}">
      <dgm:prSet/>
      <dgm:spPr/>
      <dgm:t>
        <a:bodyPr/>
        <a:lstStyle/>
        <a:p>
          <a:endParaRPr lang="cs-CZ" sz="800" b="1">
            <a:solidFill>
              <a:schemeClr val="tx1"/>
            </a:solidFill>
          </a:endParaRPr>
        </a:p>
      </dgm:t>
    </dgm:pt>
    <dgm:pt modelId="{6CC8CB00-F4BD-4923-B21D-476D50CE4744}">
      <dgm:prSet phldrT="[Text]" custT="1"/>
      <dgm:spPr>
        <a:xfrm>
          <a:off x="1246967" y="832934"/>
          <a:ext cx="630443" cy="252177"/>
        </a:xfrm>
        <a:prstGeom prst="chevron">
          <a:avLst/>
        </a:prstGeom>
        <a:solidFill>
          <a:srgbClr val="004595">
            <a:alpha val="4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1 121,7</a:t>
          </a:r>
        </a:p>
      </dgm:t>
    </dgm:pt>
    <dgm:pt modelId="{3A0F8BA9-3017-44A7-92D0-493BE9266296}" type="parTrans" cxnId="{6CEAB6DC-D4C5-47A3-86E6-BEC62BA98C30}">
      <dgm:prSet/>
      <dgm:spPr/>
      <dgm:t>
        <a:bodyPr/>
        <a:lstStyle/>
        <a:p>
          <a:endParaRPr lang="cs-CZ" sz="800" b="1">
            <a:solidFill>
              <a:schemeClr val="tx1"/>
            </a:solidFill>
          </a:endParaRPr>
        </a:p>
      </dgm:t>
    </dgm:pt>
    <dgm:pt modelId="{58CCD390-3616-4FCE-96E5-24C51DBD1F9B}" type="sibTrans" cxnId="{6CEAB6DC-D4C5-47A3-86E6-BEC62BA98C30}">
      <dgm:prSet/>
      <dgm:spPr/>
      <dgm:t>
        <a:bodyPr/>
        <a:lstStyle/>
        <a:p>
          <a:endParaRPr lang="cs-CZ" sz="800" b="1">
            <a:solidFill>
              <a:schemeClr val="tx1"/>
            </a:solidFill>
          </a:endParaRPr>
        </a:p>
      </dgm:t>
    </dgm:pt>
    <dgm:pt modelId="{FEA4DDB3-3A97-44AC-828D-91A1B7C2F815}">
      <dgm:prSet phldrT="[Text]" custT="1"/>
      <dgm:spPr>
        <a:xfrm>
          <a:off x="2873512" y="832934"/>
          <a:ext cx="630443" cy="252177"/>
        </a:xfrm>
        <a:prstGeom prst="chevron">
          <a:avLst/>
        </a:prstGeom>
        <a:solidFill>
          <a:srgbClr val="004595"/>
        </a:solidFill>
        <a:ln w="12700" cap="flat" cmpd="sng" algn="ctr">
          <a:noFill/>
          <a:prstDash val="solid"/>
          <a:miter lim="800000"/>
        </a:ln>
        <a:effectLst/>
      </dgm:spPr>
      <dgm:t>
        <a:bodyPr/>
        <a:lstStyle/>
        <a:p>
          <a:r>
            <a:rPr lang="cs-CZ" sz="800" b="1">
              <a:solidFill>
                <a:sysClr val="window" lastClr="FFFFFF"/>
              </a:solidFill>
              <a:latin typeface="Calibri" panose="020F0502020204030204"/>
              <a:ea typeface="+mn-ea"/>
              <a:cs typeface="+mn-cs"/>
            </a:rPr>
            <a:t>1 284,5</a:t>
          </a:r>
        </a:p>
      </dgm:t>
    </dgm:pt>
    <dgm:pt modelId="{30C3A696-7896-4142-98B8-911DAA51A0C2}" type="parTrans" cxnId="{BD1F13C6-0963-459B-B4C1-46A35A1AF419}">
      <dgm:prSet/>
      <dgm:spPr/>
      <dgm:t>
        <a:bodyPr/>
        <a:lstStyle/>
        <a:p>
          <a:endParaRPr lang="cs-CZ" sz="800" b="1">
            <a:solidFill>
              <a:schemeClr val="tx1"/>
            </a:solidFill>
          </a:endParaRPr>
        </a:p>
      </dgm:t>
    </dgm:pt>
    <dgm:pt modelId="{A392C771-08EA-4F6A-B577-51DE6D88CA16}" type="sibTrans" cxnId="{BD1F13C6-0963-459B-B4C1-46A35A1AF419}">
      <dgm:prSet/>
      <dgm:spPr/>
      <dgm:t>
        <a:bodyPr/>
        <a:lstStyle/>
        <a:p>
          <a:endParaRPr lang="cs-CZ" sz="800" b="1">
            <a:solidFill>
              <a:schemeClr val="tx1"/>
            </a:solidFill>
          </a:endParaRPr>
        </a:p>
      </dgm:t>
    </dgm:pt>
    <dgm:pt modelId="{D83646A4-A7B1-4063-96EE-F494AE1354F3}">
      <dgm:prSet phldrT="[Text]" custT="1"/>
      <dgm:spPr>
        <a:xfrm>
          <a:off x="2331330" y="832934"/>
          <a:ext cx="630443" cy="252177"/>
        </a:xfrm>
        <a:prstGeom prst="chevron">
          <a:avLst/>
        </a:prstGeom>
        <a:solidFill>
          <a:srgbClr val="004595">
            <a:alpha val="8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1 198,0</a:t>
          </a:r>
        </a:p>
      </dgm:t>
    </dgm:pt>
    <dgm:pt modelId="{8E629B7D-0666-4E55-A6F7-0D502A314A0E}" type="parTrans" cxnId="{7E4DF2E4-B591-466C-A14D-9B687B7A49BF}">
      <dgm:prSet/>
      <dgm:spPr/>
      <dgm:t>
        <a:bodyPr/>
        <a:lstStyle/>
        <a:p>
          <a:endParaRPr lang="cs-CZ" sz="800" b="1">
            <a:solidFill>
              <a:schemeClr val="tx1"/>
            </a:solidFill>
          </a:endParaRPr>
        </a:p>
      </dgm:t>
    </dgm:pt>
    <dgm:pt modelId="{CCD5F0B8-6925-4DD9-AEB0-82326B9BC3C4}" type="sibTrans" cxnId="{7E4DF2E4-B591-466C-A14D-9B687B7A49BF}">
      <dgm:prSet/>
      <dgm:spPr/>
      <dgm:t>
        <a:bodyPr/>
        <a:lstStyle/>
        <a:p>
          <a:endParaRPr lang="cs-CZ" sz="800" b="1">
            <a:solidFill>
              <a:schemeClr val="tx1"/>
            </a:solidFill>
          </a:endParaRPr>
        </a:p>
      </dgm:t>
    </dgm:pt>
    <dgm:pt modelId="{5C86C45D-0504-41F5-9ED8-B8588DC4BB71}">
      <dgm:prSet phldrT="[Text]" custT="1"/>
      <dgm:spPr>
        <a:xfrm>
          <a:off x="1992" y="1153472"/>
          <a:ext cx="801537" cy="303828"/>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800" b="1">
              <a:solidFill>
                <a:sysClr val="windowText" lastClr="000000"/>
              </a:solidFill>
              <a:latin typeface="Calibri" panose="020F0502020204030204"/>
              <a:ea typeface="+mn-ea"/>
              <a:cs typeface="+mn-cs"/>
            </a:rPr>
            <a:t>Kapitálové výdaje</a:t>
          </a:r>
        </a:p>
      </dgm:t>
    </dgm:pt>
    <dgm:pt modelId="{958CFC62-690E-4A69-9661-5397DCEA31BF}" type="parTrans" cxnId="{FAB24F56-6565-450D-B1E9-FF353CA1B578}">
      <dgm:prSet/>
      <dgm:spPr/>
      <dgm:t>
        <a:bodyPr/>
        <a:lstStyle/>
        <a:p>
          <a:endParaRPr lang="cs-CZ" sz="800" b="1">
            <a:solidFill>
              <a:schemeClr val="tx1"/>
            </a:solidFill>
          </a:endParaRPr>
        </a:p>
      </dgm:t>
    </dgm:pt>
    <dgm:pt modelId="{66C83E80-71BF-41C0-B162-00C0E2E64806}" type="sibTrans" cxnId="{FAB24F56-6565-450D-B1E9-FF353CA1B578}">
      <dgm:prSet/>
      <dgm:spPr/>
      <dgm:t>
        <a:bodyPr/>
        <a:lstStyle/>
        <a:p>
          <a:endParaRPr lang="cs-CZ" sz="800" b="1">
            <a:solidFill>
              <a:schemeClr val="tx1"/>
            </a:solidFill>
          </a:endParaRPr>
        </a:p>
      </dgm:t>
    </dgm:pt>
    <dgm:pt modelId="{62A6766A-7015-4663-8F88-379392C1BE11}">
      <dgm:prSet phldrT="[Text]" custT="1"/>
      <dgm:spPr>
        <a:xfrm>
          <a:off x="2873512" y="486569"/>
          <a:ext cx="630443" cy="252177"/>
        </a:xfrm>
        <a:prstGeom prst="chevron">
          <a:avLst/>
        </a:prstGeom>
        <a:solidFill>
          <a:srgbClr val="BD2A33"/>
        </a:solidFill>
        <a:ln w="12700" cap="flat" cmpd="sng" algn="ctr">
          <a:noFill/>
          <a:prstDash val="solid"/>
          <a:miter lim="800000"/>
        </a:ln>
        <a:effectLst/>
      </dgm:spPr>
      <dgm:t>
        <a:bodyPr/>
        <a:lstStyle/>
        <a:p>
          <a:r>
            <a:rPr lang="cs-CZ" sz="900" b="1">
              <a:solidFill>
                <a:sysClr val="window" lastClr="FFFFFF"/>
              </a:solidFill>
              <a:latin typeface="Calibri" panose="020F0502020204030204"/>
              <a:ea typeface="+mn-ea"/>
              <a:cs typeface="+mn-cs"/>
            </a:rPr>
            <a:t>1 401,0</a:t>
          </a:r>
        </a:p>
      </dgm:t>
    </dgm:pt>
    <dgm:pt modelId="{A6578421-CDAE-4169-BBBB-C5D113A31D27}" type="parTrans" cxnId="{C286652C-92D4-4C9C-9D35-5919CAAAAAD2}">
      <dgm:prSet/>
      <dgm:spPr/>
      <dgm:t>
        <a:bodyPr/>
        <a:lstStyle/>
        <a:p>
          <a:endParaRPr lang="cs-CZ" sz="800" b="1">
            <a:solidFill>
              <a:schemeClr val="tx1"/>
            </a:solidFill>
          </a:endParaRPr>
        </a:p>
      </dgm:t>
    </dgm:pt>
    <dgm:pt modelId="{F2D2666E-A48C-4B56-8FCA-BC93C49761A9}" type="sibTrans" cxnId="{C286652C-92D4-4C9C-9D35-5919CAAAAAD2}">
      <dgm:prSet/>
      <dgm:spPr/>
      <dgm:t>
        <a:bodyPr/>
        <a:lstStyle/>
        <a:p>
          <a:endParaRPr lang="cs-CZ" sz="800" b="1">
            <a:solidFill>
              <a:schemeClr val="tx1"/>
            </a:solidFill>
          </a:endParaRPr>
        </a:p>
      </dgm:t>
    </dgm:pt>
    <dgm:pt modelId="{0FD9EDD5-D66F-4DBF-9BBC-F557C161D16F}">
      <dgm:prSet phldrT="[Text]" custT="1"/>
      <dgm:spPr>
        <a:xfrm>
          <a:off x="3415694" y="486569"/>
          <a:ext cx="630443" cy="252177"/>
        </a:xfrm>
        <a:prstGeom prst="chevron">
          <a:avLst/>
        </a:prstGeom>
        <a:solidFill>
          <a:srgbClr val="C3C5C6">
            <a:alpha val="89804"/>
          </a:srgbClr>
        </a:solidFill>
        <a:ln w="12700" cap="flat" cmpd="sng" algn="ctr">
          <a:noFill/>
          <a:prstDash val="solid"/>
          <a:miter lim="800000"/>
        </a:ln>
        <a:effectLst/>
      </dgm:spPr>
      <dgm:t>
        <a:bodyPr/>
        <a:lstStyle/>
        <a:p>
          <a:r>
            <a:rPr lang="cs-CZ" sz="900" b="1">
              <a:solidFill>
                <a:sysClr val="windowText" lastClr="000000"/>
              </a:solidFill>
              <a:latin typeface="Calibri" panose="020F0502020204030204"/>
              <a:ea typeface="+mn-ea"/>
              <a:cs typeface="+mn-cs"/>
            </a:rPr>
            <a:t>121,2</a:t>
          </a:r>
        </a:p>
      </dgm:t>
    </dgm:pt>
    <dgm:pt modelId="{5B66ACB1-D36E-4B3D-8D5E-050A802E2EEE}" type="parTrans" cxnId="{BF446106-2748-465C-82A9-5AB1C93995B0}">
      <dgm:prSet/>
      <dgm:spPr/>
      <dgm:t>
        <a:bodyPr/>
        <a:lstStyle/>
        <a:p>
          <a:endParaRPr lang="cs-CZ" sz="800" b="1">
            <a:solidFill>
              <a:schemeClr val="tx1"/>
            </a:solidFill>
          </a:endParaRPr>
        </a:p>
      </dgm:t>
    </dgm:pt>
    <dgm:pt modelId="{918144D0-6648-46AE-8155-2887C7596364}" type="sibTrans" cxnId="{BF446106-2748-465C-82A9-5AB1C93995B0}">
      <dgm:prSet/>
      <dgm:spPr/>
      <dgm:t>
        <a:bodyPr/>
        <a:lstStyle/>
        <a:p>
          <a:endParaRPr lang="cs-CZ" sz="800" b="1">
            <a:solidFill>
              <a:schemeClr val="tx1"/>
            </a:solidFill>
          </a:endParaRPr>
        </a:p>
      </dgm:t>
    </dgm:pt>
    <dgm:pt modelId="{B56FF771-0284-45CC-BEB5-0F13737F543B}">
      <dgm:prSet phldrT="[Text]" custT="1"/>
      <dgm:spPr>
        <a:xfrm>
          <a:off x="3415694" y="832934"/>
          <a:ext cx="630443" cy="252177"/>
        </a:xfrm>
        <a:prstGeom prst="chevron">
          <a:avLst/>
        </a:prstGeom>
        <a:solidFill>
          <a:srgbClr val="C3C5C6">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86,5</a:t>
          </a:r>
        </a:p>
      </dgm:t>
    </dgm:pt>
    <dgm:pt modelId="{F2722C6C-F3DC-46AB-9DAF-1C1E74197FB1}" type="parTrans" cxnId="{BDE4C5AD-FA79-48AC-B2D5-CFCDEF48DF44}">
      <dgm:prSet/>
      <dgm:spPr/>
      <dgm:t>
        <a:bodyPr/>
        <a:lstStyle/>
        <a:p>
          <a:endParaRPr lang="cs-CZ" sz="800" b="1">
            <a:solidFill>
              <a:schemeClr val="tx1"/>
            </a:solidFill>
          </a:endParaRPr>
        </a:p>
      </dgm:t>
    </dgm:pt>
    <dgm:pt modelId="{5906F1DB-1147-4252-9733-DD3E465D39BC}" type="sibTrans" cxnId="{BDE4C5AD-FA79-48AC-B2D5-CFCDEF48DF44}">
      <dgm:prSet/>
      <dgm:spPr/>
      <dgm:t>
        <a:bodyPr/>
        <a:lstStyle/>
        <a:p>
          <a:endParaRPr lang="cs-CZ" sz="800" b="1">
            <a:solidFill>
              <a:schemeClr val="tx1"/>
            </a:solidFill>
          </a:endParaRPr>
        </a:p>
      </dgm:t>
    </dgm:pt>
    <dgm:pt modelId="{8C82CBD6-9B91-494C-B5BE-A24E7DAC987A}">
      <dgm:prSet phldrT="[Text]" custT="1"/>
      <dgm:spPr>
        <a:xfrm>
          <a:off x="704785" y="1179298"/>
          <a:ext cx="630443" cy="252177"/>
        </a:xfrm>
        <a:prstGeom prst="chevron">
          <a:avLst/>
        </a:prstGeom>
        <a:solidFill>
          <a:srgbClr val="004595">
            <a:alpha val="2000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cs-CZ" sz="800" b="1">
              <a:solidFill>
                <a:sysClr val="windowText" lastClr="000000"/>
              </a:solidFill>
              <a:latin typeface="Calibri" panose="020F0502020204030204"/>
              <a:ea typeface="+mn-ea"/>
              <a:cs typeface="+mn-cs"/>
            </a:rPr>
            <a:t>111,5</a:t>
          </a:r>
        </a:p>
      </dgm:t>
    </dgm:pt>
    <dgm:pt modelId="{F992937B-D676-4E14-883A-7DE4DC15F33C}" type="parTrans" cxnId="{E4FC23FD-1C6E-4B34-92DC-11761E205FF0}">
      <dgm:prSet/>
      <dgm:spPr/>
      <dgm:t>
        <a:bodyPr/>
        <a:lstStyle/>
        <a:p>
          <a:endParaRPr lang="cs-CZ" sz="800" b="1">
            <a:solidFill>
              <a:schemeClr val="tx1"/>
            </a:solidFill>
          </a:endParaRPr>
        </a:p>
      </dgm:t>
    </dgm:pt>
    <dgm:pt modelId="{D500B32E-0679-4C74-9104-62736048009E}" type="sibTrans" cxnId="{E4FC23FD-1C6E-4B34-92DC-11761E205FF0}">
      <dgm:prSet/>
      <dgm:spPr/>
      <dgm:t>
        <a:bodyPr/>
        <a:lstStyle/>
        <a:p>
          <a:endParaRPr lang="cs-CZ" sz="800" b="1">
            <a:solidFill>
              <a:schemeClr val="tx1"/>
            </a:solidFill>
          </a:endParaRPr>
        </a:p>
      </dgm:t>
    </dgm:pt>
    <dgm:pt modelId="{F23B00AF-5335-4B06-B9E0-C407B399300E}">
      <dgm:prSet phldrT="[Text]" custT="1"/>
      <dgm:spPr>
        <a:xfrm>
          <a:off x="1246967" y="1179298"/>
          <a:ext cx="630443" cy="252177"/>
        </a:xfrm>
        <a:prstGeom prst="chevron">
          <a:avLst/>
        </a:prstGeom>
        <a:solidFill>
          <a:srgbClr val="004595">
            <a:alpha val="4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175,7</a:t>
          </a:r>
        </a:p>
      </dgm:t>
    </dgm:pt>
    <dgm:pt modelId="{9479A454-AB9D-4130-A99D-BBA20460FA4A}" type="sibTrans" cxnId="{C679B2AC-5D46-4842-A9A8-65991FDCF730}">
      <dgm:prSet/>
      <dgm:spPr/>
      <dgm:t>
        <a:bodyPr/>
        <a:lstStyle/>
        <a:p>
          <a:endParaRPr lang="cs-CZ" sz="800" b="1">
            <a:solidFill>
              <a:schemeClr val="tx1"/>
            </a:solidFill>
          </a:endParaRPr>
        </a:p>
      </dgm:t>
    </dgm:pt>
    <dgm:pt modelId="{4D263FDF-B3C7-4003-9A94-D213C7AE82CA}" type="parTrans" cxnId="{C679B2AC-5D46-4842-A9A8-65991FDCF730}">
      <dgm:prSet/>
      <dgm:spPr/>
      <dgm:t>
        <a:bodyPr/>
        <a:lstStyle/>
        <a:p>
          <a:endParaRPr lang="cs-CZ" sz="800" b="1">
            <a:solidFill>
              <a:schemeClr val="tx1"/>
            </a:solidFill>
          </a:endParaRPr>
        </a:p>
      </dgm:t>
    </dgm:pt>
    <dgm:pt modelId="{25F081A6-E845-4409-887B-05E369030AE7}">
      <dgm:prSet phldrT="[Text]" custT="1"/>
      <dgm:spPr>
        <a:xfrm>
          <a:off x="1789149" y="1179298"/>
          <a:ext cx="630443" cy="252177"/>
        </a:xfrm>
        <a:prstGeom prst="chevron">
          <a:avLst/>
        </a:prstGeom>
        <a:solidFill>
          <a:srgbClr val="004595">
            <a:alpha val="6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84,3</a:t>
          </a:r>
        </a:p>
      </dgm:t>
    </dgm:pt>
    <dgm:pt modelId="{57FA23F5-AAC5-4EF6-817D-4976FD6CF51E}" type="sibTrans" cxnId="{5CADA5D1-8101-4106-AB4B-B56D02493082}">
      <dgm:prSet/>
      <dgm:spPr/>
      <dgm:t>
        <a:bodyPr/>
        <a:lstStyle/>
        <a:p>
          <a:endParaRPr lang="cs-CZ" sz="800" b="1">
            <a:solidFill>
              <a:schemeClr val="tx1"/>
            </a:solidFill>
          </a:endParaRPr>
        </a:p>
      </dgm:t>
    </dgm:pt>
    <dgm:pt modelId="{788DD0A1-8EE1-41D8-B087-36D8BF896EA8}" type="parTrans" cxnId="{5CADA5D1-8101-4106-AB4B-B56D02493082}">
      <dgm:prSet/>
      <dgm:spPr/>
      <dgm:t>
        <a:bodyPr/>
        <a:lstStyle/>
        <a:p>
          <a:endParaRPr lang="cs-CZ" sz="800" b="1">
            <a:solidFill>
              <a:schemeClr val="tx1"/>
            </a:solidFill>
          </a:endParaRPr>
        </a:p>
      </dgm:t>
    </dgm:pt>
    <dgm:pt modelId="{A107A654-54F0-418A-AAED-D6694D3FF9AE}">
      <dgm:prSet phldrT="[Text]" custT="1"/>
      <dgm:spPr>
        <a:xfrm>
          <a:off x="2331330" y="1179298"/>
          <a:ext cx="630443" cy="252177"/>
        </a:xfrm>
        <a:prstGeom prst="chevron">
          <a:avLst/>
        </a:prstGeom>
        <a:solidFill>
          <a:srgbClr val="004595">
            <a:alpha val="8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81,7</a:t>
          </a:r>
        </a:p>
      </dgm:t>
    </dgm:pt>
    <dgm:pt modelId="{2EFF7EC7-9DD7-4E89-B36E-9B6DDE8DE8E8}" type="sibTrans" cxnId="{904960D1-1AAD-4FEA-A610-B5320936AEBF}">
      <dgm:prSet/>
      <dgm:spPr/>
      <dgm:t>
        <a:bodyPr/>
        <a:lstStyle/>
        <a:p>
          <a:endParaRPr lang="cs-CZ" sz="800" b="1">
            <a:solidFill>
              <a:schemeClr val="tx1"/>
            </a:solidFill>
          </a:endParaRPr>
        </a:p>
      </dgm:t>
    </dgm:pt>
    <dgm:pt modelId="{07A7D715-E3B4-42E9-A1E1-55E6AE08A9D2}" type="parTrans" cxnId="{904960D1-1AAD-4FEA-A610-B5320936AEBF}">
      <dgm:prSet/>
      <dgm:spPr/>
      <dgm:t>
        <a:bodyPr/>
        <a:lstStyle/>
        <a:p>
          <a:endParaRPr lang="cs-CZ" sz="800" b="1">
            <a:solidFill>
              <a:schemeClr val="tx1"/>
            </a:solidFill>
          </a:endParaRPr>
        </a:p>
      </dgm:t>
    </dgm:pt>
    <dgm:pt modelId="{6FF2215A-98C9-46E9-9B44-A4318822E1FF}">
      <dgm:prSet phldrT="[Text]" custT="1"/>
      <dgm:spPr>
        <a:xfrm>
          <a:off x="2873512" y="1179298"/>
          <a:ext cx="630443" cy="252177"/>
        </a:xfrm>
        <a:prstGeom prst="chevron">
          <a:avLst/>
        </a:prstGeom>
        <a:solidFill>
          <a:srgbClr val="004595"/>
        </a:solidFill>
        <a:ln w="12700" cap="flat" cmpd="sng" algn="ctr">
          <a:noFill/>
          <a:prstDash val="solid"/>
          <a:miter lim="800000"/>
        </a:ln>
        <a:effectLst/>
      </dgm:spPr>
      <dgm:t>
        <a:bodyPr/>
        <a:lstStyle/>
        <a:p>
          <a:r>
            <a:rPr lang="cs-CZ" sz="800" b="1">
              <a:solidFill>
                <a:sysClr val="window" lastClr="FFFFFF"/>
              </a:solidFill>
              <a:latin typeface="Calibri" panose="020F0502020204030204"/>
              <a:ea typeface="+mn-ea"/>
              <a:cs typeface="+mn-cs"/>
            </a:rPr>
            <a:t>116,5</a:t>
          </a:r>
        </a:p>
      </dgm:t>
    </dgm:pt>
    <dgm:pt modelId="{C28617C6-CB83-42F9-9DC7-65202EACE19E}" type="sibTrans" cxnId="{B537E768-1179-43D6-9D74-C847D16AF998}">
      <dgm:prSet/>
      <dgm:spPr/>
      <dgm:t>
        <a:bodyPr/>
        <a:lstStyle/>
        <a:p>
          <a:endParaRPr lang="cs-CZ" sz="800" b="1">
            <a:solidFill>
              <a:schemeClr val="tx1"/>
            </a:solidFill>
          </a:endParaRPr>
        </a:p>
      </dgm:t>
    </dgm:pt>
    <dgm:pt modelId="{5AD1B92A-4001-4268-8D70-1A396F83A308}" type="parTrans" cxnId="{B537E768-1179-43D6-9D74-C847D16AF998}">
      <dgm:prSet/>
      <dgm:spPr/>
      <dgm:t>
        <a:bodyPr/>
        <a:lstStyle/>
        <a:p>
          <a:endParaRPr lang="cs-CZ" sz="800" b="1">
            <a:solidFill>
              <a:schemeClr val="tx1"/>
            </a:solidFill>
          </a:endParaRPr>
        </a:p>
      </dgm:t>
    </dgm:pt>
    <dgm:pt modelId="{93447B53-24D9-4435-9944-0A8CE12A31FD}">
      <dgm:prSet phldrT="[Text]" custT="1"/>
      <dgm:spPr>
        <a:xfrm>
          <a:off x="3415694" y="1179298"/>
          <a:ext cx="630443" cy="252177"/>
        </a:xfrm>
        <a:prstGeom prst="chevron">
          <a:avLst/>
        </a:prstGeom>
        <a:solidFill>
          <a:srgbClr val="C3C5C6">
            <a:alpha val="90000"/>
          </a:srgbClr>
        </a:solidFill>
        <a:ln w="12700" cap="flat" cmpd="sng" algn="ctr">
          <a:noFill/>
          <a:prstDash val="solid"/>
          <a:miter lim="800000"/>
        </a:ln>
        <a:effectLst/>
      </dgm:spPr>
      <dgm:t>
        <a:bodyPr/>
        <a:lstStyle/>
        <a:p>
          <a:r>
            <a:rPr lang="cs-CZ" sz="800" b="1">
              <a:solidFill>
                <a:sysClr val="windowText" lastClr="000000"/>
              </a:solidFill>
              <a:latin typeface="Calibri" panose="020F0502020204030204"/>
              <a:ea typeface="+mn-ea"/>
              <a:cs typeface="+mn-cs"/>
            </a:rPr>
            <a:t>34,8</a:t>
          </a:r>
        </a:p>
      </dgm:t>
    </dgm:pt>
    <dgm:pt modelId="{611625C5-F15E-4884-9C12-AA885229D3D0}" type="sibTrans" cxnId="{2CBF76AB-21EC-41A9-91C9-AE76936A02E4}">
      <dgm:prSet/>
      <dgm:spPr/>
      <dgm:t>
        <a:bodyPr/>
        <a:lstStyle/>
        <a:p>
          <a:endParaRPr lang="cs-CZ" sz="800" b="1">
            <a:solidFill>
              <a:schemeClr val="tx1"/>
            </a:solidFill>
          </a:endParaRPr>
        </a:p>
      </dgm:t>
    </dgm:pt>
    <dgm:pt modelId="{09123B89-1F8B-4854-979E-0A5C277A87A8}" type="parTrans" cxnId="{2CBF76AB-21EC-41A9-91C9-AE76936A02E4}">
      <dgm:prSet/>
      <dgm:spPr/>
      <dgm:t>
        <a:bodyPr/>
        <a:lstStyle/>
        <a:p>
          <a:endParaRPr lang="cs-CZ" sz="800" b="1">
            <a:solidFill>
              <a:schemeClr val="tx1"/>
            </a:solidFill>
          </a:endParaRPr>
        </a:p>
      </dgm:t>
    </dgm:pt>
    <dgm:pt modelId="{110F5A43-F211-43B5-A555-8C9EEBADA2D4}" type="pres">
      <dgm:prSet presAssocID="{1A6347D2-E774-46FA-B777-F1A30B1B32AE}" presName="Name0" presStyleCnt="0">
        <dgm:presLayoutVars>
          <dgm:chPref val="3"/>
          <dgm:dir/>
          <dgm:animLvl val="lvl"/>
          <dgm:resizeHandles/>
        </dgm:presLayoutVars>
      </dgm:prSet>
      <dgm:spPr/>
      <dgm:t>
        <a:bodyPr/>
        <a:lstStyle/>
        <a:p>
          <a:endParaRPr lang="cs-CZ"/>
        </a:p>
      </dgm:t>
    </dgm:pt>
    <dgm:pt modelId="{89981277-0A47-47D1-A0CA-10765B466ED1}" type="pres">
      <dgm:prSet presAssocID="{4D953984-3ACF-4D10-86C2-DD0EECD2045E}" presName="horFlow" presStyleCnt="0"/>
      <dgm:spPr/>
    </dgm:pt>
    <dgm:pt modelId="{4324C8AE-0C84-4B57-A0DB-F530EDB074FB}" type="pres">
      <dgm:prSet presAssocID="{4D953984-3ACF-4D10-86C2-DD0EECD2045E}" presName="bigChev" presStyleLbl="node1" presStyleIdx="0" presStyleCnt="4" custScaleX="108701"/>
      <dgm:spPr>
        <a:prstGeom prst="chevron">
          <a:avLst/>
        </a:prstGeom>
      </dgm:spPr>
      <dgm:t>
        <a:bodyPr/>
        <a:lstStyle/>
        <a:p>
          <a:endParaRPr lang="cs-CZ"/>
        </a:p>
      </dgm:t>
    </dgm:pt>
    <dgm:pt modelId="{2151C726-09A8-41A7-9257-FBCF34984038}" type="pres">
      <dgm:prSet presAssocID="{BFA133A1-756A-45F1-8766-59F7BCFDAA6C}" presName="parTrans" presStyleCnt="0"/>
      <dgm:spPr/>
    </dgm:pt>
    <dgm:pt modelId="{EA6E9049-714D-4F70-9449-67590FE925DF}" type="pres">
      <dgm:prSet presAssocID="{A1CF1E31-5801-448F-B337-DBA64B602091}" presName="node" presStyleLbl="alignAccFollowNode1" presStyleIdx="0" presStyleCnt="24">
        <dgm:presLayoutVars>
          <dgm:bulletEnabled val="1"/>
        </dgm:presLayoutVars>
      </dgm:prSet>
      <dgm:spPr>
        <a:prstGeom prst="chevron">
          <a:avLst/>
        </a:prstGeom>
      </dgm:spPr>
      <dgm:t>
        <a:bodyPr/>
        <a:lstStyle/>
        <a:p>
          <a:endParaRPr lang="cs-CZ"/>
        </a:p>
      </dgm:t>
    </dgm:pt>
    <dgm:pt modelId="{ABA96DD0-7385-4751-B5CE-7EFD9DEA4C59}" type="pres">
      <dgm:prSet presAssocID="{D30FBF5B-3185-4475-AA36-3B0290B49DAD}" presName="sibTrans" presStyleCnt="0"/>
      <dgm:spPr/>
    </dgm:pt>
    <dgm:pt modelId="{E17CDDBE-C54E-41F3-B442-C82AC2798B30}" type="pres">
      <dgm:prSet presAssocID="{358C9A41-D250-4EE4-9337-6B3886DC0DC0}" presName="node" presStyleLbl="alignAccFollowNode1" presStyleIdx="1" presStyleCnt="24">
        <dgm:presLayoutVars>
          <dgm:bulletEnabled val="1"/>
        </dgm:presLayoutVars>
      </dgm:prSet>
      <dgm:spPr>
        <a:prstGeom prst="chevron">
          <a:avLst/>
        </a:prstGeom>
      </dgm:spPr>
      <dgm:t>
        <a:bodyPr/>
        <a:lstStyle/>
        <a:p>
          <a:endParaRPr lang="cs-CZ"/>
        </a:p>
      </dgm:t>
    </dgm:pt>
    <dgm:pt modelId="{88DDF0DC-9738-43F9-AD8F-A06A9FCF4148}" type="pres">
      <dgm:prSet presAssocID="{EB460E09-C9FC-4808-8795-EB45393F3985}" presName="sibTrans" presStyleCnt="0"/>
      <dgm:spPr/>
    </dgm:pt>
    <dgm:pt modelId="{26A82BEF-68BE-4FEF-A542-D5EE7C04721A}" type="pres">
      <dgm:prSet presAssocID="{5A11B889-0B82-46C6-AA06-198B94C240BA}" presName="node" presStyleLbl="alignAccFollowNode1" presStyleIdx="2" presStyleCnt="24">
        <dgm:presLayoutVars>
          <dgm:bulletEnabled val="1"/>
        </dgm:presLayoutVars>
      </dgm:prSet>
      <dgm:spPr>
        <a:prstGeom prst="chevron">
          <a:avLst/>
        </a:prstGeom>
      </dgm:spPr>
      <dgm:t>
        <a:bodyPr/>
        <a:lstStyle/>
        <a:p>
          <a:endParaRPr lang="cs-CZ"/>
        </a:p>
      </dgm:t>
    </dgm:pt>
    <dgm:pt modelId="{75082378-69D2-49C0-BBAB-3B84D10518D6}" type="pres">
      <dgm:prSet presAssocID="{3E41D1D9-E567-4048-A439-D1D74FF4254F}" presName="sibTrans" presStyleCnt="0"/>
      <dgm:spPr/>
    </dgm:pt>
    <dgm:pt modelId="{833188DE-4E3C-4E12-83E9-AF15E2D9BFD2}" type="pres">
      <dgm:prSet presAssocID="{EC97A157-B1ED-4108-8FEF-1E4923639515}" presName="node" presStyleLbl="alignAccFollowNode1" presStyleIdx="3" presStyleCnt="24">
        <dgm:presLayoutVars>
          <dgm:bulletEnabled val="1"/>
        </dgm:presLayoutVars>
      </dgm:prSet>
      <dgm:spPr>
        <a:prstGeom prst="chevron">
          <a:avLst/>
        </a:prstGeom>
      </dgm:spPr>
      <dgm:t>
        <a:bodyPr/>
        <a:lstStyle/>
        <a:p>
          <a:endParaRPr lang="cs-CZ"/>
        </a:p>
      </dgm:t>
    </dgm:pt>
    <dgm:pt modelId="{1A7B4BD8-9A49-446F-9582-0DEAC581B14A}" type="pres">
      <dgm:prSet presAssocID="{5E219547-CBEE-409D-BC33-EF0F7574158E}" presName="sibTrans" presStyleCnt="0"/>
      <dgm:spPr/>
    </dgm:pt>
    <dgm:pt modelId="{4BC069EA-54EB-411A-9913-8C17480DA2D5}" type="pres">
      <dgm:prSet presAssocID="{5C5B4CF2-03CD-467B-842D-BF255C666D8D}" presName="node" presStyleLbl="alignAccFollowNode1" presStyleIdx="4" presStyleCnt="24">
        <dgm:presLayoutVars>
          <dgm:bulletEnabled val="1"/>
        </dgm:presLayoutVars>
      </dgm:prSet>
      <dgm:spPr>
        <a:prstGeom prst="chevron">
          <a:avLst/>
        </a:prstGeom>
      </dgm:spPr>
      <dgm:t>
        <a:bodyPr/>
        <a:lstStyle/>
        <a:p>
          <a:endParaRPr lang="cs-CZ"/>
        </a:p>
      </dgm:t>
    </dgm:pt>
    <dgm:pt modelId="{43F38896-F396-4B63-9208-4D7C552D8F04}" type="pres">
      <dgm:prSet presAssocID="{4A97EA9F-0D43-4C4E-B773-0126E6BF88A2}" presName="sibTrans" presStyleCnt="0"/>
      <dgm:spPr/>
    </dgm:pt>
    <dgm:pt modelId="{D3A25E5F-696A-492F-9F7A-F9DECAD0E80A}" type="pres">
      <dgm:prSet presAssocID="{D16CAD34-9C66-484C-BBDC-A5E42BF3D225}" presName="node" presStyleLbl="alignAccFollowNode1" presStyleIdx="5" presStyleCnt="24">
        <dgm:presLayoutVars>
          <dgm:bulletEnabled val="1"/>
        </dgm:presLayoutVars>
      </dgm:prSet>
      <dgm:spPr>
        <a:prstGeom prst="chevron">
          <a:avLst/>
        </a:prstGeom>
      </dgm:spPr>
      <dgm:t>
        <a:bodyPr/>
        <a:lstStyle/>
        <a:p>
          <a:endParaRPr lang="cs-CZ"/>
        </a:p>
      </dgm:t>
    </dgm:pt>
    <dgm:pt modelId="{A9BEE66F-36BB-44B3-B70B-8A3D13CEF7BE}" type="pres">
      <dgm:prSet presAssocID="{4D953984-3ACF-4D10-86C2-DD0EECD2045E}" presName="vSp" presStyleCnt="0"/>
      <dgm:spPr/>
    </dgm:pt>
    <dgm:pt modelId="{42328518-1889-434F-BA29-67500AD6A3E3}" type="pres">
      <dgm:prSet presAssocID="{78174B99-CB2F-41B4-84A1-1438F1481E64}" presName="horFlow" presStyleCnt="0"/>
      <dgm:spPr/>
    </dgm:pt>
    <dgm:pt modelId="{108D6996-3FEB-43E6-98A6-B3CEA7AF6F97}" type="pres">
      <dgm:prSet presAssocID="{78174B99-CB2F-41B4-84A1-1438F1481E64}" presName="bigChev" presStyleLbl="node1" presStyleIdx="1" presStyleCnt="4" custScaleX="105525"/>
      <dgm:spPr>
        <a:prstGeom prst="chevron">
          <a:avLst/>
        </a:prstGeom>
      </dgm:spPr>
      <dgm:t>
        <a:bodyPr/>
        <a:lstStyle/>
        <a:p>
          <a:endParaRPr lang="cs-CZ"/>
        </a:p>
      </dgm:t>
    </dgm:pt>
    <dgm:pt modelId="{3274A788-D1B1-42E9-A0B9-97FC70252455}" type="pres">
      <dgm:prSet presAssocID="{7648DE78-9420-4106-B5C2-036985F43A06}" presName="parTrans" presStyleCnt="0"/>
      <dgm:spPr/>
    </dgm:pt>
    <dgm:pt modelId="{DD05987A-3EC2-4CCA-9869-1F1361695B14}" type="pres">
      <dgm:prSet presAssocID="{2EDBE3C3-8A52-4A3A-9194-3724DB8ACE24}" presName="node" presStyleLbl="alignAccFollowNode1" presStyleIdx="6" presStyleCnt="24">
        <dgm:presLayoutVars>
          <dgm:bulletEnabled val="1"/>
        </dgm:presLayoutVars>
      </dgm:prSet>
      <dgm:spPr>
        <a:prstGeom prst="chevron">
          <a:avLst/>
        </a:prstGeom>
      </dgm:spPr>
      <dgm:t>
        <a:bodyPr/>
        <a:lstStyle/>
        <a:p>
          <a:endParaRPr lang="cs-CZ"/>
        </a:p>
      </dgm:t>
    </dgm:pt>
    <dgm:pt modelId="{074DC42B-66ED-496B-ADFF-445C4D1A79C7}" type="pres">
      <dgm:prSet presAssocID="{57DB7BDA-E66E-4670-B460-59BDCDF1EA8F}" presName="sibTrans" presStyleCnt="0"/>
      <dgm:spPr/>
    </dgm:pt>
    <dgm:pt modelId="{E0B3BD13-AF19-47FA-8B20-BF9AA0D890B4}" type="pres">
      <dgm:prSet presAssocID="{BAB9C705-956B-4C48-87C1-811A07CE45F3}" presName="node" presStyleLbl="alignAccFollowNode1" presStyleIdx="7" presStyleCnt="24">
        <dgm:presLayoutVars>
          <dgm:bulletEnabled val="1"/>
        </dgm:presLayoutVars>
      </dgm:prSet>
      <dgm:spPr>
        <a:prstGeom prst="chevron">
          <a:avLst/>
        </a:prstGeom>
      </dgm:spPr>
      <dgm:t>
        <a:bodyPr/>
        <a:lstStyle/>
        <a:p>
          <a:endParaRPr lang="cs-CZ"/>
        </a:p>
      </dgm:t>
    </dgm:pt>
    <dgm:pt modelId="{8724CBF4-700F-4F2B-89EC-DB5AB15B0263}" type="pres">
      <dgm:prSet presAssocID="{FC896497-7C28-4987-BB69-76BA32DE4EF9}" presName="sibTrans" presStyleCnt="0"/>
      <dgm:spPr/>
    </dgm:pt>
    <dgm:pt modelId="{39403DC2-8A29-4B93-A1AD-2A564629EE5C}" type="pres">
      <dgm:prSet presAssocID="{209F4FE5-7545-474C-A12F-B61E24BF3255}" presName="node" presStyleLbl="alignAccFollowNode1" presStyleIdx="8" presStyleCnt="24">
        <dgm:presLayoutVars>
          <dgm:bulletEnabled val="1"/>
        </dgm:presLayoutVars>
      </dgm:prSet>
      <dgm:spPr>
        <a:prstGeom prst="chevron">
          <a:avLst/>
        </a:prstGeom>
      </dgm:spPr>
      <dgm:t>
        <a:bodyPr/>
        <a:lstStyle/>
        <a:p>
          <a:endParaRPr lang="cs-CZ"/>
        </a:p>
      </dgm:t>
    </dgm:pt>
    <dgm:pt modelId="{EDDE672C-DAC3-4202-9BBA-0CD4F65E941E}" type="pres">
      <dgm:prSet presAssocID="{365929A1-29A6-40CB-8A04-7CD33DA95ED2}" presName="sibTrans" presStyleCnt="0"/>
      <dgm:spPr/>
    </dgm:pt>
    <dgm:pt modelId="{4AFDE68C-9E06-4875-8967-539174B30ADD}" type="pres">
      <dgm:prSet presAssocID="{BD31FC45-3A97-40A0-952F-7F630CAADFF7}" presName="node" presStyleLbl="alignAccFollowNode1" presStyleIdx="9" presStyleCnt="24">
        <dgm:presLayoutVars>
          <dgm:bulletEnabled val="1"/>
        </dgm:presLayoutVars>
      </dgm:prSet>
      <dgm:spPr>
        <a:prstGeom prst="chevron">
          <a:avLst/>
        </a:prstGeom>
      </dgm:spPr>
      <dgm:t>
        <a:bodyPr/>
        <a:lstStyle/>
        <a:p>
          <a:endParaRPr lang="cs-CZ"/>
        </a:p>
      </dgm:t>
    </dgm:pt>
    <dgm:pt modelId="{6EC87B21-6427-4FE5-AF36-A804927921DB}" type="pres">
      <dgm:prSet presAssocID="{E8A55DA6-FCA5-42C9-855D-834E3421F7A2}" presName="sibTrans" presStyleCnt="0"/>
      <dgm:spPr/>
    </dgm:pt>
    <dgm:pt modelId="{805827EE-806F-459E-9BE2-BC7F4C63625B}" type="pres">
      <dgm:prSet presAssocID="{62A6766A-7015-4663-8F88-379392C1BE11}" presName="node" presStyleLbl="alignAccFollowNode1" presStyleIdx="10" presStyleCnt="24">
        <dgm:presLayoutVars>
          <dgm:bulletEnabled val="1"/>
        </dgm:presLayoutVars>
      </dgm:prSet>
      <dgm:spPr>
        <a:prstGeom prst="chevron">
          <a:avLst/>
        </a:prstGeom>
      </dgm:spPr>
      <dgm:t>
        <a:bodyPr/>
        <a:lstStyle/>
        <a:p>
          <a:endParaRPr lang="cs-CZ"/>
        </a:p>
      </dgm:t>
    </dgm:pt>
    <dgm:pt modelId="{45AA2FE5-9708-4508-BB8A-E6C1FBF3E3DE}" type="pres">
      <dgm:prSet presAssocID="{F2D2666E-A48C-4B56-8FCA-BC93C49761A9}" presName="sibTrans" presStyleCnt="0"/>
      <dgm:spPr/>
    </dgm:pt>
    <dgm:pt modelId="{341966EF-3C67-433C-892A-FBE5F2F03106}" type="pres">
      <dgm:prSet presAssocID="{0FD9EDD5-D66F-4DBF-9BBC-F557C161D16F}" presName="node" presStyleLbl="alignAccFollowNode1" presStyleIdx="11" presStyleCnt="24">
        <dgm:presLayoutVars>
          <dgm:bulletEnabled val="1"/>
        </dgm:presLayoutVars>
      </dgm:prSet>
      <dgm:spPr>
        <a:prstGeom prst="chevron">
          <a:avLst/>
        </a:prstGeom>
      </dgm:spPr>
      <dgm:t>
        <a:bodyPr/>
        <a:lstStyle/>
        <a:p>
          <a:endParaRPr lang="cs-CZ"/>
        </a:p>
      </dgm:t>
    </dgm:pt>
    <dgm:pt modelId="{DCDED6E6-4835-446E-AE1D-11C056A415A0}" type="pres">
      <dgm:prSet presAssocID="{78174B99-CB2F-41B4-84A1-1438F1481E64}" presName="vSp" presStyleCnt="0"/>
      <dgm:spPr/>
    </dgm:pt>
    <dgm:pt modelId="{E0A57FD5-40E2-457A-8DCD-AECCFCC1CD91}" type="pres">
      <dgm:prSet presAssocID="{10EEAB1A-174F-4182-8129-99D15D7AB9CF}" presName="horFlow" presStyleCnt="0"/>
      <dgm:spPr/>
    </dgm:pt>
    <dgm:pt modelId="{271D193C-BAC1-45D4-9F55-82CC0206262A}" type="pres">
      <dgm:prSet presAssocID="{10EEAB1A-174F-4182-8129-99D15D7AB9CF}" presName="bigChev" presStyleLbl="node1" presStyleIdx="2" presStyleCnt="4" custScaleX="105525"/>
      <dgm:spPr>
        <a:prstGeom prst="chevron">
          <a:avLst/>
        </a:prstGeom>
      </dgm:spPr>
      <dgm:t>
        <a:bodyPr/>
        <a:lstStyle/>
        <a:p>
          <a:endParaRPr lang="cs-CZ"/>
        </a:p>
      </dgm:t>
    </dgm:pt>
    <dgm:pt modelId="{A02F81FF-E421-460D-A25E-FC1AFFE195F5}" type="pres">
      <dgm:prSet presAssocID="{9A5D6920-F92B-401E-8ABC-E4BDCB79BFC4}" presName="parTrans" presStyleCnt="0"/>
      <dgm:spPr/>
    </dgm:pt>
    <dgm:pt modelId="{47012AB8-D9C4-4B00-AA2F-9FE5BCB3AE2B}" type="pres">
      <dgm:prSet presAssocID="{3B04C11E-1E1D-4B33-905E-D561049DA493}" presName="node" presStyleLbl="alignAccFollowNode1" presStyleIdx="12" presStyleCnt="24">
        <dgm:presLayoutVars>
          <dgm:bulletEnabled val="1"/>
        </dgm:presLayoutVars>
      </dgm:prSet>
      <dgm:spPr>
        <a:prstGeom prst="chevron">
          <a:avLst/>
        </a:prstGeom>
      </dgm:spPr>
      <dgm:t>
        <a:bodyPr/>
        <a:lstStyle/>
        <a:p>
          <a:endParaRPr lang="cs-CZ"/>
        </a:p>
      </dgm:t>
    </dgm:pt>
    <dgm:pt modelId="{37EAEF79-AFD4-4254-A1DD-043C950A9181}" type="pres">
      <dgm:prSet presAssocID="{1C6F6D06-2691-49C6-9ECD-584EE3F45D1E}" presName="sibTrans" presStyleCnt="0"/>
      <dgm:spPr/>
    </dgm:pt>
    <dgm:pt modelId="{49C1FADA-A17D-4E70-A3E9-E768A1AF2D9C}" type="pres">
      <dgm:prSet presAssocID="{6CC8CB00-F4BD-4923-B21D-476D50CE4744}" presName="node" presStyleLbl="alignAccFollowNode1" presStyleIdx="13" presStyleCnt="24">
        <dgm:presLayoutVars>
          <dgm:bulletEnabled val="1"/>
        </dgm:presLayoutVars>
      </dgm:prSet>
      <dgm:spPr>
        <a:prstGeom prst="chevron">
          <a:avLst/>
        </a:prstGeom>
      </dgm:spPr>
      <dgm:t>
        <a:bodyPr/>
        <a:lstStyle/>
        <a:p>
          <a:endParaRPr lang="cs-CZ"/>
        </a:p>
      </dgm:t>
    </dgm:pt>
    <dgm:pt modelId="{0E20D554-1779-452B-BF7D-5988665B2857}" type="pres">
      <dgm:prSet presAssocID="{58CCD390-3616-4FCE-96E5-24C51DBD1F9B}" presName="sibTrans" presStyleCnt="0"/>
      <dgm:spPr/>
    </dgm:pt>
    <dgm:pt modelId="{190C9095-C4CF-4C8B-9843-FC9A87C43110}" type="pres">
      <dgm:prSet presAssocID="{B7AB5797-52D3-4168-94E9-B5B272FA6C3D}" presName="node" presStyleLbl="alignAccFollowNode1" presStyleIdx="14" presStyleCnt="24">
        <dgm:presLayoutVars>
          <dgm:bulletEnabled val="1"/>
        </dgm:presLayoutVars>
      </dgm:prSet>
      <dgm:spPr>
        <a:prstGeom prst="chevron">
          <a:avLst/>
        </a:prstGeom>
      </dgm:spPr>
      <dgm:t>
        <a:bodyPr/>
        <a:lstStyle/>
        <a:p>
          <a:endParaRPr lang="cs-CZ"/>
        </a:p>
      </dgm:t>
    </dgm:pt>
    <dgm:pt modelId="{3A29FBB7-BFD7-40DF-B926-DFC96F12E73B}" type="pres">
      <dgm:prSet presAssocID="{AB6F074E-C192-402C-B1F8-7A5A7BBE2373}" presName="sibTrans" presStyleCnt="0"/>
      <dgm:spPr/>
    </dgm:pt>
    <dgm:pt modelId="{729925F6-6C21-4C2A-A124-CB5331D4D0A1}" type="pres">
      <dgm:prSet presAssocID="{D83646A4-A7B1-4063-96EE-F494AE1354F3}" presName="node" presStyleLbl="alignAccFollowNode1" presStyleIdx="15" presStyleCnt="24">
        <dgm:presLayoutVars>
          <dgm:bulletEnabled val="1"/>
        </dgm:presLayoutVars>
      </dgm:prSet>
      <dgm:spPr>
        <a:prstGeom prst="chevron">
          <a:avLst/>
        </a:prstGeom>
      </dgm:spPr>
      <dgm:t>
        <a:bodyPr/>
        <a:lstStyle/>
        <a:p>
          <a:endParaRPr lang="cs-CZ"/>
        </a:p>
      </dgm:t>
    </dgm:pt>
    <dgm:pt modelId="{F87B3730-9DBA-4FB1-BEC3-203582704E71}" type="pres">
      <dgm:prSet presAssocID="{CCD5F0B8-6925-4DD9-AEB0-82326B9BC3C4}" presName="sibTrans" presStyleCnt="0"/>
      <dgm:spPr/>
    </dgm:pt>
    <dgm:pt modelId="{F1F41FAD-CF79-4184-9D4A-4B24B3BD1679}" type="pres">
      <dgm:prSet presAssocID="{FEA4DDB3-3A97-44AC-828D-91A1B7C2F815}" presName="node" presStyleLbl="alignAccFollowNode1" presStyleIdx="16" presStyleCnt="24">
        <dgm:presLayoutVars>
          <dgm:bulletEnabled val="1"/>
        </dgm:presLayoutVars>
      </dgm:prSet>
      <dgm:spPr>
        <a:prstGeom prst="chevron">
          <a:avLst/>
        </a:prstGeom>
      </dgm:spPr>
      <dgm:t>
        <a:bodyPr/>
        <a:lstStyle/>
        <a:p>
          <a:endParaRPr lang="cs-CZ"/>
        </a:p>
      </dgm:t>
    </dgm:pt>
    <dgm:pt modelId="{CEC64482-0253-43ED-B9B7-046F5EB620B3}" type="pres">
      <dgm:prSet presAssocID="{A392C771-08EA-4F6A-B577-51DE6D88CA16}" presName="sibTrans" presStyleCnt="0"/>
      <dgm:spPr/>
    </dgm:pt>
    <dgm:pt modelId="{4C65EDB7-00FC-46A4-9C20-9DA139026CE1}" type="pres">
      <dgm:prSet presAssocID="{B56FF771-0284-45CC-BEB5-0F13737F543B}" presName="node" presStyleLbl="alignAccFollowNode1" presStyleIdx="17" presStyleCnt="24">
        <dgm:presLayoutVars>
          <dgm:bulletEnabled val="1"/>
        </dgm:presLayoutVars>
      </dgm:prSet>
      <dgm:spPr>
        <a:prstGeom prst="chevron">
          <a:avLst/>
        </a:prstGeom>
      </dgm:spPr>
      <dgm:t>
        <a:bodyPr/>
        <a:lstStyle/>
        <a:p>
          <a:endParaRPr lang="cs-CZ"/>
        </a:p>
      </dgm:t>
    </dgm:pt>
    <dgm:pt modelId="{7E5BF45C-0115-41ED-9326-05FE7C694700}" type="pres">
      <dgm:prSet presAssocID="{10EEAB1A-174F-4182-8129-99D15D7AB9CF}" presName="vSp" presStyleCnt="0"/>
      <dgm:spPr/>
    </dgm:pt>
    <dgm:pt modelId="{1BB6BA2D-2500-4816-8327-0A4F6B34843B}" type="pres">
      <dgm:prSet presAssocID="{5C86C45D-0504-41F5-9ED8-B8588DC4BB71}" presName="horFlow" presStyleCnt="0"/>
      <dgm:spPr/>
    </dgm:pt>
    <dgm:pt modelId="{3B038CE9-4800-42E2-ADC1-CECE41DB3D7F}" type="pres">
      <dgm:prSet presAssocID="{5C86C45D-0504-41F5-9ED8-B8588DC4BB71}" presName="bigChev" presStyleLbl="node1" presStyleIdx="3" presStyleCnt="4" custScaleX="105525" custLinFactNeighborX="-2017" custLinFactNeighborY="-2617"/>
      <dgm:spPr>
        <a:prstGeom prst="chevron">
          <a:avLst/>
        </a:prstGeom>
      </dgm:spPr>
      <dgm:t>
        <a:bodyPr/>
        <a:lstStyle/>
        <a:p>
          <a:endParaRPr lang="cs-CZ"/>
        </a:p>
      </dgm:t>
    </dgm:pt>
    <dgm:pt modelId="{C69CFF36-F175-4B28-88C2-30012360F175}" type="pres">
      <dgm:prSet presAssocID="{F992937B-D676-4E14-883A-7DE4DC15F33C}" presName="parTrans" presStyleCnt="0"/>
      <dgm:spPr/>
    </dgm:pt>
    <dgm:pt modelId="{0C4F5166-7B8C-4DC5-9D99-03C90D522575}" type="pres">
      <dgm:prSet presAssocID="{8C82CBD6-9B91-494C-B5BE-A24E7DAC987A}" presName="node" presStyleLbl="alignAccFollowNode1" presStyleIdx="18" presStyleCnt="24">
        <dgm:presLayoutVars>
          <dgm:bulletEnabled val="1"/>
        </dgm:presLayoutVars>
      </dgm:prSet>
      <dgm:spPr>
        <a:prstGeom prst="chevron">
          <a:avLst/>
        </a:prstGeom>
      </dgm:spPr>
      <dgm:t>
        <a:bodyPr/>
        <a:lstStyle/>
        <a:p>
          <a:endParaRPr lang="cs-CZ"/>
        </a:p>
      </dgm:t>
    </dgm:pt>
    <dgm:pt modelId="{13F7C1A8-0FA6-4047-8DEF-A7F40DB089B6}" type="pres">
      <dgm:prSet presAssocID="{D500B32E-0679-4C74-9104-62736048009E}" presName="sibTrans" presStyleCnt="0"/>
      <dgm:spPr/>
    </dgm:pt>
    <dgm:pt modelId="{7CB82BEA-AE28-47E4-BA52-D78E48C0F651}" type="pres">
      <dgm:prSet presAssocID="{F23B00AF-5335-4B06-B9E0-C407B399300E}" presName="node" presStyleLbl="alignAccFollowNode1" presStyleIdx="19" presStyleCnt="24">
        <dgm:presLayoutVars>
          <dgm:bulletEnabled val="1"/>
        </dgm:presLayoutVars>
      </dgm:prSet>
      <dgm:spPr>
        <a:prstGeom prst="chevron">
          <a:avLst/>
        </a:prstGeom>
      </dgm:spPr>
      <dgm:t>
        <a:bodyPr/>
        <a:lstStyle/>
        <a:p>
          <a:endParaRPr lang="cs-CZ"/>
        </a:p>
      </dgm:t>
    </dgm:pt>
    <dgm:pt modelId="{530B6F05-6DFC-43D0-92E5-B644BDD10F2A}" type="pres">
      <dgm:prSet presAssocID="{9479A454-AB9D-4130-A99D-BBA20460FA4A}" presName="sibTrans" presStyleCnt="0"/>
      <dgm:spPr/>
    </dgm:pt>
    <dgm:pt modelId="{3963FC4F-805E-4287-BBFA-DE711BEEDB2C}" type="pres">
      <dgm:prSet presAssocID="{25F081A6-E845-4409-887B-05E369030AE7}" presName="node" presStyleLbl="alignAccFollowNode1" presStyleIdx="20" presStyleCnt="24">
        <dgm:presLayoutVars>
          <dgm:bulletEnabled val="1"/>
        </dgm:presLayoutVars>
      </dgm:prSet>
      <dgm:spPr>
        <a:prstGeom prst="chevron">
          <a:avLst/>
        </a:prstGeom>
      </dgm:spPr>
      <dgm:t>
        <a:bodyPr/>
        <a:lstStyle/>
        <a:p>
          <a:endParaRPr lang="cs-CZ"/>
        </a:p>
      </dgm:t>
    </dgm:pt>
    <dgm:pt modelId="{24B223E9-9351-4648-AEE2-D4038D026EF0}" type="pres">
      <dgm:prSet presAssocID="{57FA23F5-AAC5-4EF6-817D-4976FD6CF51E}" presName="sibTrans" presStyleCnt="0"/>
      <dgm:spPr/>
    </dgm:pt>
    <dgm:pt modelId="{68FF06A0-95BF-4EB5-BCC0-FE24A744B17A}" type="pres">
      <dgm:prSet presAssocID="{A107A654-54F0-418A-AAED-D6694D3FF9AE}" presName="node" presStyleLbl="alignAccFollowNode1" presStyleIdx="21" presStyleCnt="24">
        <dgm:presLayoutVars>
          <dgm:bulletEnabled val="1"/>
        </dgm:presLayoutVars>
      </dgm:prSet>
      <dgm:spPr>
        <a:prstGeom prst="chevron">
          <a:avLst/>
        </a:prstGeom>
      </dgm:spPr>
      <dgm:t>
        <a:bodyPr/>
        <a:lstStyle/>
        <a:p>
          <a:endParaRPr lang="cs-CZ"/>
        </a:p>
      </dgm:t>
    </dgm:pt>
    <dgm:pt modelId="{1169AA05-4D8B-4B3D-9FEC-0917DC98EC23}" type="pres">
      <dgm:prSet presAssocID="{2EFF7EC7-9DD7-4E89-B36E-9B6DDE8DE8E8}" presName="sibTrans" presStyleCnt="0"/>
      <dgm:spPr/>
    </dgm:pt>
    <dgm:pt modelId="{1FAD3650-64BC-4728-B0DE-4DF577F605F2}" type="pres">
      <dgm:prSet presAssocID="{6FF2215A-98C9-46E9-9B44-A4318822E1FF}" presName="node" presStyleLbl="alignAccFollowNode1" presStyleIdx="22" presStyleCnt="24">
        <dgm:presLayoutVars>
          <dgm:bulletEnabled val="1"/>
        </dgm:presLayoutVars>
      </dgm:prSet>
      <dgm:spPr>
        <a:prstGeom prst="chevron">
          <a:avLst/>
        </a:prstGeom>
      </dgm:spPr>
      <dgm:t>
        <a:bodyPr/>
        <a:lstStyle/>
        <a:p>
          <a:endParaRPr lang="cs-CZ"/>
        </a:p>
      </dgm:t>
    </dgm:pt>
    <dgm:pt modelId="{CCD5C5F7-8FEC-426D-9ABE-706AE504B669}" type="pres">
      <dgm:prSet presAssocID="{C28617C6-CB83-42F9-9DC7-65202EACE19E}" presName="sibTrans" presStyleCnt="0"/>
      <dgm:spPr/>
    </dgm:pt>
    <dgm:pt modelId="{C132509D-D53A-413A-B4A6-5E3503422542}" type="pres">
      <dgm:prSet presAssocID="{93447B53-24D9-4435-9944-0A8CE12A31FD}" presName="node" presStyleLbl="alignAccFollowNode1" presStyleIdx="23" presStyleCnt="24">
        <dgm:presLayoutVars>
          <dgm:bulletEnabled val="1"/>
        </dgm:presLayoutVars>
      </dgm:prSet>
      <dgm:spPr>
        <a:prstGeom prst="chevron">
          <a:avLst/>
        </a:prstGeom>
      </dgm:spPr>
      <dgm:t>
        <a:bodyPr/>
        <a:lstStyle/>
        <a:p>
          <a:endParaRPr lang="cs-CZ"/>
        </a:p>
      </dgm:t>
    </dgm:pt>
  </dgm:ptLst>
  <dgm:cxnLst>
    <dgm:cxn modelId="{1E8F49F5-B1EF-4DD8-92A0-160CF075C052}" srcId="{10EEAB1A-174F-4182-8129-99D15D7AB9CF}" destId="{B7AB5797-52D3-4168-94E9-B5B272FA6C3D}" srcOrd="2" destOrd="0" parTransId="{481AFC01-99CA-46E0-87DB-7575ED20FCFD}" sibTransId="{AB6F074E-C192-402C-B1F8-7A5A7BBE2373}"/>
    <dgm:cxn modelId="{BDE4C5AD-FA79-48AC-B2D5-CFCDEF48DF44}" srcId="{10EEAB1A-174F-4182-8129-99D15D7AB9CF}" destId="{B56FF771-0284-45CC-BEB5-0F13737F543B}" srcOrd="5" destOrd="0" parTransId="{F2722C6C-F3DC-46AB-9DAF-1C1E74197FB1}" sibTransId="{5906F1DB-1147-4252-9733-DD3E465D39BC}"/>
    <dgm:cxn modelId="{BF446106-2748-465C-82A9-5AB1C93995B0}" srcId="{78174B99-CB2F-41B4-84A1-1438F1481E64}" destId="{0FD9EDD5-D66F-4DBF-9BBC-F557C161D16F}" srcOrd="5" destOrd="0" parTransId="{5B66ACB1-D36E-4B3D-8D5E-050A802E2EEE}" sibTransId="{918144D0-6648-46AE-8155-2887C7596364}"/>
    <dgm:cxn modelId="{FF2E30D5-28CF-439A-B67C-581103A44941}" type="presOf" srcId="{A107A654-54F0-418A-AAED-D6694D3FF9AE}" destId="{68FF06A0-95BF-4EB5-BCC0-FE24A744B17A}" srcOrd="0" destOrd="0" presId="urn:microsoft.com/office/officeart/2005/8/layout/lProcess3"/>
    <dgm:cxn modelId="{7A6E2191-A70D-4569-B524-88A49A5B22FA}" type="presOf" srcId="{0FD9EDD5-D66F-4DBF-9BBC-F557C161D16F}" destId="{341966EF-3C67-433C-892A-FBE5F2F03106}" srcOrd="0" destOrd="0" presId="urn:microsoft.com/office/officeart/2005/8/layout/lProcess3"/>
    <dgm:cxn modelId="{7E4DF2E4-B591-466C-A14D-9B687B7A49BF}" srcId="{10EEAB1A-174F-4182-8129-99D15D7AB9CF}" destId="{D83646A4-A7B1-4063-96EE-F494AE1354F3}" srcOrd="3" destOrd="0" parTransId="{8E629B7D-0666-4E55-A6F7-0D502A314A0E}" sibTransId="{CCD5F0B8-6925-4DD9-AEB0-82326B9BC3C4}"/>
    <dgm:cxn modelId="{7074881D-F902-419B-A3D3-69D166603E82}" srcId="{4D953984-3ACF-4D10-86C2-DD0EECD2045E}" destId="{5C5B4CF2-03CD-467B-842D-BF255C666D8D}" srcOrd="4" destOrd="0" parTransId="{2146FB9C-8A70-4886-876C-F201956EA5EF}" sibTransId="{4A97EA9F-0D43-4C4E-B773-0126E6BF88A2}"/>
    <dgm:cxn modelId="{7796AACE-01AA-4552-8B2C-43ECF3FCBCD7}" srcId="{4D953984-3ACF-4D10-86C2-DD0EECD2045E}" destId="{A1CF1E31-5801-448F-B337-DBA64B602091}" srcOrd="0" destOrd="0" parTransId="{BFA133A1-756A-45F1-8766-59F7BCFDAA6C}" sibTransId="{D30FBF5B-3185-4475-AA36-3B0290B49DAD}"/>
    <dgm:cxn modelId="{2E4F9EB2-8F1A-4534-BF6D-3D10D5EEB47E}" srcId="{78174B99-CB2F-41B4-84A1-1438F1481E64}" destId="{BAB9C705-956B-4C48-87C1-811A07CE45F3}" srcOrd="1" destOrd="0" parTransId="{5060BF98-44BD-4F09-9401-9C30985B369C}" sibTransId="{FC896497-7C28-4987-BB69-76BA32DE4EF9}"/>
    <dgm:cxn modelId="{C286652C-92D4-4C9C-9D35-5919CAAAAAD2}" srcId="{78174B99-CB2F-41B4-84A1-1438F1481E64}" destId="{62A6766A-7015-4663-8F88-379392C1BE11}" srcOrd="4" destOrd="0" parTransId="{A6578421-CDAE-4169-BBBB-C5D113A31D27}" sibTransId="{F2D2666E-A48C-4B56-8FCA-BC93C49761A9}"/>
    <dgm:cxn modelId="{BF1CF443-1178-4CD3-9263-76DABC19179B}" srcId="{4D953984-3ACF-4D10-86C2-DD0EECD2045E}" destId="{EC97A157-B1ED-4108-8FEF-1E4923639515}" srcOrd="3" destOrd="0" parTransId="{9D7F40E7-42DB-4EEC-B91F-E81F9F00800B}" sibTransId="{5E219547-CBEE-409D-BC33-EF0F7574158E}"/>
    <dgm:cxn modelId="{7F8520E7-18CD-4AD7-9246-8612BFB7B683}" srcId="{4D953984-3ACF-4D10-86C2-DD0EECD2045E}" destId="{5A11B889-0B82-46C6-AA06-198B94C240BA}" srcOrd="2" destOrd="0" parTransId="{85632010-DCDE-49B9-B7C8-1BA4BC10AB96}" sibTransId="{3E41D1D9-E567-4048-A439-D1D74FF4254F}"/>
    <dgm:cxn modelId="{ECAEA752-CBE7-4547-A8A8-48159546DDCD}" srcId="{1A6347D2-E774-46FA-B777-F1A30B1B32AE}" destId="{4D953984-3ACF-4D10-86C2-DD0EECD2045E}" srcOrd="0" destOrd="0" parTransId="{F16E41CB-26E5-43DD-9796-987A9D8D425D}" sibTransId="{65D9BC79-1E0E-4540-B0A4-914D9CDA1CEF}"/>
    <dgm:cxn modelId="{FBE2A66C-BAEB-4055-B249-C62290420E1D}" srcId="{1A6347D2-E774-46FA-B777-F1A30B1B32AE}" destId="{78174B99-CB2F-41B4-84A1-1438F1481E64}" srcOrd="1" destOrd="0" parTransId="{D7C31FB7-9F0B-4DC9-9E58-D2D92803A3E7}" sibTransId="{949F9C5E-8E40-433E-9C30-8C6B1B901287}"/>
    <dgm:cxn modelId="{5BD4E26E-8DE6-4173-B45D-BB4A584731A7}" type="presOf" srcId="{BAB9C705-956B-4C48-87C1-811A07CE45F3}" destId="{E0B3BD13-AF19-47FA-8B20-BF9AA0D890B4}" srcOrd="0" destOrd="0" presId="urn:microsoft.com/office/officeart/2005/8/layout/lProcess3"/>
    <dgm:cxn modelId="{EE73EFEB-6030-4D28-9DBA-FF585117EA09}" srcId="{78174B99-CB2F-41B4-84A1-1438F1481E64}" destId="{BD31FC45-3A97-40A0-952F-7F630CAADFF7}" srcOrd="3" destOrd="0" parTransId="{7F98EE7C-F0D8-43D7-8240-2E47B95F7EED}" sibTransId="{E8A55DA6-FCA5-42C9-855D-834E3421F7A2}"/>
    <dgm:cxn modelId="{4FFB2243-AD8E-4F8F-AD6D-F9041EEE02CB}" type="presOf" srcId="{A1CF1E31-5801-448F-B337-DBA64B602091}" destId="{EA6E9049-714D-4F70-9449-67590FE925DF}" srcOrd="0" destOrd="0" presId="urn:microsoft.com/office/officeart/2005/8/layout/lProcess3"/>
    <dgm:cxn modelId="{DFF650C2-C7FA-41F0-92F2-CF2FB269C05A}" type="presOf" srcId="{4D953984-3ACF-4D10-86C2-DD0EECD2045E}" destId="{4324C8AE-0C84-4B57-A0DB-F530EDB074FB}" srcOrd="0" destOrd="0" presId="urn:microsoft.com/office/officeart/2005/8/layout/lProcess3"/>
    <dgm:cxn modelId="{6CEAB6DC-D4C5-47A3-86E6-BEC62BA98C30}" srcId="{10EEAB1A-174F-4182-8129-99D15D7AB9CF}" destId="{6CC8CB00-F4BD-4923-B21D-476D50CE4744}" srcOrd="1" destOrd="0" parTransId="{3A0F8BA9-3017-44A7-92D0-493BE9266296}" sibTransId="{58CCD390-3616-4FCE-96E5-24C51DBD1F9B}"/>
    <dgm:cxn modelId="{303ADA22-FF07-4BE9-8969-5183C4DFF3FD}" type="presOf" srcId="{F23B00AF-5335-4B06-B9E0-C407B399300E}" destId="{7CB82BEA-AE28-47E4-BA52-D78E48C0F651}" srcOrd="0" destOrd="0" presId="urn:microsoft.com/office/officeart/2005/8/layout/lProcess3"/>
    <dgm:cxn modelId="{FD27FC6F-30AD-4979-9713-032434D95C4C}" type="presOf" srcId="{5A11B889-0B82-46C6-AA06-198B94C240BA}" destId="{26A82BEF-68BE-4FEF-A542-D5EE7C04721A}" srcOrd="0" destOrd="0" presId="urn:microsoft.com/office/officeart/2005/8/layout/lProcess3"/>
    <dgm:cxn modelId="{BEDB6D3F-8793-4626-8623-6C182F0A8CDB}" type="presOf" srcId="{2EDBE3C3-8A52-4A3A-9194-3724DB8ACE24}" destId="{DD05987A-3EC2-4CCA-9869-1F1361695B14}" srcOrd="0" destOrd="0" presId="urn:microsoft.com/office/officeart/2005/8/layout/lProcess3"/>
    <dgm:cxn modelId="{5CADA5D1-8101-4106-AB4B-B56D02493082}" srcId="{5C86C45D-0504-41F5-9ED8-B8588DC4BB71}" destId="{25F081A6-E845-4409-887B-05E369030AE7}" srcOrd="2" destOrd="0" parTransId="{788DD0A1-8EE1-41D8-B087-36D8BF896EA8}" sibTransId="{57FA23F5-AAC5-4EF6-817D-4976FD6CF51E}"/>
    <dgm:cxn modelId="{904960D1-1AAD-4FEA-A610-B5320936AEBF}" srcId="{5C86C45D-0504-41F5-9ED8-B8588DC4BB71}" destId="{A107A654-54F0-418A-AAED-D6694D3FF9AE}" srcOrd="3" destOrd="0" parTransId="{07A7D715-E3B4-42E9-A1E1-55E6AE08A9D2}" sibTransId="{2EFF7EC7-9DD7-4E89-B36E-9B6DDE8DE8E8}"/>
    <dgm:cxn modelId="{34615857-8CF1-48EC-B1AE-8874376DC5C2}" type="presOf" srcId="{8C82CBD6-9B91-494C-B5BE-A24E7DAC987A}" destId="{0C4F5166-7B8C-4DC5-9D99-03C90D522575}" srcOrd="0" destOrd="0" presId="urn:microsoft.com/office/officeart/2005/8/layout/lProcess3"/>
    <dgm:cxn modelId="{C9587956-1B1D-4227-87D8-57D3466BFBF5}" type="presOf" srcId="{6CC8CB00-F4BD-4923-B21D-476D50CE4744}" destId="{49C1FADA-A17D-4E70-A3E9-E768A1AF2D9C}" srcOrd="0" destOrd="0" presId="urn:microsoft.com/office/officeart/2005/8/layout/lProcess3"/>
    <dgm:cxn modelId="{F5390BC2-5915-4D3F-8EBE-58357C06A4F6}" type="presOf" srcId="{FEA4DDB3-3A97-44AC-828D-91A1B7C2F815}" destId="{F1F41FAD-CF79-4184-9D4A-4B24B3BD1679}" srcOrd="0" destOrd="0" presId="urn:microsoft.com/office/officeart/2005/8/layout/lProcess3"/>
    <dgm:cxn modelId="{928E7FB3-9936-4D4C-B9B6-72844F2875F9}" type="presOf" srcId="{B7AB5797-52D3-4168-94E9-B5B272FA6C3D}" destId="{190C9095-C4CF-4C8B-9843-FC9A87C43110}" srcOrd="0" destOrd="0" presId="urn:microsoft.com/office/officeart/2005/8/layout/lProcess3"/>
    <dgm:cxn modelId="{E4FC23FD-1C6E-4B34-92DC-11761E205FF0}" srcId="{5C86C45D-0504-41F5-9ED8-B8588DC4BB71}" destId="{8C82CBD6-9B91-494C-B5BE-A24E7DAC987A}" srcOrd="0" destOrd="0" parTransId="{F992937B-D676-4E14-883A-7DE4DC15F33C}" sibTransId="{D500B32E-0679-4C74-9104-62736048009E}"/>
    <dgm:cxn modelId="{310A3113-A0E8-4F71-BAB5-F6696697AF1D}" srcId="{10EEAB1A-174F-4182-8129-99D15D7AB9CF}" destId="{3B04C11E-1E1D-4B33-905E-D561049DA493}" srcOrd="0" destOrd="0" parTransId="{9A5D6920-F92B-401E-8ABC-E4BDCB79BFC4}" sibTransId="{1C6F6D06-2691-49C6-9ECD-584EE3F45D1E}"/>
    <dgm:cxn modelId="{68950414-8404-4C29-ACAA-54C9C6DAD015}" srcId="{78174B99-CB2F-41B4-84A1-1438F1481E64}" destId="{209F4FE5-7545-474C-A12F-B61E24BF3255}" srcOrd="2" destOrd="0" parTransId="{63AD4E18-C162-4B96-9CE0-7B2422FA6253}" sibTransId="{365929A1-29A6-40CB-8A04-7CD33DA95ED2}"/>
    <dgm:cxn modelId="{CE2D8627-E1EC-427F-96C6-8376AD2EEFDB}" type="presOf" srcId="{358C9A41-D250-4EE4-9337-6B3886DC0DC0}" destId="{E17CDDBE-C54E-41F3-B442-C82AC2798B30}" srcOrd="0" destOrd="0" presId="urn:microsoft.com/office/officeart/2005/8/layout/lProcess3"/>
    <dgm:cxn modelId="{E3221AC5-98DA-4248-B955-897C111A5118}" type="presOf" srcId="{D83646A4-A7B1-4063-96EE-F494AE1354F3}" destId="{729925F6-6C21-4C2A-A124-CB5331D4D0A1}" srcOrd="0" destOrd="0" presId="urn:microsoft.com/office/officeart/2005/8/layout/lProcess3"/>
    <dgm:cxn modelId="{FAB24F56-6565-450D-B1E9-FF353CA1B578}" srcId="{1A6347D2-E774-46FA-B777-F1A30B1B32AE}" destId="{5C86C45D-0504-41F5-9ED8-B8588DC4BB71}" srcOrd="3" destOrd="0" parTransId="{958CFC62-690E-4A69-9661-5397DCEA31BF}" sibTransId="{66C83E80-71BF-41C0-B162-00C0E2E64806}"/>
    <dgm:cxn modelId="{1A2B5A23-B6EF-47E1-9B45-3DADDCED2DBE}" type="presOf" srcId="{D16CAD34-9C66-484C-BBDC-A5E42BF3D225}" destId="{D3A25E5F-696A-492F-9F7A-F9DECAD0E80A}" srcOrd="0" destOrd="0" presId="urn:microsoft.com/office/officeart/2005/8/layout/lProcess3"/>
    <dgm:cxn modelId="{ED7784F0-CB07-46A9-9099-A96DEBF07610}" srcId="{4D953984-3ACF-4D10-86C2-DD0EECD2045E}" destId="{358C9A41-D250-4EE4-9337-6B3886DC0DC0}" srcOrd="1" destOrd="0" parTransId="{37117464-C6AC-4707-B9BD-209DE83C59FB}" sibTransId="{EB460E09-C9FC-4808-8795-EB45393F3985}"/>
    <dgm:cxn modelId="{4D4A54AD-733B-4E7D-8320-D4995DFF4E7B}" type="presOf" srcId="{6FF2215A-98C9-46E9-9B44-A4318822E1FF}" destId="{1FAD3650-64BC-4728-B0DE-4DF577F605F2}" srcOrd="0" destOrd="0" presId="urn:microsoft.com/office/officeart/2005/8/layout/lProcess3"/>
    <dgm:cxn modelId="{1EA05F70-360E-4C67-AD57-7FF19E0D4C84}" type="presOf" srcId="{3B04C11E-1E1D-4B33-905E-D561049DA493}" destId="{47012AB8-D9C4-4B00-AA2F-9FE5BCB3AE2B}" srcOrd="0" destOrd="0" presId="urn:microsoft.com/office/officeart/2005/8/layout/lProcess3"/>
    <dgm:cxn modelId="{881C22E3-E024-4296-BB9D-3EE32487F377}" type="presOf" srcId="{209F4FE5-7545-474C-A12F-B61E24BF3255}" destId="{39403DC2-8A29-4B93-A1AD-2A564629EE5C}" srcOrd="0" destOrd="0" presId="urn:microsoft.com/office/officeart/2005/8/layout/lProcess3"/>
    <dgm:cxn modelId="{5F50BE38-6501-4DCC-AF0C-55FA77884990}" type="presOf" srcId="{10EEAB1A-174F-4182-8129-99D15D7AB9CF}" destId="{271D193C-BAC1-45D4-9F55-82CC0206262A}" srcOrd="0" destOrd="0" presId="urn:microsoft.com/office/officeart/2005/8/layout/lProcess3"/>
    <dgm:cxn modelId="{AAEAEADC-BBE5-4A85-8DCF-BFBA90D01B4F}" type="presOf" srcId="{BD31FC45-3A97-40A0-952F-7F630CAADFF7}" destId="{4AFDE68C-9E06-4875-8967-539174B30ADD}" srcOrd="0" destOrd="0" presId="urn:microsoft.com/office/officeart/2005/8/layout/lProcess3"/>
    <dgm:cxn modelId="{D854AD87-6BC3-451D-BF2E-A403FC00D3A8}" srcId="{78174B99-CB2F-41B4-84A1-1438F1481E64}" destId="{2EDBE3C3-8A52-4A3A-9194-3724DB8ACE24}" srcOrd="0" destOrd="0" parTransId="{7648DE78-9420-4106-B5C2-036985F43A06}" sibTransId="{57DB7BDA-E66E-4670-B460-59BDCDF1EA8F}"/>
    <dgm:cxn modelId="{AB904891-B29F-4250-A5A5-EC26D54407F5}" type="presOf" srcId="{62A6766A-7015-4663-8F88-379392C1BE11}" destId="{805827EE-806F-459E-9BE2-BC7F4C63625B}" srcOrd="0" destOrd="0" presId="urn:microsoft.com/office/officeart/2005/8/layout/lProcess3"/>
    <dgm:cxn modelId="{B537E768-1179-43D6-9D74-C847D16AF998}" srcId="{5C86C45D-0504-41F5-9ED8-B8588DC4BB71}" destId="{6FF2215A-98C9-46E9-9B44-A4318822E1FF}" srcOrd="4" destOrd="0" parTransId="{5AD1B92A-4001-4268-8D70-1A396F83A308}" sibTransId="{C28617C6-CB83-42F9-9DC7-65202EACE19E}"/>
    <dgm:cxn modelId="{BD1F13C6-0963-459B-B4C1-46A35A1AF419}" srcId="{10EEAB1A-174F-4182-8129-99D15D7AB9CF}" destId="{FEA4DDB3-3A97-44AC-828D-91A1B7C2F815}" srcOrd="4" destOrd="0" parTransId="{30C3A696-7896-4142-98B8-911DAA51A0C2}" sibTransId="{A392C771-08EA-4F6A-B577-51DE6D88CA16}"/>
    <dgm:cxn modelId="{64C87A25-432F-4EE5-BB67-6CEDA43802D8}" type="presOf" srcId="{1A6347D2-E774-46FA-B777-F1A30B1B32AE}" destId="{110F5A43-F211-43B5-A555-8C9EEBADA2D4}" srcOrd="0" destOrd="0" presId="urn:microsoft.com/office/officeart/2005/8/layout/lProcess3"/>
    <dgm:cxn modelId="{EFBAA232-42A9-4C17-A725-9F3D5AA293C9}" type="presOf" srcId="{78174B99-CB2F-41B4-84A1-1438F1481E64}" destId="{108D6996-3FEB-43E6-98A6-B3CEA7AF6F97}" srcOrd="0" destOrd="0" presId="urn:microsoft.com/office/officeart/2005/8/layout/lProcess3"/>
    <dgm:cxn modelId="{308F2257-DF63-4345-B4F8-B8B61610CCA9}" type="presOf" srcId="{B56FF771-0284-45CC-BEB5-0F13737F543B}" destId="{4C65EDB7-00FC-46A4-9C20-9DA139026CE1}" srcOrd="0" destOrd="0" presId="urn:microsoft.com/office/officeart/2005/8/layout/lProcess3"/>
    <dgm:cxn modelId="{F8380EE1-40BA-4909-AC03-FE163230E010}" srcId="{4D953984-3ACF-4D10-86C2-DD0EECD2045E}" destId="{D16CAD34-9C66-484C-BBDC-A5E42BF3D225}" srcOrd="5" destOrd="0" parTransId="{808DF22A-3A20-4FBB-8A78-D8AC7AAE1BF0}" sibTransId="{45B66F3E-68B1-4323-9B56-387FA6FB0408}"/>
    <dgm:cxn modelId="{C679B2AC-5D46-4842-A9A8-65991FDCF730}" srcId="{5C86C45D-0504-41F5-9ED8-B8588DC4BB71}" destId="{F23B00AF-5335-4B06-B9E0-C407B399300E}" srcOrd="1" destOrd="0" parTransId="{4D263FDF-B3C7-4003-9A94-D213C7AE82CA}" sibTransId="{9479A454-AB9D-4130-A99D-BBA20460FA4A}"/>
    <dgm:cxn modelId="{A08410E1-484C-4B88-AD39-0AA25FB467E7}" srcId="{1A6347D2-E774-46FA-B777-F1A30B1B32AE}" destId="{10EEAB1A-174F-4182-8129-99D15D7AB9CF}" srcOrd="2" destOrd="0" parTransId="{9621A7A5-593F-4E40-9A9F-6395F70BF010}" sibTransId="{988FF4AE-EDFA-4F28-A5CC-08BF75833141}"/>
    <dgm:cxn modelId="{5F6E7885-3FBF-4F6B-84DF-E5C83F069B74}" type="presOf" srcId="{5C86C45D-0504-41F5-9ED8-B8588DC4BB71}" destId="{3B038CE9-4800-42E2-ADC1-CECE41DB3D7F}" srcOrd="0" destOrd="0" presId="urn:microsoft.com/office/officeart/2005/8/layout/lProcess3"/>
    <dgm:cxn modelId="{2CBF76AB-21EC-41A9-91C9-AE76936A02E4}" srcId="{5C86C45D-0504-41F5-9ED8-B8588DC4BB71}" destId="{93447B53-24D9-4435-9944-0A8CE12A31FD}" srcOrd="5" destOrd="0" parTransId="{09123B89-1F8B-4854-979E-0A5C277A87A8}" sibTransId="{611625C5-F15E-4884-9C12-AA885229D3D0}"/>
    <dgm:cxn modelId="{F7CB5E38-B9B2-475E-A24D-ACC35042F239}" type="presOf" srcId="{25F081A6-E845-4409-887B-05E369030AE7}" destId="{3963FC4F-805E-4287-BBFA-DE711BEEDB2C}" srcOrd="0" destOrd="0" presId="urn:microsoft.com/office/officeart/2005/8/layout/lProcess3"/>
    <dgm:cxn modelId="{DC90E02E-C9EB-48FE-B238-B67D319D5B0D}" type="presOf" srcId="{93447B53-24D9-4435-9944-0A8CE12A31FD}" destId="{C132509D-D53A-413A-B4A6-5E3503422542}" srcOrd="0" destOrd="0" presId="urn:microsoft.com/office/officeart/2005/8/layout/lProcess3"/>
    <dgm:cxn modelId="{B5564803-F5F9-4014-911E-E154F0C85191}" type="presOf" srcId="{EC97A157-B1ED-4108-8FEF-1E4923639515}" destId="{833188DE-4E3C-4E12-83E9-AF15E2D9BFD2}" srcOrd="0" destOrd="0" presId="urn:microsoft.com/office/officeart/2005/8/layout/lProcess3"/>
    <dgm:cxn modelId="{47825CE8-9B8C-4956-B169-962433248900}" type="presOf" srcId="{5C5B4CF2-03CD-467B-842D-BF255C666D8D}" destId="{4BC069EA-54EB-411A-9913-8C17480DA2D5}" srcOrd="0" destOrd="0" presId="urn:microsoft.com/office/officeart/2005/8/layout/lProcess3"/>
    <dgm:cxn modelId="{02268F0E-153A-4A2D-99CF-43EA3E6964F6}" type="presParOf" srcId="{110F5A43-F211-43B5-A555-8C9EEBADA2D4}" destId="{89981277-0A47-47D1-A0CA-10765B466ED1}" srcOrd="0" destOrd="0" presId="urn:microsoft.com/office/officeart/2005/8/layout/lProcess3"/>
    <dgm:cxn modelId="{E520A3E9-701F-4530-AF44-65F16625BEB1}" type="presParOf" srcId="{89981277-0A47-47D1-A0CA-10765B466ED1}" destId="{4324C8AE-0C84-4B57-A0DB-F530EDB074FB}" srcOrd="0" destOrd="0" presId="urn:microsoft.com/office/officeart/2005/8/layout/lProcess3"/>
    <dgm:cxn modelId="{03B44445-D701-450E-811C-95CC2E690092}" type="presParOf" srcId="{89981277-0A47-47D1-A0CA-10765B466ED1}" destId="{2151C726-09A8-41A7-9257-FBCF34984038}" srcOrd="1" destOrd="0" presId="urn:microsoft.com/office/officeart/2005/8/layout/lProcess3"/>
    <dgm:cxn modelId="{A2365261-49C2-4D64-9643-D1D72AEA5EA2}" type="presParOf" srcId="{89981277-0A47-47D1-A0CA-10765B466ED1}" destId="{EA6E9049-714D-4F70-9449-67590FE925DF}" srcOrd="2" destOrd="0" presId="urn:microsoft.com/office/officeart/2005/8/layout/lProcess3"/>
    <dgm:cxn modelId="{64BCE87C-D2CE-4BD8-A99A-6CE4FF688C30}" type="presParOf" srcId="{89981277-0A47-47D1-A0CA-10765B466ED1}" destId="{ABA96DD0-7385-4751-B5CE-7EFD9DEA4C59}" srcOrd="3" destOrd="0" presId="urn:microsoft.com/office/officeart/2005/8/layout/lProcess3"/>
    <dgm:cxn modelId="{D2587BED-2A2C-4476-BA1E-1B2413C64802}" type="presParOf" srcId="{89981277-0A47-47D1-A0CA-10765B466ED1}" destId="{E17CDDBE-C54E-41F3-B442-C82AC2798B30}" srcOrd="4" destOrd="0" presId="urn:microsoft.com/office/officeart/2005/8/layout/lProcess3"/>
    <dgm:cxn modelId="{295D13C6-E492-497F-BCCA-3D5A0A78DC18}" type="presParOf" srcId="{89981277-0A47-47D1-A0CA-10765B466ED1}" destId="{88DDF0DC-9738-43F9-AD8F-A06A9FCF4148}" srcOrd="5" destOrd="0" presId="urn:microsoft.com/office/officeart/2005/8/layout/lProcess3"/>
    <dgm:cxn modelId="{7CCE0B6E-7D4E-4122-AEE1-1DAB0BA72338}" type="presParOf" srcId="{89981277-0A47-47D1-A0CA-10765B466ED1}" destId="{26A82BEF-68BE-4FEF-A542-D5EE7C04721A}" srcOrd="6" destOrd="0" presId="urn:microsoft.com/office/officeart/2005/8/layout/lProcess3"/>
    <dgm:cxn modelId="{C73054C8-C075-4555-925A-BADB9BBA82DB}" type="presParOf" srcId="{89981277-0A47-47D1-A0CA-10765B466ED1}" destId="{75082378-69D2-49C0-BBAB-3B84D10518D6}" srcOrd="7" destOrd="0" presId="urn:microsoft.com/office/officeart/2005/8/layout/lProcess3"/>
    <dgm:cxn modelId="{7201B3D4-375C-4D43-8E00-63583B134426}" type="presParOf" srcId="{89981277-0A47-47D1-A0CA-10765B466ED1}" destId="{833188DE-4E3C-4E12-83E9-AF15E2D9BFD2}" srcOrd="8" destOrd="0" presId="urn:microsoft.com/office/officeart/2005/8/layout/lProcess3"/>
    <dgm:cxn modelId="{D1BC0A6D-7AA4-4C29-90D1-1F98E129822C}" type="presParOf" srcId="{89981277-0A47-47D1-A0CA-10765B466ED1}" destId="{1A7B4BD8-9A49-446F-9582-0DEAC581B14A}" srcOrd="9" destOrd="0" presId="urn:microsoft.com/office/officeart/2005/8/layout/lProcess3"/>
    <dgm:cxn modelId="{DCD4E122-0E8E-4969-9527-CB21D7103E61}" type="presParOf" srcId="{89981277-0A47-47D1-A0CA-10765B466ED1}" destId="{4BC069EA-54EB-411A-9913-8C17480DA2D5}" srcOrd="10" destOrd="0" presId="urn:microsoft.com/office/officeart/2005/8/layout/lProcess3"/>
    <dgm:cxn modelId="{3B77368B-96F9-4AA2-81A1-11B08B81CC80}" type="presParOf" srcId="{89981277-0A47-47D1-A0CA-10765B466ED1}" destId="{43F38896-F396-4B63-9208-4D7C552D8F04}" srcOrd="11" destOrd="0" presId="urn:microsoft.com/office/officeart/2005/8/layout/lProcess3"/>
    <dgm:cxn modelId="{A663346D-1EE5-4BC8-8455-26255B70277B}" type="presParOf" srcId="{89981277-0A47-47D1-A0CA-10765B466ED1}" destId="{D3A25E5F-696A-492F-9F7A-F9DECAD0E80A}" srcOrd="12" destOrd="0" presId="urn:microsoft.com/office/officeart/2005/8/layout/lProcess3"/>
    <dgm:cxn modelId="{E0992C41-342A-4752-AC27-4BA61E4EAA49}" type="presParOf" srcId="{110F5A43-F211-43B5-A555-8C9EEBADA2D4}" destId="{A9BEE66F-36BB-44B3-B70B-8A3D13CEF7BE}" srcOrd="1" destOrd="0" presId="urn:microsoft.com/office/officeart/2005/8/layout/lProcess3"/>
    <dgm:cxn modelId="{8A03AEE8-C6F9-4401-9A4E-FC5E16930A02}" type="presParOf" srcId="{110F5A43-F211-43B5-A555-8C9EEBADA2D4}" destId="{42328518-1889-434F-BA29-67500AD6A3E3}" srcOrd="2" destOrd="0" presId="urn:microsoft.com/office/officeart/2005/8/layout/lProcess3"/>
    <dgm:cxn modelId="{1F3010B9-7830-49DD-BC11-8CD7C91B5884}" type="presParOf" srcId="{42328518-1889-434F-BA29-67500AD6A3E3}" destId="{108D6996-3FEB-43E6-98A6-B3CEA7AF6F97}" srcOrd="0" destOrd="0" presId="urn:microsoft.com/office/officeart/2005/8/layout/lProcess3"/>
    <dgm:cxn modelId="{4C18A105-C4E3-41C2-9A7E-C274D7046675}" type="presParOf" srcId="{42328518-1889-434F-BA29-67500AD6A3E3}" destId="{3274A788-D1B1-42E9-A0B9-97FC70252455}" srcOrd="1" destOrd="0" presId="urn:microsoft.com/office/officeart/2005/8/layout/lProcess3"/>
    <dgm:cxn modelId="{146628BE-30FC-4D4B-B033-B0B7CFC32D16}" type="presParOf" srcId="{42328518-1889-434F-BA29-67500AD6A3E3}" destId="{DD05987A-3EC2-4CCA-9869-1F1361695B14}" srcOrd="2" destOrd="0" presId="urn:microsoft.com/office/officeart/2005/8/layout/lProcess3"/>
    <dgm:cxn modelId="{970216B3-C42C-420D-8A2D-ECE087DA471E}" type="presParOf" srcId="{42328518-1889-434F-BA29-67500AD6A3E3}" destId="{074DC42B-66ED-496B-ADFF-445C4D1A79C7}" srcOrd="3" destOrd="0" presId="urn:microsoft.com/office/officeart/2005/8/layout/lProcess3"/>
    <dgm:cxn modelId="{29E1F7F3-69BD-41CB-AFB7-37E924B89894}" type="presParOf" srcId="{42328518-1889-434F-BA29-67500AD6A3E3}" destId="{E0B3BD13-AF19-47FA-8B20-BF9AA0D890B4}" srcOrd="4" destOrd="0" presId="urn:microsoft.com/office/officeart/2005/8/layout/lProcess3"/>
    <dgm:cxn modelId="{6A2C47D9-E458-436C-81FD-342C7B09EC4B}" type="presParOf" srcId="{42328518-1889-434F-BA29-67500AD6A3E3}" destId="{8724CBF4-700F-4F2B-89EC-DB5AB15B0263}" srcOrd="5" destOrd="0" presId="urn:microsoft.com/office/officeart/2005/8/layout/lProcess3"/>
    <dgm:cxn modelId="{47DDC5D2-E0F2-467E-833B-D2A4E1E0EC73}" type="presParOf" srcId="{42328518-1889-434F-BA29-67500AD6A3E3}" destId="{39403DC2-8A29-4B93-A1AD-2A564629EE5C}" srcOrd="6" destOrd="0" presId="urn:microsoft.com/office/officeart/2005/8/layout/lProcess3"/>
    <dgm:cxn modelId="{756A6001-679E-458E-9B73-B07C963877CE}" type="presParOf" srcId="{42328518-1889-434F-BA29-67500AD6A3E3}" destId="{EDDE672C-DAC3-4202-9BBA-0CD4F65E941E}" srcOrd="7" destOrd="0" presId="urn:microsoft.com/office/officeart/2005/8/layout/lProcess3"/>
    <dgm:cxn modelId="{08F88425-8E27-4093-A0DC-813E4900F3A8}" type="presParOf" srcId="{42328518-1889-434F-BA29-67500AD6A3E3}" destId="{4AFDE68C-9E06-4875-8967-539174B30ADD}" srcOrd="8" destOrd="0" presId="urn:microsoft.com/office/officeart/2005/8/layout/lProcess3"/>
    <dgm:cxn modelId="{0EA45F1A-9380-42A2-9952-CFDE9E9BEA4F}" type="presParOf" srcId="{42328518-1889-434F-BA29-67500AD6A3E3}" destId="{6EC87B21-6427-4FE5-AF36-A804927921DB}" srcOrd="9" destOrd="0" presId="urn:microsoft.com/office/officeart/2005/8/layout/lProcess3"/>
    <dgm:cxn modelId="{5301BE05-270A-433B-AD2B-135A987607D2}" type="presParOf" srcId="{42328518-1889-434F-BA29-67500AD6A3E3}" destId="{805827EE-806F-459E-9BE2-BC7F4C63625B}" srcOrd="10" destOrd="0" presId="urn:microsoft.com/office/officeart/2005/8/layout/lProcess3"/>
    <dgm:cxn modelId="{0D0B3DA4-20A4-467B-9B64-55B086D35DAD}" type="presParOf" srcId="{42328518-1889-434F-BA29-67500AD6A3E3}" destId="{45AA2FE5-9708-4508-BB8A-E6C1FBF3E3DE}" srcOrd="11" destOrd="0" presId="urn:microsoft.com/office/officeart/2005/8/layout/lProcess3"/>
    <dgm:cxn modelId="{0DCF0DD6-9FA9-4488-8C54-30311D3544EB}" type="presParOf" srcId="{42328518-1889-434F-BA29-67500AD6A3E3}" destId="{341966EF-3C67-433C-892A-FBE5F2F03106}" srcOrd="12" destOrd="0" presId="urn:microsoft.com/office/officeart/2005/8/layout/lProcess3"/>
    <dgm:cxn modelId="{0A2437FF-6BCA-4E3E-ADEC-A50C8ACDF946}" type="presParOf" srcId="{110F5A43-F211-43B5-A555-8C9EEBADA2D4}" destId="{DCDED6E6-4835-446E-AE1D-11C056A415A0}" srcOrd="3" destOrd="0" presId="urn:microsoft.com/office/officeart/2005/8/layout/lProcess3"/>
    <dgm:cxn modelId="{874F0A7F-3007-4827-B1D9-52ADE0AA6347}" type="presParOf" srcId="{110F5A43-F211-43B5-A555-8C9EEBADA2D4}" destId="{E0A57FD5-40E2-457A-8DCD-AECCFCC1CD91}" srcOrd="4" destOrd="0" presId="urn:microsoft.com/office/officeart/2005/8/layout/lProcess3"/>
    <dgm:cxn modelId="{B1473E69-9DCD-4CEF-8970-037EADAC7488}" type="presParOf" srcId="{E0A57FD5-40E2-457A-8DCD-AECCFCC1CD91}" destId="{271D193C-BAC1-45D4-9F55-82CC0206262A}" srcOrd="0" destOrd="0" presId="urn:microsoft.com/office/officeart/2005/8/layout/lProcess3"/>
    <dgm:cxn modelId="{D510334E-4555-4E50-8AA5-89C1E04AECC7}" type="presParOf" srcId="{E0A57FD5-40E2-457A-8DCD-AECCFCC1CD91}" destId="{A02F81FF-E421-460D-A25E-FC1AFFE195F5}" srcOrd="1" destOrd="0" presId="urn:microsoft.com/office/officeart/2005/8/layout/lProcess3"/>
    <dgm:cxn modelId="{F0EA9193-1CDA-4917-9655-7F7F5334FD21}" type="presParOf" srcId="{E0A57FD5-40E2-457A-8DCD-AECCFCC1CD91}" destId="{47012AB8-D9C4-4B00-AA2F-9FE5BCB3AE2B}" srcOrd="2" destOrd="0" presId="urn:microsoft.com/office/officeart/2005/8/layout/lProcess3"/>
    <dgm:cxn modelId="{BF28E445-C9E0-4DA7-B512-428ADF527AE1}" type="presParOf" srcId="{E0A57FD5-40E2-457A-8DCD-AECCFCC1CD91}" destId="{37EAEF79-AFD4-4254-A1DD-043C950A9181}" srcOrd="3" destOrd="0" presId="urn:microsoft.com/office/officeart/2005/8/layout/lProcess3"/>
    <dgm:cxn modelId="{91BD598F-F2BF-4A83-8A3F-18E83BA396CA}" type="presParOf" srcId="{E0A57FD5-40E2-457A-8DCD-AECCFCC1CD91}" destId="{49C1FADA-A17D-4E70-A3E9-E768A1AF2D9C}" srcOrd="4" destOrd="0" presId="urn:microsoft.com/office/officeart/2005/8/layout/lProcess3"/>
    <dgm:cxn modelId="{C2C7F8AE-648B-4464-8844-2D561A7A8B86}" type="presParOf" srcId="{E0A57FD5-40E2-457A-8DCD-AECCFCC1CD91}" destId="{0E20D554-1779-452B-BF7D-5988665B2857}" srcOrd="5" destOrd="0" presId="urn:microsoft.com/office/officeart/2005/8/layout/lProcess3"/>
    <dgm:cxn modelId="{9D3EED5B-615B-4127-889B-2ABFDBD16394}" type="presParOf" srcId="{E0A57FD5-40E2-457A-8DCD-AECCFCC1CD91}" destId="{190C9095-C4CF-4C8B-9843-FC9A87C43110}" srcOrd="6" destOrd="0" presId="urn:microsoft.com/office/officeart/2005/8/layout/lProcess3"/>
    <dgm:cxn modelId="{CB9D10C5-CBDC-483B-8BDA-1FBFCED05588}" type="presParOf" srcId="{E0A57FD5-40E2-457A-8DCD-AECCFCC1CD91}" destId="{3A29FBB7-BFD7-40DF-B926-DFC96F12E73B}" srcOrd="7" destOrd="0" presId="urn:microsoft.com/office/officeart/2005/8/layout/lProcess3"/>
    <dgm:cxn modelId="{AA3F43FD-4634-4E5B-9544-AAAD4DD6EEC7}" type="presParOf" srcId="{E0A57FD5-40E2-457A-8DCD-AECCFCC1CD91}" destId="{729925F6-6C21-4C2A-A124-CB5331D4D0A1}" srcOrd="8" destOrd="0" presId="urn:microsoft.com/office/officeart/2005/8/layout/lProcess3"/>
    <dgm:cxn modelId="{A83428E5-A39A-433B-B09D-3D368668C3A6}" type="presParOf" srcId="{E0A57FD5-40E2-457A-8DCD-AECCFCC1CD91}" destId="{F87B3730-9DBA-4FB1-BEC3-203582704E71}" srcOrd="9" destOrd="0" presId="urn:microsoft.com/office/officeart/2005/8/layout/lProcess3"/>
    <dgm:cxn modelId="{3501B0D1-2DE6-43C3-85D3-9FAAB22444EE}" type="presParOf" srcId="{E0A57FD5-40E2-457A-8DCD-AECCFCC1CD91}" destId="{F1F41FAD-CF79-4184-9D4A-4B24B3BD1679}" srcOrd="10" destOrd="0" presId="urn:microsoft.com/office/officeart/2005/8/layout/lProcess3"/>
    <dgm:cxn modelId="{F837E110-5302-4DE9-B256-E750BB538079}" type="presParOf" srcId="{E0A57FD5-40E2-457A-8DCD-AECCFCC1CD91}" destId="{CEC64482-0253-43ED-B9B7-046F5EB620B3}" srcOrd="11" destOrd="0" presId="urn:microsoft.com/office/officeart/2005/8/layout/lProcess3"/>
    <dgm:cxn modelId="{1CCEE263-A32A-4FD9-AD47-BEBC83931C0B}" type="presParOf" srcId="{E0A57FD5-40E2-457A-8DCD-AECCFCC1CD91}" destId="{4C65EDB7-00FC-46A4-9C20-9DA139026CE1}" srcOrd="12" destOrd="0" presId="urn:microsoft.com/office/officeart/2005/8/layout/lProcess3"/>
    <dgm:cxn modelId="{7B79AC19-D59F-46DD-8E06-FF73A8062070}" type="presParOf" srcId="{110F5A43-F211-43B5-A555-8C9EEBADA2D4}" destId="{7E5BF45C-0115-41ED-9326-05FE7C694700}" srcOrd="5" destOrd="0" presId="urn:microsoft.com/office/officeart/2005/8/layout/lProcess3"/>
    <dgm:cxn modelId="{92151F78-F21F-4B77-88AF-45A686D323F4}" type="presParOf" srcId="{110F5A43-F211-43B5-A555-8C9EEBADA2D4}" destId="{1BB6BA2D-2500-4816-8327-0A4F6B34843B}" srcOrd="6" destOrd="0" presId="urn:microsoft.com/office/officeart/2005/8/layout/lProcess3"/>
    <dgm:cxn modelId="{31C14AF9-C1D7-4CC7-970A-500734994772}" type="presParOf" srcId="{1BB6BA2D-2500-4816-8327-0A4F6B34843B}" destId="{3B038CE9-4800-42E2-ADC1-CECE41DB3D7F}" srcOrd="0" destOrd="0" presId="urn:microsoft.com/office/officeart/2005/8/layout/lProcess3"/>
    <dgm:cxn modelId="{E61C184B-514F-4150-8A7C-ACC3190EA893}" type="presParOf" srcId="{1BB6BA2D-2500-4816-8327-0A4F6B34843B}" destId="{C69CFF36-F175-4B28-88C2-30012360F175}" srcOrd="1" destOrd="0" presId="urn:microsoft.com/office/officeart/2005/8/layout/lProcess3"/>
    <dgm:cxn modelId="{51A8EEDD-2A07-4049-A56B-B2F4B9281785}" type="presParOf" srcId="{1BB6BA2D-2500-4816-8327-0A4F6B34843B}" destId="{0C4F5166-7B8C-4DC5-9D99-03C90D522575}" srcOrd="2" destOrd="0" presId="urn:microsoft.com/office/officeart/2005/8/layout/lProcess3"/>
    <dgm:cxn modelId="{FD0AC5BF-C4E3-4693-89CE-A36889D77AD2}" type="presParOf" srcId="{1BB6BA2D-2500-4816-8327-0A4F6B34843B}" destId="{13F7C1A8-0FA6-4047-8DEF-A7F40DB089B6}" srcOrd="3" destOrd="0" presId="urn:microsoft.com/office/officeart/2005/8/layout/lProcess3"/>
    <dgm:cxn modelId="{1FD3B04B-E2FF-4DA7-8BDA-D8FA96176F16}" type="presParOf" srcId="{1BB6BA2D-2500-4816-8327-0A4F6B34843B}" destId="{7CB82BEA-AE28-47E4-BA52-D78E48C0F651}" srcOrd="4" destOrd="0" presId="urn:microsoft.com/office/officeart/2005/8/layout/lProcess3"/>
    <dgm:cxn modelId="{B9FB629E-F8FC-44D4-9FCB-C85F20F3C4ED}" type="presParOf" srcId="{1BB6BA2D-2500-4816-8327-0A4F6B34843B}" destId="{530B6F05-6DFC-43D0-92E5-B644BDD10F2A}" srcOrd="5" destOrd="0" presId="urn:microsoft.com/office/officeart/2005/8/layout/lProcess3"/>
    <dgm:cxn modelId="{6E19BAB5-03BC-4FCF-94EF-416B09F4E23C}" type="presParOf" srcId="{1BB6BA2D-2500-4816-8327-0A4F6B34843B}" destId="{3963FC4F-805E-4287-BBFA-DE711BEEDB2C}" srcOrd="6" destOrd="0" presId="urn:microsoft.com/office/officeart/2005/8/layout/lProcess3"/>
    <dgm:cxn modelId="{FC89C22D-AA34-4EDD-BD83-E09E051BFE24}" type="presParOf" srcId="{1BB6BA2D-2500-4816-8327-0A4F6B34843B}" destId="{24B223E9-9351-4648-AEE2-D4038D026EF0}" srcOrd="7" destOrd="0" presId="urn:microsoft.com/office/officeart/2005/8/layout/lProcess3"/>
    <dgm:cxn modelId="{C17A14C7-C653-49FE-A61B-6C3539B6EACD}" type="presParOf" srcId="{1BB6BA2D-2500-4816-8327-0A4F6B34843B}" destId="{68FF06A0-95BF-4EB5-BCC0-FE24A744B17A}" srcOrd="8" destOrd="0" presId="urn:microsoft.com/office/officeart/2005/8/layout/lProcess3"/>
    <dgm:cxn modelId="{DF25222E-8957-4139-BEF6-417D75A6D73B}" type="presParOf" srcId="{1BB6BA2D-2500-4816-8327-0A4F6B34843B}" destId="{1169AA05-4D8B-4B3D-9FEC-0917DC98EC23}" srcOrd="9" destOrd="0" presId="urn:microsoft.com/office/officeart/2005/8/layout/lProcess3"/>
    <dgm:cxn modelId="{9EB797F7-48A6-4708-BF1C-3FDA77540A91}" type="presParOf" srcId="{1BB6BA2D-2500-4816-8327-0A4F6B34843B}" destId="{1FAD3650-64BC-4728-B0DE-4DF577F605F2}" srcOrd="10" destOrd="0" presId="urn:microsoft.com/office/officeart/2005/8/layout/lProcess3"/>
    <dgm:cxn modelId="{55358029-5FF3-4FCB-8D88-52F08FD20AE4}" type="presParOf" srcId="{1BB6BA2D-2500-4816-8327-0A4F6B34843B}" destId="{CCD5C5F7-8FEC-426D-9ABE-706AE504B669}" srcOrd="11" destOrd="0" presId="urn:microsoft.com/office/officeart/2005/8/layout/lProcess3"/>
    <dgm:cxn modelId="{CEE18C56-38D7-4B78-B6D1-044B90020EAE}" type="presParOf" srcId="{1BB6BA2D-2500-4816-8327-0A4F6B34843B}" destId="{C132509D-D53A-413A-B4A6-5E3503422542}" srcOrd="12" destOrd="0" presId="urn:microsoft.com/office/officeart/2005/8/layout/lProcess3"/>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F6330E9B-BB15-4A91-8BC3-FB157C50C33B}"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cs-CZ"/>
        </a:p>
      </dgm:t>
    </dgm:pt>
    <dgm:pt modelId="{7126405C-6887-4072-808E-A7A7884BA4D1}">
      <dgm:prSet phldrT="[Text]" custT="1"/>
      <dgm:spPr>
        <a:solidFill>
          <a:srgbClr val="004595"/>
        </a:solidFill>
        <a:ln>
          <a:noFill/>
        </a:ln>
      </dgm:spPr>
      <dgm:t>
        <a:bodyPr/>
        <a:lstStyle/>
        <a:p>
          <a:r>
            <a:rPr lang="cs-CZ" sz="1400" b="1"/>
            <a:t>2017</a:t>
          </a:r>
        </a:p>
      </dgm:t>
    </dgm:pt>
    <dgm:pt modelId="{99638581-12EB-4684-8588-B4D42B17A6D6}" type="parTrans" cxnId="{18E4684F-5070-4021-83DA-4942699531C3}">
      <dgm:prSet/>
      <dgm:spPr/>
      <dgm:t>
        <a:bodyPr/>
        <a:lstStyle/>
        <a:p>
          <a:endParaRPr lang="cs-CZ"/>
        </a:p>
      </dgm:t>
    </dgm:pt>
    <dgm:pt modelId="{933B365A-D7A0-486C-A0C8-1A98B4E3C027}" type="sibTrans" cxnId="{18E4684F-5070-4021-83DA-4942699531C3}">
      <dgm:prSet/>
      <dgm:spPr/>
      <dgm:t>
        <a:bodyPr/>
        <a:lstStyle/>
        <a:p>
          <a:endParaRPr lang="cs-CZ"/>
        </a:p>
      </dgm:t>
    </dgm:pt>
    <dgm:pt modelId="{F1CB2ED4-CFE5-434C-9F80-FC749C14BCF1}">
      <dgm:prSet phldrT="[Text]" custT="1"/>
      <dgm:spPr>
        <a:solidFill>
          <a:srgbClr val="D9EAFF"/>
        </a:solidFill>
        <a:ln>
          <a:noFill/>
        </a:ln>
      </dgm:spPr>
      <dgm:t>
        <a:bodyPr/>
        <a:lstStyle/>
        <a:p>
          <a:r>
            <a:rPr lang="cs-CZ" sz="1000"/>
            <a:t>Rozpočet schválený</a:t>
          </a:r>
        </a:p>
        <a:p>
          <a:r>
            <a:rPr lang="cs-CZ" sz="1000" b="1"/>
            <a:t>97,07 mld. Kč (plnění na 79,36 %)</a:t>
          </a:r>
        </a:p>
      </dgm:t>
    </dgm:pt>
    <dgm:pt modelId="{3B796A9F-41C6-4286-B5F4-ADA8FAB571EE}" type="parTrans" cxnId="{93AEE293-5810-4555-A89F-11D73AAC0671}">
      <dgm:prSet/>
      <dgm:spPr>
        <a:solidFill>
          <a:srgbClr val="D9EAFF"/>
        </a:solidFill>
      </dgm:spPr>
      <dgm:t>
        <a:bodyPr/>
        <a:lstStyle/>
        <a:p>
          <a:endParaRPr lang="cs-CZ"/>
        </a:p>
      </dgm:t>
    </dgm:pt>
    <dgm:pt modelId="{7868D413-04DE-4F87-9852-55811E372EA1}" type="sibTrans" cxnId="{93AEE293-5810-4555-A89F-11D73AAC0671}">
      <dgm:prSet/>
      <dgm:spPr>
        <a:solidFill>
          <a:srgbClr val="D9EAFF"/>
        </a:solidFill>
      </dgm:spPr>
      <dgm:t>
        <a:bodyPr/>
        <a:lstStyle/>
        <a:p>
          <a:endParaRPr lang="cs-CZ"/>
        </a:p>
      </dgm:t>
    </dgm:pt>
    <dgm:pt modelId="{8C21204B-6158-4CC5-A683-1CAB0D743511}">
      <dgm:prSet phldrT="[Text]" custT="1"/>
      <dgm:spPr>
        <a:solidFill>
          <a:srgbClr val="D9EAFF"/>
        </a:solidFill>
        <a:ln>
          <a:noFill/>
        </a:ln>
      </dgm:spPr>
      <dgm:t>
        <a:bodyPr/>
        <a:lstStyle/>
        <a:p>
          <a:r>
            <a:rPr lang="cs-CZ" sz="1000"/>
            <a:t>Rozpočet po změnách</a:t>
          </a:r>
        </a:p>
        <a:p>
          <a:r>
            <a:rPr lang="cs-CZ" sz="1000" b="1"/>
            <a:t>98,01 mld. Kč (plnění na 78,60 %)</a:t>
          </a:r>
        </a:p>
      </dgm:t>
    </dgm:pt>
    <dgm:pt modelId="{69A9B13E-53DC-481C-B29E-E8EBC320E574}" type="parTrans" cxnId="{7651B4D5-AC8E-4218-BA40-A4FF734E1B6F}">
      <dgm:prSet/>
      <dgm:spPr/>
      <dgm:t>
        <a:bodyPr/>
        <a:lstStyle/>
        <a:p>
          <a:endParaRPr lang="cs-CZ"/>
        </a:p>
      </dgm:t>
    </dgm:pt>
    <dgm:pt modelId="{F61B6446-06AF-4E0D-AA2B-D365888CC846}" type="sibTrans" cxnId="{7651B4D5-AC8E-4218-BA40-A4FF734E1B6F}">
      <dgm:prSet/>
      <dgm:spPr>
        <a:solidFill>
          <a:srgbClr val="D9EAFF"/>
        </a:solidFill>
      </dgm:spPr>
      <dgm:t>
        <a:bodyPr/>
        <a:lstStyle/>
        <a:p>
          <a:endParaRPr lang="cs-CZ"/>
        </a:p>
      </dgm:t>
    </dgm:pt>
    <dgm:pt modelId="{A9AA17BB-7127-4E35-826A-A4B40D1634EE}">
      <dgm:prSet phldrT="[Text]" custT="1"/>
      <dgm:spPr>
        <a:solidFill>
          <a:srgbClr val="004595"/>
        </a:solidFill>
        <a:ln>
          <a:noFill/>
        </a:ln>
      </dgm:spPr>
      <dgm:t>
        <a:bodyPr/>
        <a:lstStyle/>
        <a:p>
          <a:r>
            <a:rPr lang="cs-CZ" sz="1400" b="1"/>
            <a:t>2018</a:t>
          </a:r>
        </a:p>
      </dgm:t>
    </dgm:pt>
    <dgm:pt modelId="{2F53A6F5-F5B8-46FC-99C9-91DD52BF7090}" type="parTrans" cxnId="{013A8AC7-E86A-48BC-8CF8-D2DF01A7995B}">
      <dgm:prSet/>
      <dgm:spPr/>
      <dgm:t>
        <a:bodyPr/>
        <a:lstStyle/>
        <a:p>
          <a:endParaRPr lang="cs-CZ"/>
        </a:p>
      </dgm:t>
    </dgm:pt>
    <dgm:pt modelId="{25891B83-FF29-467D-82AC-58EB4B63C402}" type="sibTrans" cxnId="{013A8AC7-E86A-48BC-8CF8-D2DF01A7995B}">
      <dgm:prSet/>
      <dgm:spPr/>
      <dgm:t>
        <a:bodyPr/>
        <a:lstStyle/>
        <a:p>
          <a:endParaRPr lang="cs-CZ"/>
        </a:p>
      </dgm:t>
    </dgm:pt>
    <dgm:pt modelId="{8B4EEA12-EA87-44C6-A125-454959434D95}">
      <dgm:prSet phldrT="[Text]" custT="1"/>
      <dgm:spPr>
        <a:solidFill>
          <a:srgbClr val="D9EAFF"/>
        </a:solidFill>
        <a:ln>
          <a:noFill/>
        </a:ln>
      </dgm:spPr>
      <dgm:t>
        <a:bodyPr/>
        <a:lstStyle/>
        <a:p>
          <a:r>
            <a:rPr lang="cs-CZ" sz="1000"/>
            <a:t>Rozpočet schválený</a:t>
          </a:r>
        </a:p>
        <a:p>
          <a:r>
            <a:rPr lang="cs-CZ" sz="1000" b="1"/>
            <a:t>70,22 mld. Kč (plnění na 169,59 %)</a:t>
          </a:r>
        </a:p>
      </dgm:t>
    </dgm:pt>
    <dgm:pt modelId="{7C98AF47-F7DD-4710-8CD0-8E11A3645687}" type="parTrans" cxnId="{FAEE2BD0-137D-42A2-BE89-FBA2C0D48056}">
      <dgm:prSet/>
      <dgm:spPr>
        <a:solidFill>
          <a:srgbClr val="D9EAFF"/>
        </a:solidFill>
      </dgm:spPr>
      <dgm:t>
        <a:bodyPr/>
        <a:lstStyle/>
        <a:p>
          <a:endParaRPr lang="cs-CZ"/>
        </a:p>
      </dgm:t>
    </dgm:pt>
    <dgm:pt modelId="{434B4C3C-30AE-441F-A5E8-C3DBEBB05258}" type="sibTrans" cxnId="{FAEE2BD0-137D-42A2-BE89-FBA2C0D48056}">
      <dgm:prSet/>
      <dgm:spPr>
        <a:solidFill>
          <a:srgbClr val="D9EAFF"/>
        </a:solidFill>
      </dgm:spPr>
      <dgm:t>
        <a:bodyPr/>
        <a:lstStyle/>
        <a:p>
          <a:endParaRPr lang="cs-CZ"/>
        </a:p>
      </dgm:t>
    </dgm:pt>
    <dgm:pt modelId="{D956C967-0D42-4ABC-8A49-485B0370D49E}">
      <dgm:prSet phldrT="[Text]" custT="1"/>
      <dgm:spPr>
        <a:solidFill>
          <a:srgbClr val="D9EAFF"/>
        </a:solidFill>
        <a:ln>
          <a:noFill/>
        </a:ln>
      </dgm:spPr>
      <dgm:t>
        <a:bodyPr/>
        <a:lstStyle/>
        <a:p>
          <a:r>
            <a:rPr lang="cs-CZ" sz="1000"/>
            <a:t>Rozpočet po změnách</a:t>
          </a:r>
        </a:p>
        <a:p>
          <a:r>
            <a:rPr lang="cs-CZ" sz="1000" b="1"/>
            <a:t>82,46 mld. Kč (plnění na 144,41 %)</a:t>
          </a:r>
        </a:p>
      </dgm:t>
    </dgm:pt>
    <dgm:pt modelId="{B32649F3-D40F-4176-ADB6-AFA1BC5E7EEE}" type="parTrans" cxnId="{E586CCB4-1F9B-4609-95F4-3493EFB69D2D}">
      <dgm:prSet/>
      <dgm:spPr/>
      <dgm:t>
        <a:bodyPr/>
        <a:lstStyle/>
        <a:p>
          <a:endParaRPr lang="cs-CZ"/>
        </a:p>
      </dgm:t>
    </dgm:pt>
    <dgm:pt modelId="{E654F911-BC06-4DD4-A541-EE78AA053FC7}" type="sibTrans" cxnId="{E586CCB4-1F9B-4609-95F4-3493EFB69D2D}">
      <dgm:prSet/>
      <dgm:spPr>
        <a:solidFill>
          <a:srgbClr val="D9EAFF"/>
        </a:solidFill>
      </dgm:spPr>
      <dgm:t>
        <a:bodyPr/>
        <a:lstStyle/>
        <a:p>
          <a:endParaRPr lang="cs-CZ"/>
        </a:p>
      </dgm:t>
    </dgm:pt>
    <dgm:pt modelId="{E09434DA-93D2-432A-B406-CF0C38673F6C}">
      <dgm:prSet custT="1"/>
      <dgm:spPr>
        <a:solidFill>
          <a:srgbClr val="BD2A33"/>
        </a:solidFill>
        <a:ln>
          <a:noFill/>
        </a:ln>
      </dgm:spPr>
      <dgm:t>
        <a:bodyPr/>
        <a:lstStyle/>
        <a:p>
          <a:r>
            <a:rPr lang="cs-CZ" sz="1000" b="0">
              <a:solidFill>
                <a:schemeClr val="bg1"/>
              </a:solidFill>
            </a:rPr>
            <a:t>Skutečnost</a:t>
          </a:r>
        </a:p>
        <a:p>
          <a:r>
            <a:rPr lang="cs-CZ" sz="1000" b="1">
              <a:solidFill>
                <a:schemeClr val="bg1"/>
              </a:solidFill>
            </a:rPr>
            <a:t>77,03 mld. Kč</a:t>
          </a:r>
        </a:p>
      </dgm:t>
    </dgm:pt>
    <dgm:pt modelId="{DF8CE03E-7604-42A9-A80E-3DE288C2C015}" type="parTrans" cxnId="{4DB60CA6-DCBB-4E40-897E-508980D41833}">
      <dgm:prSet/>
      <dgm:spPr/>
      <dgm:t>
        <a:bodyPr/>
        <a:lstStyle/>
        <a:p>
          <a:endParaRPr lang="cs-CZ"/>
        </a:p>
      </dgm:t>
    </dgm:pt>
    <dgm:pt modelId="{6B7EF985-DE4E-463B-9724-79BC302FB3D4}" type="sibTrans" cxnId="{4DB60CA6-DCBB-4E40-897E-508980D41833}">
      <dgm:prSet/>
      <dgm:spPr/>
      <dgm:t>
        <a:bodyPr/>
        <a:lstStyle/>
        <a:p>
          <a:endParaRPr lang="cs-CZ"/>
        </a:p>
      </dgm:t>
    </dgm:pt>
    <dgm:pt modelId="{F87F2070-B3C6-46AA-889A-CFE2AD546D4E}">
      <dgm:prSet custT="1"/>
      <dgm:spPr>
        <a:solidFill>
          <a:srgbClr val="BD2A33"/>
        </a:solidFill>
        <a:ln>
          <a:noFill/>
        </a:ln>
      </dgm:spPr>
      <dgm:t>
        <a:bodyPr/>
        <a:lstStyle/>
        <a:p>
          <a:r>
            <a:rPr lang="cs-CZ" sz="1000" b="0">
              <a:solidFill>
                <a:schemeClr val="bg1"/>
              </a:solidFill>
            </a:rPr>
            <a:t>Skutečnost</a:t>
          </a:r>
        </a:p>
        <a:p>
          <a:r>
            <a:rPr lang="cs-CZ" sz="1000" b="1">
              <a:solidFill>
                <a:schemeClr val="bg1"/>
              </a:solidFill>
            </a:rPr>
            <a:t>119,08 mld. Kč</a:t>
          </a:r>
        </a:p>
      </dgm:t>
    </dgm:pt>
    <dgm:pt modelId="{26F8C807-5B75-4862-806E-5A5104461AC5}" type="parTrans" cxnId="{93AC6103-844C-4771-AA52-490CB51652F4}">
      <dgm:prSet/>
      <dgm:spPr/>
      <dgm:t>
        <a:bodyPr/>
        <a:lstStyle/>
        <a:p>
          <a:endParaRPr lang="cs-CZ"/>
        </a:p>
      </dgm:t>
    </dgm:pt>
    <dgm:pt modelId="{6A51FFEA-34A2-45E0-A0A5-4313D47D3109}" type="sibTrans" cxnId="{93AC6103-844C-4771-AA52-490CB51652F4}">
      <dgm:prSet/>
      <dgm:spPr/>
      <dgm:t>
        <a:bodyPr/>
        <a:lstStyle/>
        <a:p>
          <a:endParaRPr lang="cs-CZ"/>
        </a:p>
      </dgm:t>
    </dgm:pt>
    <dgm:pt modelId="{E0DB997F-D686-4896-B711-91CF7995A7B2}" type="pres">
      <dgm:prSet presAssocID="{F6330E9B-BB15-4A91-8BC3-FB157C50C33B}" presName="Name0" presStyleCnt="0">
        <dgm:presLayoutVars>
          <dgm:dir/>
          <dgm:animLvl val="lvl"/>
          <dgm:resizeHandles val="exact"/>
        </dgm:presLayoutVars>
      </dgm:prSet>
      <dgm:spPr/>
      <dgm:t>
        <a:bodyPr/>
        <a:lstStyle/>
        <a:p>
          <a:endParaRPr lang="cs-CZ"/>
        </a:p>
      </dgm:t>
    </dgm:pt>
    <dgm:pt modelId="{C3504CCC-7B7F-4B54-92ED-54F618A4FB74}" type="pres">
      <dgm:prSet presAssocID="{7126405C-6887-4072-808E-A7A7884BA4D1}" presName="vertFlow" presStyleCnt="0"/>
      <dgm:spPr/>
    </dgm:pt>
    <dgm:pt modelId="{7526BDF8-8E90-4FC8-999F-A2B529808A2C}" type="pres">
      <dgm:prSet presAssocID="{7126405C-6887-4072-808E-A7A7884BA4D1}" presName="header" presStyleLbl="node1" presStyleIdx="0" presStyleCnt="2" custScaleY="45428"/>
      <dgm:spPr/>
      <dgm:t>
        <a:bodyPr/>
        <a:lstStyle/>
        <a:p>
          <a:endParaRPr lang="cs-CZ"/>
        </a:p>
      </dgm:t>
    </dgm:pt>
    <dgm:pt modelId="{702BDA7C-9FA2-42E2-A817-661C490762CC}" type="pres">
      <dgm:prSet presAssocID="{3B796A9F-41C6-4286-B5F4-ADA8FAB571EE}" presName="parTrans" presStyleLbl="sibTrans2D1" presStyleIdx="0" presStyleCnt="6"/>
      <dgm:spPr/>
      <dgm:t>
        <a:bodyPr/>
        <a:lstStyle/>
        <a:p>
          <a:endParaRPr lang="cs-CZ"/>
        </a:p>
      </dgm:t>
    </dgm:pt>
    <dgm:pt modelId="{98D128EA-9303-46F6-A9E6-C0F32F9BF16A}" type="pres">
      <dgm:prSet presAssocID="{F1CB2ED4-CFE5-434C-9F80-FC749C14BCF1}" presName="child" presStyleLbl="alignAccFollowNode1" presStyleIdx="0" presStyleCnt="6">
        <dgm:presLayoutVars>
          <dgm:chMax val="0"/>
          <dgm:bulletEnabled val="1"/>
        </dgm:presLayoutVars>
      </dgm:prSet>
      <dgm:spPr/>
      <dgm:t>
        <a:bodyPr/>
        <a:lstStyle/>
        <a:p>
          <a:endParaRPr lang="cs-CZ"/>
        </a:p>
      </dgm:t>
    </dgm:pt>
    <dgm:pt modelId="{9C6F06D4-3B28-42E9-B0D0-B4B6EF033B31}" type="pres">
      <dgm:prSet presAssocID="{7868D413-04DE-4F87-9852-55811E372EA1}" presName="sibTrans" presStyleLbl="sibTrans2D1" presStyleIdx="1" presStyleCnt="6"/>
      <dgm:spPr/>
      <dgm:t>
        <a:bodyPr/>
        <a:lstStyle/>
        <a:p>
          <a:endParaRPr lang="cs-CZ"/>
        </a:p>
      </dgm:t>
    </dgm:pt>
    <dgm:pt modelId="{4AE50922-0E3B-4508-8F94-107FDFD1F3BA}" type="pres">
      <dgm:prSet presAssocID="{8C21204B-6158-4CC5-A683-1CAB0D743511}" presName="child" presStyleLbl="alignAccFollowNode1" presStyleIdx="1" presStyleCnt="6">
        <dgm:presLayoutVars>
          <dgm:chMax val="0"/>
          <dgm:bulletEnabled val="1"/>
        </dgm:presLayoutVars>
      </dgm:prSet>
      <dgm:spPr/>
      <dgm:t>
        <a:bodyPr/>
        <a:lstStyle/>
        <a:p>
          <a:endParaRPr lang="cs-CZ"/>
        </a:p>
      </dgm:t>
    </dgm:pt>
    <dgm:pt modelId="{5682E292-3CB9-458B-BAC4-480417163FA5}" type="pres">
      <dgm:prSet presAssocID="{F61B6446-06AF-4E0D-AA2B-D365888CC846}" presName="sibTrans" presStyleLbl="sibTrans2D1" presStyleIdx="2" presStyleCnt="6" custLinFactNeighborX="34222"/>
      <dgm:spPr/>
      <dgm:t>
        <a:bodyPr/>
        <a:lstStyle/>
        <a:p>
          <a:endParaRPr lang="cs-CZ"/>
        </a:p>
      </dgm:t>
    </dgm:pt>
    <dgm:pt modelId="{59A6DA2E-3C27-44CA-B2F9-BAC0EC31918E}" type="pres">
      <dgm:prSet presAssocID="{E09434DA-93D2-432A-B406-CF0C38673F6C}" presName="child" presStyleLbl="alignAccFollowNode1" presStyleIdx="2" presStyleCnt="6">
        <dgm:presLayoutVars>
          <dgm:chMax val="0"/>
          <dgm:bulletEnabled val="1"/>
        </dgm:presLayoutVars>
      </dgm:prSet>
      <dgm:spPr/>
      <dgm:t>
        <a:bodyPr/>
        <a:lstStyle/>
        <a:p>
          <a:endParaRPr lang="cs-CZ"/>
        </a:p>
      </dgm:t>
    </dgm:pt>
    <dgm:pt modelId="{4323EF88-412F-482B-ABFB-7B630E7347BC}" type="pres">
      <dgm:prSet presAssocID="{7126405C-6887-4072-808E-A7A7884BA4D1}" presName="hSp" presStyleCnt="0"/>
      <dgm:spPr/>
    </dgm:pt>
    <dgm:pt modelId="{04362A3A-FD6F-4661-9A20-88A0BBB1AFD9}" type="pres">
      <dgm:prSet presAssocID="{A9AA17BB-7127-4E35-826A-A4B40D1634EE}" presName="vertFlow" presStyleCnt="0"/>
      <dgm:spPr/>
    </dgm:pt>
    <dgm:pt modelId="{9EFCEBA1-AEA7-459F-8366-C75DAE838381}" type="pres">
      <dgm:prSet presAssocID="{A9AA17BB-7127-4E35-826A-A4B40D1634EE}" presName="header" presStyleLbl="node1" presStyleIdx="1" presStyleCnt="2" custScaleY="45428"/>
      <dgm:spPr/>
      <dgm:t>
        <a:bodyPr/>
        <a:lstStyle/>
        <a:p>
          <a:endParaRPr lang="cs-CZ"/>
        </a:p>
      </dgm:t>
    </dgm:pt>
    <dgm:pt modelId="{F75C0F66-7F49-4153-8F78-2A45BA27648C}" type="pres">
      <dgm:prSet presAssocID="{7C98AF47-F7DD-4710-8CD0-8E11A3645687}" presName="parTrans" presStyleLbl="sibTrans2D1" presStyleIdx="3" presStyleCnt="6"/>
      <dgm:spPr/>
      <dgm:t>
        <a:bodyPr/>
        <a:lstStyle/>
        <a:p>
          <a:endParaRPr lang="cs-CZ"/>
        </a:p>
      </dgm:t>
    </dgm:pt>
    <dgm:pt modelId="{D263D90E-22F0-4D87-A12A-932C78CD928A}" type="pres">
      <dgm:prSet presAssocID="{8B4EEA12-EA87-44C6-A125-454959434D95}" presName="child" presStyleLbl="alignAccFollowNode1" presStyleIdx="3" presStyleCnt="6">
        <dgm:presLayoutVars>
          <dgm:chMax val="0"/>
          <dgm:bulletEnabled val="1"/>
        </dgm:presLayoutVars>
      </dgm:prSet>
      <dgm:spPr/>
      <dgm:t>
        <a:bodyPr/>
        <a:lstStyle/>
        <a:p>
          <a:endParaRPr lang="cs-CZ"/>
        </a:p>
      </dgm:t>
    </dgm:pt>
    <dgm:pt modelId="{2345220F-1623-4A77-A842-34B0D5ADB14A}" type="pres">
      <dgm:prSet presAssocID="{434B4C3C-30AE-441F-A5E8-C3DBEBB05258}" presName="sibTrans" presStyleLbl="sibTrans2D1" presStyleIdx="4" presStyleCnt="6"/>
      <dgm:spPr/>
      <dgm:t>
        <a:bodyPr/>
        <a:lstStyle/>
        <a:p>
          <a:endParaRPr lang="cs-CZ"/>
        </a:p>
      </dgm:t>
    </dgm:pt>
    <dgm:pt modelId="{53967923-395A-4CFB-9DB3-5B89D93E64C5}" type="pres">
      <dgm:prSet presAssocID="{D956C967-0D42-4ABC-8A49-485B0370D49E}" presName="child" presStyleLbl="alignAccFollowNode1" presStyleIdx="4" presStyleCnt="6">
        <dgm:presLayoutVars>
          <dgm:chMax val="0"/>
          <dgm:bulletEnabled val="1"/>
        </dgm:presLayoutVars>
      </dgm:prSet>
      <dgm:spPr/>
      <dgm:t>
        <a:bodyPr/>
        <a:lstStyle/>
        <a:p>
          <a:endParaRPr lang="cs-CZ"/>
        </a:p>
      </dgm:t>
    </dgm:pt>
    <dgm:pt modelId="{BDAE559C-D214-4007-8653-EA2E61B74601}" type="pres">
      <dgm:prSet presAssocID="{E654F911-BC06-4DD4-A541-EE78AA053FC7}" presName="sibTrans" presStyleLbl="sibTrans2D1" presStyleIdx="5" presStyleCnt="6"/>
      <dgm:spPr/>
      <dgm:t>
        <a:bodyPr/>
        <a:lstStyle/>
        <a:p>
          <a:endParaRPr lang="cs-CZ"/>
        </a:p>
      </dgm:t>
    </dgm:pt>
    <dgm:pt modelId="{D95B28E1-5E58-46F7-8061-8EBAAF24A337}" type="pres">
      <dgm:prSet presAssocID="{F87F2070-B3C6-46AA-889A-CFE2AD546D4E}" presName="child" presStyleLbl="alignAccFollowNode1" presStyleIdx="5" presStyleCnt="6">
        <dgm:presLayoutVars>
          <dgm:chMax val="0"/>
          <dgm:bulletEnabled val="1"/>
        </dgm:presLayoutVars>
      </dgm:prSet>
      <dgm:spPr/>
      <dgm:t>
        <a:bodyPr/>
        <a:lstStyle/>
        <a:p>
          <a:endParaRPr lang="cs-CZ"/>
        </a:p>
      </dgm:t>
    </dgm:pt>
  </dgm:ptLst>
  <dgm:cxnLst>
    <dgm:cxn modelId="{E18951A7-5C25-4E24-95BF-04447D497F16}" type="presOf" srcId="{F6330E9B-BB15-4A91-8BC3-FB157C50C33B}" destId="{E0DB997F-D686-4896-B711-91CF7995A7B2}" srcOrd="0" destOrd="0" presId="urn:microsoft.com/office/officeart/2005/8/layout/lProcess1"/>
    <dgm:cxn modelId="{D5F31179-6151-47DE-8969-8BFA71F3A74F}" type="presOf" srcId="{F1CB2ED4-CFE5-434C-9F80-FC749C14BCF1}" destId="{98D128EA-9303-46F6-A9E6-C0F32F9BF16A}" srcOrd="0" destOrd="0" presId="urn:microsoft.com/office/officeart/2005/8/layout/lProcess1"/>
    <dgm:cxn modelId="{82663637-06D0-4A79-8549-DCC862059569}" type="presOf" srcId="{434B4C3C-30AE-441F-A5E8-C3DBEBB05258}" destId="{2345220F-1623-4A77-A842-34B0D5ADB14A}" srcOrd="0" destOrd="0" presId="urn:microsoft.com/office/officeart/2005/8/layout/lProcess1"/>
    <dgm:cxn modelId="{595F87DB-9E9B-4465-88D1-BFCD57B83165}" type="presOf" srcId="{7868D413-04DE-4F87-9852-55811E372EA1}" destId="{9C6F06D4-3B28-42E9-B0D0-B4B6EF033B31}" srcOrd="0" destOrd="0" presId="urn:microsoft.com/office/officeart/2005/8/layout/lProcess1"/>
    <dgm:cxn modelId="{7651B4D5-AC8E-4218-BA40-A4FF734E1B6F}" srcId="{7126405C-6887-4072-808E-A7A7884BA4D1}" destId="{8C21204B-6158-4CC5-A683-1CAB0D743511}" srcOrd="1" destOrd="0" parTransId="{69A9B13E-53DC-481C-B29E-E8EBC320E574}" sibTransId="{F61B6446-06AF-4E0D-AA2B-D365888CC846}"/>
    <dgm:cxn modelId="{93AC6103-844C-4771-AA52-490CB51652F4}" srcId="{A9AA17BB-7127-4E35-826A-A4B40D1634EE}" destId="{F87F2070-B3C6-46AA-889A-CFE2AD546D4E}" srcOrd="2" destOrd="0" parTransId="{26F8C807-5B75-4862-806E-5A5104461AC5}" sibTransId="{6A51FFEA-34A2-45E0-A0A5-4313D47D3109}"/>
    <dgm:cxn modelId="{31C3CBF2-A03C-4094-B1BC-779A5A06BE62}" type="presOf" srcId="{7C98AF47-F7DD-4710-8CD0-8E11A3645687}" destId="{F75C0F66-7F49-4153-8F78-2A45BA27648C}" srcOrd="0" destOrd="0" presId="urn:microsoft.com/office/officeart/2005/8/layout/lProcess1"/>
    <dgm:cxn modelId="{A8413785-40B3-4DAF-8AA2-4C8466C47E4E}" type="presOf" srcId="{A9AA17BB-7127-4E35-826A-A4B40D1634EE}" destId="{9EFCEBA1-AEA7-459F-8366-C75DAE838381}" srcOrd="0" destOrd="0" presId="urn:microsoft.com/office/officeart/2005/8/layout/lProcess1"/>
    <dgm:cxn modelId="{013A8AC7-E86A-48BC-8CF8-D2DF01A7995B}" srcId="{F6330E9B-BB15-4A91-8BC3-FB157C50C33B}" destId="{A9AA17BB-7127-4E35-826A-A4B40D1634EE}" srcOrd="1" destOrd="0" parTransId="{2F53A6F5-F5B8-46FC-99C9-91DD52BF7090}" sibTransId="{25891B83-FF29-467D-82AC-58EB4B63C402}"/>
    <dgm:cxn modelId="{FAEE2BD0-137D-42A2-BE89-FBA2C0D48056}" srcId="{A9AA17BB-7127-4E35-826A-A4B40D1634EE}" destId="{8B4EEA12-EA87-44C6-A125-454959434D95}" srcOrd="0" destOrd="0" parTransId="{7C98AF47-F7DD-4710-8CD0-8E11A3645687}" sibTransId="{434B4C3C-30AE-441F-A5E8-C3DBEBB05258}"/>
    <dgm:cxn modelId="{2AE3C1E0-D617-4D8F-88C0-4B9D39AD3810}" type="presOf" srcId="{7126405C-6887-4072-808E-A7A7884BA4D1}" destId="{7526BDF8-8E90-4FC8-999F-A2B529808A2C}" srcOrd="0" destOrd="0" presId="urn:microsoft.com/office/officeart/2005/8/layout/lProcess1"/>
    <dgm:cxn modelId="{E586CCB4-1F9B-4609-95F4-3493EFB69D2D}" srcId="{A9AA17BB-7127-4E35-826A-A4B40D1634EE}" destId="{D956C967-0D42-4ABC-8A49-485B0370D49E}" srcOrd="1" destOrd="0" parTransId="{B32649F3-D40F-4176-ADB6-AFA1BC5E7EEE}" sibTransId="{E654F911-BC06-4DD4-A541-EE78AA053FC7}"/>
    <dgm:cxn modelId="{DD8184FE-289B-478C-B4DC-1167FBF1F5E8}" type="presOf" srcId="{D956C967-0D42-4ABC-8A49-485B0370D49E}" destId="{53967923-395A-4CFB-9DB3-5B89D93E64C5}" srcOrd="0" destOrd="0" presId="urn:microsoft.com/office/officeart/2005/8/layout/lProcess1"/>
    <dgm:cxn modelId="{8ED45D74-485C-44E8-87A4-4F3FEA720665}" type="presOf" srcId="{F61B6446-06AF-4E0D-AA2B-D365888CC846}" destId="{5682E292-3CB9-458B-BAC4-480417163FA5}" srcOrd="0" destOrd="0" presId="urn:microsoft.com/office/officeart/2005/8/layout/lProcess1"/>
    <dgm:cxn modelId="{3BDEE446-8907-4F33-A56F-1FCED87B4C2D}" type="presOf" srcId="{8B4EEA12-EA87-44C6-A125-454959434D95}" destId="{D263D90E-22F0-4D87-A12A-932C78CD928A}" srcOrd="0" destOrd="0" presId="urn:microsoft.com/office/officeart/2005/8/layout/lProcess1"/>
    <dgm:cxn modelId="{C2902F44-AE42-4EA0-B7AC-33994FAD8920}" type="presOf" srcId="{3B796A9F-41C6-4286-B5F4-ADA8FAB571EE}" destId="{702BDA7C-9FA2-42E2-A817-661C490762CC}" srcOrd="0" destOrd="0" presId="urn:microsoft.com/office/officeart/2005/8/layout/lProcess1"/>
    <dgm:cxn modelId="{93AEE293-5810-4555-A89F-11D73AAC0671}" srcId="{7126405C-6887-4072-808E-A7A7884BA4D1}" destId="{F1CB2ED4-CFE5-434C-9F80-FC749C14BCF1}" srcOrd="0" destOrd="0" parTransId="{3B796A9F-41C6-4286-B5F4-ADA8FAB571EE}" sibTransId="{7868D413-04DE-4F87-9852-55811E372EA1}"/>
    <dgm:cxn modelId="{18E4684F-5070-4021-83DA-4942699531C3}" srcId="{F6330E9B-BB15-4A91-8BC3-FB157C50C33B}" destId="{7126405C-6887-4072-808E-A7A7884BA4D1}" srcOrd="0" destOrd="0" parTransId="{99638581-12EB-4684-8588-B4D42B17A6D6}" sibTransId="{933B365A-D7A0-486C-A0C8-1A98B4E3C027}"/>
    <dgm:cxn modelId="{C8859BA4-B323-4A01-B7B1-12BD9E9A1003}" type="presOf" srcId="{F87F2070-B3C6-46AA-889A-CFE2AD546D4E}" destId="{D95B28E1-5E58-46F7-8061-8EBAAF24A337}" srcOrd="0" destOrd="0" presId="urn:microsoft.com/office/officeart/2005/8/layout/lProcess1"/>
    <dgm:cxn modelId="{BCC24A5C-049B-4B9F-B4F3-4C7830ADA2A8}" type="presOf" srcId="{E09434DA-93D2-432A-B406-CF0C38673F6C}" destId="{59A6DA2E-3C27-44CA-B2F9-BAC0EC31918E}" srcOrd="0" destOrd="0" presId="urn:microsoft.com/office/officeart/2005/8/layout/lProcess1"/>
    <dgm:cxn modelId="{A492DDDA-33A5-4E1C-B8A9-1007266D189B}" type="presOf" srcId="{8C21204B-6158-4CC5-A683-1CAB0D743511}" destId="{4AE50922-0E3B-4508-8F94-107FDFD1F3BA}" srcOrd="0" destOrd="0" presId="urn:microsoft.com/office/officeart/2005/8/layout/lProcess1"/>
    <dgm:cxn modelId="{4DB60CA6-DCBB-4E40-897E-508980D41833}" srcId="{7126405C-6887-4072-808E-A7A7884BA4D1}" destId="{E09434DA-93D2-432A-B406-CF0C38673F6C}" srcOrd="2" destOrd="0" parTransId="{DF8CE03E-7604-42A9-A80E-3DE288C2C015}" sibTransId="{6B7EF985-DE4E-463B-9724-79BC302FB3D4}"/>
    <dgm:cxn modelId="{EDC83754-E5EF-44DB-9D42-3C7591A5552B}" type="presOf" srcId="{E654F911-BC06-4DD4-A541-EE78AA053FC7}" destId="{BDAE559C-D214-4007-8653-EA2E61B74601}" srcOrd="0" destOrd="0" presId="urn:microsoft.com/office/officeart/2005/8/layout/lProcess1"/>
    <dgm:cxn modelId="{CC5A28F0-00EC-4D1F-BEA1-7D392B990C23}" type="presParOf" srcId="{E0DB997F-D686-4896-B711-91CF7995A7B2}" destId="{C3504CCC-7B7F-4B54-92ED-54F618A4FB74}" srcOrd="0" destOrd="0" presId="urn:microsoft.com/office/officeart/2005/8/layout/lProcess1"/>
    <dgm:cxn modelId="{29254ECF-0D33-4790-B2F3-92E4304D6537}" type="presParOf" srcId="{C3504CCC-7B7F-4B54-92ED-54F618A4FB74}" destId="{7526BDF8-8E90-4FC8-999F-A2B529808A2C}" srcOrd="0" destOrd="0" presId="urn:microsoft.com/office/officeart/2005/8/layout/lProcess1"/>
    <dgm:cxn modelId="{6F5ECA88-2CCD-4CFB-95B3-A2A6F6821112}" type="presParOf" srcId="{C3504CCC-7B7F-4B54-92ED-54F618A4FB74}" destId="{702BDA7C-9FA2-42E2-A817-661C490762CC}" srcOrd="1" destOrd="0" presId="urn:microsoft.com/office/officeart/2005/8/layout/lProcess1"/>
    <dgm:cxn modelId="{E67F213B-39A7-4FD5-BA96-991B262AA899}" type="presParOf" srcId="{C3504CCC-7B7F-4B54-92ED-54F618A4FB74}" destId="{98D128EA-9303-46F6-A9E6-C0F32F9BF16A}" srcOrd="2" destOrd="0" presId="urn:microsoft.com/office/officeart/2005/8/layout/lProcess1"/>
    <dgm:cxn modelId="{E6F2FCF5-43A8-4EE4-A2B1-6B9668660712}" type="presParOf" srcId="{C3504CCC-7B7F-4B54-92ED-54F618A4FB74}" destId="{9C6F06D4-3B28-42E9-B0D0-B4B6EF033B31}" srcOrd="3" destOrd="0" presId="urn:microsoft.com/office/officeart/2005/8/layout/lProcess1"/>
    <dgm:cxn modelId="{15BAC66D-062C-4106-9473-AC2B78F66416}" type="presParOf" srcId="{C3504CCC-7B7F-4B54-92ED-54F618A4FB74}" destId="{4AE50922-0E3B-4508-8F94-107FDFD1F3BA}" srcOrd="4" destOrd="0" presId="urn:microsoft.com/office/officeart/2005/8/layout/lProcess1"/>
    <dgm:cxn modelId="{963F56F2-38F0-4B64-B329-F26B2D221D2C}" type="presParOf" srcId="{C3504CCC-7B7F-4B54-92ED-54F618A4FB74}" destId="{5682E292-3CB9-458B-BAC4-480417163FA5}" srcOrd="5" destOrd="0" presId="urn:microsoft.com/office/officeart/2005/8/layout/lProcess1"/>
    <dgm:cxn modelId="{663C60E8-C84C-432A-A200-23C1D5AF5E0A}" type="presParOf" srcId="{C3504CCC-7B7F-4B54-92ED-54F618A4FB74}" destId="{59A6DA2E-3C27-44CA-B2F9-BAC0EC31918E}" srcOrd="6" destOrd="0" presId="urn:microsoft.com/office/officeart/2005/8/layout/lProcess1"/>
    <dgm:cxn modelId="{C664C8CF-BC2E-4686-B32D-D4800145BF5F}" type="presParOf" srcId="{E0DB997F-D686-4896-B711-91CF7995A7B2}" destId="{4323EF88-412F-482B-ABFB-7B630E7347BC}" srcOrd="1" destOrd="0" presId="urn:microsoft.com/office/officeart/2005/8/layout/lProcess1"/>
    <dgm:cxn modelId="{4289B54B-E053-4BB7-975A-FE0E79377D11}" type="presParOf" srcId="{E0DB997F-D686-4896-B711-91CF7995A7B2}" destId="{04362A3A-FD6F-4661-9A20-88A0BBB1AFD9}" srcOrd="2" destOrd="0" presId="urn:microsoft.com/office/officeart/2005/8/layout/lProcess1"/>
    <dgm:cxn modelId="{B9D3A9A9-E1B2-4BDC-8BB5-7B1F3106E7BC}" type="presParOf" srcId="{04362A3A-FD6F-4661-9A20-88A0BBB1AFD9}" destId="{9EFCEBA1-AEA7-459F-8366-C75DAE838381}" srcOrd="0" destOrd="0" presId="urn:microsoft.com/office/officeart/2005/8/layout/lProcess1"/>
    <dgm:cxn modelId="{101AE4C6-3DBA-47C8-B058-2BF60BBB523F}" type="presParOf" srcId="{04362A3A-FD6F-4661-9A20-88A0BBB1AFD9}" destId="{F75C0F66-7F49-4153-8F78-2A45BA27648C}" srcOrd="1" destOrd="0" presId="urn:microsoft.com/office/officeart/2005/8/layout/lProcess1"/>
    <dgm:cxn modelId="{380BE41A-41E1-44D3-BE27-B0DAC6DC27C6}" type="presParOf" srcId="{04362A3A-FD6F-4661-9A20-88A0BBB1AFD9}" destId="{D263D90E-22F0-4D87-A12A-932C78CD928A}" srcOrd="2" destOrd="0" presId="urn:microsoft.com/office/officeart/2005/8/layout/lProcess1"/>
    <dgm:cxn modelId="{37935664-AD70-4197-B8E3-75CA4190074D}" type="presParOf" srcId="{04362A3A-FD6F-4661-9A20-88A0BBB1AFD9}" destId="{2345220F-1623-4A77-A842-34B0D5ADB14A}" srcOrd="3" destOrd="0" presId="urn:microsoft.com/office/officeart/2005/8/layout/lProcess1"/>
    <dgm:cxn modelId="{71717EAF-C056-4987-A023-E6B0B91807E1}" type="presParOf" srcId="{04362A3A-FD6F-4661-9A20-88A0BBB1AFD9}" destId="{53967923-395A-4CFB-9DB3-5B89D93E64C5}" srcOrd="4" destOrd="0" presId="urn:microsoft.com/office/officeart/2005/8/layout/lProcess1"/>
    <dgm:cxn modelId="{6F0A42F5-3FF3-4F56-BEE1-5B67AA20254F}" type="presParOf" srcId="{04362A3A-FD6F-4661-9A20-88A0BBB1AFD9}" destId="{BDAE559C-D214-4007-8653-EA2E61B74601}" srcOrd="5" destOrd="0" presId="urn:microsoft.com/office/officeart/2005/8/layout/lProcess1"/>
    <dgm:cxn modelId="{86929450-29C7-4C97-972C-D407BB7E3BC9}" type="presParOf" srcId="{04362A3A-FD6F-4661-9A20-88A0BBB1AFD9}" destId="{D95B28E1-5E58-46F7-8061-8EBAAF24A337}" srcOrd="6" destOrd="0" presId="urn:microsoft.com/office/officeart/2005/8/layout/lProcess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6330E9B-BB15-4A91-8BC3-FB157C50C33B}"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cs-CZ"/>
        </a:p>
      </dgm:t>
    </dgm:pt>
    <dgm:pt modelId="{7126405C-6887-4072-808E-A7A7884BA4D1}">
      <dgm:prSet phldrT="[Text]" custT="1"/>
      <dgm:spPr>
        <a:solidFill>
          <a:srgbClr val="004595"/>
        </a:solidFill>
        <a:ln>
          <a:noFill/>
        </a:ln>
      </dgm:spPr>
      <dgm:t>
        <a:bodyPr/>
        <a:lstStyle/>
        <a:p>
          <a:r>
            <a:rPr lang="cs-CZ" sz="1400" b="1"/>
            <a:t>2017</a:t>
          </a:r>
        </a:p>
      </dgm:t>
    </dgm:pt>
    <dgm:pt modelId="{99638581-12EB-4684-8588-B4D42B17A6D6}" type="parTrans" cxnId="{18E4684F-5070-4021-83DA-4942699531C3}">
      <dgm:prSet/>
      <dgm:spPr/>
      <dgm:t>
        <a:bodyPr/>
        <a:lstStyle/>
        <a:p>
          <a:endParaRPr lang="cs-CZ"/>
        </a:p>
      </dgm:t>
    </dgm:pt>
    <dgm:pt modelId="{933B365A-D7A0-486C-A0C8-1A98B4E3C027}" type="sibTrans" cxnId="{18E4684F-5070-4021-83DA-4942699531C3}">
      <dgm:prSet/>
      <dgm:spPr/>
      <dgm:t>
        <a:bodyPr/>
        <a:lstStyle/>
        <a:p>
          <a:endParaRPr lang="cs-CZ"/>
        </a:p>
      </dgm:t>
    </dgm:pt>
    <dgm:pt modelId="{F1CB2ED4-CFE5-434C-9F80-FC749C14BCF1}">
      <dgm:prSet phldrT="[Text]" custT="1"/>
      <dgm:spPr>
        <a:solidFill>
          <a:srgbClr val="D9EAFF"/>
        </a:solidFill>
        <a:ln>
          <a:noFill/>
        </a:ln>
      </dgm:spPr>
      <dgm:t>
        <a:bodyPr/>
        <a:lstStyle/>
        <a:p>
          <a:r>
            <a:rPr lang="cs-CZ" sz="1000"/>
            <a:t>Rozpočet schválený</a:t>
          </a:r>
        </a:p>
        <a:p>
          <a:r>
            <a:rPr lang="cs-CZ" sz="1000" b="1"/>
            <a:t>97,07 mld. Kč (čerpání na 84,31 %)</a:t>
          </a:r>
        </a:p>
      </dgm:t>
    </dgm:pt>
    <dgm:pt modelId="{3B796A9F-41C6-4286-B5F4-ADA8FAB571EE}" type="parTrans" cxnId="{93AEE293-5810-4555-A89F-11D73AAC0671}">
      <dgm:prSet/>
      <dgm:spPr>
        <a:solidFill>
          <a:srgbClr val="D9EAFF"/>
        </a:solidFill>
      </dgm:spPr>
      <dgm:t>
        <a:bodyPr/>
        <a:lstStyle/>
        <a:p>
          <a:endParaRPr lang="cs-CZ"/>
        </a:p>
      </dgm:t>
    </dgm:pt>
    <dgm:pt modelId="{7868D413-04DE-4F87-9852-55811E372EA1}" type="sibTrans" cxnId="{93AEE293-5810-4555-A89F-11D73AAC0671}">
      <dgm:prSet/>
      <dgm:spPr>
        <a:solidFill>
          <a:srgbClr val="D9EAFF"/>
        </a:solidFill>
      </dgm:spPr>
      <dgm:t>
        <a:bodyPr/>
        <a:lstStyle/>
        <a:p>
          <a:endParaRPr lang="cs-CZ"/>
        </a:p>
      </dgm:t>
    </dgm:pt>
    <dgm:pt modelId="{8C21204B-6158-4CC5-A683-1CAB0D743511}">
      <dgm:prSet phldrT="[Text]" custT="1"/>
      <dgm:spPr>
        <a:solidFill>
          <a:srgbClr val="D9EAFF"/>
        </a:solidFill>
        <a:ln>
          <a:noFill/>
        </a:ln>
      </dgm:spPr>
      <dgm:t>
        <a:bodyPr/>
        <a:lstStyle/>
        <a:p>
          <a:r>
            <a:rPr lang="cs-CZ" sz="1000"/>
            <a:t>Rozpočet konečný</a:t>
          </a:r>
        </a:p>
        <a:p>
          <a:r>
            <a:rPr lang="cs-CZ" sz="1000" b="1"/>
            <a:t>158,72 mld. Kč (čerpání na 51,56 %)</a:t>
          </a:r>
        </a:p>
      </dgm:t>
    </dgm:pt>
    <dgm:pt modelId="{69A9B13E-53DC-481C-B29E-E8EBC320E574}" type="parTrans" cxnId="{7651B4D5-AC8E-4218-BA40-A4FF734E1B6F}">
      <dgm:prSet/>
      <dgm:spPr/>
      <dgm:t>
        <a:bodyPr/>
        <a:lstStyle/>
        <a:p>
          <a:endParaRPr lang="cs-CZ"/>
        </a:p>
      </dgm:t>
    </dgm:pt>
    <dgm:pt modelId="{F61B6446-06AF-4E0D-AA2B-D365888CC846}" type="sibTrans" cxnId="{7651B4D5-AC8E-4218-BA40-A4FF734E1B6F}">
      <dgm:prSet/>
      <dgm:spPr>
        <a:solidFill>
          <a:srgbClr val="D9EAFF"/>
        </a:solidFill>
      </dgm:spPr>
      <dgm:t>
        <a:bodyPr/>
        <a:lstStyle/>
        <a:p>
          <a:endParaRPr lang="cs-CZ"/>
        </a:p>
      </dgm:t>
    </dgm:pt>
    <dgm:pt modelId="{A9AA17BB-7127-4E35-826A-A4B40D1634EE}">
      <dgm:prSet phldrT="[Text]" custT="1"/>
      <dgm:spPr>
        <a:solidFill>
          <a:srgbClr val="004595"/>
        </a:solidFill>
        <a:ln>
          <a:noFill/>
        </a:ln>
      </dgm:spPr>
      <dgm:t>
        <a:bodyPr/>
        <a:lstStyle/>
        <a:p>
          <a:r>
            <a:rPr lang="cs-CZ" sz="1400" b="1"/>
            <a:t>2018</a:t>
          </a:r>
        </a:p>
      </dgm:t>
    </dgm:pt>
    <dgm:pt modelId="{2F53A6F5-F5B8-46FC-99C9-91DD52BF7090}" type="parTrans" cxnId="{013A8AC7-E86A-48BC-8CF8-D2DF01A7995B}">
      <dgm:prSet/>
      <dgm:spPr/>
      <dgm:t>
        <a:bodyPr/>
        <a:lstStyle/>
        <a:p>
          <a:endParaRPr lang="cs-CZ"/>
        </a:p>
      </dgm:t>
    </dgm:pt>
    <dgm:pt modelId="{25891B83-FF29-467D-82AC-58EB4B63C402}" type="sibTrans" cxnId="{013A8AC7-E86A-48BC-8CF8-D2DF01A7995B}">
      <dgm:prSet/>
      <dgm:spPr/>
      <dgm:t>
        <a:bodyPr/>
        <a:lstStyle/>
        <a:p>
          <a:endParaRPr lang="cs-CZ"/>
        </a:p>
      </dgm:t>
    </dgm:pt>
    <dgm:pt modelId="{8B4EEA12-EA87-44C6-A125-454959434D95}">
      <dgm:prSet phldrT="[Text]" custT="1"/>
      <dgm:spPr>
        <a:solidFill>
          <a:srgbClr val="D9EAFF"/>
        </a:solidFill>
        <a:ln>
          <a:noFill/>
        </a:ln>
      </dgm:spPr>
      <dgm:t>
        <a:bodyPr/>
        <a:lstStyle/>
        <a:p>
          <a:r>
            <a:rPr lang="cs-CZ" sz="1000"/>
            <a:t>Rozpočet schválený</a:t>
          </a:r>
        </a:p>
        <a:p>
          <a:r>
            <a:rPr lang="cs-CZ" sz="1000" b="1"/>
            <a:t>70,22 mld. Kč (čerpání na 160,43 %)</a:t>
          </a:r>
        </a:p>
      </dgm:t>
    </dgm:pt>
    <dgm:pt modelId="{7C98AF47-F7DD-4710-8CD0-8E11A3645687}" type="parTrans" cxnId="{FAEE2BD0-137D-42A2-BE89-FBA2C0D48056}">
      <dgm:prSet/>
      <dgm:spPr>
        <a:solidFill>
          <a:srgbClr val="D9EAFF"/>
        </a:solidFill>
      </dgm:spPr>
      <dgm:t>
        <a:bodyPr/>
        <a:lstStyle/>
        <a:p>
          <a:endParaRPr lang="cs-CZ"/>
        </a:p>
      </dgm:t>
    </dgm:pt>
    <dgm:pt modelId="{434B4C3C-30AE-441F-A5E8-C3DBEBB05258}" type="sibTrans" cxnId="{FAEE2BD0-137D-42A2-BE89-FBA2C0D48056}">
      <dgm:prSet/>
      <dgm:spPr>
        <a:solidFill>
          <a:srgbClr val="D9EAFF"/>
        </a:solidFill>
      </dgm:spPr>
      <dgm:t>
        <a:bodyPr/>
        <a:lstStyle/>
        <a:p>
          <a:endParaRPr lang="cs-CZ"/>
        </a:p>
      </dgm:t>
    </dgm:pt>
    <dgm:pt modelId="{D956C967-0D42-4ABC-8A49-485B0370D49E}">
      <dgm:prSet phldrT="[Text]" custT="1"/>
      <dgm:spPr>
        <a:solidFill>
          <a:srgbClr val="D9EAFF"/>
        </a:solidFill>
        <a:ln>
          <a:noFill/>
        </a:ln>
      </dgm:spPr>
      <dgm:t>
        <a:bodyPr/>
        <a:lstStyle/>
        <a:p>
          <a:r>
            <a:rPr lang="cs-CZ" sz="1000"/>
            <a:t>Rozpočet konečný</a:t>
          </a:r>
        </a:p>
        <a:p>
          <a:r>
            <a:rPr lang="cs-CZ" sz="1000" b="1"/>
            <a:t>153,18 mld. Kč (čerpání na 73,54 %)</a:t>
          </a:r>
        </a:p>
      </dgm:t>
    </dgm:pt>
    <dgm:pt modelId="{B32649F3-D40F-4176-ADB6-AFA1BC5E7EEE}" type="parTrans" cxnId="{E586CCB4-1F9B-4609-95F4-3493EFB69D2D}">
      <dgm:prSet/>
      <dgm:spPr/>
      <dgm:t>
        <a:bodyPr/>
        <a:lstStyle/>
        <a:p>
          <a:endParaRPr lang="cs-CZ"/>
        </a:p>
      </dgm:t>
    </dgm:pt>
    <dgm:pt modelId="{E654F911-BC06-4DD4-A541-EE78AA053FC7}" type="sibTrans" cxnId="{E586CCB4-1F9B-4609-95F4-3493EFB69D2D}">
      <dgm:prSet/>
      <dgm:spPr>
        <a:solidFill>
          <a:srgbClr val="D9EAFF"/>
        </a:solidFill>
      </dgm:spPr>
      <dgm:t>
        <a:bodyPr/>
        <a:lstStyle/>
        <a:p>
          <a:endParaRPr lang="cs-CZ"/>
        </a:p>
      </dgm:t>
    </dgm:pt>
    <dgm:pt modelId="{E09434DA-93D2-432A-B406-CF0C38673F6C}">
      <dgm:prSet custT="1"/>
      <dgm:spPr>
        <a:solidFill>
          <a:srgbClr val="BD2A33"/>
        </a:solidFill>
        <a:ln>
          <a:noFill/>
        </a:ln>
      </dgm:spPr>
      <dgm:t>
        <a:bodyPr/>
        <a:lstStyle/>
        <a:p>
          <a:r>
            <a:rPr lang="cs-CZ" sz="1000" b="0">
              <a:solidFill>
                <a:schemeClr val="bg1"/>
              </a:solidFill>
            </a:rPr>
            <a:t>Skutečnost</a:t>
          </a:r>
        </a:p>
        <a:p>
          <a:r>
            <a:rPr lang="cs-CZ" sz="1000" b="1">
              <a:solidFill>
                <a:schemeClr val="bg1"/>
              </a:solidFill>
            </a:rPr>
            <a:t>81,83 mld. Kč</a:t>
          </a:r>
        </a:p>
      </dgm:t>
    </dgm:pt>
    <dgm:pt modelId="{DF8CE03E-7604-42A9-A80E-3DE288C2C015}" type="parTrans" cxnId="{4DB60CA6-DCBB-4E40-897E-508980D41833}">
      <dgm:prSet/>
      <dgm:spPr/>
      <dgm:t>
        <a:bodyPr/>
        <a:lstStyle/>
        <a:p>
          <a:endParaRPr lang="cs-CZ"/>
        </a:p>
      </dgm:t>
    </dgm:pt>
    <dgm:pt modelId="{6B7EF985-DE4E-463B-9724-79BC302FB3D4}" type="sibTrans" cxnId="{4DB60CA6-DCBB-4E40-897E-508980D41833}">
      <dgm:prSet/>
      <dgm:spPr/>
      <dgm:t>
        <a:bodyPr/>
        <a:lstStyle/>
        <a:p>
          <a:endParaRPr lang="cs-CZ"/>
        </a:p>
      </dgm:t>
    </dgm:pt>
    <dgm:pt modelId="{F87F2070-B3C6-46AA-889A-CFE2AD546D4E}">
      <dgm:prSet custT="1"/>
      <dgm:spPr>
        <a:solidFill>
          <a:srgbClr val="BD2A33"/>
        </a:solidFill>
        <a:ln>
          <a:noFill/>
        </a:ln>
      </dgm:spPr>
      <dgm:t>
        <a:bodyPr/>
        <a:lstStyle/>
        <a:p>
          <a:r>
            <a:rPr lang="cs-CZ" sz="1000" b="0">
              <a:solidFill>
                <a:schemeClr val="bg1"/>
              </a:solidFill>
            </a:rPr>
            <a:t>Skutečnost</a:t>
          </a:r>
        </a:p>
        <a:p>
          <a:r>
            <a:rPr lang="cs-CZ" sz="1000" b="1">
              <a:solidFill>
                <a:schemeClr val="bg1"/>
              </a:solidFill>
            </a:rPr>
            <a:t>112,65 mld. Kč</a:t>
          </a:r>
        </a:p>
      </dgm:t>
    </dgm:pt>
    <dgm:pt modelId="{26F8C807-5B75-4862-806E-5A5104461AC5}" type="parTrans" cxnId="{93AC6103-844C-4771-AA52-490CB51652F4}">
      <dgm:prSet/>
      <dgm:spPr/>
      <dgm:t>
        <a:bodyPr/>
        <a:lstStyle/>
        <a:p>
          <a:endParaRPr lang="cs-CZ"/>
        </a:p>
      </dgm:t>
    </dgm:pt>
    <dgm:pt modelId="{6A51FFEA-34A2-45E0-A0A5-4313D47D3109}" type="sibTrans" cxnId="{93AC6103-844C-4771-AA52-490CB51652F4}">
      <dgm:prSet/>
      <dgm:spPr/>
      <dgm:t>
        <a:bodyPr/>
        <a:lstStyle/>
        <a:p>
          <a:endParaRPr lang="cs-CZ"/>
        </a:p>
      </dgm:t>
    </dgm:pt>
    <dgm:pt modelId="{E0DB997F-D686-4896-B711-91CF7995A7B2}" type="pres">
      <dgm:prSet presAssocID="{F6330E9B-BB15-4A91-8BC3-FB157C50C33B}" presName="Name0" presStyleCnt="0">
        <dgm:presLayoutVars>
          <dgm:dir/>
          <dgm:animLvl val="lvl"/>
          <dgm:resizeHandles val="exact"/>
        </dgm:presLayoutVars>
      </dgm:prSet>
      <dgm:spPr/>
      <dgm:t>
        <a:bodyPr/>
        <a:lstStyle/>
        <a:p>
          <a:endParaRPr lang="cs-CZ"/>
        </a:p>
      </dgm:t>
    </dgm:pt>
    <dgm:pt modelId="{C3504CCC-7B7F-4B54-92ED-54F618A4FB74}" type="pres">
      <dgm:prSet presAssocID="{7126405C-6887-4072-808E-A7A7884BA4D1}" presName="vertFlow" presStyleCnt="0"/>
      <dgm:spPr/>
    </dgm:pt>
    <dgm:pt modelId="{7526BDF8-8E90-4FC8-999F-A2B529808A2C}" type="pres">
      <dgm:prSet presAssocID="{7126405C-6887-4072-808E-A7A7884BA4D1}" presName="header" presStyleLbl="node1" presStyleIdx="0" presStyleCnt="2" custScaleY="42721"/>
      <dgm:spPr/>
      <dgm:t>
        <a:bodyPr/>
        <a:lstStyle/>
        <a:p>
          <a:endParaRPr lang="cs-CZ"/>
        </a:p>
      </dgm:t>
    </dgm:pt>
    <dgm:pt modelId="{702BDA7C-9FA2-42E2-A817-661C490762CC}" type="pres">
      <dgm:prSet presAssocID="{3B796A9F-41C6-4286-B5F4-ADA8FAB571EE}" presName="parTrans" presStyleLbl="sibTrans2D1" presStyleIdx="0" presStyleCnt="6"/>
      <dgm:spPr/>
      <dgm:t>
        <a:bodyPr/>
        <a:lstStyle/>
        <a:p>
          <a:endParaRPr lang="cs-CZ"/>
        </a:p>
      </dgm:t>
    </dgm:pt>
    <dgm:pt modelId="{98D128EA-9303-46F6-A9E6-C0F32F9BF16A}" type="pres">
      <dgm:prSet presAssocID="{F1CB2ED4-CFE5-434C-9F80-FC749C14BCF1}" presName="child" presStyleLbl="alignAccFollowNode1" presStyleIdx="0" presStyleCnt="6">
        <dgm:presLayoutVars>
          <dgm:chMax val="0"/>
          <dgm:bulletEnabled val="1"/>
        </dgm:presLayoutVars>
      </dgm:prSet>
      <dgm:spPr/>
      <dgm:t>
        <a:bodyPr/>
        <a:lstStyle/>
        <a:p>
          <a:endParaRPr lang="cs-CZ"/>
        </a:p>
      </dgm:t>
    </dgm:pt>
    <dgm:pt modelId="{9C6F06D4-3B28-42E9-B0D0-B4B6EF033B31}" type="pres">
      <dgm:prSet presAssocID="{7868D413-04DE-4F87-9852-55811E372EA1}" presName="sibTrans" presStyleLbl="sibTrans2D1" presStyleIdx="1" presStyleCnt="6"/>
      <dgm:spPr/>
      <dgm:t>
        <a:bodyPr/>
        <a:lstStyle/>
        <a:p>
          <a:endParaRPr lang="cs-CZ"/>
        </a:p>
      </dgm:t>
    </dgm:pt>
    <dgm:pt modelId="{4AE50922-0E3B-4508-8F94-107FDFD1F3BA}" type="pres">
      <dgm:prSet presAssocID="{8C21204B-6158-4CC5-A683-1CAB0D743511}" presName="child" presStyleLbl="alignAccFollowNode1" presStyleIdx="1" presStyleCnt="6">
        <dgm:presLayoutVars>
          <dgm:chMax val="0"/>
          <dgm:bulletEnabled val="1"/>
        </dgm:presLayoutVars>
      </dgm:prSet>
      <dgm:spPr/>
      <dgm:t>
        <a:bodyPr/>
        <a:lstStyle/>
        <a:p>
          <a:endParaRPr lang="cs-CZ"/>
        </a:p>
      </dgm:t>
    </dgm:pt>
    <dgm:pt modelId="{5682E292-3CB9-458B-BAC4-480417163FA5}" type="pres">
      <dgm:prSet presAssocID="{F61B6446-06AF-4E0D-AA2B-D365888CC846}" presName="sibTrans" presStyleLbl="sibTrans2D1" presStyleIdx="2" presStyleCnt="6" custLinFactNeighborX="34222"/>
      <dgm:spPr/>
      <dgm:t>
        <a:bodyPr/>
        <a:lstStyle/>
        <a:p>
          <a:endParaRPr lang="cs-CZ"/>
        </a:p>
      </dgm:t>
    </dgm:pt>
    <dgm:pt modelId="{59A6DA2E-3C27-44CA-B2F9-BAC0EC31918E}" type="pres">
      <dgm:prSet presAssocID="{E09434DA-93D2-432A-B406-CF0C38673F6C}" presName="child" presStyleLbl="alignAccFollowNode1" presStyleIdx="2" presStyleCnt="6">
        <dgm:presLayoutVars>
          <dgm:chMax val="0"/>
          <dgm:bulletEnabled val="1"/>
        </dgm:presLayoutVars>
      </dgm:prSet>
      <dgm:spPr/>
      <dgm:t>
        <a:bodyPr/>
        <a:lstStyle/>
        <a:p>
          <a:endParaRPr lang="cs-CZ"/>
        </a:p>
      </dgm:t>
    </dgm:pt>
    <dgm:pt modelId="{4323EF88-412F-482B-ABFB-7B630E7347BC}" type="pres">
      <dgm:prSet presAssocID="{7126405C-6887-4072-808E-A7A7884BA4D1}" presName="hSp" presStyleCnt="0"/>
      <dgm:spPr/>
    </dgm:pt>
    <dgm:pt modelId="{04362A3A-FD6F-4661-9A20-88A0BBB1AFD9}" type="pres">
      <dgm:prSet presAssocID="{A9AA17BB-7127-4E35-826A-A4B40D1634EE}" presName="vertFlow" presStyleCnt="0"/>
      <dgm:spPr/>
    </dgm:pt>
    <dgm:pt modelId="{9EFCEBA1-AEA7-459F-8366-C75DAE838381}" type="pres">
      <dgm:prSet presAssocID="{A9AA17BB-7127-4E35-826A-A4B40D1634EE}" presName="header" presStyleLbl="node1" presStyleIdx="1" presStyleCnt="2" custScaleY="42721"/>
      <dgm:spPr/>
      <dgm:t>
        <a:bodyPr/>
        <a:lstStyle/>
        <a:p>
          <a:endParaRPr lang="cs-CZ"/>
        </a:p>
      </dgm:t>
    </dgm:pt>
    <dgm:pt modelId="{F75C0F66-7F49-4153-8F78-2A45BA27648C}" type="pres">
      <dgm:prSet presAssocID="{7C98AF47-F7DD-4710-8CD0-8E11A3645687}" presName="parTrans" presStyleLbl="sibTrans2D1" presStyleIdx="3" presStyleCnt="6"/>
      <dgm:spPr/>
      <dgm:t>
        <a:bodyPr/>
        <a:lstStyle/>
        <a:p>
          <a:endParaRPr lang="cs-CZ"/>
        </a:p>
      </dgm:t>
    </dgm:pt>
    <dgm:pt modelId="{D263D90E-22F0-4D87-A12A-932C78CD928A}" type="pres">
      <dgm:prSet presAssocID="{8B4EEA12-EA87-44C6-A125-454959434D95}" presName="child" presStyleLbl="alignAccFollowNode1" presStyleIdx="3" presStyleCnt="6">
        <dgm:presLayoutVars>
          <dgm:chMax val="0"/>
          <dgm:bulletEnabled val="1"/>
        </dgm:presLayoutVars>
      </dgm:prSet>
      <dgm:spPr/>
      <dgm:t>
        <a:bodyPr/>
        <a:lstStyle/>
        <a:p>
          <a:endParaRPr lang="cs-CZ"/>
        </a:p>
      </dgm:t>
    </dgm:pt>
    <dgm:pt modelId="{2345220F-1623-4A77-A842-34B0D5ADB14A}" type="pres">
      <dgm:prSet presAssocID="{434B4C3C-30AE-441F-A5E8-C3DBEBB05258}" presName="sibTrans" presStyleLbl="sibTrans2D1" presStyleIdx="4" presStyleCnt="6"/>
      <dgm:spPr/>
      <dgm:t>
        <a:bodyPr/>
        <a:lstStyle/>
        <a:p>
          <a:endParaRPr lang="cs-CZ"/>
        </a:p>
      </dgm:t>
    </dgm:pt>
    <dgm:pt modelId="{53967923-395A-4CFB-9DB3-5B89D93E64C5}" type="pres">
      <dgm:prSet presAssocID="{D956C967-0D42-4ABC-8A49-485B0370D49E}" presName="child" presStyleLbl="alignAccFollowNode1" presStyleIdx="4" presStyleCnt="6">
        <dgm:presLayoutVars>
          <dgm:chMax val="0"/>
          <dgm:bulletEnabled val="1"/>
        </dgm:presLayoutVars>
      </dgm:prSet>
      <dgm:spPr/>
      <dgm:t>
        <a:bodyPr/>
        <a:lstStyle/>
        <a:p>
          <a:endParaRPr lang="cs-CZ"/>
        </a:p>
      </dgm:t>
    </dgm:pt>
    <dgm:pt modelId="{BDAE559C-D214-4007-8653-EA2E61B74601}" type="pres">
      <dgm:prSet presAssocID="{E654F911-BC06-4DD4-A541-EE78AA053FC7}" presName="sibTrans" presStyleLbl="sibTrans2D1" presStyleIdx="5" presStyleCnt="6"/>
      <dgm:spPr/>
      <dgm:t>
        <a:bodyPr/>
        <a:lstStyle/>
        <a:p>
          <a:endParaRPr lang="cs-CZ"/>
        </a:p>
      </dgm:t>
    </dgm:pt>
    <dgm:pt modelId="{D95B28E1-5E58-46F7-8061-8EBAAF24A337}" type="pres">
      <dgm:prSet presAssocID="{F87F2070-B3C6-46AA-889A-CFE2AD546D4E}" presName="child" presStyleLbl="alignAccFollowNode1" presStyleIdx="5" presStyleCnt="6">
        <dgm:presLayoutVars>
          <dgm:chMax val="0"/>
          <dgm:bulletEnabled val="1"/>
        </dgm:presLayoutVars>
      </dgm:prSet>
      <dgm:spPr/>
      <dgm:t>
        <a:bodyPr/>
        <a:lstStyle/>
        <a:p>
          <a:endParaRPr lang="cs-CZ"/>
        </a:p>
      </dgm:t>
    </dgm:pt>
  </dgm:ptLst>
  <dgm:cxnLst>
    <dgm:cxn modelId="{E18951A7-5C25-4E24-95BF-04447D497F16}" type="presOf" srcId="{F6330E9B-BB15-4A91-8BC3-FB157C50C33B}" destId="{E0DB997F-D686-4896-B711-91CF7995A7B2}" srcOrd="0" destOrd="0" presId="urn:microsoft.com/office/officeart/2005/8/layout/lProcess1"/>
    <dgm:cxn modelId="{D5F31179-6151-47DE-8969-8BFA71F3A74F}" type="presOf" srcId="{F1CB2ED4-CFE5-434C-9F80-FC749C14BCF1}" destId="{98D128EA-9303-46F6-A9E6-C0F32F9BF16A}" srcOrd="0" destOrd="0" presId="urn:microsoft.com/office/officeart/2005/8/layout/lProcess1"/>
    <dgm:cxn modelId="{82663637-06D0-4A79-8549-DCC862059569}" type="presOf" srcId="{434B4C3C-30AE-441F-A5E8-C3DBEBB05258}" destId="{2345220F-1623-4A77-A842-34B0D5ADB14A}" srcOrd="0" destOrd="0" presId="urn:microsoft.com/office/officeart/2005/8/layout/lProcess1"/>
    <dgm:cxn modelId="{595F87DB-9E9B-4465-88D1-BFCD57B83165}" type="presOf" srcId="{7868D413-04DE-4F87-9852-55811E372EA1}" destId="{9C6F06D4-3B28-42E9-B0D0-B4B6EF033B31}" srcOrd="0" destOrd="0" presId="urn:microsoft.com/office/officeart/2005/8/layout/lProcess1"/>
    <dgm:cxn modelId="{7651B4D5-AC8E-4218-BA40-A4FF734E1B6F}" srcId="{7126405C-6887-4072-808E-A7A7884BA4D1}" destId="{8C21204B-6158-4CC5-A683-1CAB0D743511}" srcOrd="1" destOrd="0" parTransId="{69A9B13E-53DC-481C-B29E-E8EBC320E574}" sibTransId="{F61B6446-06AF-4E0D-AA2B-D365888CC846}"/>
    <dgm:cxn modelId="{93AC6103-844C-4771-AA52-490CB51652F4}" srcId="{A9AA17BB-7127-4E35-826A-A4B40D1634EE}" destId="{F87F2070-B3C6-46AA-889A-CFE2AD546D4E}" srcOrd="2" destOrd="0" parTransId="{26F8C807-5B75-4862-806E-5A5104461AC5}" sibTransId="{6A51FFEA-34A2-45E0-A0A5-4313D47D3109}"/>
    <dgm:cxn modelId="{31C3CBF2-A03C-4094-B1BC-779A5A06BE62}" type="presOf" srcId="{7C98AF47-F7DD-4710-8CD0-8E11A3645687}" destId="{F75C0F66-7F49-4153-8F78-2A45BA27648C}" srcOrd="0" destOrd="0" presId="urn:microsoft.com/office/officeart/2005/8/layout/lProcess1"/>
    <dgm:cxn modelId="{A8413785-40B3-4DAF-8AA2-4C8466C47E4E}" type="presOf" srcId="{A9AA17BB-7127-4E35-826A-A4B40D1634EE}" destId="{9EFCEBA1-AEA7-459F-8366-C75DAE838381}" srcOrd="0" destOrd="0" presId="urn:microsoft.com/office/officeart/2005/8/layout/lProcess1"/>
    <dgm:cxn modelId="{013A8AC7-E86A-48BC-8CF8-D2DF01A7995B}" srcId="{F6330E9B-BB15-4A91-8BC3-FB157C50C33B}" destId="{A9AA17BB-7127-4E35-826A-A4B40D1634EE}" srcOrd="1" destOrd="0" parTransId="{2F53A6F5-F5B8-46FC-99C9-91DD52BF7090}" sibTransId="{25891B83-FF29-467D-82AC-58EB4B63C402}"/>
    <dgm:cxn modelId="{FAEE2BD0-137D-42A2-BE89-FBA2C0D48056}" srcId="{A9AA17BB-7127-4E35-826A-A4B40D1634EE}" destId="{8B4EEA12-EA87-44C6-A125-454959434D95}" srcOrd="0" destOrd="0" parTransId="{7C98AF47-F7DD-4710-8CD0-8E11A3645687}" sibTransId="{434B4C3C-30AE-441F-A5E8-C3DBEBB05258}"/>
    <dgm:cxn modelId="{2AE3C1E0-D617-4D8F-88C0-4B9D39AD3810}" type="presOf" srcId="{7126405C-6887-4072-808E-A7A7884BA4D1}" destId="{7526BDF8-8E90-4FC8-999F-A2B529808A2C}" srcOrd="0" destOrd="0" presId="urn:microsoft.com/office/officeart/2005/8/layout/lProcess1"/>
    <dgm:cxn modelId="{E586CCB4-1F9B-4609-95F4-3493EFB69D2D}" srcId="{A9AA17BB-7127-4E35-826A-A4B40D1634EE}" destId="{D956C967-0D42-4ABC-8A49-485B0370D49E}" srcOrd="1" destOrd="0" parTransId="{B32649F3-D40F-4176-ADB6-AFA1BC5E7EEE}" sibTransId="{E654F911-BC06-4DD4-A541-EE78AA053FC7}"/>
    <dgm:cxn modelId="{DD8184FE-289B-478C-B4DC-1167FBF1F5E8}" type="presOf" srcId="{D956C967-0D42-4ABC-8A49-485B0370D49E}" destId="{53967923-395A-4CFB-9DB3-5B89D93E64C5}" srcOrd="0" destOrd="0" presId="urn:microsoft.com/office/officeart/2005/8/layout/lProcess1"/>
    <dgm:cxn modelId="{8ED45D74-485C-44E8-87A4-4F3FEA720665}" type="presOf" srcId="{F61B6446-06AF-4E0D-AA2B-D365888CC846}" destId="{5682E292-3CB9-458B-BAC4-480417163FA5}" srcOrd="0" destOrd="0" presId="urn:microsoft.com/office/officeart/2005/8/layout/lProcess1"/>
    <dgm:cxn modelId="{3BDEE446-8907-4F33-A56F-1FCED87B4C2D}" type="presOf" srcId="{8B4EEA12-EA87-44C6-A125-454959434D95}" destId="{D263D90E-22F0-4D87-A12A-932C78CD928A}" srcOrd="0" destOrd="0" presId="urn:microsoft.com/office/officeart/2005/8/layout/lProcess1"/>
    <dgm:cxn modelId="{C2902F44-AE42-4EA0-B7AC-33994FAD8920}" type="presOf" srcId="{3B796A9F-41C6-4286-B5F4-ADA8FAB571EE}" destId="{702BDA7C-9FA2-42E2-A817-661C490762CC}" srcOrd="0" destOrd="0" presId="urn:microsoft.com/office/officeart/2005/8/layout/lProcess1"/>
    <dgm:cxn modelId="{93AEE293-5810-4555-A89F-11D73AAC0671}" srcId="{7126405C-6887-4072-808E-A7A7884BA4D1}" destId="{F1CB2ED4-CFE5-434C-9F80-FC749C14BCF1}" srcOrd="0" destOrd="0" parTransId="{3B796A9F-41C6-4286-B5F4-ADA8FAB571EE}" sibTransId="{7868D413-04DE-4F87-9852-55811E372EA1}"/>
    <dgm:cxn modelId="{18E4684F-5070-4021-83DA-4942699531C3}" srcId="{F6330E9B-BB15-4A91-8BC3-FB157C50C33B}" destId="{7126405C-6887-4072-808E-A7A7884BA4D1}" srcOrd="0" destOrd="0" parTransId="{99638581-12EB-4684-8588-B4D42B17A6D6}" sibTransId="{933B365A-D7A0-486C-A0C8-1A98B4E3C027}"/>
    <dgm:cxn modelId="{C8859BA4-B323-4A01-B7B1-12BD9E9A1003}" type="presOf" srcId="{F87F2070-B3C6-46AA-889A-CFE2AD546D4E}" destId="{D95B28E1-5E58-46F7-8061-8EBAAF24A337}" srcOrd="0" destOrd="0" presId="urn:microsoft.com/office/officeart/2005/8/layout/lProcess1"/>
    <dgm:cxn modelId="{BCC24A5C-049B-4B9F-B4F3-4C7830ADA2A8}" type="presOf" srcId="{E09434DA-93D2-432A-B406-CF0C38673F6C}" destId="{59A6DA2E-3C27-44CA-B2F9-BAC0EC31918E}" srcOrd="0" destOrd="0" presId="urn:microsoft.com/office/officeart/2005/8/layout/lProcess1"/>
    <dgm:cxn modelId="{A492DDDA-33A5-4E1C-B8A9-1007266D189B}" type="presOf" srcId="{8C21204B-6158-4CC5-A683-1CAB0D743511}" destId="{4AE50922-0E3B-4508-8F94-107FDFD1F3BA}" srcOrd="0" destOrd="0" presId="urn:microsoft.com/office/officeart/2005/8/layout/lProcess1"/>
    <dgm:cxn modelId="{4DB60CA6-DCBB-4E40-897E-508980D41833}" srcId="{7126405C-6887-4072-808E-A7A7884BA4D1}" destId="{E09434DA-93D2-432A-B406-CF0C38673F6C}" srcOrd="2" destOrd="0" parTransId="{DF8CE03E-7604-42A9-A80E-3DE288C2C015}" sibTransId="{6B7EF985-DE4E-463B-9724-79BC302FB3D4}"/>
    <dgm:cxn modelId="{EDC83754-E5EF-44DB-9D42-3C7591A5552B}" type="presOf" srcId="{E654F911-BC06-4DD4-A541-EE78AA053FC7}" destId="{BDAE559C-D214-4007-8653-EA2E61B74601}" srcOrd="0" destOrd="0" presId="urn:microsoft.com/office/officeart/2005/8/layout/lProcess1"/>
    <dgm:cxn modelId="{CC5A28F0-00EC-4D1F-BEA1-7D392B990C23}" type="presParOf" srcId="{E0DB997F-D686-4896-B711-91CF7995A7B2}" destId="{C3504CCC-7B7F-4B54-92ED-54F618A4FB74}" srcOrd="0" destOrd="0" presId="urn:microsoft.com/office/officeart/2005/8/layout/lProcess1"/>
    <dgm:cxn modelId="{29254ECF-0D33-4790-B2F3-92E4304D6537}" type="presParOf" srcId="{C3504CCC-7B7F-4B54-92ED-54F618A4FB74}" destId="{7526BDF8-8E90-4FC8-999F-A2B529808A2C}" srcOrd="0" destOrd="0" presId="urn:microsoft.com/office/officeart/2005/8/layout/lProcess1"/>
    <dgm:cxn modelId="{6F5ECA88-2CCD-4CFB-95B3-A2A6F6821112}" type="presParOf" srcId="{C3504CCC-7B7F-4B54-92ED-54F618A4FB74}" destId="{702BDA7C-9FA2-42E2-A817-661C490762CC}" srcOrd="1" destOrd="0" presId="urn:microsoft.com/office/officeart/2005/8/layout/lProcess1"/>
    <dgm:cxn modelId="{E67F213B-39A7-4FD5-BA96-991B262AA899}" type="presParOf" srcId="{C3504CCC-7B7F-4B54-92ED-54F618A4FB74}" destId="{98D128EA-9303-46F6-A9E6-C0F32F9BF16A}" srcOrd="2" destOrd="0" presId="urn:microsoft.com/office/officeart/2005/8/layout/lProcess1"/>
    <dgm:cxn modelId="{E6F2FCF5-43A8-4EE4-A2B1-6B9668660712}" type="presParOf" srcId="{C3504CCC-7B7F-4B54-92ED-54F618A4FB74}" destId="{9C6F06D4-3B28-42E9-B0D0-B4B6EF033B31}" srcOrd="3" destOrd="0" presId="urn:microsoft.com/office/officeart/2005/8/layout/lProcess1"/>
    <dgm:cxn modelId="{15BAC66D-062C-4106-9473-AC2B78F66416}" type="presParOf" srcId="{C3504CCC-7B7F-4B54-92ED-54F618A4FB74}" destId="{4AE50922-0E3B-4508-8F94-107FDFD1F3BA}" srcOrd="4" destOrd="0" presId="urn:microsoft.com/office/officeart/2005/8/layout/lProcess1"/>
    <dgm:cxn modelId="{963F56F2-38F0-4B64-B329-F26B2D221D2C}" type="presParOf" srcId="{C3504CCC-7B7F-4B54-92ED-54F618A4FB74}" destId="{5682E292-3CB9-458B-BAC4-480417163FA5}" srcOrd="5" destOrd="0" presId="urn:microsoft.com/office/officeart/2005/8/layout/lProcess1"/>
    <dgm:cxn modelId="{663C60E8-C84C-432A-A200-23C1D5AF5E0A}" type="presParOf" srcId="{C3504CCC-7B7F-4B54-92ED-54F618A4FB74}" destId="{59A6DA2E-3C27-44CA-B2F9-BAC0EC31918E}" srcOrd="6" destOrd="0" presId="urn:microsoft.com/office/officeart/2005/8/layout/lProcess1"/>
    <dgm:cxn modelId="{C664C8CF-BC2E-4686-B32D-D4800145BF5F}" type="presParOf" srcId="{E0DB997F-D686-4896-B711-91CF7995A7B2}" destId="{4323EF88-412F-482B-ABFB-7B630E7347BC}" srcOrd="1" destOrd="0" presId="urn:microsoft.com/office/officeart/2005/8/layout/lProcess1"/>
    <dgm:cxn modelId="{4289B54B-E053-4BB7-975A-FE0E79377D11}" type="presParOf" srcId="{E0DB997F-D686-4896-B711-91CF7995A7B2}" destId="{04362A3A-FD6F-4661-9A20-88A0BBB1AFD9}" srcOrd="2" destOrd="0" presId="urn:microsoft.com/office/officeart/2005/8/layout/lProcess1"/>
    <dgm:cxn modelId="{B9D3A9A9-E1B2-4BDC-8BB5-7B1F3106E7BC}" type="presParOf" srcId="{04362A3A-FD6F-4661-9A20-88A0BBB1AFD9}" destId="{9EFCEBA1-AEA7-459F-8366-C75DAE838381}" srcOrd="0" destOrd="0" presId="urn:microsoft.com/office/officeart/2005/8/layout/lProcess1"/>
    <dgm:cxn modelId="{101AE4C6-3DBA-47C8-B058-2BF60BBB523F}" type="presParOf" srcId="{04362A3A-FD6F-4661-9A20-88A0BBB1AFD9}" destId="{F75C0F66-7F49-4153-8F78-2A45BA27648C}" srcOrd="1" destOrd="0" presId="urn:microsoft.com/office/officeart/2005/8/layout/lProcess1"/>
    <dgm:cxn modelId="{380BE41A-41E1-44D3-BE27-B0DAC6DC27C6}" type="presParOf" srcId="{04362A3A-FD6F-4661-9A20-88A0BBB1AFD9}" destId="{D263D90E-22F0-4D87-A12A-932C78CD928A}" srcOrd="2" destOrd="0" presId="urn:microsoft.com/office/officeart/2005/8/layout/lProcess1"/>
    <dgm:cxn modelId="{37935664-AD70-4197-B8E3-75CA4190074D}" type="presParOf" srcId="{04362A3A-FD6F-4661-9A20-88A0BBB1AFD9}" destId="{2345220F-1623-4A77-A842-34B0D5ADB14A}" srcOrd="3" destOrd="0" presId="urn:microsoft.com/office/officeart/2005/8/layout/lProcess1"/>
    <dgm:cxn modelId="{71717EAF-C056-4987-A023-E6B0B91807E1}" type="presParOf" srcId="{04362A3A-FD6F-4661-9A20-88A0BBB1AFD9}" destId="{53967923-395A-4CFB-9DB3-5B89D93E64C5}" srcOrd="4" destOrd="0" presId="urn:microsoft.com/office/officeart/2005/8/layout/lProcess1"/>
    <dgm:cxn modelId="{6F0A42F5-3FF3-4F56-BEE1-5B67AA20254F}" type="presParOf" srcId="{04362A3A-FD6F-4661-9A20-88A0BBB1AFD9}" destId="{BDAE559C-D214-4007-8653-EA2E61B74601}" srcOrd="5" destOrd="0" presId="urn:microsoft.com/office/officeart/2005/8/layout/lProcess1"/>
    <dgm:cxn modelId="{86929450-29C7-4C97-972C-D407BB7E3BC9}" type="presParOf" srcId="{04362A3A-FD6F-4661-9A20-88A0BBB1AFD9}" destId="{D95B28E1-5E58-46F7-8061-8EBAAF24A337}" srcOrd="6" destOrd="0" presId="urn:microsoft.com/office/officeart/2005/8/layout/lProcess1"/>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1A6347D2-E774-46FA-B777-F1A30B1B32AE}"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cs-CZ"/>
        </a:p>
      </dgm:t>
    </dgm:pt>
    <dgm:pt modelId="{A1CF1E31-5801-448F-B337-DBA64B602091}">
      <dgm:prSet phldrT="[Text]" custT="1"/>
      <dgm:spPr>
        <a:xfrm>
          <a:off x="699282"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2014</a:t>
          </a:r>
        </a:p>
      </dgm:t>
    </dgm:pt>
    <dgm:pt modelId="{BFA133A1-756A-45F1-8766-59F7BCFDAA6C}" type="parTrans" cxnId="{7796AACE-01AA-4552-8B2C-43ECF3FCBCD7}">
      <dgm:prSet/>
      <dgm:spPr/>
      <dgm:t>
        <a:bodyPr/>
        <a:lstStyle/>
        <a:p>
          <a:endParaRPr lang="cs-CZ" sz="1000" b="1">
            <a:solidFill>
              <a:schemeClr val="tx1"/>
            </a:solidFill>
          </a:endParaRPr>
        </a:p>
      </dgm:t>
    </dgm:pt>
    <dgm:pt modelId="{D30FBF5B-3185-4475-AA36-3B0290B49DAD}" type="sibTrans" cxnId="{7796AACE-01AA-4552-8B2C-43ECF3FCBCD7}">
      <dgm:prSet/>
      <dgm:spPr/>
      <dgm:t>
        <a:bodyPr/>
        <a:lstStyle/>
        <a:p>
          <a:endParaRPr lang="cs-CZ" sz="1000" b="1">
            <a:solidFill>
              <a:schemeClr val="tx1"/>
            </a:solidFill>
          </a:endParaRPr>
        </a:p>
      </dgm:t>
    </dgm:pt>
    <dgm:pt modelId="{358C9A41-D250-4EE4-9337-6B3886DC0DC0}">
      <dgm:prSet phldrT="[Text]" custT="1"/>
      <dgm:spPr>
        <a:xfrm>
          <a:off x="1217861"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2015</a:t>
          </a:r>
        </a:p>
      </dgm:t>
    </dgm:pt>
    <dgm:pt modelId="{37117464-C6AC-4707-B9BD-209DE83C59FB}" type="parTrans" cxnId="{ED7784F0-CB07-46A9-9099-A96DEBF07610}">
      <dgm:prSet/>
      <dgm:spPr/>
      <dgm:t>
        <a:bodyPr/>
        <a:lstStyle/>
        <a:p>
          <a:endParaRPr lang="cs-CZ" sz="1000" b="1">
            <a:solidFill>
              <a:schemeClr val="tx1"/>
            </a:solidFill>
          </a:endParaRPr>
        </a:p>
      </dgm:t>
    </dgm:pt>
    <dgm:pt modelId="{EB460E09-C9FC-4808-8795-EB45393F3985}" type="sibTrans" cxnId="{ED7784F0-CB07-46A9-9099-A96DEBF07610}">
      <dgm:prSet/>
      <dgm:spPr/>
      <dgm:t>
        <a:bodyPr/>
        <a:lstStyle/>
        <a:p>
          <a:endParaRPr lang="cs-CZ" sz="1000" b="1">
            <a:solidFill>
              <a:schemeClr val="tx1"/>
            </a:solidFill>
          </a:endParaRPr>
        </a:p>
      </dgm:t>
    </dgm:pt>
    <dgm:pt modelId="{78174B99-CB2F-41B4-84A1-1438F1481E64}">
      <dgm:prSet phldrT="[Text]" custT="1"/>
      <dgm:spPr>
        <a:xfrm>
          <a:off x="67223" y="331701"/>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1000" b="1">
              <a:solidFill>
                <a:schemeClr val="tx1"/>
              </a:solidFill>
              <a:latin typeface="Calibri" panose="020F0502020204030204"/>
              <a:ea typeface="+mn-ea"/>
              <a:cs typeface="+mn-cs"/>
            </a:rPr>
            <a:t>Příjmy</a:t>
          </a:r>
        </a:p>
      </dgm:t>
    </dgm:pt>
    <dgm:pt modelId="{D7C31FB7-9F0B-4DC9-9E58-D2D92803A3E7}" type="parTrans" cxnId="{FBE2A66C-BAEB-4055-B249-C62290420E1D}">
      <dgm:prSet/>
      <dgm:spPr/>
      <dgm:t>
        <a:bodyPr/>
        <a:lstStyle/>
        <a:p>
          <a:endParaRPr lang="cs-CZ" sz="1000" b="1">
            <a:solidFill>
              <a:schemeClr val="tx1"/>
            </a:solidFill>
          </a:endParaRPr>
        </a:p>
      </dgm:t>
    </dgm:pt>
    <dgm:pt modelId="{949F9C5E-8E40-433E-9C30-8C6B1B901287}" type="sibTrans" cxnId="{FBE2A66C-BAEB-4055-B249-C62290420E1D}">
      <dgm:prSet/>
      <dgm:spPr/>
      <dgm:t>
        <a:bodyPr/>
        <a:lstStyle/>
        <a:p>
          <a:endParaRPr lang="cs-CZ" sz="1000" b="1">
            <a:solidFill>
              <a:schemeClr val="tx1"/>
            </a:solidFill>
          </a:endParaRPr>
        </a:p>
      </dgm:t>
    </dgm:pt>
    <dgm:pt modelId="{2EDBE3C3-8A52-4A3A-9194-3724DB8ACE24}">
      <dgm:prSet phldrT="[Text]" custT="1"/>
      <dgm:spPr>
        <a:xfrm>
          <a:off x="699282" y="356402"/>
          <a:ext cx="602998" cy="241199"/>
        </a:xfrm>
        <a:solidFill>
          <a:srgbClr val="004595">
            <a:alpha val="2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422,2</a:t>
          </a:r>
        </a:p>
      </dgm:t>
    </dgm:pt>
    <dgm:pt modelId="{7648DE78-9420-4106-B5C2-036985F43A06}" type="parTrans" cxnId="{D854AD87-6BC3-451D-BF2E-A403FC00D3A8}">
      <dgm:prSet/>
      <dgm:spPr/>
      <dgm:t>
        <a:bodyPr/>
        <a:lstStyle/>
        <a:p>
          <a:endParaRPr lang="cs-CZ" sz="1000" b="1">
            <a:solidFill>
              <a:schemeClr val="tx1"/>
            </a:solidFill>
          </a:endParaRPr>
        </a:p>
      </dgm:t>
    </dgm:pt>
    <dgm:pt modelId="{57DB7BDA-E66E-4670-B460-59BDCDF1EA8F}" type="sibTrans" cxnId="{D854AD87-6BC3-451D-BF2E-A403FC00D3A8}">
      <dgm:prSet/>
      <dgm:spPr/>
      <dgm:t>
        <a:bodyPr/>
        <a:lstStyle/>
        <a:p>
          <a:endParaRPr lang="cs-CZ" sz="1000" b="1">
            <a:solidFill>
              <a:schemeClr val="tx1"/>
            </a:solidFill>
          </a:endParaRPr>
        </a:p>
      </dgm:t>
    </dgm:pt>
    <dgm:pt modelId="{BAB9C705-956B-4C48-87C1-811A07CE45F3}">
      <dgm:prSet phldrT="[Text]" custT="1"/>
      <dgm:spPr>
        <a:xfrm>
          <a:off x="1217861" y="356402"/>
          <a:ext cx="602998" cy="241199"/>
        </a:xfrm>
        <a:solidFill>
          <a:srgbClr val="004595">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446,0</a:t>
          </a:r>
        </a:p>
      </dgm:t>
    </dgm:pt>
    <dgm:pt modelId="{5060BF98-44BD-4F09-9401-9C30985B369C}" type="parTrans" cxnId="{2E4F9EB2-8F1A-4534-BF6D-3D10D5EEB47E}">
      <dgm:prSet/>
      <dgm:spPr/>
      <dgm:t>
        <a:bodyPr/>
        <a:lstStyle/>
        <a:p>
          <a:endParaRPr lang="cs-CZ" sz="1000" b="1">
            <a:solidFill>
              <a:schemeClr val="tx1"/>
            </a:solidFill>
          </a:endParaRPr>
        </a:p>
      </dgm:t>
    </dgm:pt>
    <dgm:pt modelId="{FC896497-7C28-4987-BB69-76BA32DE4EF9}" type="sibTrans" cxnId="{2E4F9EB2-8F1A-4534-BF6D-3D10D5EEB47E}">
      <dgm:prSet/>
      <dgm:spPr/>
      <dgm:t>
        <a:bodyPr/>
        <a:lstStyle/>
        <a:p>
          <a:endParaRPr lang="cs-CZ" sz="1000" b="1">
            <a:solidFill>
              <a:schemeClr val="tx1"/>
            </a:solidFill>
          </a:endParaRPr>
        </a:p>
      </dgm:t>
    </dgm:pt>
    <dgm:pt modelId="{10EEAB1A-174F-4182-8129-99D15D7AB9CF}">
      <dgm:prSet phldrT="[Text]" custT="1"/>
      <dgm:spPr>
        <a:xfrm>
          <a:off x="67223" y="662987"/>
          <a:ext cx="726504" cy="290601"/>
        </a:xfrm>
        <a:solidFill>
          <a:srgbClr val="D9EAFF"/>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Výdaje</a:t>
          </a:r>
        </a:p>
      </dgm:t>
    </dgm:pt>
    <dgm:pt modelId="{9621A7A5-593F-4E40-9A9F-6395F70BF010}" type="parTrans" cxnId="{A08410E1-484C-4B88-AD39-0AA25FB467E7}">
      <dgm:prSet/>
      <dgm:spPr/>
      <dgm:t>
        <a:bodyPr/>
        <a:lstStyle/>
        <a:p>
          <a:endParaRPr lang="cs-CZ" sz="1000" b="1">
            <a:solidFill>
              <a:schemeClr val="tx1"/>
            </a:solidFill>
          </a:endParaRPr>
        </a:p>
      </dgm:t>
    </dgm:pt>
    <dgm:pt modelId="{988FF4AE-EDFA-4F28-A5CC-08BF75833141}" type="sibTrans" cxnId="{A08410E1-484C-4B88-AD39-0AA25FB467E7}">
      <dgm:prSet/>
      <dgm:spPr/>
      <dgm:t>
        <a:bodyPr/>
        <a:lstStyle/>
        <a:p>
          <a:endParaRPr lang="cs-CZ" sz="1000" b="1">
            <a:solidFill>
              <a:schemeClr val="tx1"/>
            </a:solidFill>
          </a:endParaRPr>
        </a:p>
      </dgm:t>
    </dgm:pt>
    <dgm:pt modelId="{BD31FC45-3A97-40A0-952F-7F630CAADFF7}">
      <dgm:prSet phldrT="[Text]" custT="1"/>
      <dgm:spPr>
        <a:xfrm>
          <a:off x="2255018" y="356402"/>
          <a:ext cx="602998" cy="241199"/>
        </a:xfrm>
        <a:solidFill>
          <a:srgbClr val="004595">
            <a:alpha val="80000"/>
          </a:srgbClr>
        </a:solidFill>
        <a:ln w="12700" cap="flat" cmpd="sng" algn="ctr">
          <a:noFill/>
          <a:prstDash val="solid"/>
          <a:miter lim="800000"/>
        </a:ln>
        <a:effectLst/>
      </dgm:spPr>
      <dgm:t>
        <a:bodyPr/>
        <a:lstStyle/>
        <a:p>
          <a:r>
            <a:rPr lang="cs-CZ" sz="1000" b="1" baseline="0">
              <a:solidFill>
                <a:schemeClr val="bg1"/>
              </a:solidFill>
              <a:latin typeface="Calibri" panose="020F0502020204030204"/>
              <a:ea typeface="+mn-ea"/>
              <a:cs typeface="+mn-cs"/>
            </a:rPr>
            <a:t>472,6</a:t>
          </a:r>
        </a:p>
      </dgm:t>
    </dgm:pt>
    <dgm:pt modelId="{7F98EE7C-F0D8-43D7-8240-2E47B95F7EED}" type="parTrans" cxnId="{EE73EFEB-6030-4D28-9DBA-FF585117EA09}">
      <dgm:prSet/>
      <dgm:spPr/>
      <dgm:t>
        <a:bodyPr/>
        <a:lstStyle/>
        <a:p>
          <a:endParaRPr lang="cs-CZ" sz="1000" b="1">
            <a:solidFill>
              <a:schemeClr val="tx1"/>
            </a:solidFill>
          </a:endParaRPr>
        </a:p>
      </dgm:t>
    </dgm:pt>
    <dgm:pt modelId="{E8A55DA6-FCA5-42C9-855D-834E3421F7A2}" type="sibTrans" cxnId="{EE73EFEB-6030-4D28-9DBA-FF585117EA09}">
      <dgm:prSet/>
      <dgm:spPr/>
      <dgm:t>
        <a:bodyPr/>
        <a:lstStyle/>
        <a:p>
          <a:endParaRPr lang="cs-CZ" sz="1000" b="1">
            <a:solidFill>
              <a:schemeClr val="tx1"/>
            </a:solidFill>
          </a:endParaRPr>
        </a:p>
      </dgm:t>
    </dgm:pt>
    <dgm:pt modelId="{D16CAD34-9C66-484C-BBDC-A5E42BF3D225}">
      <dgm:prSet phldrT="[Text]" custT="1"/>
      <dgm:spPr>
        <a:xfrm>
          <a:off x="3292175"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2018</a:t>
          </a:r>
          <a:r>
            <a:rPr lang="cs-CZ" sz="1000"/>
            <a:t>–</a:t>
          </a:r>
          <a:r>
            <a:rPr lang="cs-CZ" sz="1000" b="1">
              <a:solidFill>
                <a:schemeClr val="tx1"/>
              </a:solidFill>
              <a:latin typeface="Calibri" panose="020F0502020204030204"/>
              <a:ea typeface="+mn-ea"/>
              <a:cs typeface="+mn-cs"/>
            </a:rPr>
            <a:t>2017</a:t>
          </a:r>
        </a:p>
      </dgm:t>
    </dgm:pt>
    <dgm:pt modelId="{808DF22A-3A20-4FBB-8A78-D8AC7AAE1BF0}" type="parTrans" cxnId="{F8380EE1-40BA-4909-AC03-FE163230E010}">
      <dgm:prSet/>
      <dgm:spPr/>
      <dgm:t>
        <a:bodyPr/>
        <a:lstStyle/>
        <a:p>
          <a:endParaRPr lang="cs-CZ" sz="1000" b="1">
            <a:solidFill>
              <a:schemeClr val="tx1"/>
            </a:solidFill>
          </a:endParaRPr>
        </a:p>
      </dgm:t>
    </dgm:pt>
    <dgm:pt modelId="{45B66F3E-68B1-4323-9B56-387FA6FB0408}" type="sibTrans" cxnId="{F8380EE1-40BA-4909-AC03-FE163230E010}">
      <dgm:prSet/>
      <dgm:spPr/>
      <dgm:t>
        <a:bodyPr/>
        <a:lstStyle/>
        <a:p>
          <a:endParaRPr lang="cs-CZ" sz="1000" b="1">
            <a:solidFill>
              <a:schemeClr val="tx1"/>
            </a:solidFill>
          </a:endParaRPr>
        </a:p>
      </dgm:t>
    </dgm:pt>
    <dgm:pt modelId="{5A11B889-0B82-46C6-AA06-198B94C240BA}">
      <dgm:prSet phldrT="[Text]" custT="1"/>
      <dgm:spPr>
        <a:xfrm>
          <a:off x="1736439"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2016</a:t>
          </a:r>
        </a:p>
      </dgm:t>
    </dgm:pt>
    <dgm:pt modelId="{85632010-DCDE-49B9-B7C8-1BA4BC10AB96}" type="parTrans" cxnId="{7F8520E7-18CD-4AD7-9246-8612BFB7B683}">
      <dgm:prSet/>
      <dgm:spPr/>
      <dgm:t>
        <a:bodyPr/>
        <a:lstStyle/>
        <a:p>
          <a:endParaRPr lang="cs-CZ" sz="1000" b="1">
            <a:solidFill>
              <a:schemeClr val="tx1"/>
            </a:solidFill>
          </a:endParaRPr>
        </a:p>
      </dgm:t>
    </dgm:pt>
    <dgm:pt modelId="{3E41D1D9-E567-4048-A439-D1D74FF4254F}" type="sibTrans" cxnId="{7F8520E7-18CD-4AD7-9246-8612BFB7B683}">
      <dgm:prSet/>
      <dgm:spPr/>
      <dgm:t>
        <a:bodyPr/>
        <a:lstStyle/>
        <a:p>
          <a:endParaRPr lang="cs-CZ" sz="1000" b="1">
            <a:solidFill>
              <a:schemeClr val="tx1"/>
            </a:solidFill>
          </a:endParaRPr>
        </a:p>
      </dgm:t>
    </dgm:pt>
    <dgm:pt modelId="{EC97A157-B1ED-4108-8FEF-1E4923639515}">
      <dgm:prSet phldrT="[Text]" custT="1"/>
      <dgm:spPr>
        <a:xfrm>
          <a:off x="2255018"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2017</a:t>
          </a:r>
        </a:p>
      </dgm:t>
    </dgm:pt>
    <dgm:pt modelId="{9D7F40E7-42DB-4EEC-B91F-E81F9F00800B}" type="parTrans" cxnId="{BF1CF443-1178-4CD3-9263-76DABC19179B}">
      <dgm:prSet/>
      <dgm:spPr/>
      <dgm:t>
        <a:bodyPr/>
        <a:lstStyle/>
        <a:p>
          <a:endParaRPr lang="cs-CZ" sz="1000" b="1">
            <a:solidFill>
              <a:schemeClr val="tx1"/>
            </a:solidFill>
          </a:endParaRPr>
        </a:p>
      </dgm:t>
    </dgm:pt>
    <dgm:pt modelId="{5E219547-CBEE-409D-BC33-EF0F7574158E}" type="sibTrans" cxnId="{BF1CF443-1178-4CD3-9263-76DABC19179B}">
      <dgm:prSet/>
      <dgm:spPr/>
      <dgm:t>
        <a:bodyPr/>
        <a:lstStyle/>
        <a:p>
          <a:endParaRPr lang="cs-CZ" sz="1000" b="1">
            <a:solidFill>
              <a:schemeClr val="tx1"/>
            </a:solidFill>
          </a:endParaRPr>
        </a:p>
      </dgm:t>
    </dgm:pt>
    <dgm:pt modelId="{5C5B4CF2-03CD-467B-842D-BF255C666D8D}">
      <dgm:prSet phldrT="[Text]" custT="1"/>
      <dgm:spPr>
        <a:xfrm>
          <a:off x="2773597"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2018</a:t>
          </a:r>
        </a:p>
      </dgm:t>
    </dgm:pt>
    <dgm:pt modelId="{2146FB9C-8A70-4886-876C-F201956EA5EF}" type="parTrans" cxnId="{7074881D-F902-419B-A3D3-69D166603E82}">
      <dgm:prSet/>
      <dgm:spPr/>
      <dgm:t>
        <a:bodyPr/>
        <a:lstStyle/>
        <a:p>
          <a:endParaRPr lang="cs-CZ" sz="1000" b="1">
            <a:solidFill>
              <a:schemeClr val="tx1"/>
            </a:solidFill>
          </a:endParaRPr>
        </a:p>
      </dgm:t>
    </dgm:pt>
    <dgm:pt modelId="{4A97EA9F-0D43-4C4E-B773-0126E6BF88A2}" type="sibTrans" cxnId="{7074881D-F902-419B-A3D3-69D166603E82}">
      <dgm:prSet/>
      <dgm:spPr/>
      <dgm:t>
        <a:bodyPr/>
        <a:lstStyle/>
        <a:p>
          <a:endParaRPr lang="cs-CZ" sz="1000" b="1">
            <a:solidFill>
              <a:schemeClr val="tx1"/>
            </a:solidFill>
          </a:endParaRPr>
        </a:p>
      </dgm:t>
    </dgm:pt>
    <dgm:pt modelId="{209F4FE5-7545-474C-A12F-B61E24BF3255}">
      <dgm:prSet phldrT="[Text]" custT="1"/>
      <dgm:spPr>
        <a:xfrm>
          <a:off x="1736439" y="356402"/>
          <a:ext cx="602998" cy="241199"/>
        </a:xfrm>
        <a:solidFill>
          <a:srgbClr val="004595">
            <a:alpha val="6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446,6</a:t>
          </a:r>
        </a:p>
      </dgm:t>
    </dgm:pt>
    <dgm:pt modelId="{63AD4E18-C162-4B96-9CE0-7B2422FA6253}" type="parTrans" cxnId="{68950414-8404-4C29-ACAA-54C9C6DAD015}">
      <dgm:prSet/>
      <dgm:spPr/>
      <dgm:t>
        <a:bodyPr/>
        <a:lstStyle/>
        <a:p>
          <a:endParaRPr lang="cs-CZ" sz="1000" b="1">
            <a:solidFill>
              <a:schemeClr val="tx1"/>
            </a:solidFill>
          </a:endParaRPr>
        </a:p>
      </dgm:t>
    </dgm:pt>
    <dgm:pt modelId="{365929A1-29A6-40CB-8A04-7CD33DA95ED2}" type="sibTrans" cxnId="{68950414-8404-4C29-ACAA-54C9C6DAD015}">
      <dgm:prSet/>
      <dgm:spPr/>
      <dgm:t>
        <a:bodyPr/>
        <a:lstStyle/>
        <a:p>
          <a:endParaRPr lang="cs-CZ" sz="1000" b="1">
            <a:solidFill>
              <a:schemeClr val="tx1"/>
            </a:solidFill>
          </a:endParaRPr>
        </a:p>
      </dgm:t>
    </dgm:pt>
    <dgm:pt modelId="{B7AB5797-52D3-4168-94E9-B5B272FA6C3D}">
      <dgm:prSet phldrT="[Text]" custT="1"/>
      <dgm:spPr>
        <a:xfrm>
          <a:off x="1736439" y="687688"/>
          <a:ext cx="602998" cy="241199"/>
        </a:xfrm>
        <a:solidFill>
          <a:srgbClr val="004595">
            <a:alpha val="6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393,5</a:t>
          </a:r>
        </a:p>
      </dgm:t>
    </dgm:pt>
    <dgm:pt modelId="{481AFC01-99CA-46E0-87DB-7575ED20FCFD}" type="parTrans" cxnId="{1E8F49F5-B1EF-4DD8-92A0-160CF075C052}">
      <dgm:prSet/>
      <dgm:spPr/>
      <dgm:t>
        <a:bodyPr/>
        <a:lstStyle/>
        <a:p>
          <a:endParaRPr lang="cs-CZ" sz="1000" b="1">
            <a:solidFill>
              <a:schemeClr val="tx1"/>
            </a:solidFill>
          </a:endParaRPr>
        </a:p>
      </dgm:t>
    </dgm:pt>
    <dgm:pt modelId="{AB6F074E-C192-402C-B1F8-7A5A7BBE2373}" type="sibTrans" cxnId="{1E8F49F5-B1EF-4DD8-92A0-160CF075C052}">
      <dgm:prSet/>
      <dgm:spPr/>
      <dgm:t>
        <a:bodyPr/>
        <a:lstStyle/>
        <a:p>
          <a:endParaRPr lang="cs-CZ" sz="1000" b="1">
            <a:solidFill>
              <a:schemeClr val="tx1"/>
            </a:solidFill>
          </a:endParaRPr>
        </a:p>
      </dgm:t>
    </dgm:pt>
    <dgm:pt modelId="{3B04C11E-1E1D-4B33-905E-D561049DA493}">
      <dgm:prSet phldrT="[Text]" custT="1"/>
      <dgm:spPr>
        <a:xfrm>
          <a:off x="699282" y="687688"/>
          <a:ext cx="602998" cy="241199"/>
        </a:xfrm>
        <a:solidFill>
          <a:srgbClr val="004595">
            <a:alpha val="2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410,9</a:t>
          </a:r>
        </a:p>
      </dgm:t>
    </dgm:pt>
    <dgm:pt modelId="{9A5D6920-F92B-401E-8ABC-E4BDCB79BFC4}" type="parTrans" cxnId="{310A3113-A0E8-4F71-BAB5-F6696697AF1D}">
      <dgm:prSet/>
      <dgm:spPr/>
      <dgm:t>
        <a:bodyPr/>
        <a:lstStyle/>
        <a:p>
          <a:endParaRPr lang="cs-CZ" sz="1000" b="1">
            <a:solidFill>
              <a:schemeClr val="tx1"/>
            </a:solidFill>
          </a:endParaRPr>
        </a:p>
      </dgm:t>
    </dgm:pt>
    <dgm:pt modelId="{1C6F6D06-2691-49C6-9ECD-584EE3F45D1E}" type="sibTrans" cxnId="{310A3113-A0E8-4F71-BAB5-F6696697AF1D}">
      <dgm:prSet/>
      <dgm:spPr/>
      <dgm:t>
        <a:bodyPr/>
        <a:lstStyle/>
        <a:p>
          <a:endParaRPr lang="cs-CZ" sz="1000" b="1">
            <a:solidFill>
              <a:schemeClr val="tx1"/>
            </a:solidFill>
          </a:endParaRPr>
        </a:p>
      </dgm:t>
    </dgm:pt>
    <dgm:pt modelId="{6CC8CB00-F4BD-4923-B21D-476D50CE4744}">
      <dgm:prSet phldrT="[Text]" custT="1"/>
      <dgm:spPr>
        <a:xfrm>
          <a:off x="1217861" y="687688"/>
          <a:ext cx="602998" cy="241199"/>
        </a:xfrm>
        <a:solidFill>
          <a:srgbClr val="004595">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425,3</a:t>
          </a:r>
        </a:p>
      </dgm:t>
    </dgm:pt>
    <dgm:pt modelId="{3A0F8BA9-3017-44A7-92D0-493BE9266296}" type="parTrans" cxnId="{6CEAB6DC-D4C5-47A3-86E6-BEC62BA98C30}">
      <dgm:prSet/>
      <dgm:spPr/>
      <dgm:t>
        <a:bodyPr/>
        <a:lstStyle/>
        <a:p>
          <a:endParaRPr lang="cs-CZ" sz="1000" b="1">
            <a:solidFill>
              <a:schemeClr val="tx1"/>
            </a:solidFill>
          </a:endParaRPr>
        </a:p>
      </dgm:t>
    </dgm:pt>
    <dgm:pt modelId="{58CCD390-3616-4FCE-96E5-24C51DBD1F9B}" type="sibTrans" cxnId="{6CEAB6DC-D4C5-47A3-86E6-BEC62BA98C30}">
      <dgm:prSet/>
      <dgm:spPr/>
      <dgm:t>
        <a:bodyPr/>
        <a:lstStyle/>
        <a:p>
          <a:endParaRPr lang="cs-CZ" sz="1000" b="1">
            <a:solidFill>
              <a:schemeClr val="tx1"/>
            </a:solidFill>
          </a:endParaRPr>
        </a:p>
      </dgm:t>
    </dgm:pt>
    <dgm:pt modelId="{FEA4DDB3-3A97-44AC-828D-91A1B7C2F815}">
      <dgm:prSet phldrT="[Text]" custT="1"/>
      <dgm:spPr>
        <a:xfrm>
          <a:off x="2773597" y="687688"/>
          <a:ext cx="602998" cy="241199"/>
        </a:xfrm>
        <a:solidFill>
          <a:srgbClr val="004595"/>
        </a:solidFill>
        <a:ln w="12700" cap="flat" cmpd="sng" algn="ctr">
          <a:noFill/>
          <a:prstDash val="solid"/>
          <a:miter lim="800000"/>
        </a:ln>
        <a:effectLst/>
      </dgm:spPr>
      <dgm:t>
        <a:bodyPr/>
        <a:lstStyle/>
        <a:p>
          <a:r>
            <a:rPr lang="cs-CZ" sz="1000" b="1">
              <a:solidFill>
                <a:schemeClr val="bg1"/>
              </a:solidFill>
              <a:latin typeface="Calibri" panose="020F0502020204030204"/>
              <a:ea typeface="+mn-ea"/>
              <a:cs typeface="+mn-cs"/>
            </a:rPr>
            <a:t>523,8</a:t>
          </a:r>
        </a:p>
      </dgm:t>
    </dgm:pt>
    <dgm:pt modelId="{30C3A696-7896-4142-98B8-911DAA51A0C2}" type="parTrans" cxnId="{BD1F13C6-0963-459B-B4C1-46A35A1AF419}">
      <dgm:prSet/>
      <dgm:spPr/>
      <dgm:t>
        <a:bodyPr/>
        <a:lstStyle/>
        <a:p>
          <a:endParaRPr lang="cs-CZ" sz="1000" b="1">
            <a:solidFill>
              <a:schemeClr val="tx1"/>
            </a:solidFill>
          </a:endParaRPr>
        </a:p>
      </dgm:t>
    </dgm:pt>
    <dgm:pt modelId="{A392C771-08EA-4F6A-B577-51DE6D88CA16}" type="sibTrans" cxnId="{BD1F13C6-0963-459B-B4C1-46A35A1AF419}">
      <dgm:prSet/>
      <dgm:spPr/>
      <dgm:t>
        <a:bodyPr/>
        <a:lstStyle/>
        <a:p>
          <a:endParaRPr lang="cs-CZ" sz="1000" b="1">
            <a:solidFill>
              <a:schemeClr val="tx1"/>
            </a:solidFill>
          </a:endParaRPr>
        </a:p>
      </dgm:t>
    </dgm:pt>
    <dgm:pt modelId="{D83646A4-A7B1-4063-96EE-F494AE1354F3}">
      <dgm:prSet phldrT="[Text]" custT="1"/>
      <dgm:spPr>
        <a:xfrm>
          <a:off x="2255018" y="687688"/>
          <a:ext cx="602998" cy="241199"/>
        </a:xfrm>
        <a:solidFill>
          <a:srgbClr val="004595">
            <a:alpha val="80000"/>
          </a:srgbClr>
        </a:solidFill>
        <a:ln w="12700" cap="flat" cmpd="sng" algn="ctr">
          <a:noFill/>
          <a:prstDash val="solid"/>
          <a:miter lim="800000"/>
        </a:ln>
        <a:effectLst/>
      </dgm:spPr>
      <dgm:t>
        <a:bodyPr/>
        <a:lstStyle/>
        <a:p>
          <a:r>
            <a:rPr lang="cs-CZ" sz="1000" b="1">
              <a:solidFill>
                <a:schemeClr val="bg1"/>
              </a:solidFill>
              <a:latin typeface="Calibri" panose="020F0502020204030204"/>
              <a:ea typeface="+mn-ea"/>
              <a:cs typeface="+mn-cs"/>
            </a:rPr>
            <a:t>441,7</a:t>
          </a:r>
        </a:p>
      </dgm:t>
    </dgm:pt>
    <dgm:pt modelId="{8E629B7D-0666-4E55-A6F7-0D502A314A0E}" type="parTrans" cxnId="{7E4DF2E4-B591-466C-A14D-9B687B7A49BF}">
      <dgm:prSet/>
      <dgm:spPr/>
      <dgm:t>
        <a:bodyPr/>
        <a:lstStyle/>
        <a:p>
          <a:endParaRPr lang="cs-CZ" sz="1000" b="1">
            <a:solidFill>
              <a:schemeClr val="tx1"/>
            </a:solidFill>
          </a:endParaRPr>
        </a:p>
      </dgm:t>
    </dgm:pt>
    <dgm:pt modelId="{CCD5F0B8-6925-4DD9-AEB0-82326B9BC3C4}" type="sibTrans" cxnId="{7E4DF2E4-B591-466C-A14D-9B687B7A49BF}">
      <dgm:prSet/>
      <dgm:spPr/>
      <dgm:t>
        <a:bodyPr/>
        <a:lstStyle/>
        <a:p>
          <a:endParaRPr lang="cs-CZ" sz="1000" b="1">
            <a:solidFill>
              <a:schemeClr val="tx1"/>
            </a:solidFill>
          </a:endParaRPr>
        </a:p>
      </dgm:t>
    </dgm:pt>
    <dgm:pt modelId="{5C86C45D-0504-41F5-9ED8-B8588DC4BB71}">
      <dgm:prSet phldrT="[Text]" custT="1"/>
      <dgm:spPr>
        <a:xfrm>
          <a:off x="67223" y="994273"/>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1000" b="1">
              <a:solidFill>
                <a:schemeClr val="tx1"/>
              </a:solidFill>
              <a:latin typeface="Calibri" panose="020F0502020204030204"/>
              <a:ea typeface="+mn-ea"/>
              <a:cs typeface="+mn-cs"/>
            </a:rPr>
            <a:t>Saldo</a:t>
          </a:r>
        </a:p>
      </dgm:t>
    </dgm:pt>
    <dgm:pt modelId="{958CFC62-690E-4A69-9661-5397DCEA31BF}" type="parTrans" cxnId="{FAB24F56-6565-450D-B1E9-FF353CA1B578}">
      <dgm:prSet/>
      <dgm:spPr/>
      <dgm:t>
        <a:bodyPr/>
        <a:lstStyle/>
        <a:p>
          <a:endParaRPr lang="cs-CZ" sz="1000" b="1">
            <a:solidFill>
              <a:schemeClr val="tx1"/>
            </a:solidFill>
          </a:endParaRPr>
        </a:p>
      </dgm:t>
    </dgm:pt>
    <dgm:pt modelId="{66C83E80-71BF-41C0-B162-00C0E2E64806}" type="sibTrans" cxnId="{FAB24F56-6565-450D-B1E9-FF353CA1B578}">
      <dgm:prSet/>
      <dgm:spPr/>
      <dgm:t>
        <a:bodyPr/>
        <a:lstStyle/>
        <a:p>
          <a:endParaRPr lang="cs-CZ" sz="1000" b="1">
            <a:solidFill>
              <a:schemeClr val="tx1"/>
            </a:solidFill>
          </a:endParaRPr>
        </a:p>
      </dgm:t>
    </dgm:pt>
    <dgm:pt modelId="{62A6766A-7015-4663-8F88-379392C1BE11}">
      <dgm:prSet phldrT="[Text]" custT="1"/>
      <dgm:spPr>
        <a:xfrm>
          <a:off x="2773597" y="356402"/>
          <a:ext cx="602998" cy="241199"/>
        </a:xfrm>
        <a:solidFill>
          <a:srgbClr val="004595"/>
        </a:solidFill>
        <a:ln w="12700" cap="flat" cmpd="sng" algn="ctr">
          <a:noFill/>
          <a:prstDash val="solid"/>
          <a:miter lim="800000"/>
        </a:ln>
        <a:effectLst/>
      </dgm:spPr>
      <dgm:t>
        <a:bodyPr/>
        <a:lstStyle/>
        <a:p>
          <a:r>
            <a:rPr lang="cs-CZ" sz="1000" b="1">
              <a:solidFill>
                <a:schemeClr val="bg1"/>
              </a:solidFill>
              <a:latin typeface="Calibri" panose="020F0502020204030204"/>
              <a:ea typeface="+mn-ea"/>
              <a:cs typeface="+mn-cs"/>
            </a:rPr>
            <a:t>532,6</a:t>
          </a:r>
        </a:p>
      </dgm:t>
    </dgm:pt>
    <dgm:pt modelId="{A6578421-CDAE-4169-BBBB-C5D113A31D27}" type="parTrans" cxnId="{C286652C-92D4-4C9C-9D35-5919CAAAAAD2}">
      <dgm:prSet/>
      <dgm:spPr/>
      <dgm:t>
        <a:bodyPr/>
        <a:lstStyle/>
        <a:p>
          <a:endParaRPr lang="cs-CZ" sz="1000" b="1">
            <a:solidFill>
              <a:schemeClr val="tx1"/>
            </a:solidFill>
          </a:endParaRPr>
        </a:p>
      </dgm:t>
    </dgm:pt>
    <dgm:pt modelId="{F2D2666E-A48C-4B56-8FCA-BC93C49761A9}" type="sibTrans" cxnId="{C286652C-92D4-4C9C-9D35-5919CAAAAAD2}">
      <dgm:prSet/>
      <dgm:spPr/>
      <dgm:t>
        <a:bodyPr/>
        <a:lstStyle/>
        <a:p>
          <a:endParaRPr lang="cs-CZ" sz="1000" b="1">
            <a:solidFill>
              <a:schemeClr val="tx1"/>
            </a:solidFill>
          </a:endParaRPr>
        </a:p>
      </dgm:t>
    </dgm:pt>
    <dgm:pt modelId="{0FD9EDD5-D66F-4DBF-9BBC-F557C161D16F}">
      <dgm:prSet phldrT="[Text]" custT="1"/>
      <dgm:spPr>
        <a:xfrm>
          <a:off x="3292175" y="356402"/>
          <a:ext cx="602998" cy="241199"/>
        </a:xfrm>
        <a:solidFill>
          <a:srgbClr val="C3C5C6">
            <a:alpha val="89804"/>
          </a:srgbClr>
        </a:solidFill>
        <a:ln w="12700" cap="flat" cmpd="sng" algn="ctr">
          <a:noFill/>
          <a:prstDash val="solid"/>
          <a:miter lim="800000"/>
        </a:ln>
        <a:effectLst/>
      </dgm:spPr>
      <dgm:t>
        <a:bodyPr/>
        <a:lstStyle/>
        <a:p>
          <a:r>
            <a:rPr lang="cs-CZ" sz="1000" b="1">
              <a:solidFill>
                <a:sysClr val="windowText" lastClr="000000"/>
              </a:solidFill>
              <a:latin typeface="Calibri" panose="020F0502020204030204"/>
              <a:ea typeface="+mn-ea"/>
              <a:cs typeface="+mn-cs"/>
            </a:rPr>
            <a:t>60,0</a:t>
          </a:r>
        </a:p>
      </dgm:t>
    </dgm:pt>
    <dgm:pt modelId="{5B66ACB1-D36E-4B3D-8D5E-050A802E2EEE}" type="parTrans" cxnId="{BF446106-2748-465C-82A9-5AB1C93995B0}">
      <dgm:prSet/>
      <dgm:spPr/>
      <dgm:t>
        <a:bodyPr/>
        <a:lstStyle/>
        <a:p>
          <a:endParaRPr lang="cs-CZ" sz="1000" b="1">
            <a:solidFill>
              <a:schemeClr val="tx1"/>
            </a:solidFill>
          </a:endParaRPr>
        </a:p>
      </dgm:t>
    </dgm:pt>
    <dgm:pt modelId="{918144D0-6648-46AE-8155-2887C7596364}" type="sibTrans" cxnId="{BF446106-2748-465C-82A9-5AB1C93995B0}">
      <dgm:prSet/>
      <dgm:spPr/>
      <dgm:t>
        <a:bodyPr/>
        <a:lstStyle/>
        <a:p>
          <a:endParaRPr lang="cs-CZ" sz="1000" b="1">
            <a:solidFill>
              <a:schemeClr val="tx1"/>
            </a:solidFill>
          </a:endParaRPr>
        </a:p>
      </dgm:t>
    </dgm:pt>
    <dgm:pt modelId="{B56FF771-0284-45CC-BEB5-0F13737F543B}">
      <dgm:prSet phldrT="[Text]" custT="1"/>
      <dgm:spPr>
        <a:xfrm>
          <a:off x="3292175" y="687688"/>
          <a:ext cx="602998" cy="241199"/>
        </a:xfrm>
        <a:solidFill>
          <a:srgbClr val="C3C5C6">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82,1</a:t>
          </a:r>
        </a:p>
      </dgm:t>
    </dgm:pt>
    <dgm:pt modelId="{F2722C6C-F3DC-46AB-9DAF-1C1E74197FB1}" type="parTrans" cxnId="{BDE4C5AD-FA79-48AC-B2D5-CFCDEF48DF44}">
      <dgm:prSet/>
      <dgm:spPr/>
      <dgm:t>
        <a:bodyPr/>
        <a:lstStyle/>
        <a:p>
          <a:endParaRPr lang="cs-CZ" sz="1000" b="1">
            <a:solidFill>
              <a:schemeClr val="tx1"/>
            </a:solidFill>
          </a:endParaRPr>
        </a:p>
      </dgm:t>
    </dgm:pt>
    <dgm:pt modelId="{5906F1DB-1147-4252-9733-DD3E465D39BC}" type="sibTrans" cxnId="{BDE4C5AD-FA79-48AC-B2D5-CFCDEF48DF44}">
      <dgm:prSet/>
      <dgm:spPr/>
      <dgm:t>
        <a:bodyPr/>
        <a:lstStyle/>
        <a:p>
          <a:endParaRPr lang="cs-CZ" sz="1000" b="1">
            <a:solidFill>
              <a:schemeClr val="tx1"/>
            </a:solidFill>
          </a:endParaRPr>
        </a:p>
      </dgm:t>
    </dgm:pt>
    <dgm:pt modelId="{8C82CBD6-9B91-494C-B5BE-A24E7DAC987A}">
      <dgm:prSet phldrT="[Text]" custT="1"/>
      <dgm:spPr>
        <a:xfrm>
          <a:off x="699282" y="1018974"/>
          <a:ext cx="602998" cy="241199"/>
        </a:xfrm>
        <a:solidFill>
          <a:srgbClr val="BD2A33">
            <a:alpha val="2000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cs-CZ" sz="1000" b="1">
              <a:solidFill>
                <a:schemeClr val="tx1"/>
              </a:solidFill>
              <a:latin typeface="Calibri" panose="020F0502020204030204"/>
              <a:ea typeface="+mn-ea"/>
              <a:cs typeface="+mn-cs"/>
            </a:rPr>
            <a:t>11,3</a:t>
          </a:r>
        </a:p>
      </dgm:t>
    </dgm:pt>
    <dgm:pt modelId="{F992937B-D676-4E14-883A-7DE4DC15F33C}" type="parTrans" cxnId="{E4FC23FD-1C6E-4B34-92DC-11761E205FF0}">
      <dgm:prSet/>
      <dgm:spPr/>
      <dgm:t>
        <a:bodyPr/>
        <a:lstStyle/>
        <a:p>
          <a:endParaRPr lang="cs-CZ" sz="1000" b="1">
            <a:solidFill>
              <a:schemeClr val="tx1"/>
            </a:solidFill>
          </a:endParaRPr>
        </a:p>
      </dgm:t>
    </dgm:pt>
    <dgm:pt modelId="{D500B32E-0679-4C74-9104-62736048009E}" type="sibTrans" cxnId="{E4FC23FD-1C6E-4B34-92DC-11761E205FF0}">
      <dgm:prSet/>
      <dgm:spPr/>
      <dgm:t>
        <a:bodyPr/>
        <a:lstStyle/>
        <a:p>
          <a:endParaRPr lang="cs-CZ" sz="1000" b="1">
            <a:solidFill>
              <a:schemeClr val="tx1"/>
            </a:solidFill>
          </a:endParaRPr>
        </a:p>
      </dgm:t>
    </dgm:pt>
    <dgm:pt modelId="{F23B00AF-5335-4B06-B9E0-C407B399300E}">
      <dgm:prSet phldrT="[Text]" custT="1"/>
      <dgm:spPr>
        <a:xfrm>
          <a:off x="1217861" y="1018974"/>
          <a:ext cx="602998" cy="241199"/>
        </a:xfrm>
        <a:solidFill>
          <a:srgbClr val="BD2A33">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20,7</a:t>
          </a:r>
        </a:p>
      </dgm:t>
    </dgm:pt>
    <dgm:pt modelId="{4D263FDF-B3C7-4003-9A94-D213C7AE82CA}" type="parTrans" cxnId="{C679B2AC-5D46-4842-A9A8-65991FDCF730}">
      <dgm:prSet/>
      <dgm:spPr/>
      <dgm:t>
        <a:bodyPr/>
        <a:lstStyle/>
        <a:p>
          <a:endParaRPr lang="cs-CZ" sz="1000" b="1">
            <a:solidFill>
              <a:schemeClr val="tx1"/>
            </a:solidFill>
          </a:endParaRPr>
        </a:p>
      </dgm:t>
    </dgm:pt>
    <dgm:pt modelId="{9479A454-AB9D-4130-A99D-BBA20460FA4A}" type="sibTrans" cxnId="{C679B2AC-5D46-4842-A9A8-65991FDCF730}">
      <dgm:prSet/>
      <dgm:spPr/>
      <dgm:t>
        <a:bodyPr/>
        <a:lstStyle/>
        <a:p>
          <a:endParaRPr lang="cs-CZ" sz="1000" b="1">
            <a:solidFill>
              <a:schemeClr val="tx1"/>
            </a:solidFill>
          </a:endParaRPr>
        </a:p>
      </dgm:t>
    </dgm:pt>
    <dgm:pt modelId="{25F081A6-E845-4409-887B-05E369030AE7}">
      <dgm:prSet phldrT="[Text]" custT="1"/>
      <dgm:spPr>
        <a:xfrm>
          <a:off x="1736439" y="1018974"/>
          <a:ext cx="602998" cy="241199"/>
        </a:xfrm>
        <a:solidFill>
          <a:srgbClr val="BD2A33">
            <a:alpha val="6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53,1</a:t>
          </a:r>
        </a:p>
      </dgm:t>
    </dgm:pt>
    <dgm:pt modelId="{788DD0A1-8EE1-41D8-B087-36D8BF896EA8}" type="parTrans" cxnId="{5CADA5D1-8101-4106-AB4B-B56D02493082}">
      <dgm:prSet/>
      <dgm:spPr/>
      <dgm:t>
        <a:bodyPr/>
        <a:lstStyle/>
        <a:p>
          <a:endParaRPr lang="cs-CZ" sz="1000" b="1">
            <a:solidFill>
              <a:schemeClr val="tx1"/>
            </a:solidFill>
          </a:endParaRPr>
        </a:p>
      </dgm:t>
    </dgm:pt>
    <dgm:pt modelId="{57FA23F5-AAC5-4EF6-817D-4976FD6CF51E}" type="sibTrans" cxnId="{5CADA5D1-8101-4106-AB4B-B56D02493082}">
      <dgm:prSet/>
      <dgm:spPr/>
      <dgm:t>
        <a:bodyPr/>
        <a:lstStyle/>
        <a:p>
          <a:endParaRPr lang="cs-CZ" sz="1000" b="1">
            <a:solidFill>
              <a:schemeClr val="tx1"/>
            </a:solidFill>
          </a:endParaRPr>
        </a:p>
      </dgm:t>
    </dgm:pt>
    <dgm:pt modelId="{A107A654-54F0-418A-AAED-D6694D3FF9AE}">
      <dgm:prSet phldrT="[Text]" custT="1"/>
      <dgm:spPr>
        <a:xfrm>
          <a:off x="2255018" y="1018974"/>
          <a:ext cx="602998" cy="241199"/>
        </a:xfrm>
        <a:solidFill>
          <a:srgbClr val="BD2A33">
            <a:alpha val="80000"/>
          </a:srgbClr>
        </a:solidFill>
        <a:ln w="12700" cap="flat" cmpd="sng" algn="ctr">
          <a:noFill/>
          <a:prstDash val="solid"/>
          <a:miter lim="800000"/>
        </a:ln>
        <a:effectLst/>
      </dgm:spPr>
      <dgm:t>
        <a:bodyPr/>
        <a:lstStyle/>
        <a:p>
          <a:r>
            <a:rPr lang="cs-CZ" sz="1000" b="1">
              <a:solidFill>
                <a:schemeClr val="bg1"/>
              </a:solidFill>
              <a:latin typeface="Calibri" panose="020F0502020204030204"/>
              <a:ea typeface="+mn-ea"/>
              <a:cs typeface="+mn-cs"/>
            </a:rPr>
            <a:t>31,0</a:t>
          </a:r>
        </a:p>
      </dgm:t>
    </dgm:pt>
    <dgm:pt modelId="{07A7D715-E3B4-42E9-A1E1-55E6AE08A9D2}" type="parTrans" cxnId="{904960D1-1AAD-4FEA-A610-B5320936AEBF}">
      <dgm:prSet/>
      <dgm:spPr/>
      <dgm:t>
        <a:bodyPr/>
        <a:lstStyle/>
        <a:p>
          <a:endParaRPr lang="cs-CZ" sz="1000" b="1">
            <a:solidFill>
              <a:schemeClr val="tx1"/>
            </a:solidFill>
          </a:endParaRPr>
        </a:p>
      </dgm:t>
    </dgm:pt>
    <dgm:pt modelId="{2EFF7EC7-9DD7-4E89-B36E-9B6DDE8DE8E8}" type="sibTrans" cxnId="{904960D1-1AAD-4FEA-A610-B5320936AEBF}">
      <dgm:prSet/>
      <dgm:spPr/>
      <dgm:t>
        <a:bodyPr/>
        <a:lstStyle/>
        <a:p>
          <a:endParaRPr lang="cs-CZ" sz="1000" b="1">
            <a:solidFill>
              <a:schemeClr val="tx1"/>
            </a:solidFill>
          </a:endParaRPr>
        </a:p>
      </dgm:t>
    </dgm:pt>
    <dgm:pt modelId="{6FF2215A-98C9-46E9-9B44-A4318822E1FF}">
      <dgm:prSet phldrT="[Text]" custT="1"/>
      <dgm:spPr>
        <a:xfrm>
          <a:off x="2773597" y="1018974"/>
          <a:ext cx="602998" cy="241199"/>
        </a:xfrm>
        <a:solidFill>
          <a:srgbClr val="BD2A33"/>
        </a:solidFill>
        <a:ln w="12700" cap="flat" cmpd="sng" algn="ctr">
          <a:noFill/>
          <a:prstDash val="solid"/>
          <a:miter lim="800000"/>
        </a:ln>
        <a:effectLst/>
      </dgm:spPr>
      <dgm:t>
        <a:bodyPr/>
        <a:lstStyle/>
        <a:p>
          <a:r>
            <a:rPr lang="cs-CZ" sz="1000" b="1">
              <a:solidFill>
                <a:schemeClr val="bg1"/>
              </a:solidFill>
              <a:latin typeface="Calibri" panose="020F0502020204030204"/>
              <a:ea typeface="+mn-ea"/>
              <a:cs typeface="+mn-cs"/>
            </a:rPr>
            <a:t>8,8</a:t>
          </a:r>
        </a:p>
      </dgm:t>
    </dgm:pt>
    <dgm:pt modelId="{5AD1B92A-4001-4268-8D70-1A396F83A308}" type="parTrans" cxnId="{B537E768-1179-43D6-9D74-C847D16AF998}">
      <dgm:prSet/>
      <dgm:spPr/>
      <dgm:t>
        <a:bodyPr/>
        <a:lstStyle/>
        <a:p>
          <a:endParaRPr lang="cs-CZ" sz="1000" b="1">
            <a:solidFill>
              <a:schemeClr val="tx1"/>
            </a:solidFill>
          </a:endParaRPr>
        </a:p>
      </dgm:t>
    </dgm:pt>
    <dgm:pt modelId="{C28617C6-CB83-42F9-9DC7-65202EACE19E}" type="sibTrans" cxnId="{B537E768-1179-43D6-9D74-C847D16AF998}">
      <dgm:prSet/>
      <dgm:spPr/>
      <dgm:t>
        <a:bodyPr/>
        <a:lstStyle/>
        <a:p>
          <a:endParaRPr lang="cs-CZ" sz="1000" b="1">
            <a:solidFill>
              <a:schemeClr val="tx1"/>
            </a:solidFill>
          </a:endParaRPr>
        </a:p>
      </dgm:t>
    </dgm:pt>
    <dgm:pt modelId="{93447B53-24D9-4435-9944-0A8CE12A31FD}">
      <dgm:prSet phldrT="[Text]" custT="1"/>
      <dgm:spPr>
        <a:xfrm>
          <a:off x="3292175" y="1018974"/>
          <a:ext cx="602998" cy="241199"/>
        </a:xfrm>
        <a:solidFill>
          <a:srgbClr val="C3C5C6">
            <a:alpha val="90000"/>
          </a:srgbClr>
        </a:solidFill>
        <a:ln w="12700" cap="flat" cmpd="sng" algn="ctr">
          <a:noFill/>
          <a:prstDash val="solid"/>
          <a:miter lim="800000"/>
        </a:ln>
        <a:effectLst/>
      </dgm:spPr>
      <dgm:t>
        <a:bodyPr/>
        <a:lstStyle/>
        <a:p>
          <a:r>
            <a:rPr lang="cs-CZ" sz="1000" b="1" baseline="0">
              <a:solidFill>
                <a:srgbClr val="FF0000"/>
              </a:solidFill>
            </a:rPr>
            <a:t>–</a:t>
          </a:r>
          <a:r>
            <a:rPr lang="cs-CZ" sz="1000" b="1" baseline="0">
              <a:solidFill>
                <a:srgbClr val="FF0000"/>
              </a:solidFill>
              <a:latin typeface="Calibri" panose="020F0502020204030204"/>
              <a:ea typeface="+mn-ea"/>
              <a:cs typeface="+mn-cs"/>
            </a:rPr>
            <a:t>22,2</a:t>
          </a:r>
        </a:p>
      </dgm:t>
    </dgm:pt>
    <dgm:pt modelId="{611625C5-F15E-4884-9C12-AA885229D3D0}" type="sibTrans" cxnId="{2CBF76AB-21EC-41A9-91C9-AE76936A02E4}">
      <dgm:prSet/>
      <dgm:spPr/>
      <dgm:t>
        <a:bodyPr/>
        <a:lstStyle/>
        <a:p>
          <a:endParaRPr lang="cs-CZ" sz="1000" b="1">
            <a:solidFill>
              <a:schemeClr val="tx1"/>
            </a:solidFill>
          </a:endParaRPr>
        </a:p>
      </dgm:t>
    </dgm:pt>
    <dgm:pt modelId="{09123B89-1F8B-4854-979E-0A5C277A87A8}" type="parTrans" cxnId="{2CBF76AB-21EC-41A9-91C9-AE76936A02E4}">
      <dgm:prSet/>
      <dgm:spPr/>
      <dgm:t>
        <a:bodyPr/>
        <a:lstStyle/>
        <a:p>
          <a:endParaRPr lang="cs-CZ" sz="1000" b="1">
            <a:solidFill>
              <a:schemeClr val="tx1"/>
            </a:solidFill>
          </a:endParaRPr>
        </a:p>
      </dgm:t>
    </dgm:pt>
    <dgm:pt modelId="{4D953984-3ACF-4D10-86C2-DD0EECD2045E}">
      <dgm:prSet phldrT="[Text]" custT="1"/>
      <dgm:spPr>
        <a:xfrm>
          <a:off x="67223" y="415"/>
          <a:ext cx="726504" cy="290601"/>
        </a:xfrm>
        <a:noFill/>
        <a:ln w="12700" cap="flat" cmpd="sng" algn="ctr">
          <a:solidFill>
            <a:sysClr val="window" lastClr="FFFFFF">
              <a:hueOff val="0"/>
              <a:satOff val="0"/>
              <a:lumOff val="0"/>
              <a:alphaOff val="0"/>
            </a:sysClr>
          </a:solidFill>
          <a:prstDash val="solid"/>
          <a:miter lim="800000"/>
        </a:ln>
        <a:effectLst/>
      </dgm:spPr>
      <dgm:t>
        <a:bodyPr/>
        <a:lstStyle/>
        <a:p>
          <a:pPr marL="0" algn="ctr">
            <a:lnSpc>
              <a:spcPct val="50000"/>
            </a:lnSpc>
            <a:spcBef>
              <a:spcPts val="600"/>
            </a:spcBef>
            <a:spcAft>
              <a:spcPts val="0"/>
            </a:spcAft>
          </a:pPr>
          <a:endParaRPr lang="cs-CZ" sz="1000" b="0">
            <a:solidFill>
              <a:schemeClr val="tx1"/>
            </a:solidFill>
            <a:latin typeface="Calibri" panose="020F0502020204030204"/>
            <a:ea typeface="+mn-ea"/>
            <a:cs typeface="+mn-cs"/>
          </a:endParaRPr>
        </a:p>
      </dgm:t>
    </dgm:pt>
    <dgm:pt modelId="{65D9BC79-1E0E-4540-B0A4-914D9CDA1CEF}" type="sibTrans" cxnId="{ECAEA752-CBE7-4547-A8A8-48159546DDCD}">
      <dgm:prSet/>
      <dgm:spPr/>
      <dgm:t>
        <a:bodyPr/>
        <a:lstStyle/>
        <a:p>
          <a:endParaRPr lang="cs-CZ" sz="1000" b="1">
            <a:solidFill>
              <a:schemeClr val="tx1"/>
            </a:solidFill>
          </a:endParaRPr>
        </a:p>
      </dgm:t>
    </dgm:pt>
    <dgm:pt modelId="{F16E41CB-26E5-43DD-9796-987A9D8D425D}" type="parTrans" cxnId="{ECAEA752-CBE7-4547-A8A8-48159546DDCD}">
      <dgm:prSet/>
      <dgm:spPr/>
      <dgm:t>
        <a:bodyPr/>
        <a:lstStyle/>
        <a:p>
          <a:endParaRPr lang="cs-CZ" sz="1000" b="1">
            <a:solidFill>
              <a:schemeClr val="tx1"/>
            </a:solidFill>
          </a:endParaRPr>
        </a:p>
      </dgm:t>
    </dgm:pt>
    <dgm:pt modelId="{110F5A43-F211-43B5-A555-8C9EEBADA2D4}" type="pres">
      <dgm:prSet presAssocID="{1A6347D2-E774-46FA-B777-F1A30B1B32AE}" presName="Name0" presStyleCnt="0">
        <dgm:presLayoutVars>
          <dgm:chPref val="3"/>
          <dgm:dir/>
          <dgm:animLvl val="lvl"/>
          <dgm:resizeHandles/>
        </dgm:presLayoutVars>
      </dgm:prSet>
      <dgm:spPr/>
      <dgm:t>
        <a:bodyPr/>
        <a:lstStyle/>
        <a:p>
          <a:endParaRPr lang="cs-CZ"/>
        </a:p>
      </dgm:t>
    </dgm:pt>
    <dgm:pt modelId="{89981277-0A47-47D1-A0CA-10765B466ED1}" type="pres">
      <dgm:prSet presAssocID="{4D953984-3ACF-4D10-86C2-DD0EECD2045E}" presName="horFlow" presStyleCnt="0"/>
      <dgm:spPr/>
    </dgm:pt>
    <dgm:pt modelId="{4324C8AE-0C84-4B57-A0DB-F530EDB074FB}" type="pres">
      <dgm:prSet presAssocID="{4D953984-3ACF-4D10-86C2-DD0EECD2045E}" presName="bigChev" presStyleLbl="node1" presStyleIdx="0" presStyleCnt="4" custScaleX="108701"/>
      <dgm:spPr>
        <a:prstGeom prst="chevron">
          <a:avLst/>
        </a:prstGeom>
      </dgm:spPr>
      <dgm:t>
        <a:bodyPr/>
        <a:lstStyle/>
        <a:p>
          <a:endParaRPr lang="cs-CZ"/>
        </a:p>
      </dgm:t>
    </dgm:pt>
    <dgm:pt modelId="{2151C726-09A8-41A7-9257-FBCF34984038}" type="pres">
      <dgm:prSet presAssocID="{BFA133A1-756A-45F1-8766-59F7BCFDAA6C}" presName="parTrans" presStyleCnt="0"/>
      <dgm:spPr/>
    </dgm:pt>
    <dgm:pt modelId="{EA6E9049-714D-4F70-9449-67590FE925DF}" type="pres">
      <dgm:prSet presAssocID="{A1CF1E31-5801-448F-B337-DBA64B602091}" presName="node" presStyleLbl="alignAccFollowNode1" presStyleIdx="0" presStyleCnt="24">
        <dgm:presLayoutVars>
          <dgm:bulletEnabled val="1"/>
        </dgm:presLayoutVars>
      </dgm:prSet>
      <dgm:spPr>
        <a:prstGeom prst="chevron">
          <a:avLst/>
        </a:prstGeom>
      </dgm:spPr>
      <dgm:t>
        <a:bodyPr/>
        <a:lstStyle/>
        <a:p>
          <a:endParaRPr lang="cs-CZ"/>
        </a:p>
      </dgm:t>
    </dgm:pt>
    <dgm:pt modelId="{ABA96DD0-7385-4751-B5CE-7EFD9DEA4C59}" type="pres">
      <dgm:prSet presAssocID="{D30FBF5B-3185-4475-AA36-3B0290B49DAD}" presName="sibTrans" presStyleCnt="0"/>
      <dgm:spPr/>
    </dgm:pt>
    <dgm:pt modelId="{E17CDDBE-C54E-41F3-B442-C82AC2798B30}" type="pres">
      <dgm:prSet presAssocID="{358C9A41-D250-4EE4-9337-6B3886DC0DC0}" presName="node" presStyleLbl="alignAccFollowNode1" presStyleIdx="1" presStyleCnt="24">
        <dgm:presLayoutVars>
          <dgm:bulletEnabled val="1"/>
        </dgm:presLayoutVars>
      </dgm:prSet>
      <dgm:spPr>
        <a:prstGeom prst="chevron">
          <a:avLst/>
        </a:prstGeom>
      </dgm:spPr>
      <dgm:t>
        <a:bodyPr/>
        <a:lstStyle/>
        <a:p>
          <a:endParaRPr lang="cs-CZ"/>
        </a:p>
      </dgm:t>
    </dgm:pt>
    <dgm:pt modelId="{88DDF0DC-9738-43F9-AD8F-A06A9FCF4148}" type="pres">
      <dgm:prSet presAssocID="{EB460E09-C9FC-4808-8795-EB45393F3985}" presName="sibTrans" presStyleCnt="0"/>
      <dgm:spPr/>
    </dgm:pt>
    <dgm:pt modelId="{26A82BEF-68BE-4FEF-A542-D5EE7C04721A}" type="pres">
      <dgm:prSet presAssocID="{5A11B889-0B82-46C6-AA06-198B94C240BA}" presName="node" presStyleLbl="alignAccFollowNode1" presStyleIdx="2" presStyleCnt="24">
        <dgm:presLayoutVars>
          <dgm:bulletEnabled val="1"/>
        </dgm:presLayoutVars>
      </dgm:prSet>
      <dgm:spPr>
        <a:prstGeom prst="chevron">
          <a:avLst/>
        </a:prstGeom>
      </dgm:spPr>
      <dgm:t>
        <a:bodyPr/>
        <a:lstStyle/>
        <a:p>
          <a:endParaRPr lang="cs-CZ"/>
        </a:p>
      </dgm:t>
    </dgm:pt>
    <dgm:pt modelId="{75082378-69D2-49C0-BBAB-3B84D10518D6}" type="pres">
      <dgm:prSet presAssocID="{3E41D1D9-E567-4048-A439-D1D74FF4254F}" presName="sibTrans" presStyleCnt="0"/>
      <dgm:spPr/>
    </dgm:pt>
    <dgm:pt modelId="{833188DE-4E3C-4E12-83E9-AF15E2D9BFD2}" type="pres">
      <dgm:prSet presAssocID="{EC97A157-B1ED-4108-8FEF-1E4923639515}" presName="node" presStyleLbl="alignAccFollowNode1" presStyleIdx="3" presStyleCnt="24">
        <dgm:presLayoutVars>
          <dgm:bulletEnabled val="1"/>
        </dgm:presLayoutVars>
      </dgm:prSet>
      <dgm:spPr>
        <a:prstGeom prst="chevron">
          <a:avLst/>
        </a:prstGeom>
      </dgm:spPr>
      <dgm:t>
        <a:bodyPr/>
        <a:lstStyle/>
        <a:p>
          <a:endParaRPr lang="cs-CZ"/>
        </a:p>
      </dgm:t>
    </dgm:pt>
    <dgm:pt modelId="{1A7B4BD8-9A49-446F-9582-0DEAC581B14A}" type="pres">
      <dgm:prSet presAssocID="{5E219547-CBEE-409D-BC33-EF0F7574158E}" presName="sibTrans" presStyleCnt="0"/>
      <dgm:spPr/>
    </dgm:pt>
    <dgm:pt modelId="{4BC069EA-54EB-411A-9913-8C17480DA2D5}" type="pres">
      <dgm:prSet presAssocID="{5C5B4CF2-03CD-467B-842D-BF255C666D8D}" presName="node" presStyleLbl="alignAccFollowNode1" presStyleIdx="4" presStyleCnt="24">
        <dgm:presLayoutVars>
          <dgm:bulletEnabled val="1"/>
        </dgm:presLayoutVars>
      </dgm:prSet>
      <dgm:spPr>
        <a:prstGeom prst="chevron">
          <a:avLst/>
        </a:prstGeom>
      </dgm:spPr>
      <dgm:t>
        <a:bodyPr/>
        <a:lstStyle/>
        <a:p>
          <a:endParaRPr lang="cs-CZ"/>
        </a:p>
      </dgm:t>
    </dgm:pt>
    <dgm:pt modelId="{43F38896-F396-4B63-9208-4D7C552D8F04}" type="pres">
      <dgm:prSet presAssocID="{4A97EA9F-0D43-4C4E-B773-0126E6BF88A2}" presName="sibTrans" presStyleCnt="0"/>
      <dgm:spPr/>
    </dgm:pt>
    <dgm:pt modelId="{D3A25E5F-696A-492F-9F7A-F9DECAD0E80A}" type="pres">
      <dgm:prSet presAssocID="{D16CAD34-9C66-484C-BBDC-A5E42BF3D225}" presName="node" presStyleLbl="alignAccFollowNode1" presStyleIdx="5" presStyleCnt="24">
        <dgm:presLayoutVars>
          <dgm:bulletEnabled val="1"/>
        </dgm:presLayoutVars>
      </dgm:prSet>
      <dgm:spPr>
        <a:prstGeom prst="chevron">
          <a:avLst/>
        </a:prstGeom>
      </dgm:spPr>
      <dgm:t>
        <a:bodyPr/>
        <a:lstStyle/>
        <a:p>
          <a:endParaRPr lang="cs-CZ"/>
        </a:p>
      </dgm:t>
    </dgm:pt>
    <dgm:pt modelId="{A9BEE66F-36BB-44B3-B70B-8A3D13CEF7BE}" type="pres">
      <dgm:prSet presAssocID="{4D953984-3ACF-4D10-86C2-DD0EECD2045E}" presName="vSp" presStyleCnt="0"/>
      <dgm:spPr/>
    </dgm:pt>
    <dgm:pt modelId="{42328518-1889-434F-BA29-67500AD6A3E3}" type="pres">
      <dgm:prSet presAssocID="{78174B99-CB2F-41B4-84A1-1438F1481E64}" presName="horFlow" presStyleCnt="0"/>
      <dgm:spPr/>
    </dgm:pt>
    <dgm:pt modelId="{108D6996-3FEB-43E6-98A6-B3CEA7AF6F97}" type="pres">
      <dgm:prSet presAssocID="{78174B99-CB2F-41B4-84A1-1438F1481E64}" presName="bigChev" presStyleLbl="node1" presStyleIdx="1" presStyleCnt="4" custScaleX="105525"/>
      <dgm:spPr>
        <a:prstGeom prst="chevron">
          <a:avLst/>
        </a:prstGeom>
      </dgm:spPr>
      <dgm:t>
        <a:bodyPr/>
        <a:lstStyle/>
        <a:p>
          <a:endParaRPr lang="cs-CZ"/>
        </a:p>
      </dgm:t>
    </dgm:pt>
    <dgm:pt modelId="{3274A788-D1B1-42E9-A0B9-97FC70252455}" type="pres">
      <dgm:prSet presAssocID="{7648DE78-9420-4106-B5C2-036985F43A06}" presName="parTrans" presStyleCnt="0"/>
      <dgm:spPr/>
    </dgm:pt>
    <dgm:pt modelId="{DD05987A-3EC2-4CCA-9869-1F1361695B14}" type="pres">
      <dgm:prSet presAssocID="{2EDBE3C3-8A52-4A3A-9194-3724DB8ACE24}" presName="node" presStyleLbl="alignAccFollowNode1" presStyleIdx="6" presStyleCnt="24">
        <dgm:presLayoutVars>
          <dgm:bulletEnabled val="1"/>
        </dgm:presLayoutVars>
      </dgm:prSet>
      <dgm:spPr>
        <a:prstGeom prst="chevron">
          <a:avLst/>
        </a:prstGeom>
      </dgm:spPr>
      <dgm:t>
        <a:bodyPr/>
        <a:lstStyle/>
        <a:p>
          <a:endParaRPr lang="cs-CZ"/>
        </a:p>
      </dgm:t>
    </dgm:pt>
    <dgm:pt modelId="{074DC42B-66ED-496B-ADFF-445C4D1A79C7}" type="pres">
      <dgm:prSet presAssocID="{57DB7BDA-E66E-4670-B460-59BDCDF1EA8F}" presName="sibTrans" presStyleCnt="0"/>
      <dgm:spPr/>
    </dgm:pt>
    <dgm:pt modelId="{E0B3BD13-AF19-47FA-8B20-BF9AA0D890B4}" type="pres">
      <dgm:prSet presAssocID="{BAB9C705-956B-4C48-87C1-811A07CE45F3}" presName="node" presStyleLbl="alignAccFollowNode1" presStyleIdx="7" presStyleCnt="24">
        <dgm:presLayoutVars>
          <dgm:bulletEnabled val="1"/>
        </dgm:presLayoutVars>
      </dgm:prSet>
      <dgm:spPr>
        <a:prstGeom prst="chevron">
          <a:avLst/>
        </a:prstGeom>
      </dgm:spPr>
      <dgm:t>
        <a:bodyPr/>
        <a:lstStyle/>
        <a:p>
          <a:endParaRPr lang="cs-CZ"/>
        </a:p>
      </dgm:t>
    </dgm:pt>
    <dgm:pt modelId="{8724CBF4-700F-4F2B-89EC-DB5AB15B0263}" type="pres">
      <dgm:prSet presAssocID="{FC896497-7C28-4987-BB69-76BA32DE4EF9}" presName="sibTrans" presStyleCnt="0"/>
      <dgm:spPr/>
    </dgm:pt>
    <dgm:pt modelId="{39403DC2-8A29-4B93-A1AD-2A564629EE5C}" type="pres">
      <dgm:prSet presAssocID="{209F4FE5-7545-474C-A12F-B61E24BF3255}" presName="node" presStyleLbl="alignAccFollowNode1" presStyleIdx="8" presStyleCnt="24">
        <dgm:presLayoutVars>
          <dgm:bulletEnabled val="1"/>
        </dgm:presLayoutVars>
      </dgm:prSet>
      <dgm:spPr>
        <a:prstGeom prst="chevron">
          <a:avLst/>
        </a:prstGeom>
      </dgm:spPr>
      <dgm:t>
        <a:bodyPr/>
        <a:lstStyle/>
        <a:p>
          <a:endParaRPr lang="cs-CZ"/>
        </a:p>
      </dgm:t>
    </dgm:pt>
    <dgm:pt modelId="{EDDE672C-DAC3-4202-9BBA-0CD4F65E941E}" type="pres">
      <dgm:prSet presAssocID="{365929A1-29A6-40CB-8A04-7CD33DA95ED2}" presName="sibTrans" presStyleCnt="0"/>
      <dgm:spPr/>
    </dgm:pt>
    <dgm:pt modelId="{4AFDE68C-9E06-4875-8967-539174B30ADD}" type="pres">
      <dgm:prSet presAssocID="{BD31FC45-3A97-40A0-952F-7F630CAADFF7}" presName="node" presStyleLbl="alignAccFollowNode1" presStyleIdx="9" presStyleCnt="24">
        <dgm:presLayoutVars>
          <dgm:bulletEnabled val="1"/>
        </dgm:presLayoutVars>
      </dgm:prSet>
      <dgm:spPr>
        <a:prstGeom prst="chevron">
          <a:avLst/>
        </a:prstGeom>
      </dgm:spPr>
      <dgm:t>
        <a:bodyPr/>
        <a:lstStyle/>
        <a:p>
          <a:endParaRPr lang="cs-CZ"/>
        </a:p>
      </dgm:t>
    </dgm:pt>
    <dgm:pt modelId="{6EC87B21-6427-4FE5-AF36-A804927921DB}" type="pres">
      <dgm:prSet presAssocID="{E8A55DA6-FCA5-42C9-855D-834E3421F7A2}" presName="sibTrans" presStyleCnt="0"/>
      <dgm:spPr/>
    </dgm:pt>
    <dgm:pt modelId="{805827EE-806F-459E-9BE2-BC7F4C63625B}" type="pres">
      <dgm:prSet presAssocID="{62A6766A-7015-4663-8F88-379392C1BE11}" presName="node" presStyleLbl="alignAccFollowNode1" presStyleIdx="10" presStyleCnt="24">
        <dgm:presLayoutVars>
          <dgm:bulletEnabled val="1"/>
        </dgm:presLayoutVars>
      </dgm:prSet>
      <dgm:spPr>
        <a:prstGeom prst="chevron">
          <a:avLst/>
        </a:prstGeom>
      </dgm:spPr>
      <dgm:t>
        <a:bodyPr/>
        <a:lstStyle/>
        <a:p>
          <a:endParaRPr lang="cs-CZ"/>
        </a:p>
      </dgm:t>
    </dgm:pt>
    <dgm:pt modelId="{45AA2FE5-9708-4508-BB8A-E6C1FBF3E3DE}" type="pres">
      <dgm:prSet presAssocID="{F2D2666E-A48C-4B56-8FCA-BC93C49761A9}" presName="sibTrans" presStyleCnt="0"/>
      <dgm:spPr/>
    </dgm:pt>
    <dgm:pt modelId="{341966EF-3C67-433C-892A-FBE5F2F03106}" type="pres">
      <dgm:prSet presAssocID="{0FD9EDD5-D66F-4DBF-9BBC-F557C161D16F}" presName="node" presStyleLbl="alignAccFollowNode1" presStyleIdx="11" presStyleCnt="24">
        <dgm:presLayoutVars>
          <dgm:bulletEnabled val="1"/>
        </dgm:presLayoutVars>
      </dgm:prSet>
      <dgm:spPr>
        <a:prstGeom prst="chevron">
          <a:avLst/>
        </a:prstGeom>
      </dgm:spPr>
      <dgm:t>
        <a:bodyPr/>
        <a:lstStyle/>
        <a:p>
          <a:endParaRPr lang="cs-CZ"/>
        </a:p>
      </dgm:t>
    </dgm:pt>
    <dgm:pt modelId="{DCDED6E6-4835-446E-AE1D-11C056A415A0}" type="pres">
      <dgm:prSet presAssocID="{78174B99-CB2F-41B4-84A1-1438F1481E64}" presName="vSp" presStyleCnt="0"/>
      <dgm:spPr/>
    </dgm:pt>
    <dgm:pt modelId="{E0A57FD5-40E2-457A-8DCD-AECCFCC1CD91}" type="pres">
      <dgm:prSet presAssocID="{10EEAB1A-174F-4182-8129-99D15D7AB9CF}" presName="horFlow" presStyleCnt="0"/>
      <dgm:spPr/>
    </dgm:pt>
    <dgm:pt modelId="{271D193C-BAC1-45D4-9F55-82CC0206262A}" type="pres">
      <dgm:prSet presAssocID="{10EEAB1A-174F-4182-8129-99D15D7AB9CF}" presName="bigChev" presStyleLbl="node1" presStyleIdx="2" presStyleCnt="4" custScaleX="105525"/>
      <dgm:spPr>
        <a:prstGeom prst="chevron">
          <a:avLst/>
        </a:prstGeom>
      </dgm:spPr>
      <dgm:t>
        <a:bodyPr/>
        <a:lstStyle/>
        <a:p>
          <a:endParaRPr lang="cs-CZ"/>
        </a:p>
      </dgm:t>
    </dgm:pt>
    <dgm:pt modelId="{A02F81FF-E421-460D-A25E-FC1AFFE195F5}" type="pres">
      <dgm:prSet presAssocID="{9A5D6920-F92B-401E-8ABC-E4BDCB79BFC4}" presName="parTrans" presStyleCnt="0"/>
      <dgm:spPr/>
    </dgm:pt>
    <dgm:pt modelId="{47012AB8-D9C4-4B00-AA2F-9FE5BCB3AE2B}" type="pres">
      <dgm:prSet presAssocID="{3B04C11E-1E1D-4B33-905E-D561049DA493}" presName="node" presStyleLbl="alignAccFollowNode1" presStyleIdx="12" presStyleCnt="24">
        <dgm:presLayoutVars>
          <dgm:bulletEnabled val="1"/>
        </dgm:presLayoutVars>
      </dgm:prSet>
      <dgm:spPr>
        <a:prstGeom prst="chevron">
          <a:avLst/>
        </a:prstGeom>
      </dgm:spPr>
      <dgm:t>
        <a:bodyPr/>
        <a:lstStyle/>
        <a:p>
          <a:endParaRPr lang="cs-CZ"/>
        </a:p>
      </dgm:t>
    </dgm:pt>
    <dgm:pt modelId="{37EAEF79-AFD4-4254-A1DD-043C950A9181}" type="pres">
      <dgm:prSet presAssocID="{1C6F6D06-2691-49C6-9ECD-584EE3F45D1E}" presName="sibTrans" presStyleCnt="0"/>
      <dgm:spPr/>
    </dgm:pt>
    <dgm:pt modelId="{49C1FADA-A17D-4E70-A3E9-E768A1AF2D9C}" type="pres">
      <dgm:prSet presAssocID="{6CC8CB00-F4BD-4923-B21D-476D50CE4744}" presName="node" presStyleLbl="alignAccFollowNode1" presStyleIdx="13" presStyleCnt="24">
        <dgm:presLayoutVars>
          <dgm:bulletEnabled val="1"/>
        </dgm:presLayoutVars>
      </dgm:prSet>
      <dgm:spPr>
        <a:prstGeom prst="chevron">
          <a:avLst/>
        </a:prstGeom>
      </dgm:spPr>
      <dgm:t>
        <a:bodyPr/>
        <a:lstStyle/>
        <a:p>
          <a:endParaRPr lang="cs-CZ"/>
        </a:p>
      </dgm:t>
    </dgm:pt>
    <dgm:pt modelId="{0E20D554-1779-452B-BF7D-5988665B2857}" type="pres">
      <dgm:prSet presAssocID="{58CCD390-3616-4FCE-96E5-24C51DBD1F9B}" presName="sibTrans" presStyleCnt="0"/>
      <dgm:spPr/>
    </dgm:pt>
    <dgm:pt modelId="{190C9095-C4CF-4C8B-9843-FC9A87C43110}" type="pres">
      <dgm:prSet presAssocID="{B7AB5797-52D3-4168-94E9-B5B272FA6C3D}" presName="node" presStyleLbl="alignAccFollowNode1" presStyleIdx="14" presStyleCnt="24">
        <dgm:presLayoutVars>
          <dgm:bulletEnabled val="1"/>
        </dgm:presLayoutVars>
      </dgm:prSet>
      <dgm:spPr>
        <a:prstGeom prst="chevron">
          <a:avLst/>
        </a:prstGeom>
      </dgm:spPr>
      <dgm:t>
        <a:bodyPr/>
        <a:lstStyle/>
        <a:p>
          <a:endParaRPr lang="cs-CZ"/>
        </a:p>
      </dgm:t>
    </dgm:pt>
    <dgm:pt modelId="{3A29FBB7-BFD7-40DF-B926-DFC96F12E73B}" type="pres">
      <dgm:prSet presAssocID="{AB6F074E-C192-402C-B1F8-7A5A7BBE2373}" presName="sibTrans" presStyleCnt="0"/>
      <dgm:spPr/>
    </dgm:pt>
    <dgm:pt modelId="{729925F6-6C21-4C2A-A124-CB5331D4D0A1}" type="pres">
      <dgm:prSet presAssocID="{D83646A4-A7B1-4063-96EE-F494AE1354F3}" presName="node" presStyleLbl="alignAccFollowNode1" presStyleIdx="15" presStyleCnt="24">
        <dgm:presLayoutVars>
          <dgm:bulletEnabled val="1"/>
        </dgm:presLayoutVars>
      </dgm:prSet>
      <dgm:spPr>
        <a:prstGeom prst="chevron">
          <a:avLst/>
        </a:prstGeom>
      </dgm:spPr>
      <dgm:t>
        <a:bodyPr/>
        <a:lstStyle/>
        <a:p>
          <a:endParaRPr lang="cs-CZ"/>
        </a:p>
      </dgm:t>
    </dgm:pt>
    <dgm:pt modelId="{F87B3730-9DBA-4FB1-BEC3-203582704E71}" type="pres">
      <dgm:prSet presAssocID="{CCD5F0B8-6925-4DD9-AEB0-82326B9BC3C4}" presName="sibTrans" presStyleCnt="0"/>
      <dgm:spPr/>
    </dgm:pt>
    <dgm:pt modelId="{F1F41FAD-CF79-4184-9D4A-4B24B3BD1679}" type="pres">
      <dgm:prSet presAssocID="{FEA4DDB3-3A97-44AC-828D-91A1B7C2F815}" presName="node" presStyleLbl="alignAccFollowNode1" presStyleIdx="16" presStyleCnt="24">
        <dgm:presLayoutVars>
          <dgm:bulletEnabled val="1"/>
        </dgm:presLayoutVars>
      </dgm:prSet>
      <dgm:spPr>
        <a:prstGeom prst="chevron">
          <a:avLst/>
        </a:prstGeom>
      </dgm:spPr>
      <dgm:t>
        <a:bodyPr/>
        <a:lstStyle/>
        <a:p>
          <a:endParaRPr lang="cs-CZ"/>
        </a:p>
      </dgm:t>
    </dgm:pt>
    <dgm:pt modelId="{CEC64482-0253-43ED-B9B7-046F5EB620B3}" type="pres">
      <dgm:prSet presAssocID="{A392C771-08EA-4F6A-B577-51DE6D88CA16}" presName="sibTrans" presStyleCnt="0"/>
      <dgm:spPr/>
    </dgm:pt>
    <dgm:pt modelId="{4C65EDB7-00FC-46A4-9C20-9DA139026CE1}" type="pres">
      <dgm:prSet presAssocID="{B56FF771-0284-45CC-BEB5-0F13737F543B}" presName="node" presStyleLbl="alignAccFollowNode1" presStyleIdx="17" presStyleCnt="24">
        <dgm:presLayoutVars>
          <dgm:bulletEnabled val="1"/>
        </dgm:presLayoutVars>
      </dgm:prSet>
      <dgm:spPr>
        <a:prstGeom prst="chevron">
          <a:avLst/>
        </a:prstGeom>
      </dgm:spPr>
      <dgm:t>
        <a:bodyPr/>
        <a:lstStyle/>
        <a:p>
          <a:endParaRPr lang="cs-CZ"/>
        </a:p>
      </dgm:t>
    </dgm:pt>
    <dgm:pt modelId="{7E5BF45C-0115-41ED-9326-05FE7C694700}" type="pres">
      <dgm:prSet presAssocID="{10EEAB1A-174F-4182-8129-99D15D7AB9CF}" presName="vSp" presStyleCnt="0"/>
      <dgm:spPr/>
    </dgm:pt>
    <dgm:pt modelId="{1BB6BA2D-2500-4816-8327-0A4F6B34843B}" type="pres">
      <dgm:prSet presAssocID="{5C86C45D-0504-41F5-9ED8-B8588DC4BB71}" presName="horFlow" presStyleCnt="0"/>
      <dgm:spPr/>
    </dgm:pt>
    <dgm:pt modelId="{3B038CE9-4800-42E2-ADC1-CECE41DB3D7F}" type="pres">
      <dgm:prSet presAssocID="{5C86C45D-0504-41F5-9ED8-B8588DC4BB71}" presName="bigChev" presStyleLbl="node1" presStyleIdx="3" presStyleCnt="4" custScaleX="105525"/>
      <dgm:spPr>
        <a:prstGeom prst="chevron">
          <a:avLst/>
        </a:prstGeom>
      </dgm:spPr>
      <dgm:t>
        <a:bodyPr/>
        <a:lstStyle/>
        <a:p>
          <a:endParaRPr lang="cs-CZ"/>
        </a:p>
      </dgm:t>
    </dgm:pt>
    <dgm:pt modelId="{C69CFF36-F175-4B28-88C2-30012360F175}" type="pres">
      <dgm:prSet presAssocID="{F992937B-D676-4E14-883A-7DE4DC15F33C}" presName="parTrans" presStyleCnt="0"/>
      <dgm:spPr/>
    </dgm:pt>
    <dgm:pt modelId="{0C4F5166-7B8C-4DC5-9D99-03C90D522575}" type="pres">
      <dgm:prSet presAssocID="{8C82CBD6-9B91-494C-B5BE-A24E7DAC987A}" presName="node" presStyleLbl="alignAccFollowNode1" presStyleIdx="18" presStyleCnt="24">
        <dgm:presLayoutVars>
          <dgm:bulletEnabled val="1"/>
        </dgm:presLayoutVars>
      </dgm:prSet>
      <dgm:spPr>
        <a:prstGeom prst="chevron">
          <a:avLst/>
        </a:prstGeom>
      </dgm:spPr>
      <dgm:t>
        <a:bodyPr/>
        <a:lstStyle/>
        <a:p>
          <a:endParaRPr lang="cs-CZ"/>
        </a:p>
      </dgm:t>
    </dgm:pt>
    <dgm:pt modelId="{13F7C1A8-0FA6-4047-8DEF-A7F40DB089B6}" type="pres">
      <dgm:prSet presAssocID="{D500B32E-0679-4C74-9104-62736048009E}" presName="sibTrans" presStyleCnt="0"/>
      <dgm:spPr/>
    </dgm:pt>
    <dgm:pt modelId="{7CB82BEA-AE28-47E4-BA52-D78E48C0F651}" type="pres">
      <dgm:prSet presAssocID="{F23B00AF-5335-4B06-B9E0-C407B399300E}" presName="node" presStyleLbl="alignAccFollowNode1" presStyleIdx="19" presStyleCnt="24">
        <dgm:presLayoutVars>
          <dgm:bulletEnabled val="1"/>
        </dgm:presLayoutVars>
      </dgm:prSet>
      <dgm:spPr>
        <a:prstGeom prst="chevron">
          <a:avLst/>
        </a:prstGeom>
      </dgm:spPr>
      <dgm:t>
        <a:bodyPr/>
        <a:lstStyle/>
        <a:p>
          <a:endParaRPr lang="cs-CZ"/>
        </a:p>
      </dgm:t>
    </dgm:pt>
    <dgm:pt modelId="{530B6F05-6DFC-43D0-92E5-B644BDD10F2A}" type="pres">
      <dgm:prSet presAssocID="{9479A454-AB9D-4130-A99D-BBA20460FA4A}" presName="sibTrans" presStyleCnt="0"/>
      <dgm:spPr/>
    </dgm:pt>
    <dgm:pt modelId="{3963FC4F-805E-4287-BBFA-DE711BEEDB2C}" type="pres">
      <dgm:prSet presAssocID="{25F081A6-E845-4409-887B-05E369030AE7}" presName="node" presStyleLbl="alignAccFollowNode1" presStyleIdx="20" presStyleCnt="24">
        <dgm:presLayoutVars>
          <dgm:bulletEnabled val="1"/>
        </dgm:presLayoutVars>
      </dgm:prSet>
      <dgm:spPr>
        <a:prstGeom prst="chevron">
          <a:avLst/>
        </a:prstGeom>
      </dgm:spPr>
      <dgm:t>
        <a:bodyPr/>
        <a:lstStyle/>
        <a:p>
          <a:endParaRPr lang="cs-CZ"/>
        </a:p>
      </dgm:t>
    </dgm:pt>
    <dgm:pt modelId="{24B223E9-9351-4648-AEE2-D4038D026EF0}" type="pres">
      <dgm:prSet presAssocID="{57FA23F5-AAC5-4EF6-817D-4976FD6CF51E}" presName="sibTrans" presStyleCnt="0"/>
      <dgm:spPr/>
    </dgm:pt>
    <dgm:pt modelId="{68FF06A0-95BF-4EB5-BCC0-FE24A744B17A}" type="pres">
      <dgm:prSet presAssocID="{A107A654-54F0-418A-AAED-D6694D3FF9AE}" presName="node" presStyleLbl="alignAccFollowNode1" presStyleIdx="21" presStyleCnt="24">
        <dgm:presLayoutVars>
          <dgm:bulletEnabled val="1"/>
        </dgm:presLayoutVars>
      </dgm:prSet>
      <dgm:spPr>
        <a:prstGeom prst="chevron">
          <a:avLst/>
        </a:prstGeom>
      </dgm:spPr>
      <dgm:t>
        <a:bodyPr/>
        <a:lstStyle/>
        <a:p>
          <a:endParaRPr lang="cs-CZ"/>
        </a:p>
      </dgm:t>
    </dgm:pt>
    <dgm:pt modelId="{1169AA05-4D8B-4B3D-9FEC-0917DC98EC23}" type="pres">
      <dgm:prSet presAssocID="{2EFF7EC7-9DD7-4E89-B36E-9B6DDE8DE8E8}" presName="sibTrans" presStyleCnt="0"/>
      <dgm:spPr/>
    </dgm:pt>
    <dgm:pt modelId="{1FAD3650-64BC-4728-B0DE-4DF577F605F2}" type="pres">
      <dgm:prSet presAssocID="{6FF2215A-98C9-46E9-9B44-A4318822E1FF}" presName="node" presStyleLbl="alignAccFollowNode1" presStyleIdx="22" presStyleCnt="24">
        <dgm:presLayoutVars>
          <dgm:bulletEnabled val="1"/>
        </dgm:presLayoutVars>
      </dgm:prSet>
      <dgm:spPr>
        <a:prstGeom prst="chevron">
          <a:avLst/>
        </a:prstGeom>
      </dgm:spPr>
      <dgm:t>
        <a:bodyPr/>
        <a:lstStyle/>
        <a:p>
          <a:endParaRPr lang="cs-CZ"/>
        </a:p>
      </dgm:t>
    </dgm:pt>
    <dgm:pt modelId="{CCD5C5F7-8FEC-426D-9ABE-706AE504B669}" type="pres">
      <dgm:prSet presAssocID="{C28617C6-CB83-42F9-9DC7-65202EACE19E}" presName="sibTrans" presStyleCnt="0"/>
      <dgm:spPr/>
    </dgm:pt>
    <dgm:pt modelId="{C132509D-D53A-413A-B4A6-5E3503422542}" type="pres">
      <dgm:prSet presAssocID="{93447B53-24D9-4435-9944-0A8CE12A31FD}" presName="node" presStyleLbl="alignAccFollowNode1" presStyleIdx="23" presStyleCnt="24">
        <dgm:presLayoutVars>
          <dgm:bulletEnabled val="1"/>
        </dgm:presLayoutVars>
      </dgm:prSet>
      <dgm:spPr>
        <a:prstGeom prst="chevron">
          <a:avLst/>
        </a:prstGeom>
      </dgm:spPr>
      <dgm:t>
        <a:bodyPr/>
        <a:lstStyle/>
        <a:p>
          <a:endParaRPr lang="cs-CZ"/>
        </a:p>
      </dgm:t>
    </dgm:pt>
  </dgm:ptLst>
  <dgm:cxnLst>
    <dgm:cxn modelId="{1E8F49F5-B1EF-4DD8-92A0-160CF075C052}" srcId="{10EEAB1A-174F-4182-8129-99D15D7AB9CF}" destId="{B7AB5797-52D3-4168-94E9-B5B272FA6C3D}" srcOrd="2" destOrd="0" parTransId="{481AFC01-99CA-46E0-87DB-7575ED20FCFD}" sibTransId="{AB6F074E-C192-402C-B1F8-7A5A7BBE2373}"/>
    <dgm:cxn modelId="{BDE4C5AD-FA79-48AC-B2D5-CFCDEF48DF44}" srcId="{10EEAB1A-174F-4182-8129-99D15D7AB9CF}" destId="{B56FF771-0284-45CC-BEB5-0F13737F543B}" srcOrd="5" destOrd="0" parTransId="{F2722C6C-F3DC-46AB-9DAF-1C1E74197FB1}" sibTransId="{5906F1DB-1147-4252-9733-DD3E465D39BC}"/>
    <dgm:cxn modelId="{BF446106-2748-465C-82A9-5AB1C93995B0}" srcId="{78174B99-CB2F-41B4-84A1-1438F1481E64}" destId="{0FD9EDD5-D66F-4DBF-9BBC-F557C161D16F}" srcOrd="5" destOrd="0" parTransId="{5B66ACB1-D36E-4B3D-8D5E-050A802E2EEE}" sibTransId="{918144D0-6648-46AE-8155-2887C7596364}"/>
    <dgm:cxn modelId="{FF2E30D5-28CF-439A-B67C-581103A44941}" type="presOf" srcId="{A107A654-54F0-418A-AAED-D6694D3FF9AE}" destId="{68FF06A0-95BF-4EB5-BCC0-FE24A744B17A}" srcOrd="0" destOrd="0" presId="urn:microsoft.com/office/officeart/2005/8/layout/lProcess3"/>
    <dgm:cxn modelId="{7A6E2191-A70D-4569-B524-88A49A5B22FA}" type="presOf" srcId="{0FD9EDD5-D66F-4DBF-9BBC-F557C161D16F}" destId="{341966EF-3C67-433C-892A-FBE5F2F03106}" srcOrd="0" destOrd="0" presId="urn:microsoft.com/office/officeart/2005/8/layout/lProcess3"/>
    <dgm:cxn modelId="{7E4DF2E4-B591-466C-A14D-9B687B7A49BF}" srcId="{10EEAB1A-174F-4182-8129-99D15D7AB9CF}" destId="{D83646A4-A7B1-4063-96EE-F494AE1354F3}" srcOrd="3" destOrd="0" parTransId="{8E629B7D-0666-4E55-A6F7-0D502A314A0E}" sibTransId="{CCD5F0B8-6925-4DD9-AEB0-82326B9BC3C4}"/>
    <dgm:cxn modelId="{7074881D-F902-419B-A3D3-69D166603E82}" srcId="{4D953984-3ACF-4D10-86C2-DD0EECD2045E}" destId="{5C5B4CF2-03CD-467B-842D-BF255C666D8D}" srcOrd="4" destOrd="0" parTransId="{2146FB9C-8A70-4886-876C-F201956EA5EF}" sibTransId="{4A97EA9F-0D43-4C4E-B773-0126E6BF88A2}"/>
    <dgm:cxn modelId="{7796AACE-01AA-4552-8B2C-43ECF3FCBCD7}" srcId="{4D953984-3ACF-4D10-86C2-DD0EECD2045E}" destId="{A1CF1E31-5801-448F-B337-DBA64B602091}" srcOrd="0" destOrd="0" parTransId="{BFA133A1-756A-45F1-8766-59F7BCFDAA6C}" sibTransId="{D30FBF5B-3185-4475-AA36-3B0290B49DAD}"/>
    <dgm:cxn modelId="{2E4F9EB2-8F1A-4534-BF6D-3D10D5EEB47E}" srcId="{78174B99-CB2F-41B4-84A1-1438F1481E64}" destId="{BAB9C705-956B-4C48-87C1-811A07CE45F3}" srcOrd="1" destOrd="0" parTransId="{5060BF98-44BD-4F09-9401-9C30985B369C}" sibTransId="{FC896497-7C28-4987-BB69-76BA32DE4EF9}"/>
    <dgm:cxn modelId="{C286652C-92D4-4C9C-9D35-5919CAAAAAD2}" srcId="{78174B99-CB2F-41B4-84A1-1438F1481E64}" destId="{62A6766A-7015-4663-8F88-379392C1BE11}" srcOrd="4" destOrd="0" parTransId="{A6578421-CDAE-4169-BBBB-C5D113A31D27}" sibTransId="{F2D2666E-A48C-4B56-8FCA-BC93C49761A9}"/>
    <dgm:cxn modelId="{BF1CF443-1178-4CD3-9263-76DABC19179B}" srcId="{4D953984-3ACF-4D10-86C2-DD0EECD2045E}" destId="{EC97A157-B1ED-4108-8FEF-1E4923639515}" srcOrd="3" destOrd="0" parTransId="{9D7F40E7-42DB-4EEC-B91F-E81F9F00800B}" sibTransId="{5E219547-CBEE-409D-BC33-EF0F7574158E}"/>
    <dgm:cxn modelId="{7F8520E7-18CD-4AD7-9246-8612BFB7B683}" srcId="{4D953984-3ACF-4D10-86C2-DD0EECD2045E}" destId="{5A11B889-0B82-46C6-AA06-198B94C240BA}" srcOrd="2" destOrd="0" parTransId="{85632010-DCDE-49B9-B7C8-1BA4BC10AB96}" sibTransId="{3E41D1D9-E567-4048-A439-D1D74FF4254F}"/>
    <dgm:cxn modelId="{ECAEA752-CBE7-4547-A8A8-48159546DDCD}" srcId="{1A6347D2-E774-46FA-B777-F1A30B1B32AE}" destId="{4D953984-3ACF-4D10-86C2-DD0EECD2045E}" srcOrd="0" destOrd="0" parTransId="{F16E41CB-26E5-43DD-9796-987A9D8D425D}" sibTransId="{65D9BC79-1E0E-4540-B0A4-914D9CDA1CEF}"/>
    <dgm:cxn modelId="{FBE2A66C-BAEB-4055-B249-C62290420E1D}" srcId="{1A6347D2-E774-46FA-B777-F1A30B1B32AE}" destId="{78174B99-CB2F-41B4-84A1-1438F1481E64}" srcOrd="1" destOrd="0" parTransId="{D7C31FB7-9F0B-4DC9-9E58-D2D92803A3E7}" sibTransId="{949F9C5E-8E40-433E-9C30-8C6B1B901287}"/>
    <dgm:cxn modelId="{5BD4E26E-8DE6-4173-B45D-BB4A584731A7}" type="presOf" srcId="{BAB9C705-956B-4C48-87C1-811A07CE45F3}" destId="{E0B3BD13-AF19-47FA-8B20-BF9AA0D890B4}" srcOrd="0" destOrd="0" presId="urn:microsoft.com/office/officeart/2005/8/layout/lProcess3"/>
    <dgm:cxn modelId="{EE73EFEB-6030-4D28-9DBA-FF585117EA09}" srcId="{78174B99-CB2F-41B4-84A1-1438F1481E64}" destId="{BD31FC45-3A97-40A0-952F-7F630CAADFF7}" srcOrd="3" destOrd="0" parTransId="{7F98EE7C-F0D8-43D7-8240-2E47B95F7EED}" sibTransId="{E8A55DA6-FCA5-42C9-855D-834E3421F7A2}"/>
    <dgm:cxn modelId="{4FFB2243-AD8E-4F8F-AD6D-F9041EEE02CB}" type="presOf" srcId="{A1CF1E31-5801-448F-B337-DBA64B602091}" destId="{EA6E9049-714D-4F70-9449-67590FE925DF}" srcOrd="0" destOrd="0" presId="urn:microsoft.com/office/officeart/2005/8/layout/lProcess3"/>
    <dgm:cxn modelId="{DFF650C2-C7FA-41F0-92F2-CF2FB269C05A}" type="presOf" srcId="{4D953984-3ACF-4D10-86C2-DD0EECD2045E}" destId="{4324C8AE-0C84-4B57-A0DB-F530EDB074FB}" srcOrd="0" destOrd="0" presId="urn:microsoft.com/office/officeart/2005/8/layout/lProcess3"/>
    <dgm:cxn modelId="{6CEAB6DC-D4C5-47A3-86E6-BEC62BA98C30}" srcId="{10EEAB1A-174F-4182-8129-99D15D7AB9CF}" destId="{6CC8CB00-F4BD-4923-B21D-476D50CE4744}" srcOrd="1" destOrd="0" parTransId="{3A0F8BA9-3017-44A7-92D0-493BE9266296}" sibTransId="{58CCD390-3616-4FCE-96E5-24C51DBD1F9B}"/>
    <dgm:cxn modelId="{303ADA22-FF07-4BE9-8969-5183C4DFF3FD}" type="presOf" srcId="{F23B00AF-5335-4B06-B9E0-C407B399300E}" destId="{7CB82BEA-AE28-47E4-BA52-D78E48C0F651}" srcOrd="0" destOrd="0" presId="urn:microsoft.com/office/officeart/2005/8/layout/lProcess3"/>
    <dgm:cxn modelId="{FD27FC6F-30AD-4979-9713-032434D95C4C}" type="presOf" srcId="{5A11B889-0B82-46C6-AA06-198B94C240BA}" destId="{26A82BEF-68BE-4FEF-A542-D5EE7C04721A}" srcOrd="0" destOrd="0" presId="urn:microsoft.com/office/officeart/2005/8/layout/lProcess3"/>
    <dgm:cxn modelId="{BEDB6D3F-8793-4626-8623-6C182F0A8CDB}" type="presOf" srcId="{2EDBE3C3-8A52-4A3A-9194-3724DB8ACE24}" destId="{DD05987A-3EC2-4CCA-9869-1F1361695B14}" srcOrd="0" destOrd="0" presId="urn:microsoft.com/office/officeart/2005/8/layout/lProcess3"/>
    <dgm:cxn modelId="{5CADA5D1-8101-4106-AB4B-B56D02493082}" srcId="{5C86C45D-0504-41F5-9ED8-B8588DC4BB71}" destId="{25F081A6-E845-4409-887B-05E369030AE7}" srcOrd="2" destOrd="0" parTransId="{788DD0A1-8EE1-41D8-B087-36D8BF896EA8}" sibTransId="{57FA23F5-AAC5-4EF6-817D-4976FD6CF51E}"/>
    <dgm:cxn modelId="{904960D1-1AAD-4FEA-A610-B5320936AEBF}" srcId="{5C86C45D-0504-41F5-9ED8-B8588DC4BB71}" destId="{A107A654-54F0-418A-AAED-D6694D3FF9AE}" srcOrd="3" destOrd="0" parTransId="{07A7D715-E3B4-42E9-A1E1-55E6AE08A9D2}" sibTransId="{2EFF7EC7-9DD7-4E89-B36E-9B6DDE8DE8E8}"/>
    <dgm:cxn modelId="{34615857-8CF1-48EC-B1AE-8874376DC5C2}" type="presOf" srcId="{8C82CBD6-9B91-494C-B5BE-A24E7DAC987A}" destId="{0C4F5166-7B8C-4DC5-9D99-03C90D522575}" srcOrd="0" destOrd="0" presId="urn:microsoft.com/office/officeart/2005/8/layout/lProcess3"/>
    <dgm:cxn modelId="{C9587956-1B1D-4227-87D8-57D3466BFBF5}" type="presOf" srcId="{6CC8CB00-F4BD-4923-B21D-476D50CE4744}" destId="{49C1FADA-A17D-4E70-A3E9-E768A1AF2D9C}" srcOrd="0" destOrd="0" presId="urn:microsoft.com/office/officeart/2005/8/layout/lProcess3"/>
    <dgm:cxn modelId="{F5390BC2-5915-4D3F-8EBE-58357C06A4F6}" type="presOf" srcId="{FEA4DDB3-3A97-44AC-828D-91A1B7C2F815}" destId="{F1F41FAD-CF79-4184-9D4A-4B24B3BD1679}" srcOrd="0" destOrd="0" presId="urn:microsoft.com/office/officeart/2005/8/layout/lProcess3"/>
    <dgm:cxn modelId="{928E7FB3-9936-4D4C-B9B6-72844F2875F9}" type="presOf" srcId="{B7AB5797-52D3-4168-94E9-B5B272FA6C3D}" destId="{190C9095-C4CF-4C8B-9843-FC9A87C43110}" srcOrd="0" destOrd="0" presId="urn:microsoft.com/office/officeart/2005/8/layout/lProcess3"/>
    <dgm:cxn modelId="{E4FC23FD-1C6E-4B34-92DC-11761E205FF0}" srcId="{5C86C45D-0504-41F5-9ED8-B8588DC4BB71}" destId="{8C82CBD6-9B91-494C-B5BE-A24E7DAC987A}" srcOrd="0" destOrd="0" parTransId="{F992937B-D676-4E14-883A-7DE4DC15F33C}" sibTransId="{D500B32E-0679-4C74-9104-62736048009E}"/>
    <dgm:cxn modelId="{310A3113-A0E8-4F71-BAB5-F6696697AF1D}" srcId="{10EEAB1A-174F-4182-8129-99D15D7AB9CF}" destId="{3B04C11E-1E1D-4B33-905E-D561049DA493}" srcOrd="0" destOrd="0" parTransId="{9A5D6920-F92B-401E-8ABC-E4BDCB79BFC4}" sibTransId="{1C6F6D06-2691-49C6-9ECD-584EE3F45D1E}"/>
    <dgm:cxn modelId="{68950414-8404-4C29-ACAA-54C9C6DAD015}" srcId="{78174B99-CB2F-41B4-84A1-1438F1481E64}" destId="{209F4FE5-7545-474C-A12F-B61E24BF3255}" srcOrd="2" destOrd="0" parTransId="{63AD4E18-C162-4B96-9CE0-7B2422FA6253}" sibTransId="{365929A1-29A6-40CB-8A04-7CD33DA95ED2}"/>
    <dgm:cxn modelId="{CE2D8627-E1EC-427F-96C6-8376AD2EEFDB}" type="presOf" srcId="{358C9A41-D250-4EE4-9337-6B3886DC0DC0}" destId="{E17CDDBE-C54E-41F3-B442-C82AC2798B30}" srcOrd="0" destOrd="0" presId="urn:microsoft.com/office/officeart/2005/8/layout/lProcess3"/>
    <dgm:cxn modelId="{E3221AC5-98DA-4248-B955-897C111A5118}" type="presOf" srcId="{D83646A4-A7B1-4063-96EE-F494AE1354F3}" destId="{729925F6-6C21-4C2A-A124-CB5331D4D0A1}" srcOrd="0" destOrd="0" presId="urn:microsoft.com/office/officeart/2005/8/layout/lProcess3"/>
    <dgm:cxn modelId="{FAB24F56-6565-450D-B1E9-FF353CA1B578}" srcId="{1A6347D2-E774-46FA-B777-F1A30B1B32AE}" destId="{5C86C45D-0504-41F5-9ED8-B8588DC4BB71}" srcOrd="3" destOrd="0" parTransId="{958CFC62-690E-4A69-9661-5397DCEA31BF}" sibTransId="{66C83E80-71BF-41C0-B162-00C0E2E64806}"/>
    <dgm:cxn modelId="{1A2B5A23-B6EF-47E1-9B45-3DADDCED2DBE}" type="presOf" srcId="{D16CAD34-9C66-484C-BBDC-A5E42BF3D225}" destId="{D3A25E5F-696A-492F-9F7A-F9DECAD0E80A}" srcOrd="0" destOrd="0" presId="urn:microsoft.com/office/officeart/2005/8/layout/lProcess3"/>
    <dgm:cxn modelId="{ED7784F0-CB07-46A9-9099-A96DEBF07610}" srcId="{4D953984-3ACF-4D10-86C2-DD0EECD2045E}" destId="{358C9A41-D250-4EE4-9337-6B3886DC0DC0}" srcOrd="1" destOrd="0" parTransId="{37117464-C6AC-4707-B9BD-209DE83C59FB}" sibTransId="{EB460E09-C9FC-4808-8795-EB45393F3985}"/>
    <dgm:cxn modelId="{4D4A54AD-733B-4E7D-8320-D4995DFF4E7B}" type="presOf" srcId="{6FF2215A-98C9-46E9-9B44-A4318822E1FF}" destId="{1FAD3650-64BC-4728-B0DE-4DF577F605F2}" srcOrd="0" destOrd="0" presId="urn:microsoft.com/office/officeart/2005/8/layout/lProcess3"/>
    <dgm:cxn modelId="{1EA05F70-360E-4C67-AD57-7FF19E0D4C84}" type="presOf" srcId="{3B04C11E-1E1D-4B33-905E-D561049DA493}" destId="{47012AB8-D9C4-4B00-AA2F-9FE5BCB3AE2B}" srcOrd="0" destOrd="0" presId="urn:microsoft.com/office/officeart/2005/8/layout/lProcess3"/>
    <dgm:cxn modelId="{881C22E3-E024-4296-BB9D-3EE32487F377}" type="presOf" srcId="{209F4FE5-7545-474C-A12F-B61E24BF3255}" destId="{39403DC2-8A29-4B93-A1AD-2A564629EE5C}" srcOrd="0" destOrd="0" presId="urn:microsoft.com/office/officeart/2005/8/layout/lProcess3"/>
    <dgm:cxn modelId="{5F50BE38-6501-4DCC-AF0C-55FA77884990}" type="presOf" srcId="{10EEAB1A-174F-4182-8129-99D15D7AB9CF}" destId="{271D193C-BAC1-45D4-9F55-82CC0206262A}" srcOrd="0" destOrd="0" presId="urn:microsoft.com/office/officeart/2005/8/layout/lProcess3"/>
    <dgm:cxn modelId="{AAEAEADC-BBE5-4A85-8DCF-BFBA90D01B4F}" type="presOf" srcId="{BD31FC45-3A97-40A0-952F-7F630CAADFF7}" destId="{4AFDE68C-9E06-4875-8967-539174B30ADD}" srcOrd="0" destOrd="0" presId="urn:microsoft.com/office/officeart/2005/8/layout/lProcess3"/>
    <dgm:cxn modelId="{D854AD87-6BC3-451D-BF2E-A403FC00D3A8}" srcId="{78174B99-CB2F-41B4-84A1-1438F1481E64}" destId="{2EDBE3C3-8A52-4A3A-9194-3724DB8ACE24}" srcOrd="0" destOrd="0" parTransId="{7648DE78-9420-4106-B5C2-036985F43A06}" sibTransId="{57DB7BDA-E66E-4670-B460-59BDCDF1EA8F}"/>
    <dgm:cxn modelId="{AB904891-B29F-4250-A5A5-EC26D54407F5}" type="presOf" srcId="{62A6766A-7015-4663-8F88-379392C1BE11}" destId="{805827EE-806F-459E-9BE2-BC7F4C63625B}" srcOrd="0" destOrd="0" presId="urn:microsoft.com/office/officeart/2005/8/layout/lProcess3"/>
    <dgm:cxn modelId="{B537E768-1179-43D6-9D74-C847D16AF998}" srcId="{5C86C45D-0504-41F5-9ED8-B8588DC4BB71}" destId="{6FF2215A-98C9-46E9-9B44-A4318822E1FF}" srcOrd="4" destOrd="0" parTransId="{5AD1B92A-4001-4268-8D70-1A396F83A308}" sibTransId="{C28617C6-CB83-42F9-9DC7-65202EACE19E}"/>
    <dgm:cxn modelId="{BD1F13C6-0963-459B-B4C1-46A35A1AF419}" srcId="{10EEAB1A-174F-4182-8129-99D15D7AB9CF}" destId="{FEA4DDB3-3A97-44AC-828D-91A1B7C2F815}" srcOrd="4" destOrd="0" parTransId="{30C3A696-7896-4142-98B8-911DAA51A0C2}" sibTransId="{A392C771-08EA-4F6A-B577-51DE6D88CA16}"/>
    <dgm:cxn modelId="{64C87A25-432F-4EE5-BB67-6CEDA43802D8}" type="presOf" srcId="{1A6347D2-E774-46FA-B777-F1A30B1B32AE}" destId="{110F5A43-F211-43B5-A555-8C9EEBADA2D4}" srcOrd="0" destOrd="0" presId="urn:microsoft.com/office/officeart/2005/8/layout/lProcess3"/>
    <dgm:cxn modelId="{EFBAA232-42A9-4C17-A725-9F3D5AA293C9}" type="presOf" srcId="{78174B99-CB2F-41B4-84A1-1438F1481E64}" destId="{108D6996-3FEB-43E6-98A6-B3CEA7AF6F97}" srcOrd="0" destOrd="0" presId="urn:microsoft.com/office/officeart/2005/8/layout/lProcess3"/>
    <dgm:cxn modelId="{308F2257-DF63-4345-B4F8-B8B61610CCA9}" type="presOf" srcId="{B56FF771-0284-45CC-BEB5-0F13737F543B}" destId="{4C65EDB7-00FC-46A4-9C20-9DA139026CE1}" srcOrd="0" destOrd="0" presId="urn:microsoft.com/office/officeart/2005/8/layout/lProcess3"/>
    <dgm:cxn modelId="{F8380EE1-40BA-4909-AC03-FE163230E010}" srcId="{4D953984-3ACF-4D10-86C2-DD0EECD2045E}" destId="{D16CAD34-9C66-484C-BBDC-A5E42BF3D225}" srcOrd="5" destOrd="0" parTransId="{808DF22A-3A20-4FBB-8A78-D8AC7AAE1BF0}" sibTransId="{45B66F3E-68B1-4323-9B56-387FA6FB0408}"/>
    <dgm:cxn modelId="{C679B2AC-5D46-4842-A9A8-65991FDCF730}" srcId="{5C86C45D-0504-41F5-9ED8-B8588DC4BB71}" destId="{F23B00AF-5335-4B06-B9E0-C407B399300E}" srcOrd="1" destOrd="0" parTransId="{4D263FDF-B3C7-4003-9A94-D213C7AE82CA}" sibTransId="{9479A454-AB9D-4130-A99D-BBA20460FA4A}"/>
    <dgm:cxn modelId="{A08410E1-484C-4B88-AD39-0AA25FB467E7}" srcId="{1A6347D2-E774-46FA-B777-F1A30B1B32AE}" destId="{10EEAB1A-174F-4182-8129-99D15D7AB9CF}" srcOrd="2" destOrd="0" parTransId="{9621A7A5-593F-4E40-9A9F-6395F70BF010}" sibTransId="{988FF4AE-EDFA-4F28-A5CC-08BF75833141}"/>
    <dgm:cxn modelId="{5F6E7885-3FBF-4F6B-84DF-E5C83F069B74}" type="presOf" srcId="{5C86C45D-0504-41F5-9ED8-B8588DC4BB71}" destId="{3B038CE9-4800-42E2-ADC1-CECE41DB3D7F}" srcOrd="0" destOrd="0" presId="urn:microsoft.com/office/officeart/2005/8/layout/lProcess3"/>
    <dgm:cxn modelId="{2CBF76AB-21EC-41A9-91C9-AE76936A02E4}" srcId="{5C86C45D-0504-41F5-9ED8-B8588DC4BB71}" destId="{93447B53-24D9-4435-9944-0A8CE12A31FD}" srcOrd="5" destOrd="0" parTransId="{09123B89-1F8B-4854-979E-0A5C277A87A8}" sibTransId="{611625C5-F15E-4884-9C12-AA885229D3D0}"/>
    <dgm:cxn modelId="{F7CB5E38-B9B2-475E-A24D-ACC35042F239}" type="presOf" srcId="{25F081A6-E845-4409-887B-05E369030AE7}" destId="{3963FC4F-805E-4287-BBFA-DE711BEEDB2C}" srcOrd="0" destOrd="0" presId="urn:microsoft.com/office/officeart/2005/8/layout/lProcess3"/>
    <dgm:cxn modelId="{DC90E02E-C9EB-48FE-B238-B67D319D5B0D}" type="presOf" srcId="{93447B53-24D9-4435-9944-0A8CE12A31FD}" destId="{C132509D-D53A-413A-B4A6-5E3503422542}" srcOrd="0" destOrd="0" presId="urn:microsoft.com/office/officeart/2005/8/layout/lProcess3"/>
    <dgm:cxn modelId="{B5564803-F5F9-4014-911E-E154F0C85191}" type="presOf" srcId="{EC97A157-B1ED-4108-8FEF-1E4923639515}" destId="{833188DE-4E3C-4E12-83E9-AF15E2D9BFD2}" srcOrd="0" destOrd="0" presId="urn:microsoft.com/office/officeart/2005/8/layout/lProcess3"/>
    <dgm:cxn modelId="{47825CE8-9B8C-4956-B169-962433248900}" type="presOf" srcId="{5C5B4CF2-03CD-467B-842D-BF255C666D8D}" destId="{4BC069EA-54EB-411A-9913-8C17480DA2D5}" srcOrd="0" destOrd="0" presId="urn:microsoft.com/office/officeart/2005/8/layout/lProcess3"/>
    <dgm:cxn modelId="{02268F0E-153A-4A2D-99CF-43EA3E6964F6}" type="presParOf" srcId="{110F5A43-F211-43B5-A555-8C9EEBADA2D4}" destId="{89981277-0A47-47D1-A0CA-10765B466ED1}" srcOrd="0" destOrd="0" presId="urn:microsoft.com/office/officeart/2005/8/layout/lProcess3"/>
    <dgm:cxn modelId="{E520A3E9-701F-4530-AF44-65F16625BEB1}" type="presParOf" srcId="{89981277-0A47-47D1-A0CA-10765B466ED1}" destId="{4324C8AE-0C84-4B57-A0DB-F530EDB074FB}" srcOrd="0" destOrd="0" presId="urn:microsoft.com/office/officeart/2005/8/layout/lProcess3"/>
    <dgm:cxn modelId="{03B44445-D701-450E-811C-95CC2E690092}" type="presParOf" srcId="{89981277-0A47-47D1-A0CA-10765B466ED1}" destId="{2151C726-09A8-41A7-9257-FBCF34984038}" srcOrd="1" destOrd="0" presId="urn:microsoft.com/office/officeart/2005/8/layout/lProcess3"/>
    <dgm:cxn modelId="{A2365261-49C2-4D64-9643-D1D72AEA5EA2}" type="presParOf" srcId="{89981277-0A47-47D1-A0CA-10765B466ED1}" destId="{EA6E9049-714D-4F70-9449-67590FE925DF}" srcOrd="2" destOrd="0" presId="urn:microsoft.com/office/officeart/2005/8/layout/lProcess3"/>
    <dgm:cxn modelId="{64BCE87C-D2CE-4BD8-A99A-6CE4FF688C30}" type="presParOf" srcId="{89981277-0A47-47D1-A0CA-10765B466ED1}" destId="{ABA96DD0-7385-4751-B5CE-7EFD9DEA4C59}" srcOrd="3" destOrd="0" presId="urn:microsoft.com/office/officeart/2005/8/layout/lProcess3"/>
    <dgm:cxn modelId="{D2587BED-2A2C-4476-BA1E-1B2413C64802}" type="presParOf" srcId="{89981277-0A47-47D1-A0CA-10765B466ED1}" destId="{E17CDDBE-C54E-41F3-B442-C82AC2798B30}" srcOrd="4" destOrd="0" presId="urn:microsoft.com/office/officeart/2005/8/layout/lProcess3"/>
    <dgm:cxn modelId="{295D13C6-E492-497F-BCCA-3D5A0A78DC18}" type="presParOf" srcId="{89981277-0A47-47D1-A0CA-10765B466ED1}" destId="{88DDF0DC-9738-43F9-AD8F-A06A9FCF4148}" srcOrd="5" destOrd="0" presId="urn:microsoft.com/office/officeart/2005/8/layout/lProcess3"/>
    <dgm:cxn modelId="{7CCE0B6E-7D4E-4122-AEE1-1DAB0BA72338}" type="presParOf" srcId="{89981277-0A47-47D1-A0CA-10765B466ED1}" destId="{26A82BEF-68BE-4FEF-A542-D5EE7C04721A}" srcOrd="6" destOrd="0" presId="urn:microsoft.com/office/officeart/2005/8/layout/lProcess3"/>
    <dgm:cxn modelId="{C73054C8-C075-4555-925A-BADB9BBA82DB}" type="presParOf" srcId="{89981277-0A47-47D1-A0CA-10765B466ED1}" destId="{75082378-69D2-49C0-BBAB-3B84D10518D6}" srcOrd="7" destOrd="0" presId="urn:microsoft.com/office/officeart/2005/8/layout/lProcess3"/>
    <dgm:cxn modelId="{7201B3D4-375C-4D43-8E00-63583B134426}" type="presParOf" srcId="{89981277-0A47-47D1-A0CA-10765B466ED1}" destId="{833188DE-4E3C-4E12-83E9-AF15E2D9BFD2}" srcOrd="8" destOrd="0" presId="urn:microsoft.com/office/officeart/2005/8/layout/lProcess3"/>
    <dgm:cxn modelId="{D1BC0A6D-7AA4-4C29-90D1-1F98E129822C}" type="presParOf" srcId="{89981277-0A47-47D1-A0CA-10765B466ED1}" destId="{1A7B4BD8-9A49-446F-9582-0DEAC581B14A}" srcOrd="9" destOrd="0" presId="urn:microsoft.com/office/officeart/2005/8/layout/lProcess3"/>
    <dgm:cxn modelId="{DCD4E122-0E8E-4969-9527-CB21D7103E61}" type="presParOf" srcId="{89981277-0A47-47D1-A0CA-10765B466ED1}" destId="{4BC069EA-54EB-411A-9913-8C17480DA2D5}" srcOrd="10" destOrd="0" presId="urn:microsoft.com/office/officeart/2005/8/layout/lProcess3"/>
    <dgm:cxn modelId="{3B77368B-96F9-4AA2-81A1-11B08B81CC80}" type="presParOf" srcId="{89981277-0A47-47D1-A0CA-10765B466ED1}" destId="{43F38896-F396-4B63-9208-4D7C552D8F04}" srcOrd="11" destOrd="0" presId="urn:microsoft.com/office/officeart/2005/8/layout/lProcess3"/>
    <dgm:cxn modelId="{A663346D-1EE5-4BC8-8455-26255B70277B}" type="presParOf" srcId="{89981277-0A47-47D1-A0CA-10765B466ED1}" destId="{D3A25E5F-696A-492F-9F7A-F9DECAD0E80A}" srcOrd="12" destOrd="0" presId="urn:microsoft.com/office/officeart/2005/8/layout/lProcess3"/>
    <dgm:cxn modelId="{E0992C41-342A-4752-AC27-4BA61E4EAA49}" type="presParOf" srcId="{110F5A43-F211-43B5-A555-8C9EEBADA2D4}" destId="{A9BEE66F-36BB-44B3-B70B-8A3D13CEF7BE}" srcOrd="1" destOrd="0" presId="urn:microsoft.com/office/officeart/2005/8/layout/lProcess3"/>
    <dgm:cxn modelId="{8A03AEE8-C6F9-4401-9A4E-FC5E16930A02}" type="presParOf" srcId="{110F5A43-F211-43B5-A555-8C9EEBADA2D4}" destId="{42328518-1889-434F-BA29-67500AD6A3E3}" srcOrd="2" destOrd="0" presId="urn:microsoft.com/office/officeart/2005/8/layout/lProcess3"/>
    <dgm:cxn modelId="{1F3010B9-7830-49DD-BC11-8CD7C91B5884}" type="presParOf" srcId="{42328518-1889-434F-BA29-67500AD6A3E3}" destId="{108D6996-3FEB-43E6-98A6-B3CEA7AF6F97}" srcOrd="0" destOrd="0" presId="urn:microsoft.com/office/officeart/2005/8/layout/lProcess3"/>
    <dgm:cxn modelId="{4C18A105-C4E3-41C2-9A7E-C274D7046675}" type="presParOf" srcId="{42328518-1889-434F-BA29-67500AD6A3E3}" destId="{3274A788-D1B1-42E9-A0B9-97FC70252455}" srcOrd="1" destOrd="0" presId="urn:microsoft.com/office/officeart/2005/8/layout/lProcess3"/>
    <dgm:cxn modelId="{146628BE-30FC-4D4B-B033-B0B7CFC32D16}" type="presParOf" srcId="{42328518-1889-434F-BA29-67500AD6A3E3}" destId="{DD05987A-3EC2-4CCA-9869-1F1361695B14}" srcOrd="2" destOrd="0" presId="urn:microsoft.com/office/officeart/2005/8/layout/lProcess3"/>
    <dgm:cxn modelId="{970216B3-C42C-420D-8A2D-ECE087DA471E}" type="presParOf" srcId="{42328518-1889-434F-BA29-67500AD6A3E3}" destId="{074DC42B-66ED-496B-ADFF-445C4D1A79C7}" srcOrd="3" destOrd="0" presId="urn:microsoft.com/office/officeart/2005/8/layout/lProcess3"/>
    <dgm:cxn modelId="{29E1F7F3-69BD-41CB-AFB7-37E924B89894}" type="presParOf" srcId="{42328518-1889-434F-BA29-67500AD6A3E3}" destId="{E0B3BD13-AF19-47FA-8B20-BF9AA0D890B4}" srcOrd="4" destOrd="0" presId="urn:microsoft.com/office/officeart/2005/8/layout/lProcess3"/>
    <dgm:cxn modelId="{6A2C47D9-E458-436C-81FD-342C7B09EC4B}" type="presParOf" srcId="{42328518-1889-434F-BA29-67500AD6A3E3}" destId="{8724CBF4-700F-4F2B-89EC-DB5AB15B0263}" srcOrd="5" destOrd="0" presId="urn:microsoft.com/office/officeart/2005/8/layout/lProcess3"/>
    <dgm:cxn modelId="{47DDC5D2-E0F2-467E-833B-D2A4E1E0EC73}" type="presParOf" srcId="{42328518-1889-434F-BA29-67500AD6A3E3}" destId="{39403DC2-8A29-4B93-A1AD-2A564629EE5C}" srcOrd="6" destOrd="0" presId="urn:microsoft.com/office/officeart/2005/8/layout/lProcess3"/>
    <dgm:cxn modelId="{756A6001-679E-458E-9B73-B07C963877CE}" type="presParOf" srcId="{42328518-1889-434F-BA29-67500AD6A3E3}" destId="{EDDE672C-DAC3-4202-9BBA-0CD4F65E941E}" srcOrd="7" destOrd="0" presId="urn:microsoft.com/office/officeart/2005/8/layout/lProcess3"/>
    <dgm:cxn modelId="{08F88425-8E27-4093-A0DC-813E4900F3A8}" type="presParOf" srcId="{42328518-1889-434F-BA29-67500AD6A3E3}" destId="{4AFDE68C-9E06-4875-8967-539174B30ADD}" srcOrd="8" destOrd="0" presId="urn:microsoft.com/office/officeart/2005/8/layout/lProcess3"/>
    <dgm:cxn modelId="{0EA45F1A-9380-42A2-9952-CFDE9E9BEA4F}" type="presParOf" srcId="{42328518-1889-434F-BA29-67500AD6A3E3}" destId="{6EC87B21-6427-4FE5-AF36-A804927921DB}" srcOrd="9" destOrd="0" presId="urn:microsoft.com/office/officeart/2005/8/layout/lProcess3"/>
    <dgm:cxn modelId="{5301BE05-270A-433B-AD2B-135A987607D2}" type="presParOf" srcId="{42328518-1889-434F-BA29-67500AD6A3E3}" destId="{805827EE-806F-459E-9BE2-BC7F4C63625B}" srcOrd="10" destOrd="0" presId="urn:microsoft.com/office/officeart/2005/8/layout/lProcess3"/>
    <dgm:cxn modelId="{0D0B3DA4-20A4-467B-9B64-55B086D35DAD}" type="presParOf" srcId="{42328518-1889-434F-BA29-67500AD6A3E3}" destId="{45AA2FE5-9708-4508-BB8A-E6C1FBF3E3DE}" srcOrd="11" destOrd="0" presId="urn:microsoft.com/office/officeart/2005/8/layout/lProcess3"/>
    <dgm:cxn modelId="{0DCF0DD6-9FA9-4488-8C54-30311D3544EB}" type="presParOf" srcId="{42328518-1889-434F-BA29-67500AD6A3E3}" destId="{341966EF-3C67-433C-892A-FBE5F2F03106}" srcOrd="12" destOrd="0" presId="urn:microsoft.com/office/officeart/2005/8/layout/lProcess3"/>
    <dgm:cxn modelId="{0A2437FF-6BCA-4E3E-ADEC-A50C8ACDF946}" type="presParOf" srcId="{110F5A43-F211-43B5-A555-8C9EEBADA2D4}" destId="{DCDED6E6-4835-446E-AE1D-11C056A415A0}" srcOrd="3" destOrd="0" presId="urn:microsoft.com/office/officeart/2005/8/layout/lProcess3"/>
    <dgm:cxn modelId="{874F0A7F-3007-4827-B1D9-52ADE0AA6347}" type="presParOf" srcId="{110F5A43-F211-43B5-A555-8C9EEBADA2D4}" destId="{E0A57FD5-40E2-457A-8DCD-AECCFCC1CD91}" srcOrd="4" destOrd="0" presId="urn:microsoft.com/office/officeart/2005/8/layout/lProcess3"/>
    <dgm:cxn modelId="{B1473E69-9DCD-4CEF-8970-037EADAC7488}" type="presParOf" srcId="{E0A57FD5-40E2-457A-8DCD-AECCFCC1CD91}" destId="{271D193C-BAC1-45D4-9F55-82CC0206262A}" srcOrd="0" destOrd="0" presId="urn:microsoft.com/office/officeart/2005/8/layout/lProcess3"/>
    <dgm:cxn modelId="{D510334E-4555-4E50-8AA5-89C1E04AECC7}" type="presParOf" srcId="{E0A57FD5-40E2-457A-8DCD-AECCFCC1CD91}" destId="{A02F81FF-E421-460D-A25E-FC1AFFE195F5}" srcOrd="1" destOrd="0" presId="urn:microsoft.com/office/officeart/2005/8/layout/lProcess3"/>
    <dgm:cxn modelId="{F0EA9193-1CDA-4917-9655-7F7F5334FD21}" type="presParOf" srcId="{E0A57FD5-40E2-457A-8DCD-AECCFCC1CD91}" destId="{47012AB8-D9C4-4B00-AA2F-9FE5BCB3AE2B}" srcOrd="2" destOrd="0" presId="urn:microsoft.com/office/officeart/2005/8/layout/lProcess3"/>
    <dgm:cxn modelId="{BF28E445-C9E0-4DA7-B512-428ADF527AE1}" type="presParOf" srcId="{E0A57FD5-40E2-457A-8DCD-AECCFCC1CD91}" destId="{37EAEF79-AFD4-4254-A1DD-043C950A9181}" srcOrd="3" destOrd="0" presId="urn:microsoft.com/office/officeart/2005/8/layout/lProcess3"/>
    <dgm:cxn modelId="{91BD598F-F2BF-4A83-8A3F-18E83BA396CA}" type="presParOf" srcId="{E0A57FD5-40E2-457A-8DCD-AECCFCC1CD91}" destId="{49C1FADA-A17D-4E70-A3E9-E768A1AF2D9C}" srcOrd="4" destOrd="0" presId="urn:microsoft.com/office/officeart/2005/8/layout/lProcess3"/>
    <dgm:cxn modelId="{C2C7F8AE-648B-4464-8844-2D561A7A8B86}" type="presParOf" srcId="{E0A57FD5-40E2-457A-8DCD-AECCFCC1CD91}" destId="{0E20D554-1779-452B-BF7D-5988665B2857}" srcOrd="5" destOrd="0" presId="urn:microsoft.com/office/officeart/2005/8/layout/lProcess3"/>
    <dgm:cxn modelId="{9D3EED5B-615B-4127-889B-2ABFDBD16394}" type="presParOf" srcId="{E0A57FD5-40E2-457A-8DCD-AECCFCC1CD91}" destId="{190C9095-C4CF-4C8B-9843-FC9A87C43110}" srcOrd="6" destOrd="0" presId="urn:microsoft.com/office/officeart/2005/8/layout/lProcess3"/>
    <dgm:cxn modelId="{CB9D10C5-CBDC-483B-8BDA-1FBFCED05588}" type="presParOf" srcId="{E0A57FD5-40E2-457A-8DCD-AECCFCC1CD91}" destId="{3A29FBB7-BFD7-40DF-B926-DFC96F12E73B}" srcOrd="7" destOrd="0" presId="urn:microsoft.com/office/officeart/2005/8/layout/lProcess3"/>
    <dgm:cxn modelId="{AA3F43FD-4634-4E5B-9544-AAAD4DD6EEC7}" type="presParOf" srcId="{E0A57FD5-40E2-457A-8DCD-AECCFCC1CD91}" destId="{729925F6-6C21-4C2A-A124-CB5331D4D0A1}" srcOrd="8" destOrd="0" presId="urn:microsoft.com/office/officeart/2005/8/layout/lProcess3"/>
    <dgm:cxn modelId="{A83428E5-A39A-433B-B09D-3D368668C3A6}" type="presParOf" srcId="{E0A57FD5-40E2-457A-8DCD-AECCFCC1CD91}" destId="{F87B3730-9DBA-4FB1-BEC3-203582704E71}" srcOrd="9" destOrd="0" presId="urn:microsoft.com/office/officeart/2005/8/layout/lProcess3"/>
    <dgm:cxn modelId="{3501B0D1-2DE6-43C3-85D3-9FAAB22444EE}" type="presParOf" srcId="{E0A57FD5-40E2-457A-8DCD-AECCFCC1CD91}" destId="{F1F41FAD-CF79-4184-9D4A-4B24B3BD1679}" srcOrd="10" destOrd="0" presId="urn:microsoft.com/office/officeart/2005/8/layout/lProcess3"/>
    <dgm:cxn modelId="{F837E110-5302-4DE9-B256-E750BB538079}" type="presParOf" srcId="{E0A57FD5-40E2-457A-8DCD-AECCFCC1CD91}" destId="{CEC64482-0253-43ED-B9B7-046F5EB620B3}" srcOrd="11" destOrd="0" presId="urn:microsoft.com/office/officeart/2005/8/layout/lProcess3"/>
    <dgm:cxn modelId="{1CCEE263-A32A-4FD9-AD47-BEBC83931C0B}" type="presParOf" srcId="{E0A57FD5-40E2-457A-8DCD-AECCFCC1CD91}" destId="{4C65EDB7-00FC-46A4-9C20-9DA139026CE1}" srcOrd="12" destOrd="0" presId="urn:microsoft.com/office/officeart/2005/8/layout/lProcess3"/>
    <dgm:cxn modelId="{7B79AC19-D59F-46DD-8E06-FF73A8062070}" type="presParOf" srcId="{110F5A43-F211-43B5-A555-8C9EEBADA2D4}" destId="{7E5BF45C-0115-41ED-9326-05FE7C694700}" srcOrd="5" destOrd="0" presId="urn:microsoft.com/office/officeart/2005/8/layout/lProcess3"/>
    <dgm:cxn modelId="{92151F78-F21F-4B77-88AF-45A686D323F4}" type="presParOf" srcId="{110F5A43-F211-43B5-A555-8C9EEBADA2D4}" destId="{1BB6BA2D-2500-4816-8327-0A4F6B34843B}" srcOrd="6" destOrd="0" presId="urn:microsoft.com/office/officeart/2005/8/layout/lProcess3"/>
    <dgm:cxn modelId="{31C14AF9-C1D7-4CC7-970A-500734994772}" type="presParOf" srcId="{1BB6BA2D-2500-4816-8327-0A4F6B34843B}" destId="{3B038CE9-4800-42E2-ADC1-CECE41DB3D7F}" srcOrd="0" destOrd="0" presId="urn:microsoft.com/office/officeart/2005/8/layout/lProcess3"/>
    <dgm:cxn modelId="{E61C184B-514F-4150-8A7C-ACC3190EA893}" type="presParOf" srcId="{1BB6BA2D-2500-4816-8327-0A4F6B34843B}" destId="{C69CFF36-F175-4B28-88C2-30012360F175}" srcOrd="1" destOrd="0" presId="urn:microsoft.com/office/officeart/2005/8/layout/lProcess3"/>
    <dgm:cxn modelId="{51A8EEDD-2A07-4049-A56B-B2F4B9281785}" type="presParOf" srcId="{1BB6BA2D-2500-4816-8327-0A4F6B34843B}" destId="{0C4F5166-7B8C-4DC5-9D99-03C90D522575}" srcOrd="2" destOrd="0" presId="urn:microsoft.com/office/officeart/2005/8/layout/lProcess3"/>
    <dgm:cxn modelId="{FD0AC5BF-C4E3-4693-89CE-A36889D77AD2}" type="presParOf" srcId="{1BB6BA2D-2500-4816-8327-0A4F6B34843B}" destId="{13F7C1A8-0FA6-4047-8DEF-A7F40DB089B6}" srcOrd="3" destOrd="0" presId="urn:microsoft.com/office/officeart/2005/8/layout/lProcess3"/>
    <dgm:cxn modelId="{1FD3B04B-E2FF-4DA7-8BDA-D8FA96176F16}" type="presParOf" srcId="{1BB6BA2D-2500-4816-8327-0A4F6B34843B}" destId="{7CB82BEA-AE28-47E4-BA52-D78E48C0F651}" srcOrd="4" destOrd="0" presId="urn:microsoft.com/office/officeart/2005/8/layout/lProcess3"/>
    <dgm:cxn modelId="{B9FB629E-F8FC-44D4-9FCB-C85F20F3C4ED}" type="presParOf" srcId="{1BB6BA2D-2500-4816-8327-0A4F6B34843B}" destId="{530B6F05-6DFC-43D0-92E5-B644BDD10F2A}" srcOrd="5" destOrd="0" presId="urn:microsoft.com/office/officeart/2005/8/layout/lProcess3"/>
    <dgm:cxn modelId="{6E19BAB5-03BC-4FCF-94EF-416B09F4E23C}" type="presParOf" srcId="{1BB6BA2D-2500-4816-8327-0A4F6B34843B}" destId="{3963FC4F-805E-4287-BBFA-DE711BEEDB2C}" srcOrd="6" destOrd="0" presId="urn:microsoft.com/office/officeart/2005/8/layout/lProcess3"/>
    <dgm:cxn modelId="{FC89C22D-AA34-4EDD-BD83-E09E051BFE24}" type="presParOf" srcId="{1BB6BA2D-2500-4816-8327-0A4F6B34843B}" destId="{24B223E9-9351-4648-AEE2-D4038D026EF0}" srcOrd="7" destOrd="0" presId="urn:microsoft.com/office/officeart/2005/8/layout/lProcess3"/>
    <dgm:cxn modelId="{C17A14C7-C653-49FE-A61B-6C3539B6EACD}" type="presParOf" srcId="{1BB6BA2D-2500-4816-8327-0A4F6B34843B}" destId="{68FF06A0-95BF-4EB5-BCC0-FE24A744B17A}" srcOrd="8" destOrd="0" presId="urn:microsoft.com/office/officeart/2005/8/layout/lProcess3"/>
    <dgm:cxn modelId="{DF25222E-8957-4139-BEF6-417D75A6D73B}" type="presParOf" srcId="{1BB6BA2D-2500-4816-8327-0A4F6B34843B}" destId="{1169AA05-4D8B-4B3D-9FEC-0917DC98EC23}" srcOrd="9" destOrd="0" presId="urn:microsoft.com/office/officeart/2005/8/layout/lProcess3"/>
    <dgm:cxn modelId="{9EB797F7-48A6-4708-BF1C-3FDA77540A91}" type="presParOf" srcId="{1BB6BA2D-2500-4816-8327-0A4F6B34843B}" destId="{1FAD3650-64BC-4728-B0DE-4DF577F605F2}" srcOrd="10" destOrd="0" presId="urn:microsoft.com/office/officeart/2005/8/layout/lProcess3"/>
    <dgm:cxn modelId="{55358029-5FF3-4FCB-8D88-52F08FD20AE4}" type="presParOf" srcId="{1BB6BA2D-2500-4816-8327-0A4F6B34843B}" destId="{CCD5C5F7-8FEC-426D-9ABE-706AE504B669}" srcOrd="11" destOrd="0" presId="urn:microsoft.com/office/officeart/2005/8/layout/lProcess3"/>
    <dgm:cxn modelId="{CEE18C56-38D7-4B78-B6D1-044B90020EAE}" type="presParOf" srcId="{1BB6BA2D-2500-4816-8327-0A4F6B34843B}" destId="{C132509D-D53A-413A-B4A6-5E3503422542}" srcOrd="12" destOrd="0" presId="urn:microsoft.com/office/officeart/2005/8/layout/lProcess3"/>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1A6347D2-E774-46FA-B777-F1A30B1B32AE}"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cs-CZ"/>
        </a:p>
      </dgm:t>
    </dgm:pt>
    <dgm:pt modelId="{A1CF1E31-5801-448F-B337-DBA64B602091}">
      <dgm:prSet phldrT="[Text]" custT="1"/>
      <dgm:spPr>
        <a:xfrm>
          <a:off x="699282"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SFDI</a:t>
          </a:r>
        </a:p>
      </dgm:t>
    </dgm:pt>
    <dgm:pt modelId="{BFA133A1-756A-45F1-8766-59F7BCFDAA6C}" type="parTrans" cxnId="{7796AACE-01AA-4552-8B2C-43ECF3FCBCD7}">
      <dgm:prSet/>
      <dgm:spPr/>
      <dgm:t>
        <a:bodyPr/>
        <a:lstStyle/>
        <a:p>
          <a:endParaRPr lang="cs-CZ" sz="1000" b="1">
            <a:solidFill>
              <a:schemeClr val="tx1"/>
            </a:solidFill>
          </a:endParaRPr>
        </a:p>
      </dgm:t>
    </dgm:pt>
    <dgm:pt modelId="{D30FBF5B-3185-4475-AA36-3B0290B49DAD}" type="sibTrans" cxnId="{7796AACE-01AA-4552-8B2C-43ECF3FCBCD7}">
      <dgm:prSet/>
      <dgm:spPr/>
      <dgm:t>
        <a:bodyPr/>
        <a:lstStyle/>
        <a:p>
          <a:endParaRPr lang="cs-CZ" sz="1000" b="1">
            <a:solidFill>
              <a:schemeClr val="tx1"/>
            </a:solidFill>
          </a:endParaRPr>
        </a:p>
      </dgm:t>
    </dgm:pt>
    <dgm:pt modelId="{358C9A41-D250-4EE4-9337-6B3886DC0DC0}">
      <dgm:prSet phldrT="[Text]" custT="1"/>
      <dgm:spPr>
        <a:xfrm>
          <a:off x="1217861"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SZIF</a:t>
          </a:r>
        </a:p>
      </dgm:t>
    </dgm:pt>
    <dgm:pt modelId="{37117464-C6AC-4707-B9BD-209DE83C59FB}" type="parTrans" cxnId="{ED7784F0-CB07-46A9-9099-A96DEBF07610}">
      <dgm:prSet/>
      <dgm:spPr/>
      <dgm:t>
        <a:bodyPr/>
        <a:lstStyle/>
        <a:p>
          <a:endParaRPr lang="cs-CZ" sz="1000" b="1">
            <a:solidFill>
              <a:schemeClr val="tx1"/>
            </a:solidFill>
          </a:endParaRPr>
        </a:p>
      </dgm:t>
    </dgm:pt>
    <dgm:pt modelId="{EB460E09-C9FC-4808-8795-EB45393F3985}" type="sibTrans" cxnId="{ED7784F0-CB07-46A9-9099-A96DEBF07610}">
      <dgm:prSet/>
      <dgm:spPr/>
      <dgm:t>
        <a:bodyPr/>
        <a:lstStyle/>
        <a:p>
          <a:endParaRPr lang="cs-CZ" sz="1000" b="1">
            <a:solidFill>
              <a:schemeClr val="tx1"/>
            </a:solidFill>
          </a:endParaRPr>
        </a:p>
      </dgm:t>
    </dgm:pt>
    <dgm:pt modelId="{78174B99-CB2F-41B4-84A1-1438F1481E64}">
      <dgm:prSet phldrT="[Text]" custT="1"/>
      <dgm:spPr>
        <a:xfrm>
          <a:off x="67223" y="331701"/>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1000" b="1">
              <a:solidFill>
                <a:schemeClr val="tx1"/>
              </a:solidFill>
              <a:latin typeface="Calibri" panose="020F0502020204030204"/>
              <a:ea typeface="+mn-ea"/>
              <a:cs typeface="+mn-cs"/>
            </a:rPr>
            <a:t>Příjmy</a:t>
          </a:r>
        </a:p>
      </dgm:t>
    </dgm:pt>
    <dgm:pt modelId="{D7C31FB7-9F0B-4DC9-9E58-D2D92803A3E7}" type="parTrans" cxnId="{FBE2A66C-BAEB-4055-B249-C62290420E1D}">
      <dgm:prSet/>
      <dgm:spPr/>
      <dgm:t>
        <a:bodyPr/>
        <a:lstStyle/>
        <a:p>
          <a:endParaRPr lang="cs-CZ" sz="1000" b="1">
            <a:solidFill>
              <a:schemeClr val="tx1"/>
            </a:solidFill>
          </a:endParaRPr>
        </a:p>
      </dgm:t>
    </dgm:pt>
    <dgm:pt modelId="{949F9C5E-8E40-433E-9C30-8C6B1B901287}" type="sibTrans" cxnId="{FBE2A66C-BAEB-4055-B249-C62290420E1D}">
      <dgm:prSet/>
      <dgm:spPr/>
      <dgm:t>
        <a:bodyPr/>
        <a:lstStyle/>
        <a:p>
          <a:endParaRPr lang="cs-CZ" sz="1000" b="1">
            <a:solidFill>
              <a:schemeClr val="tx1"/>
            </a:solidFill>
          </a:endParaRPr>
        </a:p>
      </dgm:t>
    </dgm:pt>
    <dgm:pt modelId="{2EDBE3C3-8A52-4A3A-9194-3724DB8ACE24}">
      <dgm:prSet phldrT="[Text]" custT="1"/>
      <dgm:spPr>
        <a:xfrm>
          <a:off x="699282" y="356402"/>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77,03</a:t>
          </a:r>
        </a:p>
      </dgm:t>
    </dgm:pt>
    <dgm:pt modelId="{7648DE78-9420-4106-B5C2-036985F43A06}" type="parTrans" cxnId="{D854AD87-6BC3-451D-BF2E-A403FC00D3A8}">
      <dgm:prSet/>
      <dgm:spPr/>
      <dgm:t>
        <a:bodyPr/>
        <a:lstStyle/>
        <a:p>
          <a:endParaRPr lang="cs-CZ" sz="1000" b="1">
            <a:solidFill>
              <a:schemeClr val="tx1"/>
            </a:solidFill>
          </a:endParaRPr>
        </a:p>
      </dgm:t>
    </dgm:pt>
    <dgm:pt modelId="{57DB7BDA-E66E-4670-B460-59BDCDF1EA8F}" type="sibTrans" cxnId="{D854AD87-6BC3-451D-BF2E-A403FC00D3A8}">
      <dgm:prSet/>
      <dgm:spPr/>
      <dgm:t>
        <a:bodyPr/>
        <a:lstStyle/>
        <a:p>
          <a:endParaRPr lang="cs-CZ" sz="1000" b="1">
            <a:solidFill>
              <a:schemeClr val="tx1"/>
            </a:solidFill>
          </a:endParaRPr>
        </a:p>
      </dgm:t>
    </dgm:pt>
    <dgm:pt modelId="{BAB9C705-956B-4C48-87C1-811A07CE45F3}">
      <dgm:prSet phldrT="[Text]" custT="1"/>
      <dgm:spPr>
        <a:xfrm>
          <a:off x="1217861" y="356402"/>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37,39</a:t>
          </a:r>
        </a:p>
      </dgm:t>
    </dgm:pt>
    <dgm:pt modelId="{5060BF98-44BD-4F09-9401-9C30985B369C}" type="parTrans" cxnId="{2E4F9EB2-8F1A-4534-BF6D-3D10D5EEB47E}">
      <dgm:prSet/>
      <dgm:spPr/>
      <dgm:t>
        <a:bodyPr/>
        <a:lstStyle/>
        <a:p>
          <a:endParaRPr lang="cs-CZ" sz="1000" b="1">
            <a:solidFill>
              <a:schemeClr val="tx1"/>
            </a:solidFill>
          </a:endParaRPr>
        </a:p>
      </dgm:t>
    </dgm:pt>
    <dgm:pt modelId="{FC896497-7C28-4987-BB69-76BA32DE4EF9}" type="sibTrans" cxnId="{2E4F9EB2-8F1A-4534-BF6D-3D10D5EEB47E}">
      <dgm:prSet/>
      <dgm:spPr/>
      <dgm:t>
        <a:bodyPr/>
        <a:lstStyle/>
        <a:p>
          <a:endParaRPr lang="cs-CZ" sz="1000" b="1">
            <a:solidFill>
              <a:schemeClr val="tx1"/>
            </a:solidFill>
          </a:endParaRPr>
        </a:p>
      </dgm:t>
    </dgm:pt>
    <dgm:pt modelId="{10EEAB1A-174F-4182-8129-99D15D7AB9CF}">
      <dgm:prSet phldrT="[Text]" custT="1"/>
      <dgm:spPr>
        <a:xfrm>
          <a:off x="67223" y="662987"/>
          <a:ext cx="726504" cy="290601"/>
        </a:xfrm>
        <a:solidFill>
          <a:srgbClr val="D9EAFF"/>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Výdaje</a:t>
          </a:r>
        </a:p>
      </dgm:t>
    </dgm:pt>
    <dgm:pt modelId="{9621A7A5-593F-4E40-9A9F-6395F70BF010}" type="parTrans" cxnId="{A08410E1-484C-4B88-AD39-0AA25FB467E7}">
      <dgm:prSet/>
      <dgm:spPr/>
      <dgm:t>
        <a:bodyPr/>
        <a:lstStyle/>
        <a:p>
          <a:endParaRPr lang="cs-CZ" sz="1000" b="1">
            <a:solidFill>
              <a:schemeClr val="tx1"/>
            </a:solidFill>
          </a:endParaRPr>
        </a:p>
      </dgm:t>
    </dgm:pt>
    <dgm:pt modelId="{988FF4AE-EDFA-4F28-A5CC-08BF75833141}" type="sibTrans" cxnId="{A08410E1-484C-4B88-AD39-0AA25FB467E7}">
      <dgm:prSet/>
      <dgm:spPr/>
      <dgm:t>
        <a:bodyPr/>
        <a:lstStyle/>
        <a:p>
          <a:endParaRPr lang="cs-CZ" sz="1000" b="1">
            <a:solidFill>
              <a:schemeClr val="tx1"/>
            </a:solidFill>
          </a:endParaRPr>
        </a:p>
      </dgm:t>
    </dgm:pt>
    <dgm:pt modelId="{BD31FC45-3A97-40A0-952F-7F630CAADFF7}">
      <dgm:prSet phldrT="[Text]" custT="1"/>
      <dgm:spPr>
        <a:xfrm>
          <a:off x="2255018" y="356402"/>
          <a:ext cx="602998" cy="241199"/>
        </a:xfrm>
        <a:solidFill>
          <a:srgbClr val="C3C5C6">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0,08</a:t>
          </a:r>
        </a:p>
      </dgm:t>
    </dgm:pt>
    <dgm:pt modelId="{7F98EE7C-F0D8-43D7-8240-2E47B95F7EED}" type="parTrans" cxnId="{EE73EFEB-6030-4D28-9DBA-FF585117EA09}">
      <dgm:prSet/>
      <dgm:spPr/>
      <dgm:t>
        <a:bodyPr/>
        <a:lstStyle/>
        <a:p>
          <a:endParaRPr lang="cs-CZ" sz="1000" b="1">
            <a:solidFill>
              <a:schemeClr val="tx1"/>
            </a:solidFill>
          </a:endParaRPr>
        </a:p>
      </dgm:t>
    </dgm:pt>
    <dgm:pt modelId="{E8A55DA6-FCA5-42C9-855D-834E3421F7A2}" type="sibTrans" cxnId="{EE73EFEB-6030-4D28-9DBA-FF585117EA09}">
      <dgm:prSet/>
      <dgm:spPr/>
      <dgm:t>
        <a:bodyPr/>
        <a:lstStyle/>
        <a:p>
          <a:endParaRPr lang="cs-CZ" sz="1000" b="1">
            <a:solidFill>
              <a:schemeClr val="tx1"/>
            </a:solidFill>
          </a:endParaRPr>
        </a:p>
      </dgm:t>
    </dgm:pt>
    <dgm:pt modelId="{D16CAD34-9C66-484C-BBDC-A5E42BF3D225}">
      <dgm:prSet phldrT="[Text]" custT="1"/>
      <dgm:spPr>
        <a:xfrm>
          <a:off x="3292175"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SFŽP</a:t>
          </a:r>
        </a:p>
      </dgm:t>
    </dgm:pt>
    <dgm:pt modelId="{808DF22A-3A20-4FBB-8A78-D8AC7AAE1BF0}" type="parTrans" cxnId="{F8380EE1-40BA-4909-AC03-FE163230E010}">
      <dgm:prSet/>
      <dgm:spPr/>
      <dgm:t>
        <a:bodyPr/>
        <a:lstStyle/>
        <a:p>
          <a:endParaRPr lang="cs-CZ" sz="1000" b="1">
            <a:solidFill>
              <a:schemeClr val="tx1"/>
            </a:solidFill>
          </a:endParaRPr>
        </a:p>
      </dgm:t>
    </dgm:pt>
    <dgm:pt modelId="{45B66F3E-68B1-4323-9B56-387FA6FB0408}" type="sibTrans" cxnId="{F8380EE1-40BA-4909-AC03-FE163230E010}">
      <dgm:prSet/>
      <dgm:spPr/>
      <dgm:t>
        <a:bodyPr/>
        <a:lstStyle/>
        <a:p>
          <a:endParaRPr lang="cs-CZ" sz="1000" b="1">
            <a:solidFill>
              <a:schemeClr val="tx1"/>
            </a:solidFill>
          </a:endParaRPr>
        </a:p>
      </dgm:t>
    </dgm:pt>
    <dgm:pt modelId="{5A11B889-0B82-46C6-AA06-198B94C240BA}">
      <dgm:prSet phldrT="[Text]" custT="1"/>
      <dgm:spPr>
        <a:xfrm>
          <a:off x="1736439"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SFRB</a:t>
          </a:r>
        </a:p>
      </dgm:t>
    </dgm:pt>
    <dgm:pt modelId="{85632010-DCDE-49B9-B7C8-1BA4BC10AB96}" type="parTrans" cxnId="{7F8520E7-18CD-4AD7-9246-8612BFB7B683}">
      <dgm:prSet/>
      <dgm:spPr/>
      <dgm:t>
        <a:bodyPr/>
        <a:lstStyle/>
        <a:p>
          <a:endParaRPr lang="cs-CZ" sz="1000" b="1">
            <a:solidFill>
              <a:schemeClr val="tx1"/>
            </a:solidFill>
          </a:endParaRPr>
        </a:p>
      </dgm:t>
    </dgm:pt>
    <dgm:pt modelId="{3E41D1D9-E567-4048-A439-D1D74FF4254F}" type="sibTrans" cxnId="{7F8520E7-18CD-4AD7-9246-8612BFB7B683}">
      <dgm:prSet/>
      <dgm:spPr/>
      <dgm:t>
        <a:bodyPr/>
        <a:lstStyle/>
        <a:p>
          <a:endParaRPr lang="cs-CZ" sz="1000" b="1">
            <a:solidFill>
              <a:schemeClr val="tx1"/>
            </a:solidFill>
          </a:endParaRPr>
        </a:p>
      </dgm:t>
    </dgm:pt>
    <dgm:pt modelId="{EC97A157-B1ED-4108-8FEF-1E4923639515}">
      <dgm:prSet phldrT="[Text]" custT="1"/>
      <dgm:spPr>
        <a:xfrm>
          <a:off x="2255018"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SFK</a:t>
          </a:r>
        </a:p>
      </dgm:t>
    </dgm:pt>
    <dgm:pt modelId="{9D7F40E7-42DB-4EEC-B91F-E81F9F00800B}" type="parTrans" cxnId="{BF1CF443-1178-4CD3-9263-76DABC19179B}">
      <dgm:prSet/>
      <dgm:spPr/>
      <dgm:t>
        <a:bodyPr/>
        <a:lstStyle/>
        <a:p>
          <a:endParaRPr lang="cs-CZ" sz="1000" b="1">
            <a:solidFill>
              <a:schemeClr val="tx1"/>
            </a:solidFill>
          </a:endParaRPr>
        </a:p>
      </dgm:t>
    </dgm:pt>
    <dgm:pt modelId="{5E219547-CBEE-409D-BC33-EF0F7574158E}" type="sibTrans" cxnId="{BF1CF443-1178-4CD3-9263-76DABC19179B}">
      <dgm:prSet/>
      <dgm:spPr/>
      <dgm:t>
        <a:bodyPr/>
        <a:lstStyle/>
        <a:p>
          <a:endParaRPr lang="cs-CZ" sz="1000" b="1">
            <a:solidFill>
              <a:schemeClr val="tx1"/>
            </a:solidFill>
          </a:endParaRPr>
        </a:p>
      </dgm:t>
    </dgm:pt>
    <dgm:pt modelId="{5C5B4CF2-03CD-467B-842D-BF255C666D8D}">
      <dgm:prSet phldrT="[Text]" custT="1"/>
      <dgm:spPr>
        <a:xfrm>
          <a:off x="2773597" y="25116"/>
          <a:ext cx="602998" cy="241199"/>
        </a:xfrm>
        <a:solidFill>
          <a:srgbClr val="D9EAFF">
            <a:alpha val="9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SFKMG</a:t>
          </a:r>
        </a:p>
      </dgm:t>
    </dgm:pt>
    <dgm:pt modelId="{2146FB9C-8A70-4886-876C-F201956EA5EF}" type="parTrans" cxnId="{7074881D-F902-419B-A3D3-69D166603E82}">
      <dgm:prSet/>
      <dgm:spPr/>
      <dgm:t>
        <a:bodyPr/>
        <a:lstStyle/>
        <a:p>
          <a:endParaRPr lang="cs-CZ" sz="1000" b="1">
            <a:solidFill>
              <a:schemeClr val="tx1"/>
            </a:solidFill>
          </a:endParaRPr>
        </a:p>
      </dgm:t>
    </dgm:pt>
    <dgm:pt modelId="{4A97EA9F-0D43-4C4E-B773-0126E6BF88A2}" type="sibTrans" cxnId="{7074881D-F902-419B-A3D3-69D166603E82}">
      <dgm:prSet/>
      <dgm:spPr/>
      <dgm:t>
        <a:bodyPr/>
        <a:lstStyle/>
        <a:p>
          <a:endParaRPr lang="cs-CZ" sz="1000" b="1">
            <a:solidFill>
              <a:schemeClr val="tx1"/>
            </a:solidFill>
          </a:endParaRPr>
        </a:p>
      </dgm:t>
    </dgm:pt>
    <dgm:pt modelId="{209F4FE5-7545-474C-A12F-B61E24BF3255}">
      <dgm:prSet phldrT="[Text]" custT="1"/>
      <dgm:spPr>
        <a:xfrm>
          <a:off x="1736439" y="356402"/>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0,80</a:t>
          </a:r>
        </a:p>
      </dgm:t>
    </dgm:pt>
    <dgm:pt modelId="{63AD4E18-C162-4B96-9CE0-7B2422FA6253}" type="parTrans" cxnId="{68950414-8404-4C29-ACAA-54C9C6DAD015}">
      <dgm:prSet/>
      <dgm:spPr/>
      <dgm:t>
        <a:bodyPr/>
        <a:lstStyle/>
        <a:p>
          <a:endParaRPr lang="cs-CZ" sz="1000" b="1">
            <a:solidFill>
              <a:schemeClr val="tx1"/>
            </a:solidFill>
          </a:endParaRPr>
        </a:p>
      </dgm:t>
    </dgm:pt>
    <dgm:pt modelId="{365929A1-29A6-40CB-8A04-7CD33DA95ED2}" type="sibTrans" cxnId="{68950414-8404-4C29-ACAA-54C9C6DAD015}">
      <dgm:prSet/>
      <dgm:spPr/>
      <dgm:t>
        <a:bodyPr/>
        <a:lstStyle/>
        <a:p>
          <a:endParaRPr lang="cs-CZ" sz="1000" b="1">
            <a:solidFill>
              <a:schemeClr val="tx1"/>
            </a:solidFill>
          </a:endParaRPr>
        </a:p>
      </dgm:t>
    </dgm:pt>
    <dgm:pt modelId="{B7AB5797-52D3-4168-94E9-B5B272FA6C3D}">
      <dgm:prSet phldrT="[Text]" custT="1"/>
      <dgm:spPr>
        <a:xfrm>
          <a:off x="1736439" y="687688"/>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1,22</a:t>
          </a:r>
        </a:p>
      </dgm:t>
    </dgm:pt>
    <dgm:pt modelId="{481AFC01-99CA-46E0-87DB-7575ED20FCFD}" type="parTrans" cxnId="{1E8F49F5-B1EF-4DD8-92A0-160CF075C052}">
      <dgm:prSet/>
      <dgm:spPr/>
      <dgm:t>
        <a:bodyPr/>
        <a:lstStyle/>
        <a:p>
          <a:endParaRPr lang="cs-CZ" sz="1000" b="1">
            <a:solidFill>
              <a:schemeClr val="tx1"/>
            </a:solidFill>
          </a:endParaRPr>
        </a:p>
      </dgm:t>
    </dgm:pt>
    <dgm:pt modelId="{AB6F074E-C192-402C-B1F8-7A5A7BBE2373}" type="sibTrans" cxnId="{1E8F49F5-B1EF-4DD8-92A0-160CF075C052}">
      <dgm:prSet/>
      <dgm:spPr/>
      <dgm:t>
        <a:bodyPr/>
        <a:lstStyle/>
        <a:p>
          <a:endParaRPr lang="cs-CZ" sz="1000" b="1">
            <a:solidFill>
              <a:schemeClr val="tx1"/>
            </a:solidFill>
          </a:endParaRPr>
        </a:p>
      </dgm:t>
    </dgm:pt>
    <dgm:pt modelId="{3B04C11E-1E1D-4B33-905E-D561049DA493}">
      <dgm:prSet phldrT="[Text]" custT="1"/>
      <dgm:spPr>
        <a:xfrm>
          <a:off x="699282" y="687688"/>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80,02</a:t>
          </a:r>
        </a:p>
      </dgm:t>
    </dgm:pt>
    <dgm:pt modelId="{9A5D6920-F92B-401E-8ABC-E4BDCB79BFC4}" type="parTrans" cxnId="{310A3113-A0E8-4F71-BAB5-F6696697AF1D}">
      <dgm:prSet/>
      <dgm:spPr/>
      <dgm:t>
        <a:bodyPr/>
        <a:lstStyle/>
        <a:p>
          <a:endParaRPr lang="cs-CZ" sz="1000" b="1">
            <a:solidFill>
              <a:schemeClr val="tx1"/>
            </a:solidFill>
          </a:endParaRPr>
        </a:p>
      </dgm:t>
    </dgm:pt>
    <dgm:pt modelId="{1C6F6D06-2691-49C6-9ECD-584EE3F45D1E}" type="sibTrans" cxnId="{310A3113-A0E8-4F71-BAB5-F6696697AF1D}">
      <dgm:prSet/>
      <dgm:spPr/>
      <dgm:t>
        <a:bodyPr/>
        <a:lstStyle/>
        <a:p>
          <a:endParaRPr lang="cs-CZ" sz="1000" b="1">
            <a:solidFill>
              <a:schemeClr val="tx1"/>
            </a:solidFill>
          </a:endParaRPr>
        </a:p>
      </dgm:t>
    </dgm:pt>
    <dgm:pt modelId="{6CC8CB00-F4BD-4923-B21D-476D50CE4744}">
      <dgm:prSet phldrT="[Text]" custT="1"/>
      <dgm:spPr>
        <a:xfrm>
          <a:off x="1217861" y="687688"/>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38,55</a:t>
          </a:r>
        </a:p>
      </dgm:t>
    </dgm:pt>
    <dgm:pt modelId="{3A0F8BA9-3017-44A7-92D0-493BE9266296}" type="parTrans" cxnId="{6CEAB6DC-D4C5-47A3-86E6-BEC62BA98C30}">
      <dgm:prSet/>
      <dgm:spPr/>
      <dgm:t>
        <a:bodyPr/>
        <a:lstStyle/>
        <a:p>
          <a:endParaRPr lang="cs-CZ" sz="1000" b="1">
            <a:solidFill>
              <a:schemeClr val="tx1"/>
            </a:solidFill>
          </a:endParaRPr>
        </a:p>
      </dgm:t>
    </dgm:pt>
    <dgm:pt modelId="{58CCD390-3616-4FCE-96E5-24C51DBD1F9B}" type="sibTrans" cxnId="{6CEAB6DC-D4C5-47A3-86E6-BEC62BA98C30}">
      <dgm:prSet/>
      <dgm:spPr/>
      <dgm:t>
        <a:bodyPr/>
        <a:lstStyle/>
        <a:p>
          <a:endParaRPr lang="cs-CZ" sz="1000" b="1">
            <a:solidFill>
              <a:schemeClr val="tx1"/>
            </a:solidFill>
          </a:endParaRPr>
        </a:p>
      </dgm:t>
    </dgm:pt>
    <dgm:pt modelId="{FEA4DDB3-3A97-44AC-828D-91A1B7C2F815}">
      <dgm:prSet phldrT="[Text]" custT="1"/>
      <dgm:spPr>
        <a:xfrm>
          <a:off x="2773597" y="687688"/>
          <a:ext cx="602998" cy="241199"/>
        </a:xfrm>
        <a:solidFill>
          <a:srgbClr val="C3C5C6">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0,81</a:t>
          </a:r>
        </a:p>
      </dgm:t>
    </dgm:pt>
    <dgm:pt modelId="{30C3A696-7896-4142-98B8-911DAA51A0C2}" type="parTrans" cxnId="{BD1F13C6-0963-459B-B4C1-46A35A1AF419}">
      <dgm:prSet/>
      <dgm:spPr/>
      <dgm:t>
        <a:bodyPr/>
        <a:lstStyle/>
        <a:p>
          <a:endParaRPr lang="cs-CZ" sz="1000" b="1">
            <a:solidFill>
              <a:schemeClr val="tx1"/>
            </a:solidFill>
          </a:endParaRPr>
        </a:p>
      </dgm:t>
    </dgm:pt>
    <dgm:pt modelId="{A392C771-08EA-4F6A-B577-51DE6D88CA16}" type="sibTrans" cxnId="{BD1F13C6-0963-459B-B4C1-46A35A1AF419}">
      <dgm:prSet/>
      <dgm:spPr/>
      <dgm:t>
        <a:bodyPr/>
        <a:lstStyle/>
        <a:p>
          <a:endParaRPr lang="cs-CZ" sz="1000" b="1">
            <a:solidFill>
              <a:schemeClr val="tx1"/>
            </a:solidFill>
          </a:endParaRPr>
        </a:p>
      </dgm:t>
    </dgm:pt>
    <dgm:pt modelId="{D83646A4-A7B1-4063-96EE-F494AE1354F3}">
      <dgm:prSet phldrT="[Text]" custT="1"/>
      <dgm:spPr>
        <a:xfrm>
          <a:off x="2255018" y="687688"/>
          <a:ext cx="602998" cy="241199"/>
        </a:xfrm>
        <a:solidFill>
          <a:srgbClr val="C3C5C6">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0,06</a:t>
          </a:r>
        </a:p>
      </dgm:t>
    </dgm:pt>
    <dgm:pt modelId="{8E629B7D-0666-4E55-A6F7-0D502A314A0E}" type="parTrans" cxnId="{7E4DF2E4-B591-466C-A14D-9B687B7A49BF}">
      <dgm:prSet/>
      <dgm:spPr/>
      <dgm:t>
        <a:bodyPr/>
        <a:lstStyle/>
        <a:p>
          <a:endParaRPr lang="cs-CZ" sz="1000" b="1">
            <a:solidFill>
              <a:schemeClr val="tx1"/>
            </a:solidFill>
          </a:endParaRPr>
        </a:p>
      </dgm:t>
    </dgm:pt>
    <dgm:pt modelId="{CCD5F0B8-6925-4DD9-AEB0-82326B9BC3C4}" type="sibTrans" cxnId="{7E4DF2E4-B591-466C-A14D-9B687B7A49BF}">
      <dgm:prSet/>
      <dgm:spPr/>
      <dgm:t>
        <a:bodyPr/>
        <a:lstStyle/>
        <a:p>
          <a:endParaRPr lang="cs-CZ" sz="1000" b="1">
            <a:solidFill>
              <a:schemeClr val="tx1"/>
            </a:solidFill>
          </a:endParaRPr>
        </a:p>
      </dgm:t>
    </dgm:pt>
    <dgm:pt modelId="{5C86C45D-0504-41F5-9ED8-B8588DC4BB71}">
      <dgm:prSet phldrT="[Text]" custT="1"/>
      <dgm:spPr>
        <a:xfrm>
          <a:off x="67223" y="994273"/>
          <a:ext cx="726504" cy="290601"/>
        </a:xfrm>
        <a:solidFill>
          <a:srgbClr val="D9EAFF"/>
        </a:solidFill>
        <a:ln w="12700" cap="flat" cmpd="sng" algn="ctr">
          <a:solidFill>
            <a:sysClr val="window" lastClr="FFFFFF">
              <a:hueOff val="0"/>
              <a:satOff val="0"/>
              <a:lumOff val="0"/>
              <a:alphaOff val="0"/>
            </a:sysClr>
          </a:solidFill>
          <a:prstDash val="solid"/>
          <a:miter lim="800000"/>
        </a:ln>
        <a:effectLst/>
      </dgm:spPr>
      <dgm:t>
        <a:bodyPr/>
        <a:lstStyle/>
        <a:p>
          <a:r>
            <a:rPr lang="cs-CZ" sz="1000" b="1">
              <a:solidFill>
                <a:schemeClr val="tx1"/>
              </a:solidFill>
              <a:latin typeface="Calibri" panose="020F0502020204030204"/>
              <a:ea typeface="+mn-ea"/>
              <a:cs typeface="+mn-cs"/>
            </a:rPr>
            <a:t>Saldo příjmů a výdajů</a:t>
          </a:r>
        </a:p>
      </dgm:t>
    </dgm:pt>
    <dgm:pt modelId="{958CFC62-690E-4A69-9661-5397DCEA31BF}" type="parTrans" cxnId="{FAB24F56-6565-450D-B1E9-FF353CA1B578}">
      <dgm:prSet/>
      <dgm:spPr/>
      <dgm:t>
        <a:bodyPr/>
        <a:lstStyle/>
        <a:p>
          <a:endParaRPr lang="cs-CZ" sz="1000" b="1">
            <a:solidFill>
              <a:schemeClr val="tx1"/>
            </a:solidFill>
          </a:endParaRPr>
        </a:p>
      </dgm:t>
    </dgm:pt>
    <dgm:pt modelId="{66C83E80-71BF-41C0-B162-00C0E2E64806}" type="sibTrans" cxnId="{FAB24F56-6565-450D-B1E9-FF353CA1B578}">
      <dgm:prSet/>
      <dgm:spPr/>
      <dgm:t>
        <a:bodyPr/>
        <a:lstStyle/>
        <a:p>
          <a:endParaRPr lang="cs-CZ" sz="1000" b="1">
            <a:solidFill>
              <a:schemeClr val="tx1"/>
            </a:solidFill>
          </a:endParaRPr>
        </a:p>
      </dgm:t>
    </dgm:pt>
    <dgm:pt modelId="{62A6766A-7015-4663-8F88-379392C1BE11}">
      <dgm:prSet phldrT="[Text]" custT="1"/>
      <dgm:spPr>
        <a:xfrm>
          <a:off x="2773597" y="356402"/>
          <a:ext cx="602998" cy="241199"/>
        </a:xfrm>
        <a:solidFill>
          <a:srgbClr val="C3C5C6">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1,27</a:t>
          </a:r>
        </a:p>
      </dgm:t>
    </dgm:pt>
    <dgm:pt modelId="{A6578421-CDAE-4169-BBBB-C5D113A31D27}" type="parTrans" cxnId="{C286652C-92D4-4C9C-9D35-5919CAAAAAD2}">
      <dgm:prSet/>
      <dgm:spPr/>
      <dgm:t>
        <a:bodyPr/>
        <a:lstStyle/>
        <a:p>
          <a:endParaRPr lang="cs-CZ" sz="1000" b="1">
            <a:solidFill>
              <a:schemeClr val="tx1"/>
            </a:solidFill>
          </a:endParaRPr>
        </a:p>
      </dgm:t>
    </dgm:pt>
    <dgm:pt modelId="{F2D2666E-A48C-4B56-8FCA-BC93C49761A9}" type="sibTrans" cxnId="{C286652C-92D4-4C9C-9D35-5919CAAAAAD2}">
      <dgm:prSet/>
      <dgm:spPr/>
      <dgm:t>
        <a:bodyPr/>
        <a:lstStyle/>
        <a:p>
          <a:endParaRPr lang="cs-CZ" sz="1000" b="1">
            <a:solidFill>
              <a:schemeClr val="tx1"/>
            </a:solidFill>
          </a:endParaRPr>
        </a:p>
      </dgm:t>
    </dgm:pt>
    <dgm:pt modelId="{0FD9EDD5-D66F-4DBF-9BBC-F557C161D16F}">
      <dgm:prSet phldrT="[Text]" custT="1"/>
      <dgm:spPr>
        <a:xfrm>
          <a:off x="3292175" y="356402"/>
          <a:ext cx="602998" cy="241199"/>
        </a:xfrm>
        <a:solidFill>
          <a:srgbClr val="C3C5C6">
            <a:alpha val="40000"/>
          </a:srgbClr>
        </a:solidFill>
        <a:ln w="12700" cap="flat" cmpd="sng" algn="ctr">
          <a:noFill/>
          <a:prstDash val="solid"/>
          <a:miter lim="800000"/>
        </a:ln>
        <a:effectLst/>
      </dgm:spPr>
      <dgm:t>
        <a:bodyPr/>
        <a:lstStyle/>
        <a:p>
          <a:r>
            <a:rPr lang="cs-CZ" sz="1000" b="1">
              <a:solidFill>
                <a:sysClr val="windowText" lastClr="000000"/>
              </a:solidFill>
              <a:latin typeface="Calibri" panose="020F0502020204030204"/>
              <a:ea typeface="+mn-ea"/>
              <a:cs typeface="+mn-cs"/>
            </a:rPr>
            <a:t>2,01</a:t>
          </a:r>
        </a:p>
      </dgm:t>
    </dgm:pt>
    <dgm:pt modelId="{5B66ACB1-D36E-4B3D-8D5E-050A802E2EEE}" type="parTrans" cxnId="{BF446106-2748-465C-82A9-5AB1C93995B0}">
      <dgm:prSet/>
      <dgm:spPr/>
      <dgm:t>
        <a:bodyPr/>
        <a:lstStyle/>
        <a:p>
          <a:endParaRPr lang="cs-CZ" sz="1000" b="1">
            <a:solidFill>
              <a:schemeClr val="tx1"/>
            </a:solidFill>
          </a:endParaRPr>
        </a:p>
      </dgm:t>
    </dgm:pt>
    <dgm:pt modelId="{918144D0-6648-46AE-8155-2887C7596364}" type="sibTrans" cxnId="{BF446106-2748-465C-82A9-5AB1C93995B0}">
      <dgm:prSet/>
      <dgm:spPr/>
      <dgm:t>
        <a:bodyPr/>
        <a:lstStyle/>
        <a:p>
          <a:endParaRPr lang="cs-CZ" sz="1000" b="1">
            <a:solidFill>
              <a:schemeClr val="tx1"/>
            </a:solidFill>
          </a:endParaRPr>
        </a:p>
      </dgm:t>
    </dgm:pt>
    <dgm:pt modelId="{B56FF771-0284-45CC-BEB5-0F13737F543B}">
      <dgm:prSet phldrT="[Text]" custT="1"/>
      <dgm:spPr>
        <a:xfrm>
          <a:off x="3292175" y="687688"/>
          <a:ext cx="602998" cy="241199"/>
        </a:xfrm>
        <a:solidFill>
          <a:srgbClr val="C3C5C6">
            <a:alpha val="40000"/>
          </a:srgbClr>
        </a:solidFill>
        <a:ln w="12700" cap="flat" cmpd="sng" algn="ctr">
          <a:noFill/>
          <a:prstDash val="solid"/>
          <a:miter lim="800000"/>
        </a:ln>
        <a:effectLst/>
      </dgm:spPr>
      <dgm:t>
        <a:bodyPr/>
        <a:lstStyle/>
        <a:p>
          <a:r>
            <a:rPr lang="cs-CZ" sz="1000" b="1">
              <a:solidFill>
                <a:schemeClr val="tx1"/>
              </a:solidFill>
              <a:latin typeface="Calibri" panose="020F0502020204030204"/>
              <a:ea typeface="+mn-ea"/>
              <a:cs typeface="+mn-cs"/>
            </a:rPr>
            <a:t>1,11</a:t>
          </a:r>
        </a:p>
      </dgm:t>
    </dgm:pt>
    <dgm:pt modelId="{F2722C6C-F3DC-46AB-9DAF-1C1E74197FB1}" type="parTrans" cxnId="{BDE4C5AD-FA79-48AC-B2D5-CFCDEF48DF44}">
      <dgm:prSet/>
      <dgm:spPr/>
      <dgm:t>
        <a:bodyPr/>
        <a:lstStyle/>
        <a:p>
          <a:endParaRPr lang="cs-CZ" sz="1000" b="1">
            <a:solidFill>
              <a:schemeClr val="tx1"/>
            </a:solidFill>
          </a:endParaRPr>
        </a:p>
      </dgm:t>
    </dgm:pt>
    <dgm:pt modelId="{5906F1DB-1147-4252-9733-DD3E465D39BC}" type="sibTrans" cxnId="{BDE4C5AD-FA79-48AC-B2D5-CFCDEF48DF44}">
      <dgm:prSet/>
      <dgm:spPr/>
      <dgm:t>
        <a:bodyPr/>
        <a:lstStyle/>
        <a:p>
          <a:endParaRPr lang="cs-CZ" sz="1000" b="1">
            <a:solidFill>
              <a:schemeClr val="tx1"/>
            </a:solidFill>
          </a:endParaRPr>
        </a:p>
      </dgm:t>
    </dgm:pt>
    <dgm:pt modelId="{8C82CBD6-9B91-494C-B5BE-A24E7DAC987A}">
      <dgm:prSet phldrT="[Text]" custT="1"/>
      <dgm:spPr>
        <a:xfrm>
          <a:off x="699282" y="1018974"/>
          <a:ext cx="602998" cy="241199"/>
        </a:xfrm>
        <a:solidFill>
          <a:srgbClr val="BD2A33">
            <a:alpha val="4000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cs-CZ" sz="1000" b="1" baseline="0">
              <a:solidFill>
                <a:srgbClr val="FF0000"/>
              </a:solidFill>
            </a:rPr>
            <a:t>–</a:t>
          </a:r>
          <a:r>
            <a:rPr lang="cs-CZ" sz="1000" b="1" baseline="0">
              <a:solidFill>
                <a:srgbClr val="FF0000"/>
              </a:solidFill>
              <a:latin typeface="Calibri" panose="020F0502020204030204"/>
              <a:ea typeface="+mn-ea"/>
              <a:cs typeface="+mn-cs"/>
            </a:rPr>
            <a:t>2,99</a:t>
          </a:r>
        </a:p>
      </dgm:t>
    </dgm:pt>
    <dgm:pt modelId="{F992937B-D676-4E14-883A-7DE4DC15F33C}" type="parTrans" cxnId="{E4FC23FD-1C6E-4B34-92DC-11761E205FF0}">
      <dgm:prSet/>
      <dgm:spPr/>
      <dgm:t>
        <a:bodyPr/>
        <a:lstStyle/>
        <a:p>
          <a:endParaRPr lang="cs-CZ" sz="1000" b="1">
            <a:solidFill>
              <a:schemeClr val="tx1"/>
            </a:solidFill>
          </a:endParaRPr>
        </a:p>
      </dgm:t>
    </dgm:pt>
    <dgm:pt modelId="{D500B32E-0679-4C74-9104-62736048009E}" type="sibTrans" cxnId="{E4FC23FD-1C6E-4B34-92DC-11761E205FF0}">
      <dgm:prSet/>
      <dgm:spPr/>
      <dgm:t>
        <a:bodyPr/>
        <a:lstStyle/>
        <a:p>
          <a:endParaRPr lang="cs-CZ" sz="1000" b="1">
            <a:solidFill>
              <a:schemeClr val="tx1"/>
            </a:solidFill>
          </a:endParaRPr>
        </a:p>
      </dgm:t>
    </dgm:pt>
    <dgm:pt modelId="{F23B00AF-5335-4B06-B9E0-C407B399300E}">
      <dgm:prSet phldrT="[Text]" custT="1"/>
      <dgm:spPr>
        <a:xfrm>
          <a:off x="1217861"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rgbClr val="FF0000"/>
              </a:solidFill>
            </a:rPr>
            <a:t>–1,16</a:t>
          </a:r>
          <a:endParaRPr lang="cs-CZ" sz="1000" b="1">
            <a:solidFill>
              <a:schemeClr val="tx1"/>
            </a:solidFill>
            <a:latin typeface="Calibri" panose="020F0502020204030204"/>
            <a:ea typeface="+mn-ea"/>
            <a:cs typeface="+mn-cs"/>
          </a:endParaRPr>
        </a:p>
      </dgm:t>
    </dgm:pt>
    <dgm:pt modelId="{4D263FDF-B3C7-4003-9A94-D213C7AE82CA}" type="parTrans" cxnId="{C679B2AC-5D46-4842-A9A8-65991FDCF730}">
      <dgm:prSet/>
      <dgm:spPr/>
      <dgm:t>
        <a:bodyPr/>
        <a:lstStyle/>
        <a:p>
          <a:endParaRPr lang="cs-CZ" sz="1000" b="1">
            <a:solidFill>
              <a:schemeClr val="tx1"/>
            </a:solidFill>
          </a:endParaRPr>
        </a:p>
      </dgm:t>
    </dgm:pt>
    <dgm:pt modelId="{9479A454-AB9D-4130-A99D-BBA20460FA4A}" type="sibTrans" cxnId="{C679B2AC-5D46-4842-A9A8-65991FDCF730}">
      <dgm:prSet/>
      <dgm:spPr/>
      <dgm:t>
        <a:bodyPr/>
        <a:lstStyle/>
        <a:p>
          <a:endParaRPr lang="cs-CZ" sz="1000" b="1">
            <a:solidFill>
              <a:schemeClr val="tx1"/>
            </a:solidFill>
          </a:endParaRPr>
        </a:p>
      </dgm:t>
    </dgm:pt>
    <dgm:pt modelId="{25F081A6-E845-4409-887B-05E369030AE7}">
      <dgm:prSet phldrT="[Text]" custT="1"/>
      <dgm:spPr>
        <a:xfrm>
          <a:off x="1736439"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rgbClr val="FF0000"/>
              </a:solidFill>
            </a:rPr>
            <a:t>–</a:t>
          </a:r>
          <a:r>
            <a:rPr lang="cs-CZ" sz="1000" b="1" baseline="0">
              <a:solidFill>
                <a:srgbClr val="FF0000"/>
              </a:solidFill>
              <a:latin typeface="Calibri" panose="020F0502020204030204"/>
              <a:ea typeface="+mn-ea"/>
              <a:cs typeface="+mn-cs"/>
            </a:rPr>
            <a:t>0,42</a:t>
          </a:r>
          <a:endParaRPr lang="cs-CZ" sz="1000" b="1">
            <a:solidFill>
              <a:srgbClr val="FF0000"/>
            </a:solidFill>
            <a:latin typeface="Calibri" panose="020F0502020204030204"/>
            <a:ea typeface="+mn-ea"/>
            <a:cs typeface="+mn-cs"/>
          </a:endParaRPr>
        </a:p>
      </dgm:t>
    </dgm:pt>
    <dgm:pt modelId="{788DD0A1-8EE1-41D8-B087-36D8BF896EA8}" type="parTrans" cxnId="{5CADA5D1-8101-4106-AB4B-B56D02493082}">
      <dgm:prSet/>
      <dgm:spPr/>
      <dgm:t>
        <a:bodyPr/>
        <a:lstStyle/>
        <a:p>
          <a:endParaRPr lang="cs-CZ" sz="1000" b="1">
            <a:solidFill>
              <a:schemeClr val="tx1"/>
            </a:solidFill>
          </a:endParaRPr>
        </a:p>
      </dgm:t>
    </dgm:pt>
    <dgm:pt modelId="{57FA23F5-AAC5-4EF6-817D-4976FD6CF51E}" type="sibTrans" cxnId="{5CADA5D1-8101-4106-AB4B-B56D02493082}">
      <dgm:prSet/>
      <dgm:spPr/>
      <dgm:t>
        <a:bodyPr/>
        <a:lstStyle/>
        <a:p>
          <a:endParaRPr lang="cs-CZ" sz="1000" b="1">
            <a:solidFill>
              <a:schemeClr val="tx1"/>
            </a:solidFill>
          </a:endParaRPr>
        </a:p>
      </dgm:t>
    </dgm:pt>
    <dgm:pt modelId="{A107A654-54F0-418A-AAED-D6694D3FF9AE}">
      <dgm:prSet phldrT="[Text]" custT="1"/>
      <dgm:spPr>
        <a:xfrm>
          <a:off x="2255018"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0,03</a:t>
          </a:r>
        </a:p>
      </dgm:t>
    </dgm:pt>
    <dgm:pt modelId="{07A7D715-E3B4-42E9-A1E1-55E6AE08A9D2}" type="parTrans" cxnId="{904960D1-1AAD-4FEA-A610-B5320936AEBF}">
      <dgm:prSet/>
      <dgm:spPr/>
      <dgm:t>
        <a:bodyPr/>
        <a:lstStyle/>
        <a:p>
          <a:endParaRPr lang="cs-CZ" sz="1000" b="1">
            <a:solidFill>
              <a:schemeClr val="tx1"/>
            </a:solidFill>
          </a:endParaRPr>
        </a:p>
      </dgm:t>
    </dgm:pt>
    <dgm:pt modelId="{2EFF7EC7-9DD7-4E89-B36E-9B6DDE8DE8E8}" type="sibTrans" cxnId="{904960D1-1AAD-4FEA-A610-B5320936AEBF}">
      <dgm:prSet/>
      <dgm:spPr/>
      <dgm:t>
        <a:bodyPr/>
        <a:lstStyle/>
        <a:p>
          <a:endParaRPr lang="cs-CZ" sz="1000" b="1">
            <a:solidFill>
              <a:schemeClr val="tx1"/>
            </a:solidFill>
          </a:endParaRPr>
        </a:p>
      </dgm:t>
    </dgm:pt>
    <dgm:pt modelId="{6FF2215A-98C9-46E9-9B44-A4318822E1FF}">
      <dgm:prSet phldrT="[Text]" custT="1"/>
      <dgm:spPr>
        <a:xfrm>
          <a:off x="2773597"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0,46</a:t>
          </a:r>
        </a:p>
      </dgm:t>
    </dgm:pt>
    <dgm:pt modelId="{5AD1B92A-4001-4268-8D70-1A396F83A308}" type="parTrans" cxnId="{B537E768-1179-43D6-9D74-C847D16AF998}">
      <dgm:prSet/>
      <dgm:spPr/>
      <dgm:t>
        <a:bodyPr/>
        <a:lstStyle/>
        <a:p>
          <a:endParaRPr lang="cs-CZ" sz="1000" b="1">
            <a:solidFill>
              <a:schemeClr val="tx1"/>
            </a:solidFill>
          </a:endParaRPr>
        </a:p>
      </dgm:t>
    </dgm:pt>
    <dgm:pt modelId="{C28617C6-CB83-42F9-9DC7-65202EACE19E}" type="sibTrans" cxnId="{B537E768-1179-43D6-9D74-C847D16AF998}">
      <dgm:prSet/>
      <dgm:spPr/>
      <dgm:t>
        <a:bodyPr/>
        <a:lstStyle/>
        <a:p>
          <a:endParaRPr lang="cs-CZ" sz="1000" b="1">
            <a:solidFill>
              <a:schemeClr val="tx1"/>
            </a:solidFill>
          </a:endParaRPr>
        </a:p>
      </dgm:t>
    </dgm:pt>
    <dgm:pt modelId="{93447B53-24D9-4435-9944-0A8CE12A31FD}">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0,90</a:t>
          </a:r>
        </a:p>
      </dgm:t>
    </dgm:pt>
    <dgm:pt modelId="{611625C5-F15E-4884-9C12-AA885229D3D0}" type="sibTrans" cxnId="{2CBF76AB-21EC-41A9-91C9-AE76936A02E4}">
      <dgm:prSet/>
      <dgm:spPr/>
      <dgm:t>
        <a:bodyPr/>
        <a:lstStyle/>
        <a:p>
          <a:endParaRPr lang="cs-CZ" sz="1000" b="1">
            <a:solidFill>
              <a:schemeClr val="tx1"/>
            </a:solidFill>
          </a:endParaRPr>
        </a:p>
      </dgm:t>
    </dgm:pt>
    <dgm:pt modelId="{09123B89-1F8B-4854-979E-0A5C277A87A8}" type="parTrans" cxnId="{2CBF76AB-21EC-41A9-91C9-AE76936A02E4}">
      <dgm:prSet/>
      <dgm:spPr/>
      <dgm:t>
        <a:bodyPr/>
        <a:lstStyle/>
        <a:p>
          <a:endParaRPr lang="cs-CZ" sz="1000" b="1">
            <a:solidFill>
              <a:schemeClr val="tx1"/>
            </a:solidFill>
          </a:endParaRPr>
        </a:p>
      </dgm:t>
    </dgm:pt>
    <dgm:pt modelId="{4D953984-3ACF-4D10-86C2-DD0EECD2045E}">
      <dgm:prSet phldrT="[Text]" custT="1"/>
      <dgm:spPr>
        <a:xfrm>
          <a:off x="67223" y="415"/>
          <a:ext cx="726504" cy="290601"/>
        </a:xfrm>
        <a:noFill/>
        <a:ln w="12700" cap="flat" cmpd="sng" algn="ctr">
          <a:solidFill>
            <a:sysClr val="window" lastClr="FFFFFF">
              <a:hueOff val="0"/>
              <a:satOff val="0"/>
              <a:lumOff val="0"/>
              <a:alphaOff val="0"/>
            </a:sysClr>
          </a:solidFill>
          <a:prstDash val="solid"/>
          <a:miter lim="800000"/>
        </a:ln>
        <a:effectLst/>
      </dgm:spPr>
      <dgm:t>
        <a:bodyPr/>
        <a:lstStyle/>
        <a:p>
          <a:pPr marL="0" algn="ctr">
            <a:lnSpc>
              <a:spcPct val="50000"/>
            </a:lnSpc>
            <a:spcBef>
              <a:spcPts val="600"/>
            </a:spcBef>
            <a:spcAft>
              <a:spcPts val="0"/>
            </a:spcAft>
          </a:pPr>
          <a:endParaRPr lang="cs-CZ" sz="1000" b="0">
            <a:solidFill>
              <a:schemeClr val="tx1"/>
            </a:solidFill>
            <a:latin typeface="Calibri" panose="020F0502020204030204"/>
            <a:ea typeface="+mn-ea"/>
            <a:cs typeface="+mn-cs"/>
          </a:endParaRPr>
        </a:p>
      </dgm:t>
    </dgm:pt>
    <dgm:pt modelId="{65D9BC79-1E0E-4540-B0A4-914D9CDA1CEF}" type="sibTrans" cxnId="{ECAEA752-CBE7-4547-A8A8-48159546DDCD}">
      <dgm:prSet/>
      <dgm:spPr/>
      <dgm:t>
        <a:bodyPr/>
        <a:lstStyle/>
        <a:p>
          <a:endParaRPr lang="cs-CZ" sz="1000" b="1">
            <a:solidFill>
              <a:schemeClr val="tx1"/>
            </a:solidFill>
          </a:endParaRPr>
        </a:p>
      </dgm:t>
    </dgm:pt>
    <dgm:pt modelId="{F16E41CB-26E5-43DD-9796-987A9D8D425D}" type="parTrans" cxnId="{ECAEA752-CBE7-4547-A8A8-48159546DDCD}">
      <dgm:prSet/>
      <dgm:spPr/>
      <dgm:t>
        <a:bodyPr/>
        <a:lstStyle/>
        <a:p>
          <a:endParaRPr lang="cs-CZ" sz="1000" b="1">
            <a:solidFill>
              <a:schemeClr val="tx1"/>
            </a:solidFill>
          </a:endParaRPr>
        </a:p>
      </dgm:t>
    </dgm:pt>
    <dgm:pt modelId="{F9237C42-396D-4178-8CA9-B5ECBDE23A4E}">
      <dgm:prSet phldrT="[Text]" custT="1"/>
      <dgm:spPr>
        <a:xfrm>
          <a:off x="3292175" y="1018974"/>
          <a:ext cx="602998" cy="241199"/>
        </a:xfrm>
        <a:solidFill>
          <a:srgbClr val="D9EAFF"/>
        </a:solidFill>
        <a:ln w="12700" cap="flat" cmpd="sng" algn="ctr">
          <a:noFill/>
          <a:prstDash val="solid"/>
          <a:miter lim="800000"/>
        </a:ln>
        <a:effectLst/>
      </dgm:spPr>
      <dgm:t>
        <a:bodyPr/>
        <a:lstStyle/>
        <a:p>
          <a:pPr algn="ctr"/>
          <a:r>
            <a:rPr lang="cs-CZ" sz="800" b="1">
              <a:solidFill>
                <a:schemeClr val="tx1"/>
              </a:solidFill>
              <a:latin typeface="Calibri" panose="020F0502020204030204"/>
              <a:ea typeface="+mn-ea"/>
              <a:cs typeface="+mn-cs"/>
            </a:rPr>
            <a:t>Podíl jednotlivých SF na celkových dotacích ze SR</a:t>
          </a:r>
          <a:endParaRPr lang="cs-CZ" sz="800" b="1" baseline="0">
            <a:solidFill>
              <a:schemeClr val="tx1"/>
            </a:solidFill>
            <a:latin typeface="Calibri" panose="020F0502020204030204"/>
            <a:ea typeface="+mn-ea"/>
            <a:cs typeface="+mn-cs"/>
          </a:endParaRPr>
        </a:p>
      </dgm:t>
    </dgm:pt>
    <dgm:pt modelId="{3FA4280B-460E-4C26-AFED-C1A89C98BC1E}" type="parTrans" cxnId="{61E5F28A-B476-4F89-ABE6-DE6A37D687D6}">
      <dgm:prSet/>
      <dgm:spPr/>
      <dgm:t>
        <a:bodyPr/>
        <a:lstStyle/>
        <a:p>
          <a:endParaRPr lang="cs-CZ"/>
        </a:p>
      </dgm:t>
    </dgm:pt>
    <dgm:pt modelId="{93AF8B02-2C0A-4ACB-9A4E-632680E451BA}" type="sibTrans" cxnId="{61E5F28A-B476-4F89-ABE6-DE6A37D687D6}">
      <dgm:prSet/>
      <dgm:spPr/>
      <dgm:t>
        <a:bodyPr/>
        <a:lstStyle/>
        <a:p>
          <a:endParaRPr lang="cs-CZ"/>
        </a:p>
      </dgm:t>
    </dgm:pt>
    <dgm:pt modelId="{1B7AA458-4F5A-43F0-A7D8-4BA31A8BA300}">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50,21 %</a:t>
          </a:r>
        </a:p>
      </dgm:t>
    </dgm:pt>
    <dgm:pt modelId="{6FCAE8C5-69A2-404F-A20D-14B30F2A6DCC}" type="parTrans" cxnId="{84F60365-D7B9-4DD8-9D02-54E6AAB36FC3}">
      <dgm:prSet/>
      <dgm:spPr/>
      <dgm:t>
        <a:bodyPr/>
        <a:lstStyle/>
        <a:p>
          <a:endParaRPr lang="cs-CZ"/>
        </a:p>
      </dgm:t>
    </dgm:pt>
    <dgm:pt modelId="{94C7F878-65B0-47FB-ABE0-15E7BB40DF39}" type="sibTrans" cxnId="{84F60365-D7B9-4DD8-9D02-54E6AAB36FC3}">
      <dgm:prSet/>
      <dgm:spPr/>
      <dgm:t>
        <a:bodyPr/>
        <a:lstStyle/>
        <a:p>
          <a:endParaRPr lang="cs-CZ"/>
        </a:p>
      </dgm:t>
    </dgm:pt>
    <dgm:pt modelId="{1B051D57-BC86-40BB-9336-55F692D9FEA5}">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47,72 %</a:t>
          </a:r>
        </a:p>
      </dgm:t>
    </dgm:pt>
    <dgm:pt modelId="{E37531F1-9FE3-4244-A8EB-D835EE6708AD}" type="parTrans" cxnId="{C1C0D0C4-E4F9-4173-8AC1-A926F1E29FDC}">
      <dgm:prSet/>
      <dgm:spPr/>
      <dgm:t>
        <a:bodyPr/>
        <a:lstStyle/>
        <a:p>
          <a:endParaRPr lang="cs-CZ"/>
        </a:p>
      </dgm:t>
    </dgm:pt>
    <dgm:pt modelId="{838EB501-FA67-4996-AE3A-40073337AE6D}" type="sibTrans" cxnId="{C1C0D0C4-E4F9-4173-8AC1-A926F1E29FDC}">
      <dgm:prSet/>
      <dgm:spPr/>
      <dgm:t>
        <a:bodyPr/>
        <a:lstStyle/>
        <a:p>
          <a:endParaRPr lang="cs-CZ"/>
        </a:p>
      </dgm:t>
    </dgm:pt>
    <dgm:pt modelId="{F7156266-1EB8-4747-A3D8-95CE06C9D1E7}">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0,10 %</a:t>
          </a:r>
        </a:p>
      </dgm:t>
    </dgm:pt>
    <dgm:pt modelId="{A9D31FFC-6E62-4190-8D6B-7DA4E6EE0C52}" type="parTrans" cxnId="{FC259B1C-AB38-4F47-9E7C-57B681CC4305}">
      <dgm:prSet/>
      <dgm:spPr/>
      <dgm:t>
        <a:bodyPr/>
        <a:lstStyle/>
        <a:p>
          <a:endParaRPr lang="cs-CZ"/>
        </a:p>
      </dgm:t>
    </dgm:pt>
    <dgm:pt modelId="{4B615F4B-9CE7-475C-A01C-18D7BD3B1B6A}" type="sibTrans" cxnId="{FC259B1C-AB38-4F47-9E7C-57B681CC4305}">
      <dgm:prSet/>
      <dgm:spPr/>
      <dgm:t>
        <a:bodyPr/>
        <a:lstStyle/>
        <a:p>
          <a:endParaRPr lang="cs-CZ"/>
        </a:p>
      </dgm:t>
    </dgm:pt>
    <dgm:pt modelId="{FE4FD0C4-775D-479C-9B87-2CDA4A9DA9FD}">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0,00 %</a:t>
          </a:r>
        </a:p>
      </dgm:t>
    </dgm:pt>
    <dgm:pt modelId="{B71029E4-CB65-4017-8E52-DC731EE6748D}" type="parTrans" cxnId="{57162796-0BDD-479A-8693-52AF14F604CA}">
      <dgm:prSet/>
      <dgm:spPr/>
      <dgm:t>
        <a:bodyPr/>
        <a:lstStyle/>
        <a:p>
          <a:endParaRPr lang="cs-CZ"/>
        </a:p>
      </dgm:t>
    </dgm:pt>
    <dgm:pt modelId="{A7C5114F-C4A6-4524-BD96-81E861D49A06}" type="sibTrans" cxnId="{57162796-0BDD-479A-8693-52AF14F604CA}">
      <dgm:prSet/>
      <dgm:spPr/>
      <dgm:t>
        <a:bodyPr/>
        <a:lstStyle/>
        <a:p>
          <a:endParaRPr lang="cs-CZ"/>
        </a:p>
      </dgm:t>
    </dgm:pt>
    <dgm:pt modelId="{B24B5EA5-E040-4F63-A213-609E8B449A61}">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1,27 %</a:t>
          </a:r>
        </a:p>
      </dgm:t>
    </dgm:pt>
    <dgm:pt modelId="{4089989C-D7B6-4A14-AE59-042604920D77}" type="parTrans" cxnId="{F0731354-A116-4A47-A8C5-17521B110C65}">
      <dgm:prSet/>
      <dgm:spPr/>
      <dgm:t>
        <a:bodyPr/>
        <a:lstStyle/>
        <a:p>
          <a:endParaRPr lang="cs-CZ"/>
        </a:p>
      </dgm:t>
    </dgm:pt>
    <dgm:pt modelId="{6590BE72-FE17-4AE8-81FC-74CB86AF6E07}" type="sibTrans" cxnId="{F0731354-A116-4A47-A8C5-17521B110C65}">
      <dgm:prSet/>
      <dgm:spPr/>
      <dgm:t>
        <a:bodyPr/>
        <a:lstStyle/>
        <a:p>
          <a:endParaRPr lang="cs-CZ"/>
        </a:p>
      </dgm:t>
    </dgm:pt>
    <dgm:pt modelId="{120ECE09-B579-41E1-876C-03790B3AF179}">
      <dgm:prSet phldrT="[Text]" custT="1"/>
      <dgm:spPr>
        <a:xfrm>
          <a:off x="3292175" y="1018974"/>
          <a:ext cx="602998" cy="241199"/>
        </a:xfrm>
        <a:solidFill>
          <a:srgbClr val="BD2A33">
            <a:alpha val="40000"/>
          </a:srgbClr>
        </a:solidFill>
        <a:ln w="12700" cap="flat" cmpd="sng" algn="ctr">
          <a:noFill/>
          <a:prstDash val="solid"/>
          <a:miter lim="800000"/>
        </a:ln>
        <a:effectLst/>
      </dgm:spPr>
      <dgm:t>
        <a:bodyPr/>
        <a:lstStyle/>
        <a:p>
          <a:r>
            <a:rPr lang="cs-CZ" sz="1000" b="1" baseline="0">
              <a:solidFill>
                <a:schemeClr val="tx1"/>
              </a:solidFill>
              <a:latin typeface="Calibri" panose="020F0502020204030204"/>
              <a:ea typeface="+mn-ea"/>
              <a:cs typeface="+mn-cs"/>
            </a:rPr>
            <a:t>0,69 %</a:t>
          </a:r>
        </a:p>
      </dgm:t>
    </dgm:pt>
    <dgm:pt modelId="{3CBA9304-3577-4ABC-9FC6-28B3904726CB}" type="parTrans" cxnId="{B86B6AD4-D71C-4A0B-A618-7CDA650FD3F2}">
      <dgm:prSet/>
      <dgm:spPr/>
      <dgm:t>
        <a:bodyPr/>
        <a:lstStyle/>
        <a:p>
          <a:endParaRPr lang="cs-CZ"/>
        </a:p>
      </dgm:t>
    </dgm:pt>
    <dgm:pt modelId="{81D9F4CE-6A41-4C2C-A271-C0002012E7C6}" type="sibTrans" cxnId="{B86B6AD4-D71C-4A0B-A618-7CDA650FD3F2}">
      <dgm:prSet/>
      <dgm:spPr/>
      <dgm:t>
        <a:bodyPr/>
        <a:lstStyle/>
        <a:p>
          <a:endParaRPr lang="cs-CZ"/>
        </a:p>
      </dgm:t>
    </dgm:pt>
    <dgm:pt modelId="{110F5A43-F211-43B5-A555-8C9EEBADA2D4}" type="pres">
      <dgm:prSet presAssocID="{1A6347D2-E774-46FA-B777-F1A30B1B32AE}" presName="Name0" presStyleCnt="0">
        <dgm:presLayoutVars>
          <dgm:chPref val="3"/>
          <dgm:dir/>
          <dgm:animLvl val="lvl"/>
          <dgm:resizeHandles/>
        </dgm:presLayoutVars>
      </dgm:prSet>
      <dgm:spPr/>
      <dgm:t>
        <a:bodyPr/>
        <a:lstStyle/>
        <a:p>
          <a:endParaRPr lang="cs-CZ"/>
        </a:p>
      </dgm:t>
    </dgm:pt>
    <dgm:pt modelId="{89981277-0A47-47D1-A0CA-10765B466ED1}" type="pres">
      <dgm:prSet presAssocID="{4D953984-3ACF-4D10-86C2-DD0EECD2045E}" presName="horFlow" presStyleCnt="0"/>
      <dgm:spPr/>
    </dgm:pt>
    <dgm:pt modelId="{4324C8AE-0C84-4B57-A0DB-F530EDB074FB}" type="pres">
      <dgm:prSet presAssocID="{4D953984-3ACF-4D10-86C2-DD0EECD2045E}" presName="bigChev" presStyleLbl="node1" presStyleIdx="0" presStyleCnt="5" custScaleX="108701"/>
      <dgm:spPr>
        <a:prstGeom prst="chevron">
          <a:avLst/>
        </a:prstGeom>
      </dgm:spPr>
      <dgm:t>
        <a:bodyPr/>
        <a:lstStyle/>
        <a:p>
          <a:endParaRPr lang="cs-CZ"/>
        </a:p>
      </dgm:t>
    </dgm:pt>
    <dgm:pt modelId="{2151C726-09A8-41A7-9257-FBCF34984038}" type="pres">
      <dgm:prSet presAssocID="{BFA133A1-756A-45F1-8766-59F7BCFDAA6C}" presName="parTrans" presStyleCnt="0"/>
      <dgm:spPr/>
    </dgm:pt>
    <dgm:pt modelId="{EA6E9049-714D-4F70-9449-67590FE925DF}" type="pres">
      <dgm:prSet presAssocID="{A1CF1E31-5801-448F-B337-DBA64B602091}" presName="node" presStyleLbl="alignAccFollowNode1" presStyleIdx="0" presStyleCnt="30">
        <dgm:presLayoutVars>
          <dgm:bulletEnabled val="1"/>
        </dgm:presLayoutVars>
      </dgm:prSet>
      <dgm:spPr>
        <a:prstGeom prst="chevron">
          <a:avLst/>
        </a:prstGeom>
      </dgm:spPr>
      <dgm:t>
        <a:bodyPr/>
        <a:lstStyle/>
        <a:p>
          <a:endParaRPr lang="cs-CZ"/>
        </a:p>
      </dgm:t>
    </dgm:pt>
    <dgm:pt modelId="{ABA96DD0-7385-4751-B5CE-7EFD9DEA4C59}" type="pres">
      <dgm:prSet presAssocID="{D30FBF5B-3185-4475-AA36-3B0290B49DAD}" presName="sibTrans" presStyleCnt="0"/>
      <dgm:spPr/>
    </dgm:pt>
    <dgm:pt modelId="{E17CDDBE-C54E-41F3-B442-C82AC2798B30}" type="pres">
      <dgm:prSet presAssocID="{358C9A41-D250-4EE4-9337-6B3886DC0DC0}" presName="node" presStyleLbl="alignAccFollowNode1" presStyleIdx="1" presStyleCnt="30">
        <dgm:presLayoutVars>
          <dgm:bulletEnabled val="1"/>
        </dgm:presLayoutVars>
      </dgm:prSet>
      <dgm:spPr>
        <a:prstGeom prst="chevron">
          <a:avLst/>
        </a:prstGeom>
      </dgm:spPr>
      <dgm:t>
        <a:bodyPr/>
        <a:lstStyle/>
        <a:p>
          <a:endParaRPr lang="cs-CZ"/>
        </a:p>
      </dgm:t>
    </dgm:pt>
    <dgm:pt modelId="{88DDF0DC-9738-43F9-AD8F-A06A9FCF4148}" type="pres">
      <dgm:prSet presAssocID="{EB460E09-C9FC-4808-8795-EB45393F3985}" presName="sibTrans" presStyleCnt="0"/>
      <dgm:spPr/>
    </dgm:pt>
    <dgm:pt modelId="{26A82BEF-68BE-4FEF-A542-D5EE7C04721A}" type="pres">
      <dgm:prSet presAssocID="{5A11B889-0B82-46C6-AA06-198B94C240BA}" presName="node" presStyleLbl="alignAccFollowNode1" presStyleIdx="2" presStyleCnt="30">
        <dgm:presLayoutVars>
          <dgm:bulletEnabled val="1"/>
        </dgm:presLayoutVars>
      </dgm:prSet>
      <dgm:spPr>
        <a:prstGeom prst="chevron">
          <a:avLst/>
        </a:prstGeom>
      </dgm:spPr>
      <dgm:t>
        <a:bodyPr/>
        <a:lstStyle/>
        <a:p>
          <a:endParaRPr lang="cs-CZ"/>
        </a:p>
      </dgm:t>
    </dgm:pt>
    <dgm:pt modelId="{75082378-69D2-49C0-BBAB-3B84D10518D6}" type="pres">
      <dgm:prSet presAssocID="{3E41D1D9-E567-4048-A439-D1D74FF4254F}" presName="sibTrans" presStyleCnt="0"/>
      <dgm:spPr/>
    </dgm:pt>
    <dgm:pt modelId="{833188DE-4E3C-4E12-83E9-AF15E2D9BFD2}" type="pres">
      <dgm:prSet presAssocID="{EC97A157-B1ED-4108-8FEF-1E4923639515}" presName="node" presStyleLbl="alignAccFollowNode1" presStyleIdx="3" presStyleCnt="30">
        <dgm:presLayoutVars>
          <dgm:bulletEnabled val="1"/>
        </dgm:presLayoutVars>
      </dgm:prSet>
      <dgm:spPr>
        <a:prstGeom prst="chevron">
          <a:avLst/>
        </a:prstGeom>
      </dgm:spPr>
      <dgm:t>
        <a:bodyPr/>
        <a:lstStyle/>
        <a:p>
          <a:endParaRPr lang="cs-CZ"/>
        </a:p>
      </dgm:t>
    </dgm:pt>
    <dgm:pt modelId="{1A7B4BD8-9A49-446F-9582-0DEAC581B14A}" type="pres">
      <dgm:prSet presAssocID="{5E219547-CBEE-409D-BC33-EF0F7574158E}" presName="sibTrans" presStyleCnt="0"/>
      <dgm:spPr/>
    </dgm:pt>
    <dgm:pt modelId="{4BC069EA-54EB-411A-9913-8C17480DA2D5}" type="pres">
      <dgm:prSet presAssocID="{5C5B4CF2-03CD-467B-842D-BF255C666D8D}" presName="node" presStyleLbl="alignAccFollowNode1" presStyleIdx="4" presStyleCnt="30">
        <dgm:presLayoutVars>
          <dgm:bulletEnabled val="1"/>
        </dgm:presLayoutVars>
      </dgm:prSet>
      <dgm:spPr>
        <a:prstGeom prst="chevron">
          <a:avLst/>
        </a:prstGeom>
      </dgm:spPr>
      <dgm:t>
        <a:bodyPr/>
        <a:lstStyle/>
        <a:p>
          <a:endParaRPr lang="cs-CZ"/>
        </a:p>
      </dgm:t>
    </dgm:pt>
    <dgm:pt modelId="{43F38896-F396-4B63-9208-4D7C552D8F04}" type="pres">
      <dgm:prSet presAssocID="{4A97EA9F-0D43-4C4E-B773-0126E6BF88A2}" presName="sibTrans" presStyleCnt="0"/>
      <dgm:spPr/>
    </dgm:pt>
    <dgm:pt modelId="{D3A25E5F-696A-492F-9F7A-F9DECAD0E80A}" type="pres">
      <dgm:prSet presAssocID="{D16CAD34-9C66-484C-BBDC-A5E42BF3D225}" presName="node" presStyleLbl="alignAccFollowNode1" presStyleIdx="5" presStyleCnt="30">
        <dgm:presLayoutVars>
          <dgm:bulletEnabled val="1"/>
        </dgm:presLayoutVars>
      </dgm:prSet>
      <dgm:spPr>
        <a:prstGeom prst="chevron">
          <a:avLst/>
        </a:prstGeom>
      </dgm:spPr>
      <dgm:t>
        <a:bodyPr/>
        <a:lstStyle/>
        <a:p>
          <a:endParaRPr lang="cs-CZ"/>
        </a:p>
      </dgm:t>
    </dgm:pt>
    <dgm:pt modelId="{A9BEE66F-36BB-44B3-B70B-8A3D13CEF7BE}" type="pres">
      <dgm:prSet presAssocID="{4D953984-3ACF-4D10-86C2-DD0EECD2045E}" presName="vSp" presStyleCnt="0"/>
      <dgm:spPr/>
    </dgm:pt>
    <dgm:pt modelId="{42328518-1889-434F-BA29-67500AD6A3E3}" type="pres">
      <dgm:prSet presAssocID="{78174B99-CB2F-41B4-84A1-1438F1481E64}" presName="horFlow" presStyleCnt="0"/>
      <dgm:spPr/>
    </dgm:pt>
    <dgm:pt modelId="{108D6996-3FEB-43E6-98A6-B3CEA7AF6F97}" type="pres">
      <dgm:prSet presAssocID="{78174B99-CB2F-41B4-84A1-1438F1481E64}" presName="bigChev" presStyleLbl="node1" presStyleIdx="1" presStyleCnt="5" custScaleX="105525"/>
      <dgm:spPr>
        <a:prstGeom prst="chevron">
          <a:avLst/>
        </a:prstGeom>
      </dgm:spPr>
      <dgm:t>
        <a:bodyPr/>
        <a:lstStyle/>
        <a:p>
          <a:endParaRPr lang="cs-CZ"/>
        </a:p>
      </dgm:t>
    </dgm:pt>
    <dgm:pt modelId="{3274A788-D1B1-42E9-A0B9-97FC70252455}" type="pres">
      <dgm:prSet presAssocID="{7648DE78-9420-4106-B5C2-036985F43A06}" presName="parTrans" presStyleCnt="0"/>
      <dgm:spPr/>
    </dgm:pt>
    <dgm:pt modelId="{DD05987A-3EC2-4CCA-9869-1F1361695B14}" type="pres">
      <dgm:prSet presAssocID="{2EDBE3C3-8A52-4A3A-9194-3724DB8ACE24}" presName="node" presStyleLbl="alignAccFollowNode1" presStyleIdx="6" presStyleCnt="30">
        <dgm:presLayoutVars>
          <dgm:bulletEnabled val="1"/>
        </dgm:presLayoutVars>
      </dgm:prSet>
      <dgm:spPr>
        <a:prstGeom prst="chevron">
          <a:avLst/>
        </a:prstGeom>
      </dgm:spPr>
      <dgm:t>
        <a:bodyPr/>
        <a:lstStyle/>
        <a:p>
          <a:endParaRPr lang="cs-CZ"/>
        </a:p>
      </dgm:t>
    </dgm:pt>
    <dgm:pt modelId="{074DC42B-66ED-496B-ADFF-445C4D1A79C7}" type="pres">
      <dgm:prSet presAssocID="{57DB7BDA-E66E-4670-B460-59BDCDF1EA8F}" presName="sibTrans" presStyleCnt="0"/>
      <dgm:spPr/>
    </dgm:pt>
    <dgm:pt modelId="{E0B3BD13-AF19-47FA-8B20-BF9AA0D890B4}" type="pres">
      <dgm:prSet presAssocID="{BAB9C705-956B-4C48-87C1-811A07CE45F3}" presName="node" presStyleLbl="alignAccFollowNode1" presStyleIdx="7" presStyleCnt="30">
        <dgm:presLayoutVars>
          <dgm:bulletEnabled val="1"/>
        </dgm:presLayoutVars>
      </dgm:prSet>
      <dgm:spPr>
        <a:prstGeom prst="chevron">
          <a:avLst/>
        </a:prstGeom>
      </dgm:spPr>
      <dgm:t>
        <a:bodyPr/>
        <a:lstStyle/>
        <a:p>
          <a:endParaRPr lang="cs-CZ"/>
        </a:p>
      </dgm:t>
    </dgm:pt>
    <dgm:pt modelId="{8724CBF4-700F-4F2B-89EC-DB5AB15B0263}" type="pres">
      <dgm:prSet presAssocID="{FC896497-7C28-4987-BB69-76BA32DE4EF9}" presName="sibTrans" presStyleCnt="0"/>
      <dgm:spPr/>
    </dgm:pt>
    <dgm:pt modelId="{39403DC2-8A29-4B93-A1AD-2A564629EE5C}" type="pres">
      <dgm:prSet presAssocID="{209F4FE5-7545-474C-A12F-B61E24BF3255}" presName="node" presStyleLbl="alignAccFollowNode1" presStyleIdx="8" presStyleCnt="30">
        <dgm:presLayoutVars>
          <dgm:bulletEnabled val="1"/>
        </dgm:presLayoutVars>
      </dgm:prSet>
      <dgm:spPr>
        <a:prstGeom prst="chevron">
          <a:avLst/>
        </a:prstGeom>
      </dgm:spPr>
      <dgm:t>
        <a:bodyPr/>
        <a:lstStyle/>
        <a:p>
          <a:endParaRPr lang="cs-CZ"/>
        </a:p>
      </dgm:t>
    </dgm:pt>
    <dgm:pt modelId="{EDDE672C-DAC3-4202-9BBA-0CD4F65E941E}" type="pres">
      <dgm:prSet presAssocID="{365929A1-29A6-40CB-8A04-7CD33DA95ED2}" presName="sibTrans" presStyleCnt="0"/>
      <dgm:spPr/>
    </dgm:pt>
    <dgm:pt modelId="{4AFDE68C-9E06-4875-8967-539174B30ADD}" type="pres">
      <dgm:prSet presAssocID="{BD31FC45-3A97-40A0-952F-7F630CAADFF7}" presName="node" presStyleLbl="alignAccFollowNode1" presStyleIdx="9" presStyleCnt="30">
        <dgm:presLayoutVars>
          <dgm:bulletEnabled val="1"/>
        </dgm:presLayoutVars>
      </dgm:prSet>
      <dgm:spPr>
        <a:prstGeom prst="chevron">
          <a:avLst/>
        </a:prstGeom>
      </dgm:spPr>
      <dgm:t>
        <a:bodyPr/>
        <a:lstStyle/>
        <a:p>
          <a:endParaRPr lang="cs-CZ"/>
        </a:p>
      </dgm:t>
    </dgm:pt>
    <dgm:pt modelId="{6EC87B21-6427-4FE5-AF36-A804927921DB}" type="pres">
      <dgm:prSet presAssocID="{E8A55DA6-FCA5-42C9-855D-834E3421F7A2}" presName="sibTrans" presStyleCnt="0"/>
      <dgm:spPr/>
    </dgm:pt>
    <dgm:pt modelId="{805827EE-806F-459E-9BE2-BC7F4C63625B}" type="pres">
      <dgm:prSet presAssocID="{62A6766A-7015-4663-8F88-379392C1BE11}" presName="node" presStyleLbl="alignAccFollowNode1" presStyleIdx="10" presStyleCnt="30">
        <dgm:presLayoutVars>
          <dgm:bulletEnabled val="1"/>
        </dgm:presLayoutVars>
      </dgm:prSet>
      <dgm:spPr>
        <a:prstGeom prst="chevron">
          <a:avLst/>
        </a:prstGeom>
      </dgm:spPr>
      <dgm:t>
        <a:bodyPr/>
        <a:lstStyle/>
        <a:p>
          <a:endParaRPr lang="cs-CZ"/>
        </a:p>
      </dgm:t>
    </dgm:pt>
    <dgm:pt modelId="{45AA2FE5-9708-4508-BB8A-E6C1FBF3E3DE}" type="pres">
      <dgm:prSet presAssocID="{F2D2666E-A48C-4B56-8FCA-BC93C49761A9}" presName="sibTrans" presStyleCnt="0"/>
      <dgm:spPr/>
    </dgm:pt>
    <dgm:pt modelId="{341966EF-3C67-433C-892A-FBE5F2F03106}" type="pres">
      <dgm:prSet presAssocID="{0FD9EDD5-D66F-4DBF-9BBC-F557C161D16F}" presName="node" presStyleLbl="alignAccFollowNode1" presStyleIdx="11" presStyleCnt="30">
        <dgm:presLayoutVars>
          <dgm:bulletEnabled val="1"/>
        </dgm:presLayoutVars>
      </dgm:prSet>
      <dgm:spPr>
        <a:prstGeom prst="chevron">
          <a:avLst/>
        </a:prstGeom>
      </dgm:spPr>
      <dgm:t>
        <a:bodyPr/>
        <a:lstStyle/>
        <a:p>
          <a:endParaRPr lang="cs-CZ"/>
        </a:p>
      </dgm:t>
    </dgm:pt>
    <dgm:pt modelId="{DCDED6E6-4835-446E-AE1D-11C056A415A0}" type="pres">
      <dgm:prSet presAssocID="{78174B99-CB2F-41B4-84A1-1438F1481E64}" presName="vSp" presStyleCnt="0"/>
      <dgm:spPr/>
    </dgm:pt>
    <dgm:pt modelId="{E0A57FD5-40E2-457A-8DCD-AECCFCC1CD91}" type="pres">
      <dgm:prSet presAssocID="{10EEAB1A-174F-4182-8129-99D15D7AB9CF}" presName="horFlow" presStyleCnt="0"/>
      <dgm:spPr/>
    </dgm:pt>
    <dgm:pt modelId="{271D193C-BAC1-45D4-9F55-82CC0206262A}" type="pres">
      <dgm:prSet presAssocID="{10EEAB1A-174F-4182-8129-99D15D7AB9CF}" presName="bigChev" presStyleLbl="node1" presStyleIdx="2" presStyleCnt="5" custScaleX="105525"/>
      <dgm:spPr>
        <a:prstGeom prst="chevron">
          <a:avLst/>
        </a:prstGeom>
      </dgm:spPr>
      <dgm:t>
        <a:bodyPr/>
        <a:lstStyle/>
        <a:p>
          <a:endParaRPr lang="cs-CZ"/>
        </a:p>
      </dgm:t>
    </dgm:pt>
    <dgm:pt modelId="{A02F81FF-E421-460D-A25E-FC1AFFE195F5}" type="pres">
      <dgm:prSet presAssocID="{9A5D6920-F92B-401E-8ABC-E4BDCB79BFC4}" presName="parTrans" presStyleCnt="0"/>
      <dgm:spPr/>
    </dgm:pt>
    <dgm:pt modelId="{47012AB8-D9C4-4B00-AA2F-9FE5BCB3AE2B}" type="pres">
      <dgm:prSet presAssocID="{3B04C11E-1E1D-4B33-905E-D561049DA493}" presName="node" presStyleLbl="alignAccFollowNode1" presStyleIdx="12" presStyleCnt="30">
        <dgm:presLayoutVars>
          <dgm:bulletEnabled val="1"/>
        </dgm:presLayoutVars>
      </dgm:prSet>
      <dgm:spPr>
        <a:prstGeom prst="chevron">
          <a:avLst/>
        </a:prstGeom>
      </dgm:spPr>
      <dgm:t>
        <a:bodyPr/>
        <a:lstStyle/>
        <a:p>
          <a:endParaRPr lang="cs-CZ"/>
        </a:p>
      </dgm:t>
    </dgm:pt>
    <dgm:pt modelId="{37EAEF79-AFD4-4254-A1DD-043C950A9181}" type="pres">
      <dgm:prSet presAssocID="{1C6F6D06-2691-49C6-9ECD-584EE3F45D1E}" presName="sibTrans" presStyleCnt="0"/>
      <dgm:spPr/>
    </dgm:pt>
    <dgm:pt modelId="{49C1FADA-A17D-4E70-A3E9-E768A1AF2D9C}" type="pres">
      <dgm:prSet presAssocID="{6CC8CB00-F4BD-4923-B21D-476D50CE4744}" presName="node" presStyleLbl="alignAccFollowNode1" presStyleIdx="13" presStyleCnt="30">
        <dgm:presLayoutVars>
          <dgm:bulletEnabled val="1"/>
        </dgm:presLayoutVars>
      </dgm:prSet>
      <dgm:spPr>
        <a:prstGeom prst="chevron">
          <a:avLst/>
        </a:prstGeom>
      </dgm:spPr>
      <dgm:t>
        <a:bodyPr/>
        <a:lstStyle/>
        <a:p>
          <a:endParaRPr lang="cs-CZ"/>
        </a:p>
      </dgm:t>
    </dgm:pt>
    <dgm:pt modelId="{0E20D554-1779-452B-BF7D-5988665B2857}" type="pres">
      <dgm:prSet presAssocID="{58CCD390-3616-4FCE-96E5-24C51DBD1F9B}" presName="sibTrans" presStyleCnt="0"/>
      <dgm:spPr/>
    </dgm:pt>
    <dgm:pt modelId="{190C9095-C4CF-4C8B-9843-FC9A87C43110}" type="pres">
      <dgm:prSet presAssocID="{B7AB5797-52D3-4168-94E9-B5B272FA6C3D}" presName="node" presStyleLbl="alignAccFollowNode1" presStyleIdx="14" presStyleCnt="30">
        <dgm:presLayoutVars>
          <dgm:bulletEnabled val="1"/>
        </dgm:presLayoutVars>
      </dgm:prSet>
      <dgm:spPr>
        <a:prstGeom prst="chevron">
          <a:avLst/>
        </a:prstGeom>
      </dgm:spPr>
      <dgm:t>
        <a:bodyPr/>
        <a:lstStyle/>
        <a:p>
          <a:endParaRPr lang="cs-CZ"/>
        </a:p>
      </dgm:t>
    </dgm:pt>
    <dgm:pt modelId="{3A29FBB7-BFD7-40DF-B926-DFC96F12E73B}" type="pres">
      <dgm:prSet presAssocID="{AB6F074E-C192-402C-B1F8-7A5A7BBE2373}" presName="sibTrans" presStyleCnt="0"/>
      <dgm:spPr/>
    </dgm:pt>
    <dgm:pt modelId="{729925F6-6C21-4C2A-A124-CB5331D4D0A1}" type="pres">
      <dgm:prSet presAssocID="{D83646A4-A7B1-4063-96EE-F494AE1354F3}" presName="node" presStyleLbl="alignAccFollowNode1" presStyleIdx="15" presStyleCnt="30">
        <dgm:presLayoutVars>
          <dgm:bulletEnabled val="1"/>
        </dgm:presLayoutVars>
      </dgm:prSet>
      <dgm:spPr>
        <a:prstGeom prst="chevron">
          <a:avLst/>
        </a:prstGeom>
      </dgm:spPr>
      <dgm:t>
        <a:bodyPr/>
        <a:lstStyle/>
        <a:p>
          <a:endParaRPr lang="cs-CZ"/>
        </a:p>
      </dgm:t>
    </dgm:pt>
    <dgm:pt modelId="{F87B3730-9DBA-4FB1-BEC3-203582704E71}" type="pres">
      <dgm:prSet presAssocID="{CCD5F0B8-6925-4DD9-AEB0-82326B9BC3C4}" presName="sibTrans" presStyleCnt="0"/>
      <dgm:spPr/>
    </dgm:pt>
    <dgm:pt modelId="{F1F41FAD-CF79-4184-9D4A-4B24B3BD1679}" type="pres">
      <dgm:prSet presAssocID="{FEA4DDB3-3A97-44AC-828D-91A1B7C2F815}" presName="node" presStyleLbl="alignAccFollowNode1" presStyleIdx="16" presStyleCnt="30">
        <dgm:presLayoutVars>
          <dgm:bulletEnabled val="1"/>
        </dgm:presLayoutVars>
      </dgm:prSet>
      <dgm:spPr>
        <a:prstGeom prst="chevron">
          <a:avLst/>
        </a:prstGeom>
      </dgm:spPr>
      <dgm:t>
        <a:bodyPr/>
        <a:lstStyle/>
        <a:p>
          <a:endParaRPr lang="cs-CZ"/>
        </a:p>
      </dgm:t>
    </dgm:pt>
    <dgm:pt modelId="{CEC64482-0253-43ED-B9B7-046F5EB620B3}" type="pres">
      <dgm:prSet presAssocID="{A392C771-08EA-4F6A-B577-51DE6D88CA16}" presName="sibTrans" presStyleCnt="0"/>
      <dgm:spPr/>
    </dgm:pt>
    <dgm:pt modelId="{4C65EDB7-00FC-46A4-9C20-9DA139026CE1}" type="pres">
      <dgm:prSet presAssocID="{B56FF771-0284-45CC-BEB5-0F13737F543B}" presName="node" presStyleLbl="alignAccFollowNode1" presStyleIdx="17" presStyleCnt="30">
        <dgm:presLayoutVars>
          <dgm:bulletEnabled val="1"/>
        </dgm:presLayoutVars>
      </dgm:prSet>
      <dgm:spPr>
        <a:prstGeom prst="chevron">
          <a:avLst/>
        </a:prstGeom>
      </dgm:spPr>
      <dgm:t>
        <a:bodyPr/>
        <a:lstStyle/>
        <a:p>
          <a:endParaRPr lang="cs-CZ"/>
        </a:p>
      </dgm:t>
    </dgm:pt>
    <dgm:pt modelId="{7E5BF45C-0115-41ED-9326-05FE7C694700}" type="pres">
      <dgm:prSet presAssocID="{10EEAB1A-174F-4182-8129-99D15D7AB9CF}" presName="vSp" presStyleCnt="0"/>
      <dgm:spPr/>
    </dgm:pt>
    <dgm:pt modelId="{1BB6BA2D-2500-4816-8327-0A4F6B34843B}" type="pres">
      <dgm:prSet presAssocID="{5C86C45D-0504-41F5-9ED8-B8588DC4BB71}" presName="horFlow" presStyleCnt="0"/>
      <dgm:spPr/>
    </dgm:pt>
    <dgm:pt modelId="{3B038CE9-4800-42E2-ADC1-CECE41DB3D7F}" type="pres">
      <dgm:prSet presAssocID="{5C86C45D-0504-41F5-9ED8-B8588DC4BB71}" presName="bigChev" presStyleLbl="node1" presStyleIdx="3" presStyleCnt="5" custScaleX="105525"/>
      <dgm:spPr>
        <a:prstGeom prst="chevron">
          <a:avLst/>
        </a:prstGeom>
      </dgm:spPr>
      <dgm:t>
        <a:bodyPr/>
        <a:lstStyle/>
        <a:p>
          <a:endParaRPr lang="cs-CZ"/>
        </a:p>
      </dgm:t>
    </dgm:pt>
    <dgm:pt modelId="{C69CFF36-F175-4B28-88C2-30012360F175}" type="pres">
      <dgm:prSet presAssocID="{F992937B-D676-4E14-883A-7DE4DC15F33C}" presName="parTrans" presStyleCnt="0"/>
      <dgm:spPr/>
    </dgm:pt>
    <dgm:pt modelId="{0C4F5166-7B8C-4DC5-9D99-03C90D522575}" type="pres">
      <dgm:prSet presAssocID="{8C82CBD6-9B91-494C-B5BE-A24E7DAC987A}" presName="node" presStyleLbl="alignAccFollowNode1" presStyleIdx="18" presStyleCnt="30">
        <dgm:presLayoutVars>
          <dgm:bulletEnabled val="1"/>
        </dgm:presLayoutVars>
      </dgm:prSet>
      <dgm:spPr>
        <a:prstGeom prst="chevron">
          <a:avLst/>
        </a:prstGeom>
      </dgm:spPr>
      <dgm:t>
        <a:bodyPr/>
        <a:lstStyle/>
        <a:p>
          <a:endParaRPr lang="cs-CZ"/>
        </a:p>
      </dgm:t>
    </dgm:pt>
    <dgm:pt modelId="{13F7C1A8-0FA6-4047-8DEF-A7F40DB089B6}" type="pres">
      <dgm:prSet presAssocID="{D500B32E-0679-4C74-9104-62736048009E}" presName="sibTrans" presStyleCnt="0"/>
      <dgm:spPr/>
    </dgm:pt>
    <dgm:pt modelId="{7CB82BEA-AE28-47E4-BA52-D78E48C0F651}" type="pres">
      <dgm:prSet presAssocID="{F23B00AF-5335-4B06-B9E0-C407B399300E}" presName="node" presStyleLbl="alignAccFollowNode1" presStyleIdx="19" presStyleCnt="30">
        <dgm:presLayoutVars>
          <dgm:bulletEnabled val="1"/>
        </dgm:presLayoutVars>
      </dgm:prSet>
      <dgm:spPr>
        <a:prstGeom prst="chevron">
          <a:avLst/>
        </a:prstGeom>
      </dgm:spPr>
      <dgm:t>
        <a:bodyPr/>
        <a:lstStyle/>
        <a:p>
          <a:endParaRPr lang="cs-CZ"/>
        </a:p>
      </dgm:t>
    </dgm:pt>
    <dgm:pt modelId="{530B6F05-6DFC-43D0-92E5-B644BDD10F2A}" type="pres">
      <dgm:prSet presAssocID="{9479A454-AB9D-4130-A99D-BBA20460FA4A}" presName="sibTrans" presStyleCnt="0"/>
      <dgm:spPr/>
    </dgm:pt>
    <dgm:pt modelId="{3963FC4F-805E-4287-BBFA-DE711BEEDB2C}" type="pres">
      <dgm:prSet presAssocID="{25F081A6-E845-4409-887B-05E369030AE7}" presName="node" presStyleLbl="alignAccFollowNode1" presStyleIdx="20" presStyleCnt="30">
        <dgm:presLayoutVars>
          <dgm:bulletEnabled val="1"/>
        </dgm:presLayoutVars>
      </dgm:prSet>
      <dgm:spPr>
        <a:prstGeom prst="chevron">
          <a:avLst/>
        </a:prstGeom>
      </dgm:spPr>
      <dgm:t>
        <a:bodyPr/>
        <a:lstStyle/>
        <a:p>
          <a:endParaRPr lang="cs-CZ"/>
        </a:p>
      </dgm:t>
    </dgm:pt>
    <dgm:pt modelId="{24B223E9-9351-4648-AEE2-D4038D026EF0}" type="pres">
      <dgm:prSet presAssocID="{57FA23F5-AAC5-4EF6-817D-4976FD6CF51E}" presName="sibTrans" presStyleCnt="0"/>
      <dgm:spPr/>
    </dgm:pt>
    <dgm:pt modelId="{68FF06A0-95BF-4EB5-BCC0-FE24A744B17A}" type="pres">
      <dgm:prSet presAssocID="{A107A654-54F0-418A-AAED-D6694D3FF9AE}" presName="node" presStyleLbl="alignAccFollowNode1" presStyleIdx="21" presStyleCnt="30">
        <dgm:presLayoutVars>
          <dgm:bulletEnabled val="1"/>
        </dgm:presLayoutVars>
      </dgm:prSet>
      <dgm:spPr>
        <a:prstGeom prst="chevron">
          <a:avLst/>
        </a:prstGeom>
      </dgm:spPr>
      <dgm:t>
        <a:bodyPr/>
        <a:lstStyle/>
        <a:p>
          <a:endParaRPr lang="cs-CZ"/>
        </a:p>
      </dgm:t>
    </dgm:pt>
    <dgm:pt modelId="{1169AA05-4D8B-4B3D-9FEC-0917DC98EC23}" type="pres">
      <dgm:prSet presAssocID="{2EFF7EC7-9DD7-4E89-B36E-9B6DDE8DE8E8}" presName="sibTrans" presStyleCnt="0"/>
      <dgm:spPr/>
    </dgm:pt>
    <dgm:pt modelId="{1FAD3650-64BC-4728-B0DE-4DF577F605F2}" type="pres">
      <dgm:prSet presAssocID="{6FF2215A-98C9-46E9-9B44-A4318822E1FF}" presName="node" presStyleLbl="alignAccFollowNode1" presStyleIdx="22" presStyleCnt="30">
        <dgm:presLayoutVars>
          <dgm:bulletEnabled val="1"/>
        </dgm:presLayoutVars>
      </dgm:prSet>
      <dgm:spPr>
        <a:prstGeom prst="chevron">
          <a:avLst/>
        </a:prstGeom>
      </dgm:spPr>
      <dgm:t>
        <a:bodyPr/>
        <a:lstStyle/>
        <a:p>
          <a:endParaRPr lang="cs-CZ"/>
        </a:p>
      </dgm:t>
    </dgm:pt>
    <dgm:pt modelId="{CCD5C5F7-8FEC-426D-9ABE-706AE504B669}" type="pres">
      <dgm:prSet presAssocID="{C28617C6-CB83-42F9-9DC7-65202EACE19E}" presName="sibTrans" presStyleCnt="0"/>
      <dgm:spPr/>
    </dgm:pt>
    <dgm:pt modelId="{C132509D-D53A-413A-B4A6-5E3503422542}" type="pres">
      <dgm:prSet presAssocID="{93447B53-24D9-4435-9944-0A8CE12A31FD}" presName="node" presStyleLbl="alignAccFollowNode1" presStyleIdx="23" presStyleCnt="30">
        <dgm:presLayoutVars>
          <dgm:bulletEnabled val="1"/>
        </dgm:presLayoutVars>
      </dgm:prSet>
      <dgm:spPr>
        <a:prstGeom prst="chevron">
          <a:avLst/>
        </a:prstGeom>
      </dgm:spPr>
      <dgm:t>
        <a:bodyPr/>
        <a:lstStyle/>
        <a:p>
          <a:endParaRPr lang="cs-CZ"/>
        </a:p>
      </dgm:t>
    </dgm:pt>
    <dgm:pt modelId="{C5EB23C6-11CB-47EF-A5C9-0F4D3406BA9B}" type="pres">
      <dgm:prSet presAssocID="{5C86C45D-0504-41F5-9ED8-B8588DC4BB71}" presName="vSp" presStyleCnt="0"/>
      <dgm:spPr/>
    </dgm:pt>
    <dgm:pt modelId="{67F2BC10-BE65-40DD-89F1-7232BDBAACB5}" type="pres">
      <dgm:prSet presAssocID="{F9237C42-396D-4178-8CA9-B5ECBDE23A4E}" presName="horFlow" presStyleCnt="0"/>
      <dgm:spPr/>
    </dgm:pt>
    <dgm:pt modelId="{0FFED735-4CCB-4EAF-B1A3-CF503238954F}" type="pres">
      <dgm:prSet presAssocID="{F9237C42-396D-4178-8CA9-B5ECBDE23A4E}" presName="bigChev" presStyleLbl="node1" presStyleIdx="4" presStyleCnt="5" custScaleX="105717"/>
      <dgm:spPr/>
      <dgm:t>
        <a:bodyPr/>
        <a:lstStyle/>
        <a:p>
          <a:endParaRPr lang="cs-CZ"/>
        </a:p>
      </dgm:t>
    </dgm:pt>
    <dgm:pt modelId="{9861FA59-1213-4ABD-896F-23CB56B22E74}" type="pres">
      <dgm:prSet presAssocID="{6FCAE8C5-69A2-404F-A20D-14B30F2A6DCC}" presName="parTrans" presStyleCnt="0"/>
      <dgm:spPr/>
    </dgm:pt>
    <dgm:pt modelId="{8D326494-8F17-40AB-A859-50D8DC048C66}" type="pres">
      <dgm:prSet presAssocID="{1B7AA458-4F5A-43F0-A7D8-4BA31A8BA300}" presName="node" presStyleLbl="alignAccFollowNode1" presStyleIdx="24" presStyleCnt="30">
        <dgm:presLayoutVars>
          <dgm:bulletEnabled val="1"/>
        </dgm:presLayoutVars>
      </dgm:prSet>
      <dgm:spPr/>
      <dgm:t>
        <a:bodyPr/>
        <a:lstStyle/>
        <a:p>
          <a:endParaRPr lang="cs-CZ"/>
        </a:p>
      </dgm:t>
    </dgm:pt>
    <dgm:pt modelId="{B8524C42-FC61-4F70-9FCE-723F32BCBD07}" type="pres">
      <dgm:prSet presAssocID="{94C7F878-65B0-47FB-ABE0-15E7BB40DF39}" presName="sibTrans" presStyleCnt="0"/>
      <dgm:spPr/>
    </dgm:pt>
    <dgm:pt modelId="{D4F10E64-ABAB-4CFF-948A-75B2C3FBE017}" type="pres">
      <dgm:prSet presAssocID="{1B051D57-BC86-40BB-9336-55F692D9FEA5}" presName="node" presStyleLbl="alignAccFollowNode1" presStyleIdx="25" presStyleCnt="30">
        <dgm:presLayoutVars>
          <dgm:bulletEnabled val="1"/>
        </dgm:presLayoutVars>
      </dgm:prSet>
      <dgm:spPr/>
      <dgm:t>
        <a:bodyPr/>
        <a:lstStyle/>
        <a:p>
          <a:endParaRPr lang="cs-CZ"/>
        </a:p>
      </dgm:t>
    </dgm:pt>
    <dgm:pt modelId="{0885BCEF-50C4-4926-860A-8E1B1536C98C}" type="pres">
      <dgm:prSet presAssocID="{838EB501-FA67-4996-AE3A-40073337AE6D}" presName="sibTrans" presStyleCnt="0"/>
      <dgm:spPr/>
    </dgm:pt>
    <dgm:pt modelId="{A05632CE-DADD-4D9B-939A-E7AE55A26E8D}" type="pres">
      <dgm:prSet presAssocID="{F7156266-1EB8-4747-A3D8-95CE06C9D1E7}" presName="node" presStyleLbl="alignAccFollowNode1" presStyleIdx="26" presStyleCnt="30">
        <dgm:presLayoutVars>
          <dgm:bulletEnabled val="1"/>
        </dgm:presLayoutVars>
      </dgm:prSet>
      <dgm:spPr/>
      <dgm:t>
        <a:bodyPr/>
        <a:lstStyle/>
        <a:p>
          <a:endParaRPr lang="cs-CZ"/>
        </a:p>
      </dgm:t>
    </dgm:pt>
    <dgm:pt modelId="{542C8275-8A38-41EA-8CF7-769098EE22D7}" type="pres">
      <dgm:prSet presAssocID="{4B615F4B-9CE7-475C-A01C-18D7BD3B1B6A}" presName="sibTrans" presStyleCnt="0"/>
      <dgm:spPr/>
    </dgm:pt>
    <dgm:pt modelId="{7AB4704B-FC09-4BD5-ACAE-46FB2612B11C}" type="pres">
      <dgm:prSet presAssocID="{FE4FD0C4-775D-479C-9B87-2CDA4A9DA9FD}" presName="node" presStyleLbl="alignAccFollowNode1" presStyleIdx="27" presStyleCnt="30">
        <dgm:presLayoutVars>
          <dgm:bulletEnabled val="1"/>
        </dgm:presLayoutVars>
      </dgm:prSet>
      <dgm:spPr/>
      <dgm:t>
        <a:bodyPr/>
        <a:lstStyle/>
        <a:p>
          <a:endParaRPr lang="cs-CZ"/>
        </a:p>
      </dgm:t>
    </dgm:pt>
    <dgm:pt modelId="{7B632436-69EC-4D71-B586-8F19C3A12AC2}" type="pres">
      <dgm:prSet presAssocID="{A7C5114F-C4A6-4524-BD96-81E861D49A06}" presName="sibTrans" presStyleCnt="0"/>
      <dgm:spPr/>
    </dgm:pt>
    <dgm:pt modelId="{79B56624-BD2D-4DF1-AAC9-05FD419367B3}" type="pres">
      <dgm:prSet presAssocID="{B24B5EA5-E040-4F63-A213-609E8B449A61}" presName="node" presStyleLbl="alignAccFollowNode1" presStyleIdx="28" presStyleCnt="30">
        <dgm:presLayoutVars>
          <dgm:bulletEnabled val="1"/>
        </dgm:presLayoutVars>
      </dgm:prSet>
      <dgm:spPr/>
      <dgm:t>
        <a:bodyPr/>
        <a:lstStyle/>
        <a:p>
          <a:endParaRPr lang="cs-CZ"/>
        </a:p>
      </dgm:t>
    </dgm:pt>
    <dgm:pt modelId="{31E7959D-6EA4-434C-B9B4-925A12E140D1}" type="pres">
      <dgm:prSet presAssocID="{6590BE72-FE17-4AE8-81FC-74CB86AF6E07}" presName="sibTrans" presStyleCnt="0"/>
      <dgm:spPr/>
    </dgm:pt>
    <dgm:pt modelId="{1C6C2DC9-F026-46BB-A584-DC17AA1047FF}" type="pres">
      <dgm:prSet presAssocID="{120ECE09-B579-41E1-876C-03790B3AF179}" presName="node" presStyleLbl="alignAccFollowNode1" presStyleIdx="29" presStyleCnt="30" custScaleX="100508">
        <dgm:presLayoutVars>
          <dgm:bulletEnabled val="1"/>
        </dgm:presLayoutVars>
      </dgm:prSet>
      <dgm:spPr/>
      <dgm:t>
        <a:bodyPr/>
        <a:lstStyle/>
        <a:p>
          <a:endParaRPr lang="cs-CZ"/>
        </a:p>
      </dgm:t>
    </dgm:pt>
  </dgm:ptLst>
  <dgm:cxnLst>
    <dgm:cxn modelId="{303ADA22-FF07-4BE9-8969-5183C4DFF3FD}" type="presOf" srcId="{F23B00AF-5335-4B06-B9E0-C407B399300E}" destId="{7CB82BEA-AE28-47E4-BA52-D78E48C0F651}" srcOrd="0" destOrd="0" presId="urn:microsoft.com/office/officeart/2005/8/layout/lProcess3"/>
    <dgm:cxn modelId="{5F6E7885-3FBF-4F6B-84DF-E5C83F069B74}" type="presOf" srcId="{5C86C45D-0504-41F5-9ED8-B8588DC4BB71}" destId="{3B038CE9-4800-42E2-ADC1-CECE41DB3D7F}" srcOrd="0" destOrd="0" presId="urn:microsoft.com/office/officeart/2005/8/layout/lProcess3"/>
    <dgm:cxn modelId="{BEDB6D3F-8793-4626-8623-6C182F0A8CDB}" type="presOf" srcId="{2EDBE3C3-8A52-4A3A-9194-3724DB8ACE24}" destId="{DD05987A-3EC2-4CCA-9869-1F1361695B14}" srcOrd="0" destOrd="0" presId="urn:microsoft.com/office/officeart/2005/8/layout/lProcess3"/>
    <dgm:cxn modelId="{67F14EB5-A054-4528-BAD9-E977844E9EC3}" type="presOf" srcId="{1B051D57-BC86-40BB-9336-55F692D9FEA5}" destId="{D4F10E64-ABAB-4CFF-948A-75B2C3FBE017}" srcOrd="0" destOrd="0" presId="urn:microsoft.com/office/officeart/2005/8/layout/lProcess3"/>
    <dgm:cxn modelId="{B5564803-F5F9-4014-911E-E154F0C85191}" type="presOf" srcId="{EC97A157-B1ED-4108-8FEF-1E4923639515}" destId="{833188DE-4E3C-4E12-83E9-AF15E2D9BFD2}" srcOrd="0" destOrd="0" presId="urn:microsoft.com/office/officeart/2005/8/layout/lProcess3"/>
    <dgm:cxn modelId="{D854AD87-6BC3-451D-BF2E-A403FC00D3A8}" srcId="{78174B99-CB2F-41B4-84A1-1438F1481E64}" destId="{2EDBE3C3-8A52-4A3A-9194-3724DB8ACE24}" srcOrd="0" destOrd="0" parTransId="{7648DE78-9420-4106-B5C2-036985F43A06}" sibTransId="{57DB7BDA-E66E-4670-B460-59BDCDF1EA8F}"/>
    <dgm:cxn modelId="{1E8F49F5-B1EF-4DD8-92A0-160CF075C052}" srcId="{10EEAB1A-174F-4182-8129-99D15D7AB9CF}" destId="{B7AB5797-52D3-4168-94E9-B5B272FA6C3D}" srcOrd="2" destOrd="0" parTransId="{481AFC01-99CA-46E0-87DB-7575ED20FCFD}" sibTransId="{AB6F074E-C192-402C-B1F8-7A5A7BBE2373}"/>
    <dgm:cxn modelId="{7E4DF2E4-B591-466C-A14D-9B687B7A49BF}" srcId="{10EEAB1A-174F-4182-8129-99D15D7AB9CF}" destId="{D83646A4-A7B1-4063-96EE-F494AE1354F3}" srcOrd="3" destOrd="0" parTransId="{8E629B7D-0666-4E55-A6F7-0D502A314A0E}" sibTransId="{CCD5F0B8-6925-4DD9-AEB0-82326B9BC3C4}"/>
    <dgm:cxn modelId="{BF1CF443-1178-4CD3-9263-76DABC19179B}" srcId="{4D953984-3ACF-4D10-86C2-DD0EECD2045E}" destId="{EC97A157-B1ED-4108-8FEF-1E4923639515}" srcOrd="3" destOrd="0" parTransId="{9D7F40E7-42DB-4EEC-B91F-E81F9F00800B}" sibTransId="{5E219547-CBEE-409D-BC33-EF0F7574158E}"/>
    <dgm:cxn modelId="{C0597CED-1C27-4F4C-824E-5791A057D0F8}" type="presOf" srcId="{FE4FD0C4-775D-479C-9B87-2CDA4A9DA9FD}" destId="{7AB4704B-FC09-4BD5-ACAE-46FB2612B11C}" srcOrd="0" destOrd="0" presId="urn:microsoft.com/office/officeart/2005/8/layout/lProcess3"/>
    <dgm:cxn modelId="{904960D1-1AAD-4FEA-A610-B5320936AEBF}" srcId="{5C86C45D-0504-41F5-9ED8-B8588DC4BB71}" destId="{A107A654-54F0-418A-AAED-D6694D3FF9AE}" srcOrd="3" destOrd="0" parTransId="{07A7D715-E3B4-42E9-A1E1-55E6AE08A9D2}" sibTransId="{2EFF7EC7-9DD7-4E89-B36E-9B6DDE8DE8E8}"/>
    <dgm:cxn modelId="{DC90E02E-C9EB-48FE-B238-B67D319D5B0D}" type="presOf" srcId="{93447B53-24D9-4435-9944-0A8CE12A31FD}" destId="{C132509D-D53A-413A-B4A6-5E3503422542}" srcOrd="0" destOrd="0" presId="urn:microsoft.com/office/officeart/2005/8/layout/lProcess3"/>
    <dgm:cxn modelId="{2CBF76AB-21EC-41A9-91C9-AE76936A02E4}" srcId="{5C86C45D-0504-41F5-9ED8-B8588DC4BB71}" destId="{93447B53-24D9-4435-9944-0A8CE12A31FD}" srcOrd="5" destOrd="0" parTransId="{09123B89-1F8B-4854-979E-0A5C277A87A8}" sibTransId="{611625C5-F15E-4884-9C12-AA885229D3D0}"/>
    <dgm:cxn modelId="{AAEAEADC-BBE5-4A85-8DCF-BFBA90D01B4F}" type="presOf" srcId="{BD31FC45-3A97-40A0-952F-7F630CAADFF7}" destId="{4AFDE68C-9E06-4875-8967-539174B30ADD}" srcOrd="0" destOrd="0" presId="urn:microsoft.com/office/officeart/2005/8/layout/lProcess3"/>
    <dgm:cxn modelId="{B86B6AD4-D71C-4A0B-A618-7CDA650FD3F2}" srcId="{F9237C42-396D-4178-8CA9-B5ECBDE23A4E}" destId="{120ECE09-B579-41E1-876C-03790B3AF179}" srcOrd="5" destOrd="0" parTransId="{3CBA9304-3577-4ABC-9FC6-28B3904726CB}" sibTransId="{81D9F4CE-6A41-4C2C-A271-C0002012E7C6}"/>
    <dgm:cxn modelId="{DFF650C2-C7FA-41F0-92F2-CF2FB269C05A}" type="presOf" srcId="{4D953984-3ACF-4D10-86C2-DD0EECD2045E}" destId="{4324C8AE-0C84-4B57-A0DB-F530EDB074FB}" srcOrd="0" destOrd="0" presId="urn:microsoft.com/office/officeart/2005/8/layout/lProcess3"/>
    <dgm:cxn modelId="{310A3113-A0E8-4F71-BAB5-F6696697AF1D}" srcId="{10EEAB1A-174F-4182-8129-99D15D7AB9CF}" destId="{3B04C11E-1E1D-4B33-905E-D561049DA493}" srcOrd="0" destOrd="0" parTransId="{9A5D6920-F92B-401E-8ABC-E4BDCB79BFC4}" sibTransId="{1C6F6D06-2691-49C6-9ECD-584EE3F45D1E}"/>
    <dgm:cxn modelId="{928E7FB3-9936-4D4C-B9B6-72844F2875F9}" type="presOf" srcId="{B7AB5797-52D3-4168-94E9-B5B272FA6C3D}" destId="{190C9095-C4CF-4C8B-9843-FC9A87C43110}" srcOrd="0" destOrd="0" presId="urn:microsoft.com/office/officeart/2005/8/layout/lProcess3"/>
    <dgm:cxn modelId="{E3221AC5-98DA-4248-B955-897C111A5118}" type="presOf" srcId="{D83646A4-A7B1-4063-96EE-F494AE1354F3}" destId="{729925F6-6C21-4C2A-A124-CB5331D4D0A1}" srcOrd="0" destOrd="0" presId="urn:microsoft.com/office/officeart/2005/8/layout/lProcess3"/>
    <dgm:cxn modelId="{ED7784F0-CB07-46A9-9099-A96DEBF07610}" srcId="{4D953984-3ACF-4D10-86C2-DD0EECD2045E}" destId="{358C9A41-D250-4EE4-9337-6B3886DC0DC0}" srcOrd="1" destOrd="0" parTransId="{37117464-C6AC-4707-B9BD-209DE83C59FB}" sibTransId="{EB460E09-C9FC-4808-8795-EB45393F3985}"/>
    <dgm:cxn modelId="{BD1F13C6-0963-459B-B4C1-46A35A1AF419}" srcId="{10EEAB1A-174F-4182-8129-99D15D7AB9CF}" destId="{FEA4DDB3-3A97-44AC-828D-91A1B7C2F815}" srcOrd="4" destOrd="0" parTransId="{30C3A696-7896-4142-98B8-911DAA51A0C2}" sibTransId="{A392C771-08EA-4F6A-B577-51DE6D88CA16}"/>
    <dgm:cxn modelId="{BF446106-2748-465C-82A9-5AB1C93995B0}" srcId="{78174B99-CB2F-41B4-84A1-1438F1481E64}" destId="{0FD9EDD5-D66F-4DBF-9BBC-F557C161D16F}" srcOrd="5" destOrd="0" parTransId="{5B66ACB1-D36E-4B3D-8D5E-050A802E2EEE}" sibTransId="{918144D0-6648-46AE-8155-2887C7596364}"/>
    <dgm:cxn modelId="{FBE2A66C-BAEB-4055-B249-C62290420E1D}" srcId="{1A6347D2-E774-46FA-B777-F1A30B1B32AE}" destId="{78174B99-CB2F-41B4-84A1-1438F1481E64}" srcOrd="1" destOrd="0" parTransId="{D7C31FB7-9F0B-4DC9-9E58-D2D92803A3E7}" sibTransId="{949F9C5E-8E40-433E-9C30-8C6B1B901287}"/>
    <dgm:cxn modelId="{FD27FC6F-30AD-4979-9713-032434D95C4C}" type="presOf" srcId="{5A11B889-0B82-46C6-AA06-198B94C240BA}" destId="{26A82BEF-68BE-4FEF-A542-D5EE7C04721A}" srcOrd="0" destOrd="0" presId="urn:microsoft.com/office/officeart/2005/8/layout/lProcess3"/>
    <dgm:cxn modelId="{34615857-8CF1-48EC-B1AE-8874376DC5C2}" type="presOf" srcId="{8C82CBD6-9B91-494C-B5BE-A24E7DAC987A}" destId="{0C4F5166-7B8C-4DC5-9D99-03C90D522575}" srcOrd="0" destOrd="0" presId="urn:microsoft.com/office/officeart/2005/8/layout/lProcess3"/>
    <dgm:cxn modelId="{E8F054AC-5DF6-4DF7-9A9B-94C2A7462113}" type="presOf" srcId="{1B7AA458-4F5A-43F0-A7D8-4BA31A8BA300}" destId="{8D326494-8F17-40AB-A859-50D8DC048C66}" srcOrd="0" destOrd="0" presId="urn:microsoft.com/office/officeart/2005/8/layout/lProcess3"/>
    <dgm:cxn modelId="{61E5F28A-B476-4F89-ABE6-DE6A37D687D6}" srcId="{1A6347D2-E774-46FA-B777-F1A30B1B32AE}" destId="{F9237C42-396D-4178-8CA9-B5ECBDE23A4E}" srcOrd="4" destOrd="0" parTransId="{3FA4280B-460E-4C26-AFED-C1A89C98BC1E}" sibTransId="{93AF8B02-2C0A-4ACB-9A4E-632680E451BA}"/>
    <dgm:cxn modelId="{6430C03B-7A11-4A2B-844D-BACB55C516FF}" type="presOf" srcId="{120ECE09-B579-41E1-876C-03790B3AF179}" destId="{1C6C2DC9-F026-46BB-A584-DC17AA1047FF}" srcOrd="0" destOrd="0" presId="urn:microsoft.com/office/officeart/2005/8/layout/lProcess3"/>
    <dgm:cxn modelId="{7796AACE-01AA-4552-8B2C-43ECF3FCBCD7}" srcId="{4D953984-3ACF-4D10-86C2-DD0EECD2045E}" destId="{A1CF1E31-5801-448F-B337-DBA64B602091}" srcOrd="0" destOrd="0" parTransId="{BFA133A1-756A-45F1-8766-59F7BCFDAA6C}" sibTransId="{D30FBF5B-3185-4475-AA36-3B0290B49DAD}"/>
    <dgm:cxn modelId="{FF2E30D5-28CF-439A-B67C-581103A44941}" type="presOf" srcId="{A107A654-54F0-418A-AAED-D6694D3FF9AE}" destId="{68FF06A0-95BF-4EB5-BCC0-FE24A744B17A}" srcOrd="0" destOrd="0" presId="urn:microsoft.com/office/officeart/2005/8/layout/lProcess3"/>
    <dgm:cxn modelId="{7F8520E7-18CD-4AD7-9246-8612BFB7B683}" srcId="{4D953984-3ACF-4D10-86C2-DD0EECD2045E}" destId="{5A11B889-0B82-46C6-AA06-198B94C240BA}" srcOrd="2" destOrd="0" parTransId="{85632010-DCDE-49B9-B7C8-1BA4BC10AB96}" sibTransId="{3E41D1D9-E567-4048-A439-D1D74FF4254F}"/>
    <dgm:cxn modelId="{68A4AAA5-BD77-4F50-A507-31716C6B7717}" type="presOf" srcId="{F7156266-1EB8-4747-A3D8-95CE06C9D1E7}" destId="{A05632CE-DADD-4D9B-939A-E7AE55A26E8D}" srcOrd="0" destOrd="0" presId="urn:microsoft.com/office/officeart/2005/8/layout/lProcess3"/>
    <dgm:cxn modelId="{AB904891-B29F-4250-A5A5-EC26D54407F5}" type="presOf" srcId="{62A6766A-7015-4663-8F88-379392C1BE11}" destId="{805827EE-806F-459E-9BE2-BC7F4C63625B}" srcOrd="0" destOrd="0" presId="urn:microsoft.com/office/officeart/2005/8/layout/lProcess3"/>
    <dgm:cxn modelId="{881C22E3-E024-4296-BB9D-3EE32487F377}" type="presOf" srcId="{209F4FE5-7545-474C-A12F-B61E24BF3255}" destId="{39403DC2-8A29-4B93-A1AD-2A564629EE5C}" srcOrd="0" destOrd="0" presId="urn:microsoft.com/office/officeart/2005/8/layout/lProcess3"/>
    <dgm:cxn modelId="{A08410E1-484C-4B88-AD39-0AA25FB467E7}" srcId="{1A6347D2-E774-46FA-B777-F1A30B1B32AE}" destId="{10EEAB1A-174F-4182-8129-99D15D7AB9CF}" srcOrd="2" destOrd="0" parTransId="{9621A7A5-593F-4E40-9A9F-6395F70BF010}" sibTransId="{988FF4AE-EDFA-4F28-A5CC-08BF75833141}"/>
    <dgm:cxn modelId="{B537E768-1179-43D6-9D74-C847D16AF998}" srcId="{5C86C45D-0504-41F5-9ED8-B8588DC4BB71}" destId="{6FF2215A-98C9-46E9-9B44-A4318822E1FF}" srcOrd="4" destOrd="0" parTransId="{5AD1B92A-4001-4268-8D70-1A396F83A308}" sibTransId="{C28617C6-CB83-42F9-9DC7-65202EACE19E}"/>
    <dgm:cxn modelId="{7A6E2191-A70D-4569-B524-88A49A5B22FA}" type="presOf" srcId="{0FD9EDD5-D66F-4DBF-9BBC-F557C161D16F}" destId="{341966EF-3C67-433C-892A-FBE5F2F03106}" srcOrd="0" destOrd="0" presId="urn:microsoft.com/office/officeart/2005/8/layout/lProcess3"/>
    <dgm:cxn modelId="{2E4F9EB2-8F1A-4534-BF6D-3D10D5EEB47E}" srcId="{78174B99-CB2F-41B4-84A1-1438F1481E64}" destId="{BAB9C705-956B-4C48-87C1-811A07CE45F3}" srcOrd="1" destOrd="0" parTransId="{5060BF98-44BD-4F09-9401-9C30985B369C}" sibTransId="{FC896497-7C28-4987-BB69-76BA32DE4EF9}"/>
    <dgm:cxn modelId="{1A2B5A23-B6EF-47E1-9B45-3DADDCED2DBE}" type="presOf" srcId="{D16CAD34-9C66-484C-BBDC-A5E42BF3D225}" destId="{D3A25E5F-696A-492F-9F7A-F9DECAD0E80A}" srcOrd="0" destOrd="0" presId="urn:microsoft.com/office/officeart/2005/8/layout/lProcess3"/>
    <dgm:cxn modelId="{84F60365-D7B9-4DD8-9D02-54E6AAB36FC3}" srcId="{F9237C42-396D-4178-8CA9-B5ECBDE23A4E}" destId="{1B7AA458-4F5A-43F0-A7D8-4BA31A8BA300}" srcOrd="0" destOrd="0" parTransId="{6FCAE8C5-69A2-404F-A20D-14B30F2A6DCC}" sibTransId="{94C7F878-65B0-47FB-ABE0-15E7BB40DF39}"/>
    <dgm:cxn modelId="{308F2257-DF63-4345-B4F8-B8B61610CCA9}" type="presOf" srcId="{B56FF771-0284-45CC-BEB5-0F13737F543B}" destId="{4C65EDB7-00FC-46A4-9C20-9DA139026CE1}" srcOrd="0" destOrd="0" presId="urn:microsoft.com/office/officeart/2005/8/layout/lProcess3"/>
    <dgm:cxn modelId="{64C87A25-432F-4EE5-BB67-6CEDA43802D8}" type="presOf" srcId="{1A6347D2-E774-46FA-B777-F1A30B1B32AE}" destId="{110F5A43-F211-43B5-A555-8C9EEBADA2D4}" srcOrd="0" destOrd="0" presId="urn:microsoft.com/office/officeart/2005/8/layout/lProcess3"/>
    <dgm:cxn modelId="{FC259B1C-AB38-4F47-9E7C-57B681CC4305}" srcId="{F9237C42-396D-4178-8CA9-B5ECBDE23A4E}" destId="{F7156266-1EB8-4747-A3D8-95CE06C9D1E7}" srcOrd="2" destOrd="0" parTransId="{A9D31FFC-6E62-4190-8D6B-7DA4E6EE0C52}" sibTransId="{4B615F4B-9CE7-475C-A01C-18D7BD3B1B6A}"/>
    <dgm:cxn modelId="{5F50BE38-6501-4DCC-AF0C-55FA77884990}" type="presOf" srcId="{10EEAB1A-174F-4182-8129-99D15D7AB9CF}" destId="{271D193C-BAC1-45D4-9F55-82CC0206262A}" srcOrd="0" destOrd="0" presId="urn:microsoft.com/office/officeart/2005/8/layout/lProcess3"/>
    <dgm:cxn modelId="{F7CB5E38-B9B2-475E-A24D-ACC35042F239}" type="presOf" srcId="{25F081A6-E845-4409-887B-05E369030AE7}" destId="{3963FC4F-805E-4287-BBFA-DE711BEEDB2C}" srcOrd="0" destOrd="0" presId="urn:microsoft.com/office/officeart/2005/8/layout/lProcess3"/>
    <dgm:cxn modelId="{251E8C94-B570-4DC9-BC18-1D3BD2C835E9}" type="presOf" srcId="{F9237C42-396D-4178-8CA9-B5ECBDE23A4E}" destId="{0FFED735-4CCB-4EAF-B1A3-CF503238954F}" srcOrd="0" destOrd="0" presId="urn:microsoft.com/office/officeart/2005/8/layout/lProcess3"/>
    <dgm:cxn modelId="{C679B2AC-5D46-4842-A9A8-65991FDCF730}" srcId="{5C86C45D-0504-41F5-9ED8-B8588DC4BB71}" destId="{F23B00AF-5335-4B06-B9E0-C407B399300E}" srcOrd="1" destOrd="0" parTransId="{4D263FDF-B3C7-4003-9A94-D213C7AE82CA}" sibTransId="{9479A454-AB9D-4130-A99D-BBA20460FA4A}"/>
    <dgm:cxn modelId="{F0731354-A116-4A47-A8C5-17521B110C65}" srcId="{F9237C42-396D-4178-8CA9-B5ECBDE23A4E}" destId="{B24B5EA5-E040-4F63-A213-609E8B449A61}" srcOrd="4" destOrd="0" parTransId="{4089989C-D7B6-4A14-AE59-042604920D77}" sibTransId="{6590BE72-FE17-4AE8-81FC-74CB86AF6E07}"/>
    <dgm:cxn modelId="{79CEED53-2A21-4032-B25B-7EDC8F927C64}" type="presOf" srcId="{B24B5EA5-E040-4F63-A213-609E8B449A61}" destId="{79B56624-BD2D-4DF1-AAC9-05FD419367B3}" srcOrd="0" destOrd="0" presId="urn:microsoft.com/office/officeart/2005/8/layout/lProcess3"/>
    <dgm:cxn modelId="{6CEAB6DC-D4C5-47A3-86E6-BEC62BA98C30}" srcId="{10EEAB1A-174F-4182-8129-99D15D7AB9CF}" destId="{6CC8CB00-F4BD-4923-B21D-476D50CE4744}" srcOrd="1" destOrd="0" parTransId="{3A0F8BA9-3017-44A7-92D0-493BE9266296}" sibTransId="{58CCD390-3616-4FCE-96E5-24C51DBD1F9B}"/>
    <dgm:cxn modelId="{EFBAA232-42A9-4C17-A725-9F3D5AA293C9}" type="presOf" srcId="{78174B99-CB2F-41B4-84A1-1438F1481E64}" destId="{108D6996-3FEB-43E6-98A6-B3CEA7AF6F97}" srcOrd="0" destOrd="0" presId="urn:microsoft.com/office/officeart/2005/8/layout/lProcess3"/>
    <dgm:cxn modelId="{C9587956-1B1D-4227-87D8-57D3466BFBF5}" type="presOf" srcId="{6CC8CB00-F4BD-4923-B21D-476D50CE4744}" destId="{49C1FADA-A17D-4E70-A3E9-E768A1AF2D9C}" srcOrd="0" destOrd="0" presId="urn:microsoft.com/office/officeart/2005/8/layout/lProcess3"/>
    <dgm:cxn modelId="{EE73EFEB-6030-4D28-9DBA-FF585117EA09}" srcId="{78174B99-CB2F-41B4-84A1-1438F1481E64}" destId="{BD31FC45-3A97-40A0-952F-7F630CAADFF7}" srcOrd="3" destOrd="0" parTransId="{7F98EE7C-F0D8-43D7-8240-2E47B95F7EED}" sibTransId="{E8A55DA6-FCA5-42C9-855D-834E3421F7A2}"/>
    <dgm:cxn modelId="{F8380EE1-40BA-4909-AC03-FE163230E010}" srcId="{4D953984-3ACF-4D10-86C2-DD0EECD2045E}" destId="{D16CAD34-9C66-484C-BBDC-A5E42BF3D225}" srcOrd="5" destOrd="0" parTransId="{808DF22A-3A20-4FBB-8A78-D8AC7AAE1BF0}" sibTransId="{45B66F3E-68B1-4323-9B56-387FA6FB0408}"/>
    <dgm:cxn modelId="{BDE4C5AD-FA79-48AC-B2D5-CFCDEF48DF44}" srcId="{10EEAB1A-174F-4182-8129-99D15D7AB9CF}" destId="{B56FF771-0284-45CC-BEB5-0F13737F543B}" srcOrd="5" destOrd="0" parTransId="{F2722C6C-F3DC-46AB-9DAF-1C1E74197FB1}" sibTransId="{5906F1DB-1147-4252-9733-DD3E465D39BC}"/>
    <dgm:cxn modelId="{CE2D8627-E1EC-427F-96C6-8376AD2EEFDB}" type="presOf" srcId="{358C9A41-D250-4EE4-9337-6B3886DC0DC0}" destId="{E17CDDBE-C54E-41F3-B442-C82AC2798B30}" srcOrd="0" destOrd="0" presId="urn:microsoft.com/office/officeart/2005/8/layout/lProcess3"/>
    <dgm:cxn modelId="{F5390BC2-5915-4D3F-8EBE-58357C06A4F6}" type="presOf" srcId="{FEA4DDB3-3A97-44AC-828D-91A1B7C2F815}" destId="{F1F41FAD-CF79-4184-9D4A-4B24B3BD1679}" srcOrd="0" destOrd="0" presId="urn:microsoft.com/office/officeart/2005/8/layout/lProcess3"/>
    <dgm:cxn modelId="{C1C0D0C4-E4F9-4173-8AC1-A926F1E29FDC}" srcId="{F9237C42-396D-4178-8CA9-B5ECBDE23A4E}" destId="{1B051D57-BC86-40BB-9336-55F692D9FEA5}" srcOrd="1" destOrd="0" parTransId="{E37531F1-9FE3-4244-A8EB-D835EE6708AD}" sibTransId="{838EB501-FA67-4996-AE3A-40073337AE6D}"/>
    <dgm:cxn modelId="{5BD4E26E-8DE6-4173-B45D-BB4A584731A7}" type="presOf" srcId="{BAB9C705-956B-4C48-87C1-811A07CE45F3}" destId="{E0B3BD13-AF19-47FA-8B20-BF9AA0D890B4}" srcOrd="0" destOrd="0" presId="urn:microsoft.com/office/officeart/2005/8/layout/lProcess3"/>
    <dgm:cxn modelId="{E4FC23FD-1C6E-4B34-92DC-11761E205FF0}" srcId="{5C86C45D-0504-41F5-9ED8-B8588DC4BB71}" destId="{8C82CBD6-9B91-494C-B5BE-A24E7DAC987A}" srcOrd="0" destOrd="0" parTransId="{F992937B-D676-4E14-883A-7DE4DC15F33C}" sibTransId="{D500B32E-0679-4C74-9104-62736048009E}"/>
    <dgm:cxn modelId="{4D4A54AD-733B-4E7D-8320-D4995DFF4E7B}" type="presOf" srcId="{6FF2215A-98C9-46E9-9B44-A4318822E1FF}" destId="{1FAD3650-64BC-4728-B0DE-4DF577F605F2}" srcOrd="0" destOrd="0" presId="urn:microsoft.com/office/officeart/2005/8/layout/lProcess3"/>
    <dgm:cxn modelId="{1EA05F70-360E-4C67-AD57-7FF19E0D4C84}" type="presOf" srcId="{3B04C11E-1E1D-4B33-905E-D561049DA493}" destId="{47012AB8-D9C4-4B00-AA2F-9FE5BCB3AE2B}" srcOrd="0" destOrd="0" presId="urn:microsoft.com/office/officeart/2005/8/layout/lProcess3"/>
    <dgm:cxn modelId="{57162796-0BDD-479A-8693-52AF14F604CA}" srcId="{F9237C42-396D-4178-8CA9-B5ECBDE23A4E}" destId="{FE4FD0C4-775D-479C-9B87-2CDA4A9DA9FD}" srcOrd="3" destOrd="0" parTransId="{B71029E4-CB65-4017-8E52-DC731EE6748D}" sibTransId="{A7C5114F-C4A6-4524-BD96-81E861D49A06}"/>
    <dgm:cxn modelId="{FAB24F56-6565-450D-B1E9-FF353CA1B578}" srcId="{1A6347D2-E774-46FA-B777-F1A30B1B32AE}" destId="{5C86C45D-0504-41F5-9ED8-B8588DC4BB71}" srcOrd="3" destOrd="0" parTransId="{958CFC62-690E-4A69-9661-5397DCEA31BF}" sibTransId="{66C83E80-71BF-41C0-B162-00C0E2E64806}"/>
    <dgm:cxn modelId="{7074881D-F902-419B-A3D3-69D166603E82}" srcId="{4D953984-3ACF-4D10-86C2-DD0EECD2045E}" destId="{5C5B4CF2-03CD-467B-842D-BF255C666D8D}" srcOrd="4" destOrd="0" parTransId="{2146FB9C-8A70-4886-876C-F201956EA5EF}" sibTransId="{4A97EA9F-0D43-4C4E-B773-0126E6BF88A2}"/>
    <dgm:cxn modelId="{68950414-8404-4C29-ACAA-54C9C6DAD015}" srcId="{78174B99-CB2F-41B4-84A1-1438F1481E64}" destId="{209F4FE5-7545-474C-A12F-B61E24BF3255}" srcOrd="2" destOrd="0" parTransId="{63AD4E18-C162-4B96-9CE0-7B2422FA6253}" sibTransId="{365929A1-29A6-40CB-8A04-7CD33DA95ED2}"/>
    <dgm:cxn modelId="{5CADA5D1-8101-4106-AB4B-B56D02493082}" srcId="{5C86C45D-0504-41F5-9ED8-B8588DC4BB71}" destId="{25F081A6-E845-4409-887B-05E369030AE7}" srcOrd="2" destOrd="0" parTransId="{788DD0A1-8EE1-41D8-B087-36D8BF896EA8}" sibTransId="{57FA23F5-AAC5-4EF6-817D-4976FD6CF51E}"/>
    <dgm:cxn modelId="{4FFB2243-AD8E-4F8F-AD6D-F9041EEE02CB}" type="presOf" srcId="{A1CF1E31-5801-448F-B337-DBA64B602091}" destId="{EA6E9049-714D-4F70-9449-67590FE925DF}" srcOrd="0" destOrd="0" presId="urn:microsoft.com/office/officeart/2005/8/layout/lProcess3"/>
    <dgm:cxn modelId="{ECAEA752-CBE7-4547-A8A8-48159546DDCD}" srcId="{1A6347D2-E774-46FA-B777-F1A30B1B32AE}" destId="{4D953984-3ACF-4D10-86C2-DD0EECD2045E}" srcOrd="0" destOrd="0" parTransId="{F16E41CB-26E5-43DD-9796-987A9D8D425D}" sibTransId="{65D9BC79-1E0E-4540-B0A4-914D9CDA1CEF}"/>
    <dgm:cxn modelId="{47825CE8-9B8C-4956-B169-962433248900}" type="presOf" srcId="{5C5B4CF2-03CD-467B-842D-BF255C666D8D}" destId="{4BC069EA-54EB-411A-9913-8C17480DA2D5}" srcOrd="0" destOrd="0" presId="urn:microsoft.com/office/officeart/2005/8/layout/lProcess3"/>
    <dgm:cxn modelId="{C286652C-92D4-4C9C-9D35-5919CAAAAAD2}" srcId="{78174B99-CB2F-41B4-84A1-1438F1481E64}" destId="{62A6766A-7015-4663-8F88-379392C1BE11}" srcOrd="4" destOrd="0" parTransId="{A6578421-CDAE-4169-BBBB-C5D113A31D27}" sibTransId="{F2D2666E-A48C-4B56-8FCA-BC93C49761A9}"/>
    <dgm:cxn modelId="{02268F0E-153A-4A2D-99CF-43EA3E6964F6}" type="presParOf" srcId="{110F5A43-F211-43B5-A555-8C9EEBADA2D4}" destId="{89981277-0A47-47D1-A0CA-10765B466ED1}" srcOrd="0" destOrd="0" presId="urn:microsoft.com/office/officeart/2005/8/layout/lProcess3"/>
    <dgm:cxn modelId="{E520A3E9-701F-4530-AF44-65F16625BEB1}" type="presParOf" srcId="{89981277-0A47-47D1-A0CA-10765B466ED1}" destId="{4324C8AE-0C84-4B57-A0DB-F530EDB074FB}" srcOrd="0" destOrd="0" presId="urn:microsoft.com/office/officeart/2005/8/layout/lProcess3"/>
    <dgm:cxn modelId="{03B44445-D701-450E-811C-95CC2E690092}" type="presParOf" srcId="{89981277-0A47-47D1-A0CA-10765B466ED1}" destId="{2151C726-09A8-41A7-9257-FBCF34984038}" srcOrd="1" destOrd="0" presId="urn:microsoft.com/office/officeart/2005/8/layout/lProcess3"/>
    <dgm:cxn modelId="{A2365261-49C2-4D64-9643-D1D72AEA5EA2}" type="presParOf" srcId="{89981277-0A47-47D1-A0CA-10765B466ED1}" destId="{EA6E9049-714D-4F70-9449-67590FE925DF}" srcOrd="2" destOrd="0" presId="urn:microsoft.com/office/officeart/2005/8/layout/lProcess3"/>
    <dgm:cxn modelId="{64BCE87C-D2CE-4BD8-A99A-6CE4FF688C30}" type="presParOf" srcId="{89981277-0A47-47D1-A0CA-10765B466ED1}" destId="{ABA96DD0-7385-4751-B5CE-7EFD9DEA4C59}" srcOrd="3" destOrd="0" presId="urn:microsoft.com/office/officeart/2005/8/layout/lProcess3"/>
    <dgm:cxn modelId="{D2587BED-2A2C-4476-BA1E-1B2413C64802}" type="presParOf" srcId="{89981277-0A47-47D1-A0CA-10765B466ED1}" destId="{E17CDDBE-C54E-41F3-B442-C82AC2798B30}" srcOrd="4" destOrd="0" presId="urn:microsoft.com/office/officeart/2005/8/layout/lProcess3"/>
    <dgm:cxn modelId="{295D13C6-E492-497F-BCCA-3D5A0A78DC18}" type="presParOf" srcId="{89981277-0A47-47D1-A0CA-10765B466ED1}" destId="{88DDF0DC-9738-43F9-AD8F-A06A9FCF4148}" srcOrd="5" destOrd="0" presId="urn:microsoft.com/office/officeart/2005/8/layout/lProcess3"/>
    <dgm:cxn modelId="{7CCE0B6E-7D4E-4122-AEE1-1DAB0BA72338}" type="presParOf" srcId="{89981277-0A47-47D1-A0CA-10765B466ED1}" destId="{26A82BEF-68BE-4FEF-A542-D5EE7C04721A}" srcOrd="6" destOrd="0" presId="urn:microsoft.com/office/officeart/2005/8/layout/lProcess3"/>
    <dgm:cxn modelId="{C73054C8-C075-4555-925A-BADB9BBA82DB}" type="presParOf" srcId="{89981277-0A47-47D1-A0CA-10765B466ED1}" destId="{75082378-69D2-49C0-BBAB-3B84D10518D6}" srcOrd="7" destOrd="0" presId="urn:microsoft.com/office/officeart/2005/8/layout/lProcess3"/>
    <dgm:cxn modelId="{7201B3D4-375C-4D43-8E00-63583B134426}" type="presParOf" srcId="{89981277-0A47-47D1-A0CA-10765B466ED1}" destId="{833188DE-4E3C-4E12-83E9-AF15E2D9BFD2}" srcOrd="8" destOrd="0" presId="urn:microsoft.com/office/officeart/2005/8/layout/lProcess3"/>
    <dgm:cxn modelId="{D1BC0A6D-7AA4-4C29-90D1-1F98E129822C}" type="presParOf" srcId="{89981277-0A47-47D1-A0CA-10765B466ED1}" destId="{1A7B4BD8-9A49-446F-9582-0DEAC581B14A}" srcOrd="9" destOrd="0" presId="urn:microsoft.com/office/officeart/2005/8/layout/lProcess3"/>
    <dgm:cxn modelId="{DCD4E122-0E8E-4969-9527-CB21D7103E61}" type="presParOf" srcId="{89981277-0A47-47D1-A0CA-10765B466ED1}" destId="{4BC069EA-54EB-411A-9913-8C17480DA2D5}" srcOrd="10" destOrd="0" presId="urn:microsoft.com/office/officeart/2005/8/layout/lProcess3"/>
    <dgm:cxn modelId="{3B77368B-96F9-4AA2-81A1-11B08B81CC80}" type="presParOf" srcId="{89981277-0A47-47D1-A0CA-10765B466ED1}" destId="{43F38896-F396-4B63-9208-4D7C552D8F04}" srcOrd="11" destOrd="0" presId="urn:microsoft.com/office/officeart/2005/8/layout/lProcess3"/>
    <dgm:cxn modelId="{A663346D-1EE5-4BC8-8455-26255B70277B}" type="presParOf" srcId="{89981277-0A47-47D1-A0CA-10765B466ED1}" destId="{D3A25E5F-696A-492F-9F7A-F9DECAD0E80A}" srcOrd="12" destOrd="0" presId="urn:microsoft.com/office/officeart/2005/8/layout/lProcess3"/>
    <dgm:cxn modelId="{E0992C41-342A-4752-AC27-4BA61E4EAA49}" type="presParOf" srcId="{110F5A43-F211-43B5-A555-8C9EEBADA2D4}" destId="{A9BEE66F-36BB-44B3-B70B-8A3D13CEF7BE}" srcOrd="1" destOrd="0" presId="urn:microsoft.com/office/officeart/2005/8/layout/lProcess3"/>
    <dgm:cxn modelId="{8A03AEE8-C6F9-4401-9A4E-FC5E16930A02}" type="presParOf" srcId="{110F5A43-F211-43B5-A555-8C9EEBADA2D4}" destId="{42328518-1889-434F-BA29-67500AD6A3E3}" srcOrd="2" destOrd="0" presId="urn:microsoft.com/office/officeart/2005/8/layout/lProcess3"/>
    <dgm:cxn modelId="{1F3010B9-7830-49DD-BC11-8CD7C91B5884}" type="presParOf" srcId="{42328518-1889-434F-BA29-67500AD6A3E3}" destId="{108D6996-3FEB-43E6-98A6-B3CEA7AF6F97}" srcOrd="0" destOrd="0" presId="urn:microsoft.com/office/officeart/2005/8/layout/lProcess3"/>
    <dgm:cxn modelId="{4C18A105-C4E3-41C2-9A7E-C274D7046675}" type="presParOf" srcId="{42328518-1889-434F-BA29-67500AD6A3E3}" destId="{3274A788-D1B1-42E9-A0B9-97FC70252455}" srcOrd="1" destOrd="0" presId="urn:microsoft.com/office/officeart/2005/8/layout/lProcess3"/>
    <dgm:cxn modelId="{146628BE-30FC-4D4B-B033-B0B7CFC32D16}" type="presParOf" srcId="{42328518-1889-434F-BA29-67500AD6A3E3}" destId="{DD05987A-3EC2-4CCA-9869-1F1361695B14}" srcOrd="2" destOrd="0" presId="urn:microsoft.com/office/officeart/2005/8/layout/lProcess3"/>
    <dgm:cxn modelId="{970216B3-C42C-420D-8A2D-ECE087DA471E}" type="presParOf" srcId="{42328518-1889-434F-BA29-67500AD6A3E3}" destId="{074DC42B-66ED-496B-ADFF-445C4D1A79C7}" srcOrd="3" destOrd="0" presId="urn:microsoft.com/office/officeart/2005/8/layout/lProcess3"/>
    <dgm:cxn modelId="{29E1F7F3-69BD-41CB-AFB7-37E924B89894}" type="presParOf" srcId="{42328518-1889-434F-BA29-67500AD6A3E3}" destId="{E0B3BD13-AF19-47FA-8B20-BF9AA0D890B4}" srcOrd="4" destOrd="0" presId="urn:microsoft.com/office/officeart/2005/8/layout/lProcess3"/>
    <dgm:cxn modelId="{6A2C47D9-E458-436C-81FD-342C7B09EC4B}" type="presParOf" srcId="{42328518-1889-434F-BA29-67500AD6A3E3}" destId="{8724CBF4-700F-4F2B-89EC-DB5AB15B0263}" srcOrd="5" destOrd="0" presId="urn:microsoft.com/office/officeart/2005/8/layout/lProcess3"/>
    <dgm:cxn modelId="{47DDC5D2-E0F2-467E-833B-D2A4E1E0EC73}" type="presParOf" srcId="{42328518-1889-434F-BA29-67500AD6A3E3}" destId="{39403DC2-8A29-4B93-A1AD-2A564629EE5C}" srcOrd="6" destOrd="0" presId="urn:microsoft.com/office/officeart/2005/8/layout/lProcess3"/>
    <dgm:cxn modelId="{756A6001-679E-458E-9B73-B07C963877CE}" type="presParOf" srcId="{42328518-1889-434F-BA29-67500AD6A3E3}" destId="{EDDE672C-DAC3-4202-9BBA-0CD4F65E941E}" srcOrd="7" destOrd="0" presId="urn:microsoft.com/office/officeart/2005/8/layout/lProcess3"/>
    <dgm:cxn modelId="{08F88425-8E27-4093-A0DC-813E4900F3A8}" type="presParOf" srcId="{42328518-1889-434F-BA29-67500AD6A3E3}" destId="{4AFDE68C-9E06-4875-8967-539174B30ADD}" srcOrd="8" destOrd="0" presId="urn:microsoft.com/office/officeart/2005/8/layout/lProcess3"/>
    <dgm:cxn modelId="{0EA45F1A-9380-42A2-9952-CFDE9E9BEA4F}" type="presParOf" srcId="{42328518-1889-434F-BA29-67500AD6A3E3}" destId="{6EC87B21-6427-4FE5-AF36-A804927921DB}" srcOrd="9" destOrd="0" presId="urn:microsoft.com/office/officeart/2005/8/layout/lProcess3"/>
    <dgm:cxn modelId="{5301BE05-270A-433B-AD2B-135A987607D2}" type="presParOf" srcId="{42328518-1889-434F-BA29-67500AD6A3E3}" destId="{805827EE-806F-459E-9BE2-BC7F4C63625B}" srcOrd="10" destOrd="0" presId="urn:microsoft.com/office/officeart/2005/8/layout/lProcess3"/>
    <dgm:cxn modelId="{0D0B3DA4-20A4-467B-9B64-55B086D35DAD}" type="presParOf" srcId="{42328518-1889-434F-BA29-67500AD6A3E3}" destId="{45AA2FE5-9708-4508-BB8A-E6C1FBF3E3DE}" srcOrd="11" destOrd="0" presId="urn:microsoft.com/office/officeart/2005/8/layout/lProcess3"/>
    <dgm:cxn modelId="{0DCF0DD6-9FA9-4488-8C54-30311D3544EB}" type="presParOf" srcId="{42328518-1889-434F-BA29-67500AD6A3E3}" destId="{341966EF-3C67-433C-892A-FBE5F2F03106}" srcOrd="12" destOrd="0" presId="urn:microsoft.com/office/officeart/2005/8/layout/lProcess3"/>
    <dgm:cxn modelId="{0A2437FF-6BCA-4E3E-ADEC-A50C8ACDF946}" type="presParOf" srcId="{110F5A43-F211-43B5-A555-8C9EEBADA2D4}" destId="{DCDED6E6-4835-446E-AE1D-11C056A415A0}" srcOrd="3" destOrd="0" presId="urn:microsoft.com/office/officeart/2005/8/layout/lProcess3"/>
    <dgm:cxn modelId="{874F0A7F-3007-4827-B1D9-52ADE0AA6347}" type="presParOf" srcId="{110F5A43-F211-43B5-A555-8C9EEBADA2D4}" destId="{E0A57FD5-40E2-457A-8DCD-AECCFCC1CD91}" srcOrd="4" destOrd="0" presId="urn:microsoft.com/office/officeart/2005/8/layout/lProcess3"/>
    <dgm:cxn modelId="{B1473E69-9DCD-4CEF-8970-037EADAC7488}" type="presParOf" srcId="{E0A57FD5-40E2-457A-8DCD-AECCFCC1CD91}" destId="{271D193C-BAC1-45D4-9F55-82CC0206262A}" srcOrd="0" destOrd="0" presId="urn:microsoft.com/office/officeart/2005/8/layout/lProcess3"/>
    <dgm:cxn modelId="{D510334E-4555-4E50-8AA5-89C1E04AECC7}" type="presParOf" srcId="{E0A57FD5-40E2-457A-8DCD-AECCFCC1CD91}" destId="{A02F81FF-E421-460D-A25E-FC1AFFE195F5}" srcOrd="1" destOrd="0" presId="urn:microsoft.com/office/officeart/2005/8/layout/lProcess3"/>
    <dgm:cxn modelId="{F0EA9193-1CDA-4917-9655-7F7F5334FD21}" type="presParOf" srcId="{E0A57FD5-40E2-457A-8DCD-AECCFCC1CD91}" destId="{47012AB8-D9C4-4B00-AA2F-9FE5BCB3AE2B}" srcOrd="2" destOrd="0" presId="urn:microsoft.com/office/officeart/2005/8/layout/lProcess3"/>
    <dgm:cxn modelId="{BF28E445-C9E0-4DA7-B512-428ADF527AE1}" type="presParOf" srcId="{E0A57FD5-40E2-457A-8DCD-AECCFCC1CD91}" destId="{37EAEF79-AFD4-4254-A1DD-043C950A9181}" srcOrd="3" destOrd="0" presId="urn:microsoft.com/office/officeart/2005/8/layout/lProcess3"/>
    <dgm:cxn modelId="{91BD598F-F2BF-4A83-8A3F-18E83BA396CA}" type="presParOf" srcId="{E0A57FD5-40E2-457A-8DCD-AECCFCC1CD91}" destId="{49C1FADA-A17D-4E70-A3E9-E768A1AF2D9C}" srcOrd="4" destOrd="0" presId="urn:microsoft.com/office/officeart/2005/8/layout/lProcess3"/>
    <dgm:cxn modelId="{C2C7F8AE-648B-4464-8844-2D561A7A8B86}" type="presParOf" srcId="{E0A57FD5-40E2-457A-8DCD-AECCFCC1CD91}" destId="{0E20D554-1779-452B-BF7D-5988665B2857}" srcOrd="5" destOrd="0" presId="urn:microsoft.com/office/officeart/2005/8/layout/lProcess3"/>
    <dgm:cxn modelId="{9D3EED5B-615B-4127-889B-2ABFDBD16394}" type="presParOf" srcId="{E0A57FD5-40E2-457A-8DCD-AECCFCC1CD91}" destId="{190C9095-C4CF-4C8B-9843-FC9A87C43110}" srcOrd="6" destOrd="0" presId="urn:microsoft.com/office/officeart/2005/8/layout/lProcess3"/>
    <dgm:cxn modelId="{CB9D10C5-CBDC-483B-8BDA-1FBFCED05588}" type="presParOf" srcId="{E0A57FD5-40E2-457A-8DCD-AECCFCC1CD91}" destId="{3A29FBB7-BFD7-40DF-B926-DFC96F12E73B}" srcOrd="7" destOrd="0" presId="urn:microsoft.com/office/officeart/2005/8/layout/lProcess3"/>
    <dgm:cxn modelId="{AA3F43FD-4634-4E5B-9544-AAAD4DD6EEC7}" type="presParOf" srcId="{E0A57FD5-40E2-457A-8DCD-AECCFCC1CD91}" destId="{729925F6-6C21-4C2A-A124-CB5331D4D0A1}" srcOrd="8" destOrd="0" presId="urn:microsoft.com/office/officeart/2005/8/layout/lProcess3"/>
    <dgm:cxn modelId="{A83428E5-A39A-433B-B09D-3D368668C3A6}" type="presParOf" srcId="{E0A57FD5-40E2-457A-8DCD-AECCFCC1CD91}" destId="{F87B3730-9DBA-4FB1-BEC3-203582704E71}" srcOrd="9" destOrd="0" presId="urn:microsoft.com/office/officeart/2005/8/layout/lProcess3"/>
    <dgm:cxn modelId="{3501B0D1-2DE6-43C3-85D3-9FAAB22444EE}" type="presParOf" srcId="{E0A57FD5-40E2-457A-8DCD-AECCFCC1CD91}" destId="{F1F41FAD-CF79-4184-9D4A-4B24B3BD1679}" srcOrd="10" destOrd="0" presId="urn:microsoft.com/office/officeart/2005/8/layout/lProcess3"/>
    <dgm:cxn modelId="{F837E110-5302-4DE9-B256-E750BB538079}" type="presParOf" srcId="{E0A57FD5-40E2-457A-8DCD-AECCFCC1CD91}" destId="{CEC64482-0253-43ED-B9B7-046F5EB620B3}" srcOrd="11" destOrd="0" presId="urn:microsoft.com/office/officeart/2005/8/layout/lProcess3"/>
    <dgm:cxn modelId="{1CCEE263-A32A-4FD9-AD47-BEBC83931C0B}" type="presParOf" srcId="{E0A57FD5-40E2-457A-8DCD-AECCFCC1CD91}" destId="{4C65EDB7-00FC-46A4-9C20-9DA139026CE1}" srcOrd="12" destOrd="0" presId="urn:microsoft.com/office/officeart/2005/8/layout/lProcess3"/>
    <dgm:cxn modelId="{7B79AC19-D59F-46DD-8E06-FF73A8062070}" type="presParOf" srcId="{110F5A43-F211-43B5-A555-8C9EEBADA2D4}" destId="{7E5BF45C-0115-41ED-9326-05FE7C694700}" srcOrd="5" destOrd="0" presId="urn:microsoft.com/office/officeart/2005/8/layout/lProcess3"/>
    <dgm:cxn modelId="{92151F78-F21F-4B77-88AF-45A686D323F4}" type="presParOf" srcId="{110F5A43-F211-43B5-A555-8C9EEBADA2D4}" destId="{1BB6BA2D-2500-4816-8327-0A4F6B34843B}" srcOrd="6" destOrd="0" presId="urn:microsoft.com/office/officeart/2005/8/layout/lProcess3"/>
    <dgm:cxn modelId="{31C14AF9-C1D7-4CC7-970A-500734994772}" type="presParOf" srcId="{1BB6BA2D-2500-4816-8327-0A4F6B34843B}" destId="{3B038CE9-4800-42E2-ADC1-CECE41DB3D7F}" srcOrd="0" destOrd="0" presId="urn:microsoft.com/office/officeart/2005/8/layout/lProcess3"/>
    <dgm:cxn modelId="{E61C184B-514F-4150-8A7C-ACC3190EA893}" type="presParOf" srcId="{1BB6BA2D-2500-4816-8327-0A4F6B34843B}" destId="{C69CFF36-F175-4B28-88C2-30012360F175}" srcOrd="1" destOrd="0" presId="urn:microsoft.com/office/officeart/2005/8/layout/lProcess3"/>
    <dgm:cxn modelId="{51A8EEDD-2A07-4049-A56B-B2F4B9281785}" type="presParOf" srcId="{1BB6BA2D-2500-4816-8327-0A4F6B34843B}" destId="{0C4F5166-7B8C-4DC5-9D99-03C90D522575}" srcOrd="2" destOrd="0" presId="urn:microsoft.com/office/officeart/2005/8/layout/lProcess3"/>
    <dgm:cxn modelId="{FD0AC5BF-C4E3-4693-89CE-A36889D77AD2}" type="presParOf" srcId="{1BB6BA2D-2500-4816-8327-0A4F6B34843B}" destId="{13F7C1A8-0FA6-4047-8DEF-A7F40DB089B6}" srcOrd="3" destOrd="0" presId="urn:microsoft.com/office/officeart/2005/8/layout/lProcess3"/>
    <dgm:cxn modelId="{1FD3B04B-E2FF-4DA7-8BDA-D8FA96176F16}" type="presParOf" srcId="{1BB6BA2D-2500-4816-8327-0A4F6B34843B}" destId="{7CB82BEA-AE28-47E4-BA52-D78E48C0F651}" srcOrd="4" destOrd="0" presId="urn:microsoft.com/office/officeart/2005/8/layout/lProcess3"/>
    <dgm:cxn modelId="{B9FB629E-F8FC-44D4-9FCB-C85F20F3C4ED}" type="presParOf" srcId="{1BB6BA2D-2500-4816-8327-0A4F6B34843B}" destId="{530B6F05-6DFC-43D0-92E5-B644BDD10F2A}" srcOrd="5" destOrd="0" presId="urn:microsoft.com/office/officeart/2005/8/layout/lProcess3"/>
    <dgm:cxn modelId="{6E19BAB5-03BC-4FCF-94EF-416B09F4E23C}" type="presParOf" srcId="{1BB6BA2D-2500-4816-8327-0A4F6B34843B}" destId="{3963FC4F-805E-4287-BBFA-DE711BEEDB2C}" srcOrd="6" destOrd="0" presId="urn:microsoft.com/office/officeart/2005/8/layout/lProcess3"/>
    <dgm:cxn modelId="{FC89C22D-AA34-4EDD-BD83-E09E051BFE24}" type="presParOf" srcId="{1BB6BA2D-2500-4816-8327-0A4F6B34843B}" destId="{24B223E9-9351-4648-AEE2-D4038D026EF0}" srcOrd="7" destOrd="0" presId="urn:microsoft.com/office/officeart/2005/8/layout/lProcess3"/>
    <dgm:cxn modelId="{C17A14C7-C653-49FE-A61B-6C3539B6EACD}" type="presParOf" srcId="{1BB6BA2D-2500-4816-8327-0A4F6B34843B}" destId="{68FF06A0-95BF-4EB5-BCC0-FE24A744B17A}" srcOrd="8" destOrd="0" presId="urn:microsoft.com/office/officeart/2005/8/layout/lProcess3"/>
    <dgm:cxn modelId="{DF25222E-8957-4139-BEF6-417D75A6D73B}" type="presParOf" srcId="{1BB6BA2D-2500-4816-8327-0A4F6B34843B}" destId="{1169AA05-4D8B-4B3D-9FEC-0917DC98EC23}" srcOrd="9" destOrd="0" presId="urn:microsoft.com/office/officeart/2005/8/layout/lProcess3"/>
    <dgm:cxn modelId="{9EB797F7-48A6-4708-BF1C-3FDA77540A91}" type="presParOf" srcId="{1BB6BA2D-2500-4816-8327-0A4F6B34843B}" destId="{1FAD3650-64BC-4728-B0DE-4DF577F605F2}" srcOrd="10" destOrd="0" presId="urn:microsoft.com/office/officeart/2005/8/layout/lProcess3"/>
    <dgm:cxn modelId="{55358029-5FF3-4FCB-8D88-52F08FD20AE4}" type="presParOf" srcId="{1BB6BA2D-2500-4816-8327-0A4F6B34843B}" destId="{CCD5C5F7-8FEC-426D-9ABE-706AE504B669}" srcOrd="11" destOrd="0" presId="urn:microsoft.com/office/officeart/2005/8/layout/lProcess3"/>
    <dgm:cxn modelId="{CEE18C56-38D7-4B78-B6D1-044B90020EAE}" type="presParOf" srcId="{1BB6BA2D-2500-4816-8327-0A4F6B34843B}" destId="{C132509D-D53A-413A-B4A6-5E3503422542}" srcOrd="12" destOrd="0" presId="urn:microsoft.com/office/officeart/2005/8/layout/lProcess3"/>
    <dgm:cxn modelId="{D3C55E66-1DF5-4B63-B4E9-A1DFA1E8E439}" type="presParOf" srcId="{110F5A43-F211-43B5-A555-8C9EEBADA2D4}" destId="{C5EB23C6-11CB-47EF-A5C9-0F4D3406BA9B}" srcOrd="7" destOrd="0" presId="urn:microsoft.com/office/officeart/2005/8/layout/lProcess3"/>
    <dgm:cxn modelId="{1F4C74CC-C5F9-4D75-9109-83F87196EF6F}" type="presParOf" srcId="{110F5A43-F211-43B5-A555-8C9EEBADA2D4}" destId="{67F2BC10-BE65-40DD-89F1-7232BDBAACB5}" srcOrd="8" destOrd="0" presId="urn:microsoft.com/office/officeart/2005/8/layout/lProcess3"/>
    <dgm:cxn modelId="{5C203112-1591-4114-B6A1-8020337C337D}" type="presParOf" srcId="{67F2BC10-BE65-40DD-89F1-7232BDBAACB5}" destId="{0FFED735-4CCB-4EAF-B1A3-CF503238954F}" srcOrd="0" destOrd="0" presId="urn:microsoft.com/office/officeart/2005/8/layout/lProcess3"/>
    <dgm:cxn modelId="{1EC0F87B-C2AE-42C0-A65E-CA211A6A0258}" type="presParOf" srcId="{67F2BC10-BE65-40DD-89F1-7232BDBAACB5}" destId="{9861FA59-1213-4ABD-896F-23CB56B22E74}" srcOrd="1" destOrd="0" presId="urn:microsoft.com/office/officeart/2005/8/layout/lProcess3"/>
    <dgm:cxn modelId="{C00AD404-D2D2-4D6E-8BC9-7FD9F3D63AEC}" type="presParOf" srcId="{67F2BC10-BE65-40DD-89F1-7232BDBAACB5}" destId="{8D326494-8F17-40AB-A859-50D8DC048C66}" srcOrd="2" destOrd="0" presId="urn:microsoft.com/office/officeart/2005/8/layout/lProcess3"/>
    <dgm:cxn modelId="{0CBB7381-5AA2-4BB0-88F1-1AFEB4E43EE7}" type="presParOf" srcId="{67F2BC10-BE65-40DD-89F1-7232BDBAACB5}" destId="{B8524C42-FC61-4F70-9FCE-723F32BCBD07}" srcOrd="3" destOrd="0" presId="urn:microsoft.com/office/officeart/2005/8/layout/lProcess3"/>
    <dgm:cxn modelId="{AE8F8606-133F-4940-A2B3-33FFCCC5106B}" type="presParOf" srcId="{67F2BC10-BE65-40DD-89F1-7232BDBAACB5}" destId="{D4F10E64-ABAB-4CFF-948A-75B2C3FBE017}" srcOrd="4" destOrd="0" presId="urn:microsoft.com/office/officeart/2005/8/layout/lProcess3"/>
    <dgm:cxn modelId="{B960291B-E9FE-4BEC-81BD-E6C9934BA917}" type="presParOf" srcId="{67F2BC10-BE65-40DD-89F1-7232BDBAACB5}" destId="{0885BCEF-50C4-4926-860A-8E1B1536C98C}" srcOrd="5" destOrd="0" presId="urn:microsoft.com/office/officeart/2005/8/layout/lProcess3"/>
    <dgm:cxn modelId="{1D831159-A832-4BD5-9EC6-E9871A2EB5CB}" type="presParOf" srcId="{67F2BC10-BE65-40DD-89F1-7232BDBAACB5}" destId="{A05632CE-DADD-4D9B-939A-E7AE55A26E8D}" srcOrd="6" destOrd="0" presId="urn:microsoft.com/office/officeart/2005/8/layout/lProcess3"/>
    <dgm:cxn modelId="{F34430F1-C1A3-4E03-B4AE-D7AAC997684C}" type="presParOf" srcId="{67F2BC10-BE65-40DD-89F1-7232BDBAACB5}" destId="{542C8275-8A38-41EA-8CF7-769098EE22D7}" srcOrd="7" destOrd="0" presId="urn:microsoft.com/office/officeart/2005/8/layout/lProcess3"/>
    <dgm:cxn modelId="{08E5F593-909B-48C0-BD7F-4EEFDAA0CA78}" type="presParOf" srcId="{67F2BC10-BE65-40DD-89F1-7232BDBAACB5}" destId="{7AB4704B-FC09-4BD5-ACAE-46FB2612B11C}" srcOrd="8" destOrd="0" presId="urn:microsoft.com/office/officeart/2005/8/layout/lProcess3"/>
    <dgm:cxn modelId="{6BB21A5F-3E3E-4598-997C-6A0325186A57}" type="presParOf" srcId="{67F2BC10-BE65-40DD-89F1-7232BDBAACB5}" destId="{7B632436-69EC-4D71-B586-8F19C3A12AC2}" srcOrd="9" destOrd="0" presId="urn:microsoft.com/office/officeart/2005/8/layout/lProcess3"/>
    <dgm:cxn modelId="{3FF4F059-A4BE-4514-BE51-B6F24BC1AB22}" type="presParOf" srcId="{67F2BC10-BE65-40DD-89F1-7232BDBAACB5}" destId="{79B56624-BD2D-4DF1-AAC9-05FD419367B3}" srcOrd="10" destOrd="0" presId="urn:microsoft.com/office/officeart/2005/8/layout/lProcess3"/>
    <dgm:cxn modelId="{C75499DA-5EFA-4083-9526-E70BEC426467}" type="presParOf" srcId="{67F2BC10-BE65-40DD-89F1-7232BDBAACB5}" destId="{31E7959D-6EA4-434C-B9B4-925A12E140D1}" srcOrd="11" destOrd="0" presId="urn:microsoft.com/office/officeart/2005/8/layout/lProcess3"/>
    <dgm:cxn modelId="{7AFCE1F9-F7CD-4D4D-BBDC-20750C492AB3}" type="presParOf" srcId="{67F2BC10-BE65-40DD-89F1-7232BDBAACB5}" destId="{1C6C2DC9-F026-46BB-A584-DC17AA1047FF}" srcOrd="12" destOrd="0" presId="urn:microsoft.com/office/officeart/2005/8/layout/lProcess3"/>
  </dgm:cxnLst>
  <dgm:bg/>
  <dgm:whole/>
  <dgm:extLst>
    <a:ext uri="http://schemas.microsoft.com/office/drawing/2008/diagram">
      <dsp:dataModelExt xmlns:dsp="http://schemas.microsoft.com/office/drawing/2008/diagram" relId="rId90"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43C93676-9E02-4946-AAE3-24E562645616}" type="doc">
      <dgm:prSet loTypeId="urn:microsoft.com/office/officeart/2005/8/layout/hProcess6" loCatId="process" qsTypeId="urn:microsoft.com/office/officeart/2005/8/quickstyle/simple1" qsCatId="simple" csTypeId="urn:microsoft.com/office/officeart/2005/8/colors/accent1_2" csCatId="accent1" phldr="1"/>
      <dgm:spPr/>
      <dgm:t>
        <a:bodyPr/>
        <a:lstStyle/>
        <a:p>
          <a:endParaRPr lang="cs-CZ"/>
        </a:p>
      </dgm:t>
    </dgm:pt>
    <dgm:pt modelId="{6C50FEC2-01A8-4286-915B-0A8205823693}">
      <dgm:prSet phldrT="[Text]"/>
      <dgm:spPr>
        <a:solidFill>
          <a:srgbClr val="004595"/>
        </a:solidFill>
      </dgm:spPr>
      <dgm:t>
        <a:bodyPr/>
        <a:lstStyle/>
        <a:p>
          <a:r>
            <a:rPr lang="cs-CZ" b="1"/>
            <a:t>2016  saldo 5,85 mld. Kč</a:t>
          </a:r>
        </a:p>
      </dgm:t>
    </dgm:pt>
    <dgm:pt modelId="{EF0AC77A-B0D2-4B8F-8A69-E26283433122}" type="parTrans" cxnId="{0B82F65A-AA90-41BF-A55D-2ABD4BDB3124}">
      <dgm:prSet/>
      <dgm:spPr/>
      <dgm:t>
        <a:bodyPr/>
        <a:lstStyle/>
        <a:p>
          <a:endParaRPr lang="cs-CZ"/>
        </a:p>
      </dgm:t>
    </dgm:pt>
    <dgm:pt modelId="{1DF8CC8D-24DC-4278-8E45-69D3D10A3124}" type="sibTrans" cxnId="{0B82F65A-AA90-41BF-A55D-2ABD4BDB3124}">
      <dgm:prSet/>
      <dgm:spPr/>
      <dgm:t>
        <a:bodyPr/>
        <a:lstStyle/>
        <a:p>
          <a:endParaRPr lang="cs-CZ"/>
        </a:p>
      </dgm:t>
    </dgm:pt>
    <dgm:pt modelId="{E09C00EE-CBFD-4767-8563-79ACB7F4CE88}">
      <dgm:prSet phldrT="[Text]"/>
      <dgm:spPr>
        <a:solidFill>
          <a:srgbClr val="004595">
            <a:alpha val="20000"/>
          </a:srgbClr>
        </a:solidFill>
        <a:ln>
          <a:noFill/>
        </a:ln>
      </dgm:spPr>
      <dgm:t>
        <a:bodyPr/>
        <a:lstStyle/>
        <a:p>
          <a:r>
            <a:rPr lang="cs-CZ"/>
            <a:t>Příjmy </a:t>
          </a:r>
          <a:r>
            <a:rPr lang="cs-CZ" b="1"/>
            <a:t>264,85 mld. Kč</a:t>
          </a:r>
        </a:p>
      </dgm:t>
    </dgm:pt>
    <dgm:pt modelId="{99BAFF1B-0BD8-4758-A8BF-C3066F07F597}" type="parTrans" cxnId="{6A69ED01-39D6-41B0-91A0-A6628068EB85}">
      <dgm:prSet/>
      <dgm:spPr/>
      <dgm:t>
        <a:bodyPr/>
        <a:lstStyle/>
        <a:p>
          <a:endParaRPr lang="cs-CZ"/>
        </a:p>
      </dgm:t>
    </dgm:pt>
    <dgm:pt modelId="{5F54C09B-8A27-4329-958D-AE5CA2EF4E08}" type="sibTrans" cxnId="{6A69ED01-39D6-41B0-91A0-A6628068EB85}">
      <dgm:prSet/>
      <dgm:spPr/>
      <dgm:t>
        <a:bodyPr/>
        <a:lstStyle/>
        <a:p>
          <a:endParaRPr lang="cs-CZ"/>
        </a:p>
      </dgm:t>
    </dgm:pt>
    <dgm:pt modelId="{15F15EB1-6FA4-44CF-BDFC-079A95E3E9D5}">
      <dgm:prSet phldrT="[Text]"/>
      <dgm:spPr>
        <a:solidFill>
          <a:srgbClr val="004595">
            <a:alpha val="20000"/>
          </a:srgbClr>
        </a:solidFill>
        <a:ln>
          <a:noFill/>
        </a:ln>
      </dgm:spPr>
      <dgm:t>
        <a:bodyPr/>
        <a:lstStyle/>
        <a:p>
          <a:r>
            <a:rPr lang="cs-CZ"/>
            <a:t>Výdaje </a:t>
          </a:r>
          <a:r>
            <a:rPr lang="cs-CZ" b="1"/>
            <a:t>259,00 mld. Kč</a:t>
          </a:r>
        </a:p>
      </dgm:t>
    </dgm:pt>
    <dgm:pt modelId="{D68DA1FA-D905-4C23-AEFC-EDE5355BA543}" type="parTrans" cxnId="{550A1A51-AA01-4BCB-A6AB-56B0FCAEB02F}">
      <dgm:prSet/>
      <dgm:spPr/>
      <dgm:t>
        <a:bodyPr/>
        <a:lstStyle/>
        <a:p>
          <a:endParaRPr lang="cs-CZ"/>
        </a:p>
      </dgm:t>
    </dgm:pt>
    <dgm:pt modelId="{E953470A-4C5C-451F-9223-AB23F399746E}" type="sibTrans" cxnId="{550A1A51-AA01-4BCB-A6AB-56B0FCAEB02F}">
      <dgm:prSet/>
      <dgm:spPr/>
      <dgm:t>
        <a:bodyPr/>
        <a:lstStyle/>
        <a:p>
          <a:endParaRPr lang="cs-CZ"/>
        </a:p>
      </dgm:t>
    </dgm:pt>
    <dgm:pt modelId="{6D8BDE0E-055D-4499-A877-9980E0989684}">
      <dgm:prSet phldrT="[Text]"/>
      <dgm:spPr>
        <a:solidFill>
          <a:srgbClr val="004595"/>
        </a:solidFill>
      </dgm:spPr>
      <dgm:t>
        <a:bodyPr/>
        <a:lstStyle/>
        <a:p>
          <a:r>
            <a:rPr lang="cs-CZ" b="1"/>
            <a:t>2017  saldo 9,52 mld. Kč</a:t>
          </a:r>
        </a:p>
      </dgm:t>
    </dgm:pt>
    <dgm:pt modelId="{4A4CDA5F-86E2-4F31-8121-F9B7DC4048F2}" type="parTrans" cxnId="{F77E9C50-C6A0-4B8E-8637-E9D139079977}">
      <dgm:prSet/>
      <dgm:spPr/>
      <dgm:t>
        <a:bodyPr/>
        <a:lstStyle/>
        <a:p>
          <a:endParaRPr lang="cs-CZ"/>
        </a:p>
      </dgm:t>
    </dgm:pt>
    <dgm:pt modelId="{AA544B5D-F489-46EC-B1AF-9003E9D79162}" type="sibTrans" cxnId="{F77E9C50-C6A0-4B8E-8637-E9D139079977}">
      <dgm:prSet/>
      <dgm:spPr/>
      <dgm:t>
        <a:bodyPr/>
        <a:lstStyle/>
        <a:p>
          <a:endParaRPr lang="cs-CZ"/>
        </a:p>
      </dgm:t>
    </dgm:pt>
    <dgm:pt modelId="{60C76772-8D2A-4285-BDD5-7C0E5A5DDC21}">
      <dgm:prSet phldrT="[Text]"/>
      <dgm:spPr>
        <a:solidFill>
          <a:srgbClr val="004595">
            <a:alpha val="20000"/>
          </a:srgbClr>
        </a:solidFill>
        <a:ln>
          <a:noFill/>
        </a:ln>
      </dgm:spPr>
      <dgm:t>
        <a:bodyPr/>
        <a:lstStyle/>
        <a:p>
          <a:r>
            <a:rPr lang="cs-CZ" b="0"/>
            <a:t>Příjmy </a:t>
          </a:r>
          <a:r>
            <a:rPr lang="cs-CZ" b="1"/>
            <a:t>284,83 mld. Kč</a:t>
          </a:r>
        </a:p>
      </dgm:t>
    </dgm:pt>
    <dgm:pt modelId="{850F6853-8BF8-4BF4-B6AA-1C87630687C7}" type="parTrans" cxnId="{28ECD5B4-FA75-4EA8-AD0B-72BE0B2B2804}">
      <dgm:prSet/>
      <dgm:spPr/>
      <dgm:t>
        <a:bodyPr/>
        <a:lstStyle/>
        <a:p>
          <a:endParaRPr lang="cs-CZ"/>
        </a:p>
      </dgm:t>
    </dgm:pt>
    <dgm:pt modelId="{39429DAD-E784-404D-959E-D4523BD1D842}" type="sibTrans" cxnId="{28ECD5B4-FA75-4EA8-AD0B-72BE0B2B2804}">
      <dgm:prSet/>
      <dgm:spPr/>
      <dgm:t>
        <a:bodyPr/>
        <a:lstStyle/>
        <a:p>
          <a:endParaRPr lang="cs-CZ"/>
        </a:p>
      </dgm:t>
    </dgm:pt>
    <dgm:pt modelId="{F5B07279-249B-4384-B610-B7A3F61459D2}">
      <dgm:prSet phldrT="[Text]"/>
      <dgm:spPr>
        <a:solidFill>
          <a:srgbClr val="004595">
            <a:alpha val="20000"/>
          </a:srgbClr>
        </a:solidFill>
        <a:ln>
          <a:noFill/>
        </a:ln>
      </dgm:spPr>
      <dgm:t>
        <a:bodyPr/>
        <a:lstStyle/>
        <a:p>
          <a:r>
            <a:rPr lang="cs-CZ"/>
            <a:t>Výdaje </a:t>
          </a:r>
          <a:r>
            <a:rPr lang="cs-CZ" b="1"/>
            <a:t>275,31 mld. Kč</a:t>
          </a:r>
        </a:p>
      </dgm:t>
    </dgm:pt>
    <dgm:pt modelId="{0137ED59-B1F9-47E4-B624-62EB0F16052F}" type="parTrans" cxnId="{4F93B5A9-0F0B-4577-AEAA-8A92689A9764}">
      <dgm:prSet/>
      <dgm:spPr/>
      <dgm:t>
        <a:bodyPr/>
        <a:lstStyle/>
        <a:p>
          <a:endParaRPr lang="cs-CZ"/>
        </a:p>
      </dgm:t>
    </dgm:pt>
    <dgm:pt modelId="{6B032F16-5869-40B7-87E4-34E54A7BCBC4}" type="sibTrans" cxnId="{4F93B5A9-0F0B-4577-AEAA-8A92689A9764}">
      <dgm:prSet/>
      <dgm:spPr/>
      <dgm:t>
        <a:bodyPr/>
        <a:lstStyle/>
        <a:p>
          <a:endParaRPr lang="cs-CZ"/>
        </a:p>
      </dgm:t>
    </dgm:pt>
    <dgm:pt modelId="{AB2741F2-D7CC-4D20-8828-C195FEA78831}">
      <dgm:prSet phldrT="[Text]"/>
      <dgm:spPr>
        <a:solidFill>
          <a:srgbClr val="BD2A33"/>
        </a:solidFill>
      </dgm:spPr>
      <dgm:t>
        <a:bodyPr/>
        <a:lstStyle/>
        <a:p>
          <a:r>
            <a:rPr lang="cs-CZ" b="1"/>
            <a:t>2018  </a:t>
          </a:r>
          <a:br>
            <a:rPr lang="cs-CZ" b="1"/>
          </a:br>
          <a:r>
            <a:rPr lang="cs-CZ" b="1" spc="-10" baseline="0"/>
            <a:t>saldo 14,48 </a:t>
          </a:r>
          <a:br>
            <a:rPr lang="cs-CZ" b="1" spc="-10" baseline="0"/>
          </a:br>
          <a:r>
            <a:rPr lang="cs-CZ" b="1"/>
            <a:t>mld. Kč</a:t>
          </a:r>
        </a:p>
      </dgm:t>
    </dgm:pt>
    <dgm:pt modelId="{77269F5E-53BD-4967-943C-9FDC8226750D}" type="parTrans" cxnId="{88F8ACCF-5F83-4C8C-9567-F8FE8E67A23E}">
      <dgm:prSet/>
      <dgm:spPr/>
      <dgm:t>
        <a:bodyPr/>
        <a:lstStyle/>
        <a:p>
          <a:endParaRPr lang="cs-CZ"/>
        </a:p>
      </dgm:t>
    </dgm:pt>
    <dgm:pt modelId="{537B4CDF-C005-40C8-8A65-D59B21A2E1DD}" type="sibTrans" cxnId="{88F8ACCF-5F83-4C8C-9567-F8FE8E67A23E}">
      <dgm:prSet/>
      <dgm:spPr/>
      <dgm:t>
        <a:bodyPr/>
        <a:lstStyle/>
        <a:p>
          <a:endParaRPr lang="cs-CZ"/>
        </a:p>
      </dgm:t>
    </dgm:pt>
    <dgm:pt modelId="{38A62350-4183-413C-B45B-7C77D08A60D2}">
      <dgm:prSet phldrT="[Text]"/>
      <dgm:spPr>
        <a:solidFill>
          <a:srgbClr val="BD2A33">
            <a:alpha val="40000"/>
          </a:srgbClr>
        </a:solidFill>
        <a:ln>
          <a:noFill/>
        </a:ln>
      </dgm:spPr>
      <dgm:t>
        <a:bodyPr/>
        <a:lstStyle/>
        <a:p>
          <a:r>
            <a:rPr lang="cs-CZ"/>
            <a:t>Příjmy </a:t>
          </a:r>
          <a:r>
            <a:rPr lang="cs-CZ" b="1"/>
            <a:t>309,77 mld. Kč</a:t>
          </a:r>
        </a:p>
      </dgm:t>
    </dgm:pt>
    <dgm:pt modelId="{98B39FE4-847E-4949-9875-1D92D2735FA8}" type="parTrans" cxnId="{97E2583C-03FF-4C68-BA35-A552EA75DF65}">
      <dgm:prSet/>
      <dgm:spPr/>
      <dgm:t>
        <a:bodyPr/>
        <a:lstStyle/>
        <a:p>
          <a:endParaRPr lang="cs-CZ"/>
        </a:p>
      </dgm:t>
    </dgm:pt>
    <dgm:pt modelId="{6153DCF6-3DF0-4D59-AD51-3A74F05FFF02}" type="sibTrans" cxnId="{97E2583C-03FF-4C68-BA35-A552EA75DF65}">
      <dgm:prSet/>
      <dgm:spPr/>
      <dgm:t>
        <a:bodyPr/>
        <a:lstStyle/>
        <a:p>
          <a:endParaRPr lang="cs-CZ"/>
        </a:p>
      </dgm:t>
    </dgm:pt>
    <dgm:pt modelId="{5B52FF6C-2C6F-428A-AA1B-A066460851AC}">
      <dgm:prSet phldrT="[Text]"/>
      <dgm:spPr>
        <a:solidFill>
          <a:srgbClr val="BD2A33">
            <a:alpha val="40000"/>
          </a:srgbClr>
        </a:solidFill>
        <a:ln>
          <a:noFill/>
        </a:ln>
      </dgm:spPr>
      <dgm:t>
        <a:bodyPr/>
        <a:lstStyle/>
        <a:p>
          <a:r>
            <a:rPr lang="cs-CZ"/>
            <a:t>Výdaje </a:t>
          </a:r>
          <a:r>
            <a:rPr lang="cs-CZ" b="1"/>
            <a:t>295,30 mld. Kč</a:t>
          </a:r>
        </a:p>
      </dgm:t>
    </dgm:pt>
    <dgm:pt modelId="{BDE1C801-2EF1-4026-A835-4C59F7D2DC37}" type="parTrans" cxnId="{30DBD9B4-75FD-43DE-83B3-13C6B796A99F}">
      <dgm:prSet/>
      <dgm:spPr/>
      <dgm:t>
        <a:bodyPr/>
        <a:lstStyle/>
        <a:p>
          <a:endParaRPr lang="cs-CZ"/>
        </a:p>
      </dgm:t>
    </dgm:pt>
    <dgm:pt modelId="{E59F9D2E-38C7-4228-A1AB-4E1E92E1B8FA}" type="sibTrans" cxnId="{30DBD9B4-75FD-43DE-83B3-13C6B796A99F}">
      <dgm:prSet/>
      <dgm:spPr/>
      <dgm:t>
        <a:bodyPr/>
        <a:lstStyle/>
        <a:p>
          <a:endParaRPr lang="cs-CZ"/>
        </a:p>
      </dgm:t>
    </dgm:pt>
    <dgm:pt modelId="{E247AB8C-E347-4E43-B7FF-E03A1E523783}" type="pres">
      <dgm:prSet presAssocID="{43C93676-9E02-4946-AAE3-24E562645616}" presName="theList" presStyleCnt="0">
        <dgm:presLayoutVars>
          <dgm:dir/>
          <dgm:animLvl val="lvl"/>
          <dgm:resizeHandles val="exact"/>
        </dgm:presLayoutVars>
      </dgm:prSet>
      <dgm:spPr/>
      <dgm:t>
        <a:bodyPr/>
        <a:lstStyle/>
        <a:p>
          <a:endParaRPr lang="cs-CZ"/>
        </a:p>
      </dgm:t>
    </dgm:pt>
    <dgm:pt modelId="{7A8C6F87-CF3D-49A0-8BDB-E748C87446EE}" type="pres">
      <dgm:prSet presAssocID="{6C50FEC2-01A8-4286-915B-0A8205823693}" presName="compNode" presStyleCnt="0"/>
      <dgm:spPr/>
    </dgm:pt>
    <dgm:pt modelId="{82C8C4DE-720F-471B-AF90-58985233AE8E}" type="pres">
      <dgm:prSet presAssocID="{6C50FEC2-01A8-4286-915B-0A8205823693}" presName="noGeometry" presStyleCnt="0"/>
      <dgm:spPr/>
    </dgm:pt>
    <dgm:pt modelId="{A5EBBA57-BB55-4BA3-AE86-6A5FA382CA9C}" type="pres">
      <dgm:prSet presAssocID="{6C50FEC2-01A8-4286-915B-0A8205823693}" presName="childTextVisible" presStyleLbl="bgAccFollowNode1" presStyleIdx="0" presStyleCnt="3">
        <dgm:presLayoutVars>
          <dgm:bulletEnabled val="1"/>
        </dgm:presLayoutVars>
      </dgm:prSet>
      <dgm:spPr/>
      <dgm:t>
        <a:bodyPr/>
        <a:lstStyle/>
        <a:p>
          <a:endParaRPr lang="cs-CZ"/>
        </a:p>
      </dgm:t>
    </dgm:pt>
    <dgm:pt modelId="{F08F2535-C791-4CB0-A224-2830DCEDC8C9}" type="pres">
      <dgm:prSet presAssocID="{6C50FEC2-01A8-4286-915B-0A8205823693}" presName="childTextHidden" presStyleLbl="bgAccFollowNode1" presStyleIdx="0" presStyleCnt="3"/>
      <dgm:spPr/>
      <dgm:t>
        <a:bodyPr/>
        <a:lstStyle/>
        <a:p>
          <a:endParaRPr lang="cs-CZ"/>
        </a:p>
      </dgm:t>
    </dgm:pt>
    <dgm:pt modelId="{23C279A7-C5A9-45B9-928A-0DA4CEEC9FF4}" type="pres">
      <dgm:prSet presAssocID="{6C50FEC2-01A8-4286-915B-0A8205823693}" presName="parentText" presStyleLbl="node1" presStyleIdx="0" presStyleCnt="3">
        <dgm:presLayoutVars>
          <dgm:chMax val="1"/>
          <dgm:bulletEnabled val="1"/>
        </dgm:presLayoutVars>
      </dgm:prSet>
      <dgm:spPr/>
      <dgm:t>
        <a:bodyPr/>
        <a:lstStyle/>
        <a:p>
          <a:endParaRPr lang="cs-CZ"/>
        </a:p>
      </dgm:t>
    </dgm:pt>
    <dgm:pt modelId="{6A301D3B-A143-45F5-99DB-FB8C4AD64BCB}" type="pres">
      <dgm:prSet presAssocID="{6C50FEC2-01A8-4286-915B-0A8205823693}" presName="aSpace" presStyleCnt="0"/>
      <dgm:spPr/>
    </dgm:pt>
    <dgm:pt modelId="{65D49731-FC88-4ED0-958F-3D10946B4CCD}" type="pres">
      <dgm:prSet presAssocID="{6D8BDE0E-055D-4499-A877-9980E0989684}" presName="compNode" presStyleCnt="0"/>
      <dgm:spPr/>
    </dgm:pt>
    <dgm:pt modelId="{92F1B969-4600-4CF8-94DD-344A5BF6C3D4}" type="pres">
      <dgm:prSet presAssocID="{6D8BDE0E-055D-4499-A877-9980E0989684}" presName="noGeometry" presStyleCnt="0"/>
      <dgm:spPr/>
    </dgm:pt>
    <dgm:pt modelId="{063BA64A-CFAF-4752-B72B-0C366DDDBF97}" type="pres">
      <dgm:prSet presAssocID="{6D8BDE0E-055D-4499-A877-9980E0989684}" presName="childTextVisible" presStyleLbl="bgAccFollowNode1" presStyleIdx="1" presStyleCnt="3">
        <dgm:presLayoutVars>
          <dgm:bulletEnabled val="1"/>
        </dgm:presLayoutVars>
      </dgm:prSet>
      <dgm:spPr/>
      <dgm:t>
        <a:bodyPr/>
        <a:lstStyle/>
        <a:p>
          <a:endParaRPr lang="cs-CZ"/>
        </a:p>
      </dgm:t>
    </dgm:pt>
    <dgm:pt modelId="{030935BD-B1D4-458B-A055-B7844EFB8927}" type="pres">
      <dgm:prSet presAssocID="{6D8BDE0E-055D-4499-A877-9980E0989684}" presName="childTextHidden" presStyleLbl="bgAccFollowNode1" presStyleIdx="1" presStyleCnt="3"/>
      <dgm:spPr/>
      <dgm:t>
        <a:bodyPr/>
        <a:lstStyle/>
        <a:p>
          <a:endParaRPr lang="cs-CZ"/>
        </a:p>
      </dgm:t>
    </dgm:pt>
    <dgm:pt modelId="{24DE6A38-58E9-4F7A-B765-B44CB9BBB3CD}" type="pres">
      <dgm:prSet presAssocID="{6D8BDE0E-055D-4499-A877-9980E0989684}" presName="parentText" presStyleLbl="node1" presStyleIdx="1" presStyleCnt="3">
        <dgm:presLayoutVars>
          <dgm:chMax val="1"/>
          <dgm:bulletEnabled val="1"/>
        </dgm:presLayoutVars>
      </dgm:prSet>
      <dgm:spPr/>
      <dgm:t>
        <a:bodyPr/>
        <a:lstStyle/>
        <a:p>
          <a:endParaRPr lang="cs-CZ"/>
        </a:p>
      </dgm:t>
    </dgm:pt>
    <dgm:pt modelId="{156504D4-745C-4930-9B5C-06D0ECCB5368}" type="pres">
      <dgm:prSet presAssocID="{6D8BDE0E-055D-4499-A877-9980E0989684}" presName="aSpace" presStyleCnt="0"/>
      <dgm:spPr/>
    </dgm:pt>
    <dgm:pt modelId="{145213B0-DAA3-4545-8F30-B32942B463CE}" type="pres">
      <dgm:prSet presAssocID="{AB2741F2-D7CC-4D20-8828-C195FEA78831}" presName="compNode" presStyleCnt="0"/>
      <dgm:spPr/>
    </dgm:pt>
    <dgm:pt modelId="{78DFEDD6-7BE1-4384-B2C8-40A6677167A1}" type="pres">
      <dgm:prSet presAssocID="{AB2741F2-D7CC-4D20-8828-C195FEA78831}" presName="noGeometry" presStyleCnt="0"/>
      <dgm:spPr/>
    </dgm:pt>
    <dgm:pt modelId="{F292ADBC-D83F-48AC-A47A-30D2DA7D9467}" type="pres">
      <dgm:prSet presAssocID="{AB2741F2-D7CC-4D20-8828-C195FEA78831}" presName="childTextVisible" presStyleLbl="bgAccFollowNode1" presStyleIdx="2" presStyleCnt="3">
        <dgm:presLayoutVars>
          <dgm:bulletEnabled val="1"/>
        </dgm:presLayoutVars>
      </dgm:prSet>
      <dgm:spPr/>
      <dgm:t>
        <a:bodyPr/>
        <a:lstStyle/>
        <a:p>
          <a:endParaRPr lang="cs-CZ"/>
        </a:p>
      </dgm:t>
    </dgm:pt>
    <dgm:pt modelId="{F06B4E13-3BD8-4082-9C15-7DD25B9E6D40}" type="pres">
      <dgm:prSet presAssocID="{AB2741F2-D7CC-4D20-8828-C195FEA78831}" presName="childTextHidden" presStyleLbl="bgAccFollowNode1" presStyleIdx="2" presStyleCnt="3"/>
      <dgm:spPr/>
      <dgm:t>
        <a:bodyPr/>
        <a:lstStyle/>
        <a:p>
          <a:endParaRPr lang="cs-CZ"/>
        </a:p>
      </dgm:t>
    </dgm:pt>
    <dgm:pt modelId="{FCF6CD72-78F2-49D2-A859-A0D57E07A1EB}" type="pres">
      <dgm:prSet presAssocID="{AB2741F2-D7CC-4D20-8828-C195FEA78831}" presName="parentText" presStyleLbl="node1" presStyleIdx="2" presStyleCnt="3" custScaleX="104719">
        <dgm:presLayoutVars>
          <dgm:chMax val="1"/>
          <dgm:bulletEnabled val="1"/>
        </dgm:presLayoutVars>
      </dgm:prSet>
      <dgm:spPr/>
      <dgm:t>
        <a:bodyPr/>
        <a:lstStyle/>
        <a:p>
          <a:endParaRPr lang="cs-CZ"/>
        </a:p>
      </dgm:t>
    </dgm:pt>
  </dgm:ptLst>
  <dgm:cxnLst>
    <dgm:cxn modelId="{84B3FA6D-D4C9-4849-9201-7348C2D7D4F7}" type="presOf" srcId="{5B52FF6C-2C6F-428A-AA1B-A066460851AC}" destId="{F06B4E13-3BD8-4082-9C15-7DD25B9E6D40}" srcOrd="1" destOrd="1" presId="urn:microsoft.com/office/officeart/2005/8/layout/hProcess6"/>
    <dgm:cxn modelId="{7CA95107-E0EA-4D81-B821-9DC2F4515732}" type="presOf" srcId="{E09C00EE-CBFD-4767-8563-79ACB7F4CE88}" destId="{A5EBBA57-BB55-4BA3-AE86-6A5FA382CA9C}" srcOrd="0" destOrd="0" presId="urn:microsoft.com/office/officeart/2005/8/layout/hProcess6"/>
    <dgm:cxn modelId="{6A69ED01-39D6-41B0-91A0-A6628068EB85}" srcId="{6C50FEC2-01A8-4286-915B-0A8205823693}" destId="{E09C00EE-CBFD-4767-8563-79ACB7F4CE88}" srcOrd="0" destOrd="0" parTransId="{99BAFF1B-0BD8-4758-A8BF-C3066F07F597}" sibTransId="{5F54C09B-8A27-4329-958D-AE5CA2EF4E08}"/>
    <dgm:cxn modelId="{BF0691CF-549E-4FD7-AE1C-64C83D15A3BA}" type="presOf" srcId="{38A62350-4183-413C-B45B-7C77D08A60D2}" destId="{F292ADBC-D83F-48AC-A47A-30D2DA7D9467}" srcOrd="0" destOrd="0" presId="urn:microsoft.com/office/officeart/2005/8/layout/hProcess6"/>
    <dgm:cxn modelId="{FD78934F-A4F4-4898-AF22-CFD25109F161}" type="presOf" srcId="{6C50FEC2-01A8-4286-915B-0A8205823693}" destId="{23C279A7-C5A9-45B9-928A-0DA4CEEC9FF4}" srcOrd="0" destOrd="0" presId="urn:microsoft.com/office/officeart/2005/8/layout/hProcess6"/>
    <dgm:cxn modelId="{CCFE9239-CEFD-40F2-A923-B987E34B3A75}" type="presOf" srcId="{F5B07279-249B-4384-B610-B7A3F61459D2}" destId="{063BA64A-CFAF-4752-B72B-0C366DDDBF97}" srcOrd="0" destOrd="1" presId="urn:microsoft.com/office/officeart/2005/8/layout/hProcess6"/>
    <dgm:cxn modelId="{97E2583C-03FF-4C68-BA35-A552EA75DF65}" srcId="{AB2741F2-D7CC-4D20-8828-C195FEA78831}" destId="{38A62350-4183-413C-B45B-7C77D08A60D2}" srcOrd="0" destOrd="0" parTransId="{98B39FE4-847E-4949-9875-1D92D2735FA8}" sibTransId="{6153DCF6-3DF0-4D59-AD51-3A74F05FFF02}"/>
    <dgm:cxn modelId="{A4A01527-11CD-4235-8600-89BEC63E8039}" type="presOf" srcId="{5B52FF6C-2C6F-428A-AA1B-A066460851AC}" destId="{F292ADBC-D83F-48AC-A47A-30D2DA7D9467}" srcOrd="0" destOrd="1" presId="urn:microsoft.com/office/officeart/2005/8/layout/hProcess6"/>
    <dgm:cxn modelId="{E40ED5BD-06B2-411A-BAA4-90726C7A53FD}" type="presOf" srcId="{15F15EB1-6FA4-44CF-BDFC-079A95E3E9D5}" destId="{A5EBBA57-BB55-4BA3-AE86-6A5FA382CA9C}" srcOrd="0" destOrd="1" presId="urn:microsoft.com/office/officeart/2005/8/layout/hProcess6"/>
    <dgm:cxn modelId="{F77E9C50-C6A0-4B8E-8637-E9D139079977}" srcId="{43C93676-9E02-4946-AAE3-24E562645616}" destId="{6D8BDE0E-055D-4499-A877-9980E0989684}" srcOrd="1" destOrd="0" parTransId="{4A4CDA5F-86E2-4F31-8121-F9B7DC4048F2}" sibTransId="{AA544B5D-F489-46EC-B1AF-9003E9D79162}"/>
    <dgm:cxn modelId="{960B6582-069E-4E19-AB57-C2398BDE66C5}" type="presOf" srcId="{6D8BDE0E-055D-4499-A877-9980E0989684}" destId="{24DE6A38-58E9-4F7A-B765-B44CB9BBB3CD}" srcOrd="0" destOrd="0" presId="urn:microsoft.com/office/officeart/2005/8/layout/hProcess6"/>
    <dgm:cxn modelId="{F7C17C8B-0803-403D-A136-764E3415A7E1}" type="presOf" srcId="{F5B07279-249B-4384-B610-B7A3F61459D2}" destId="{030935BD-B1D4-458B-A055-B7844EFB8927}" srcOrd="1" destOrd="1" presId="urn:microsoft.com/office/officeart/2005/8/layout/hProcess6"/>
    <dgm:cxn modelId="{4F93B5A9-0F0B-4577-AEAA-8A92689A9764}" srcId="{6D8BDE0E-055D-4499-A877-9980E0989684}" destId="{F5B07279-249B-4384-B610-B7A3F61459D2}" srcOrd="1" destOrd="0" parTransId="{0137ED59-B1F9-47E4-B624-62EB0F16052F}" sibTransId="{6B032F16-5869-40B7-87E4-34E54A7BCBC4}"/>
    <dgm:cxn modelId="{30DBD9B4-75FD-43DE-83B3-13C6B796A99F}" srcId="{AB2741F2-D7CC-4D20-8828-C195FEA78831}" destId="{5B52FF6C-2C6F-428A-AA1B-A066460851AC}" srcOrd="1" destOrd="0" parTransId="{BDE1C801-2EF1-4026-A835-4C59F7D2DC37}" sibTransId="{E59F9D2E-38C7-4228-A1AB-4E1E92E1B8FA}"/>
    <dgm:cxn modelId="{88F8ACCF-5F83-4C8C-9567-F8FE8E67A23E}" srcId="{43C93676-9E02-4946-AAE3-24E562645616}" destId="{AB2741F2-D7CC-4D20-8828-C195FEA78831}" srcOrd="2" destOrd="0" parTransId="{77269F5E-53BD-4967-943C-9FDC8226750D}" sibTransId="{537B4CDF-C005-40C8-8A65-D59B21A2E1DD}"/>
    <dgm:cxn modelId="{1B861357-F045-4B31-AB83-B20A6409B21B}" type="presOf" srcId="{43C93676-9E02-4946-AAE3-24E562645616}" destId="{E247AB8C-E347-4E43-B7FF-E03A1E523783}" srcOrd="0" destOrd="0" presId="urn:microsoft.com/office/officeart/2005/8/layout/hProcess6"/>
    <dgm:cxn modelId="{522167C5-380F-4D45-92F5-82C9DFA7FB42}" type="presOf" srcId="{15F15EB1-6FA4-44CF-BDFC-079A95E3E9D5}" destId="{F08F2535-C791-4CB0-A224-2830DCEDC8C9}" srcOrd="1" destOrd="1" presId="urn:microsoft.com/office/officeart/2005/8/layout/hProcess6"/>
    <dgm:cxn modelId="{41555247-C7B0-4CC1-BAD2-81E334081DA5}" type="presOf" srcId="{38A62350-4183-413C-B45B-7C77D08A60D2}" destId="{F06B4E13-3BD8-4082-9C15-7DD25B9E6D40}" srcOrd="1" destOrd="0" presId="urn:microsoft.com/office/officeart/2005/8/layout/hProcess6"/>
    <dgm:cxn modelId="{FDB5157C-258D-477D-98F3-C80E0F564A6D}" type="presOf" srcId="{E09C00EE-CBFD-4767-8563-79ACB7F4CE88}" destId="{F08F2535-C791-4CB0-A224-2830DCEDC8C9}" srcOrd="1" destOrd="0" presId="urn:microsoft.com/office/officeart/2005/8/layout/hProcess6"/>
    <dgm:cxn modelId="{0B82F65A-AA90-41BF-A55D-2ABD4BDB3124}" srcId="{43C93676-9E02-4946-AAE3-24E562645616}" destId="{6C50FEC2-01A8-4286-915B-0A8205823693}" srcOrd="0" destOrd="0" parTransId="{EF0AC77A-B0D2-4B8F-8A69-E26283433122}" sibTransId="{1DF8CC8D-24DC-4278-8E45-69D3D10A3124}"/>
    <dgm:cxn modelId="{7A2183EC-9987-4221-A57B-B7A7DDCC9041}" type="presOf" srcId="{60C76772-8D2A-4285-BDD5-7C0E5A5DDC21}" destId="{063BA64A-CFAF-4752-B72B-0C366DDDBF97}" srcOrd="0" destOrd="0" presId="urn:microsoft.com/office/officeart/2005/8/layout/hProcess6"/>
    <dgm:cxn modelId="{28ECD5B4-FA75-4EA8-AD0B-72BE0B2B2804}" srcId="{6D8BDE0E-055D-4499-A877-9980E0989684}" destId="{60C76772-8D2A-4285-BDD5-7C0E5A5DDC21}" srcOrd="0" destOrd="0" parTransId="{850F6853-8BF8-4BF4-B6AA-1C87630687C7}" sibTransId="{39429DAD-E784-404D-959E-D4523BD1D842}"/>
    <dgm:cxn modelId="{550A1A51-AA01-4BCB-A6AB-56B0FCAEB02F}" srcId="{6C50FEC2-01A8-4286-915B-0A8205823693}" destId="{15F15EB1-6FA4-44CF-BDFC-079A95E3E9D5}" srcOrd="1" destOrd="0" parTransId="{D68DA1FA-D905-4C23-AEFC-EDE5355BA543}" sibTransId="{E953470A-4C5C-451F-9223-AB23F399746E}"/>
    <dgm:cxn modelId="{53A5B96D-E137-419A-A760-F93763ABE23A}" type="presOf" srcId="{60C76772-8D2A-4285-BDD5-7C0E5A5DDC21}" destId="{030935BD-B1D4-458B-A055-B7844EFB8927}" srcOrd="1" destOrd="0" presId="urn:microsoft.com/office/officeart/2005/8/layout/hProcess6"/>
    <dgm:cxn modelId="{A4D0BC23-0AE3-49EA-ADC9-143DE7D169EB}" type="presOf" srcId="{AB2741F2-D7CC-4D20-8828-C195FEA78831}" destId="{FCF6CD72-78F2-49D2-A859-A0D57E07A1EB}" srcOrd="0" destOrd="0" presId="urn:microsoft.com/office/officeart/2005/8/layout/hProcess6"/>
    <dgm:cxn modelId="{53933BB0-9BB4-42FB-8A4B-D65A28854252}" type="presParOf" srcId="{E247AB8C-E347-4E43-B7FF-E03A1E523783}" destId="{7A8C6F87-CF3D-49A0-8BDB-E748C87446EE}" srcOrd="0" destOrd="0" presId="urn:microsoft.com/office/officeart/2005/8/layout/hProcess6"/>
    <dgm:cxn modelId="{4B206A6A-A435-4193-8CBC-1F9103317FC8}" type="presParOf" srcId="{7A8C6F87-CF3D-49A0-8BDB-E748C87446EE}" destId="{82C8C4DE-720F-471B-AF90-58985233AE8E}" srcOrd="0" destOrd="0" presId="urn:microsoft.com/office/officeart/2005/8/layout/hProcess6"/>
    <dgm:cxn modelId="{5B3CD769-AE54-4494-B019-BD4E9184B69A}" type="presParOf" srcId="{7A8C6F87-CF3D-49A0-8BDB-E748C87446EE}" destId="{A5EBBA57-BB55-4BA3-AE86-6A5FA382CA9C}" srcOrd="1" destOrd="0" presId="urn:microsoft.com/office/officeart/2005/8/layout/hProcess6"/>
    <dgm:cxn modelId="{52365FCF-A63D-4912-943E-007FC5D8C2A6}" type="presParOf" srcId="{7A8C6F87-CF3D-49A0-8BDB-E748C87446EE}" destId="{F08F2535-C791-4CB0-A224-2830DCEDC8C9}" srcOrd="2" destOrd="0" presId="urn:microsoft.com/office/officeart/2005/8/layout/hProcess6"/>
    <dgm:cxn modelId="{C0BB68CE-F0FF-4AB4-B522-3F7E6619761B}" type="presParOf" srcId="{7A8C6F87-CF3D-49A0-8BDB-E748C87446EE}" destId="{23C279A7-C5A9-45B9-928A-0DA4CEEC9FF4}" srcOrd="3" destOrd="0" presId="urn:microsoft.com/office/officeart/2005/8/layout/hProcess6"/>
    <dgm:cxn modelId="{725CE81F-245E-4E0D-B38D-E4623E24FC68}" type="presParOf" srcId="{E247AB8C-E347-4E43-B7FF-E03A1E523783}" destId="{6A301D3B-A143-45F5-99DB-FB8C4AD64BCB}" srcOrd="1" destOrd="0" presId="urn:microsoft.com/office/officeart/2005/8/layout/hProcess6"/>
    <dgm:cxn modelId="{798641A6-AF50-4662-9705-8E3AE7854BD3}" type="presParOf" srcId="{E247AB8C-E347-4E43-B7FF-E03A1E523783}" destId="{65D49731-FC88-4ED0-958F-3D10946B4CCD}" srcOrd="2" destOrd="0" presId="urn:microsoft.com/office/officeart/2005/8/layout/hProcess6"/>
    <dgm:cxn modelId="{AE8E1270-2967-46E8-A7D0-1EE4654F13B6}" type="presParOf" srcId="{65D49731-FC88-4ED0-958F-3D10946B4CCD}" destId="{92F1B969-4600-4CF8-94DD-344A5BF6C3D4}" srcOrd="0" destOrd="0" presId="urn:microsoft.com/office/officeart/2005/8/layout/hProcess6"/>
    <dgm:cxn modelId="{D2368608-6F96-4D71-97B5-ECCCA9887AA0}" type="presParOf" srcId="{65D49731-FC88-4ED0-958F-3D10946B4CCD}" destId="{063BA64A-CFAF-4752-B72B-0C366DDDBF97}" srcOrd="1" destOrd="0" presId="urn:microsoft.com/office/officeart/2005/8/layout/hProcess6"/>
    <dgm:cxn modelId="{125F8106-B81C-46BF-A69E-85EB2B988008}" type="presParOf" srcId="{65D49731-FC88-4ED0-958F-3D10946B4CCD}" destId="{030935BD-B1D4-458B-A055-B7844EFB8927}" srcOrd="2" destOrd="0" presId="urn:microsoft.com/office/officeart/2005/8/layout/hProcess6"/>
    <dgm:cxn modelId="{F7E779BE-6BAB-4D27-84B0-6C2075F3E89D}" type="presParOf" srcId="{65D49731-FC88-4ED0-958F-3D10946B4CCD}" destId="{24DE6A38-58E9-4F7A-B765-B44CB9BBB3CD}" srcOrd="3" destOrd="0" presId="urn:microsoft.com/office/officeart/2005/8/layout/hProcess6"/>
    <dgm:cxn modelId="{3E4522BC-7CAE-4EFF-A048-98144F18A437}" type="presParOf" srcId="{E247AB8C-E347-4E43-B7FF-E03A1E523783}" destId="{156504D4-745C-4930-9B5C-06D0ECCB5368}" srcOrd="3" destOrd="0" presId="urn:microsoft.com/office/officeart/2005/8/layout/hProcess6"/>
    <dgm:cxn modelId="{62266710-D771-4792-A3F3-70520BBDD7EC}" type="presParOf" srcId="{E247AB8C-E347-4E43-B7FF-E03A1E523783}" destId="{145213B0-DAA3-4545-8F30-B32942B463CE}" srcOrd="4" destOrd="0" presId="urn:microsoft.com/office/officeart/2005/8/layout/hProcess6"/>
    <dgm:cxn modelId="{2CD7A1E1-0E7B-4015-B615-09572A857A3A}" type="presParOf" srcId="{145213B0-DAA3-4545-8F30-B32942B463CE}" destId="{78DFEDD6-7BE1-4384-B2C8-40A6677167A1}" srcOrd="0" destOrd="0" presId="urn:microsoft.com/office/officeart/2005/8/layout/hProcess6"/>
    <dgm:cxn modelId="{554961F9-C995-453D-9A91-127D63612E4C}" type="presParOf" srcId="{145213B0-DAA3-4545-8F30-B32942B463CE}" destId="{F292ADBC-D83F-48AC-A47A-30D2DA7D9467}" srcOrd="1" destOrd="0" presId="urn:microsoft.com/office/officeart/2005/8/layout/hProcess6"/>
    <dgm:cxn modelId="{2FB78C94-E3A1-455A-8BEE-397803FC75E6}" type="presParOf" srcId="{145213B0-DAA3-4545-8F30-B32942B463CE}" destId="{F06B4E13-3BD8-4082-9C15-7DD25B9E6D40}" srcOrd="2" destOrd="0" presId="urn:microsoft.com/office/officeart/2005/8/layout/hProcess6"/>
    <dgm:cxn modelId="{84AA6D78-82F2-4E61-84AB-FAC233EDF3F3}" type="presParOf" srcId="{145213B0-DAA3-4545-8F30-B32942B463CE}" destId="{FCF6CD72-78F2-49D2-A859-A0D57E07A1EB}" srcOrd="3" destOrd="0" presId="urn:microsoft.com/office/officeart/2005/8/layout/hProcess6"/>
  </dgm:cxnLst>
  <dgm:bg/>
  <dgm:whole/>
  <dgm:extLst>
    <a:ext uri="http://schemas.microsoft.com/office/drawing/2008/diagram">
      <dsp:dataModelExt xmlns:dsp="http://schemas.microsoft.com/office/drawing/2008/diagram" relId="rId9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C448D9-74F2-474D-862C-19CAC443A71D}">
      <dsp:nvSpPr>
        <dsp:cNvPr id="0" name=""/>
        <dsp:cNvSpPr/>
      </dsp:nvSpPr>
      <dsp:spPr>
        <a:xfrm>
          <a:off x="1406" y="0"/>
          <a:ext cx="1251562" cy="360000"/>
        </a:xfrm>
        <a:prstGeom prst="chevron">
          <a:avLst/>
        </a:prstGeom>
        <a:solidFill>
          <a:srgbClr val="00459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rPr>
            <a:t>1 245,7</a:t>
          </a:r>
        </a:p>
      </dsp:txBody>
      <dsp:txXfrm>
        <a:off x="181406" y="0"/>
        <a:ext cx="891562" cy="360000"/>
      </dsp:txXfrm>
    </dsp:sp>
    <dsp:sp modelId="{3349AD46-834B-4782-AEC3-2BA8A5520667}">
      <dsp:nvSpPr>
        <dsp:cNvPr id="0" name=""/>
        <dsp:cNvSpPr/>
      </dsp:nvSpPr>
      <dsp:spPr>
        <a:xfrm>
          <a:off x="1127812" y="0"/>
          <a:ext cx="1251562" cy="360000"/>
        </a:xfrm>
        <a:prstGeom prst="chevron">
          <a:avLst/>
        </a:prstGeom>
        <a:solidFill>
          <a:srgbClr val="D9EAFF"/>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cs-CZ" sz="1000" b="1" kern="1200">
              <a:solidFill>
                <a:sysClr val="windowText" lastClr="000000"/>
              </a:solidFill>
            </a:rPr>
            <a:t>1 278,2</a:t>
          </a:r>
        </a:p>
      </dsp:txBody>
      <dsp:txXfrm>
        <a:off x="1307812" y="0"/>
        <a:ext cx="891562" cy="360000"/>
      </dsp:txXfrm>
    </dsp:sp>
    <dsp:sp modelId="{4A66C85D-CD31-42EA-9103-380060E77DA6}">
      <dsp:nvSpPr>
        <dsp:cNvPr id="0" name=""/>
        <dsp:cNvSpPr/>
      </dsp:nvSpPr>
      <dsp:spPr>
        <a:xfrm>
          <a:off x="2254218" y="0"/>
          <a:ext cx="1251562" cy="360000"/>
        </a:xfrm>
        <a:prstGeom prst="chevron">
          <a:avLst/>
        </a:prstGeom>
        <a:solidFill>
          <a:srgbClr val="D9EAFF"/>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cs-CZ" sz="1000" b="1" kern="1200">
              <a:solidFill>
                <a:sysClr val="windowText" lastClr="000000"/>
              </a:solidFill>
            </a:rPr>
            <a:t>1 274,2</a:t>
          </a:r>
        </a:p>
      </dsp:txBody>
      <dsp:txXfrm>
        <a:off x="2434218" y="0"/>
        <a:ext cx="891562" cy="360000"/>
      </dsp:txXfrm>
    </dsp:sp>
    <dsp:sp modelId="{10D91149-B52D-4ACD-97A6-258531ADAAF9}">
      <dsp:nvSpPr>
        <dsp:cNvPr id="0" name=""/>
        <dsp:cNvSpPr/>
      </dsp:nvSpPr>
      <dsp:spPr>
        <a:xfrm>
          <a:off x="3380625" y="0"/>
          <a:ext cx="1251562" cy="360000"/>
        </a:xfrm>
        <a:prstGeom prst="chevron">
          <a:avLst/>
        </a:prstGeom>
        <a:solidFill>
          <a:srgbClr val="D9EAFF"/>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cs-CZ" sz="1000" b="1" kern="1200">
              <a:solidFill>
                <a:sysClr val="windowText" lastClr="000000"/>
              </a:solidFill>
            </a:rPr>
            <a:t>1 394,0</a:t>
          </a:r>
        </a:p>
      </dsp:txBody>
      <dsp:txXfrm>
        <a:off x="3560625" y="0"/>
        <a:ext cx="891562" cy="360000"/>
      </dsp:txXfrm>
    </dsp:sp>
    <dsp:sp modelId="{877A4749-2278-4F19-9545-F984BF59F7EB}">
      <dsp:nvSpPr>
        <dsp:cNvPr id="0" name=""/>
        <dsp:cNvSpPr/>
      </dsp:nvSpPr>
      <dsp:spPr>
        <a:xfrm>
          <a:off x="4507031" y="0"/>
          <a:ext cx="1251562" cy="360000"/>
        </a:xfrm>
        <a:prstGeom prst="chevron">
          <a:avLst/>
        </a:prstGeom>
        <a:solidFill>
          <a:srgbClr val="00459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rPr>
            <a:t>1 441,0</a:t>
          </a:r>
        </a:p>
      </dsp:txBody>
      <dsp:txXfrm>
        <a:off x="4687031" y="0"/>
        <a:ext cx="891562" cy="3600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24C8AE-0C84-4B57-A0DB-F530EDB074FB}">
      <dsp:nvSpPr>
        <dsp:cNvPr id="0" name=""/>
        <dsp:cNvSpPr/>
      </dsp:nvSpPr>
      <dsp:spPr>
        <a:xfrm>
          <a:off x="1972" y="126236"/>
          <a:ext cx="817499" cy="300824"/>
        </a:xfrm>
        <a:prstGeom prst="chevron">
          <a:avLst/>
        </a:prstGeom>
        <a:no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marL="0" lvl="0" algn="ctr" defTabSz="355600">
            <a:lnSpc>
              <a:spcPct val="50000"/>
            </a:lnSpc>
            <a:spcBef>
              <a:spcPct val="0"/>
            </a:spcBef>
            <a:spcAft>
              <a:spcPts val="0"/>
            </a:spcAft>
          </a:pPr>
          <a:r>
            <a:rPr lang="cs-CZ" sz="800" b="0" kern="1200">
              <a:solidFill>
                <a:schemeClr val="tx1"/>
              </a:solidFill>
              <a:latin typeface="Calibri" panose="020F0502020204030204"/>
              <a:ea typeface="+mn-ea"/>
              <a:cs typeface="+mn-cs"/>
            </a:rPr>
            <a:t>v mld. Kč</a:t>
          </a:r>
        </a:p>
      </dsp:txBody>
      <dsp:txXfrm>
        <a:off x="152384" y="126236"/>
        <a:ext cx="516675" cy="300824"/>
      </dsp:txXfrm>
    </dsp:sp>
    <dsp:sp modelId="{EA6E9049-714D-4F70-9449-67590FE925DF}">
      <dsp:nvSpPr>
        <dsp:cNvPr id="0" name=""/>
        <dsp:cNvSpPr/>
      </dsp:nvSpPr>
      <dsp:spPr>
        <a:xfrm>
          <a:off x="721704" y="151806"/>
          <a:ext cx="624211" cy="249684"/>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2014</a:t>
          </a:r>
        </a:p>
      </dsp:txBody>
      <dsp:txXfrm>
        <a:off x="846546" y="151806"/>
        <a:ext cx="374527" cy="249684"/>
      </dsp:txXfrm>
    </dsp:sp>
    <dsp:sp modelId="{E17CDDBE-C54E-41F3-B442-C82AC2798B30}">
      <dsp:nvSpPr>
        <dsp:cNvPr id="0" name=""/>
        <dsp:cNvSpPr/>
      </dsp:nvSpPr>
      <dsp:spPr>
        <a:xfrm>
          <a:off x="1258526" y="151806"/>
          <a:ext cx="624211" cy="249684"/>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2015</a:t>
          </a:r>
        </a:p>
      </dsp:txBody>
      <dsp:txXfrm>
        <a:off x="1383368" y="151806"/>
        <a:ext cx="374527" cy="249684"/>
      </dsp:txXfrm>
    </dsp:sp>
    <dsp:sp modelId="{26A82BEF-68BE-4FEF-A542-D5EE7C04721A}">
      <dsp:nvSpPr>
        <dsp:cNvPr id="0" name=""/>
        <dsp:cNvSpPr/>
      </dsp:nvSpPr>
      <dsp:spPr>
        <a:xfrm>
          <a:off x="1795348" y="151806"/>
          <a:ext cx="624211" cy="249684"/>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2016</a:t>
          </a:r>
          <a:endParaRPr lang="cs-CZ" sz="900" b="1" kern="1200">
            <a:solidFill>
              <a:schemeClr val="tx1"/>
            </a:solidFill>
            <a:latin typeface="Calibri" panose="020F0502020204030204"/>
            <a:ea typeface="+mn-ea"/>
            <a:cs typeface="+mn-cs"/>
          </a:endParaRPr>
        </a:p>
      </dsp:txBody>
      <dsp:txXfrm>
        <a:off x="1920190" y="151806"/>
        <a:ext cx="374527" cy="249684"/>
      </dsp:txXfrm>
    </dsp:sp>
    <dsp:sp modelId="{833188DE-4E3C-4E12-83E9-AF15E2D9BFD2}">
      <dsp:nvSpPr>
        <dsp:cNvPr id="0" name=""/>
        <dsp:cNvSpPr/>
      </dsp:nvSpPr>
      <dsp:spPr>
        <a:xfrm>
          <a:off x="2332170" y="151806"/>
          <a:ext cx="624211" cy="249684"/>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2017</a:t>
          </a:r>
        </a:p>
      </dsp:txBody>
      <dsp:txXfrm>
        <a:off x="2457012" y="151806"/>
        <a:ext cx="374527" cy="249684"/>
      </dsp:txXfrm>
    </dsp:sp>
    <dsp:sp modelId="{4BC069EA-54EB-411A-9913-8C17480DA2D5}">
      <dsp:nvSpPr>
        <dsp:cNvPr id="0" name=""/>
        <dsp:cNvSpPr/>
      </dsp:nvSpPr>
      <dsp:spPr>
        <a:xfrm>
          <a:off x="2868993" y="151806"/>
          <a:ext cx="624211" cy="249684"/>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2018</a:t>
          </a:r>
        </a:p>
      </dsp:txBody>
      <dsp:txXfrm>
        <a:off x="2993835" y="151806"/>
        <a:ext cx="374527" cy="249684"/>
      </dsp:txXfrm>
    </dsp:sp>
    <dsp:sp modelId="{D3A25E5F-696A-492F-9F7A-F9DECAD0E80A}">
      <dsp:nvSpPr>
        <dsp:cNvPr id="0" name=""/>
        <dsp:cNvSpPr/>
      </dsp:nvSpPr>
      <dsp:spPr>
        <a:xfrm>
          <a:off x="3405815" y="151806"/>
          <a:ext cx="624211" cy="249684"/>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2018</a:t>
          </a:r>
          <a:r>
            <a:rPr lang="cs-CZ" sz="800" kern="1200"/>
            <a:t>–</a:t>
          </a:r>
          <a:r>
            <a:rPr lang="cs-CZ" sz="800" b="1" kern="1200">
              <a:solidFill>
                <a:schemeClr val="tx1"/>
              </a:solidFill>
              <a:latin typeface="Calibri" panose="020F0502020204030204"/>
              <a:ea typeface="+mn-ea"/>
              <a:cs typeface="+mn-cs"/>
            </a:rPr>
            <a:t>2017</a:t>
          </a:r>
        </a:p>
      </dsp:txBody>
      <dsp:txXfrm>
        <a:off x="3530657" y="151806"/>
        <a:ext cx="374527" cy="249684"/>
      </dsp:txXfrm>
    </dsp:sp>
    <dsp:sp modelId="{108D6996-3FEB-43E6-98A6-B3CEA7AF6F97}">
      <dsp:nvSpPr>
        <dsp:cNvPr id="0" name=""/>
        <dsp:cNvSpPr/>
      </dsp:nvSpPr>
      <dsp:spPr>
        <a:xfrm>
          <a:off x="1972" y="469176"/>
          <a:ext cx="793613" cy="300824"/>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tx1"/>
              </a:solidFill>
              <a:latin typeface="Calibri" panose="020F0502020204030204"/>
              <a:ea typeface="+mn-ea"/>
              <a:cs typeface="+mn-cs"/>
            </a:rPr>
            <a:t>Celkové příjmy</a:t>
          </a:r>
        </a:p>
      </dsp:txBody>
      <dsp:txXfrm>
        <a:off x="152384" y="469176"/>
        <a:ext cx="492789" cy="300824"/>
      </dsp:txXfrm>
    </dsp:sp>
    <dsp:sp modelId="{DD05987A-3EC2-4CCA-9869-1F1361695B14}">
      <dsp:nvSpPr>
        <dsp:cNvPr id="0" name=""/>
        <dsp:cNvSpPr/>
      </dsp:nvSpPr>
      <dsp:spPr>
        <a:xfrm>
          <a:off x="697818" y="494746"/>
          <a:ext cx="624211" cy="249684"/>
        </a:xfrm>
        <a:prstGeom prst="chevron">
          <a:avLst/>
        </a:prstGeom>
        <a:solidFill>
          <a:srgbClr val="BD2A33">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tx1"/>
              </a:solidFill>
              <a:latin typeface="Calibri" panose="020F0502020204030204"/>
              <a:ea typeface="+mn-ea"/>
              <a:cs typeface="+mn-cs"/>
            </a:rPr>
            <a:t>1 133,8</a:t>
          </a:r>
        </a:p>
      </dsp:txBody>
      <dsp:txXfrm>
        <a:off x="822660" y="494746"/>
        <a:ext cx="374527" cy="249684"/>
      </dsp:txXfrm>
    </dsp:sp>
    <dsp:sp modelId="{E0B3BD13-AF19-47FA-8B20-BF9AA0D890B4}">
      <dsp:nvSpPr>
        <dsp:cNvPr id="0" name=""/>
        <dsp:cNvSpPr/>
      </dsp:nvSpPr>
      <dsp:spPr>
        <a:xfrm>
          <a:off x="1234640" y="494746"/>
          <a:ext cx="624211" cy="249684"/>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tx1"/>
              </a:solidFill>
              <a:latin typeface="Calibri" panose="020F0502020204030204"/>
              <a:ea typeface="+mn-ea"/>
              <a:cs typeface="+mn-cs"/>
            </a:rPr>
            <a:t>1 234,5</a:t>
          </a:r>
        </a:p>
      </dsp:txBody>
      <dsp:txXfrm>
        <a:off x="1359482" y="494746"/>
        <a:ext cx="374527" cy="249684"/>
      </dsp:txXfrm>
    </dsp:sp>
    <dsp:sp modelId="{39403DC2-8A29-4B93-A1AD-2A564629EE5C}">
      <dsp:nvSpPr>
        <dsp:cNvPr id="0" name=""/>
        <dsp:cNvSpPr/>
      </dsp:nvSpPr>
      <dsp:spPr>
        <a:xfrm>
          <a:off x="1771463" y="494746"/>
          <a:ext cx="624211" cy="249684"/>
        </a:xfrm>
        <a:prstGeom prst="chevron">
          <a:avLst/>
        </a:prstGeom>
        <a:solidFill>
          <a:srgbClr val="BD2A33">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tx1"/>
              </a:solidFill>
              <a:latin typeface="Calibri" panose="020F0502020204030204"/>
              <a:ea typeface="+mn-ea"/>
              <a:cs typeface="+mn-cs"/>
            </a:rPr>
            <a:t>1 281,6</a:t>
          </a:r>
        </a:p>
      </dsp:txBody>
      <dsp:txXfrm>
        <a:off x="1896305" y="494746"/>
        <a:ext cx="374527" cy="249684"/>
      </dsp:txXfrm>
    </dsp:sp>
    <dsp:sp modelId="{4AFDE68C-9E06-4875-8967-539174B30ADD}">
      <dsp:nvSpPr>
        <dsp:cNvPr id="0" name=""/>
        <dsp:cNvSpPr/>
      </dsp:nvSpPr>
      <dsp:spPr>
        <a:xfrm>
          <a:off x="2308285" y="494746"/>
          <a:ext cx="624211" cy="249684"/>
        </a:xfrm>
        <a:prstGeom prst="chevron">
          <a:avLst/>
        </a:prstGeom>
        <a:solidFill>
          <a:srgbClr val="BD2A33">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tx1"/>
              </a:solidFill>
              <a:latin typeface="Calibri" panose="020F0502020204030204"/>
              <a:ea typeface="+mn-ea"/>
              <a:cs typeface="+mn-cs"/>
            </a:rPr>
            <a:t>1 273,6</a:t>
          </a:r>
        </a:p>
      </dsp:txBody>
      <dsp:txXfrm>
        <a:off x="2433127" y="494746"/>
        <a:ext cx="374527" cy="249684"/>
      </dsp:txXfrm>
    </dsp:sp>
    <dsp:sp modelId="{805827EE-806F-459E-9BE2-BC7F4C63625B}">
      <dsp:nvSpPr>
        <dsp:cNvPr id="0" name=""/>
        <dsp:cNvSpPr/>
      </dsp:nvSpPr>
      <dsp:spPr>
        <a:xfrm>
          <a:off x="2845107" y="494746"/>
          <a:ext cx="624211" cy="249684"/>
        </a:xfrm>
        <a:prstGeom prst="chevron">
          <a:avLst/>
        </a:prstGeom>
        <a:solidFill>
          <a:srgbClr val="BD2A33"/>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bg1"/>
              </a:solidFill>
              <a:latin typeface="Calibri" panose="020F0502020204030204"/>
              <a:ea typeface="+mn-ea"/>
              <a:cs typeface="+mn-cs"/>
            </a:rPr>
            <a:t>1 403,9</a:t>
          </a:r>
        </a:p>
      </dsp:txBody>
      <dsp:txXfrm>
        <a:off x="2969949" y="494746"/>
        <a:ext cx="374527" cy="249684"/>
      </dsp:txXfrm>
    </dsp:sp>
    <dsp:sp modelId="{341966EF-3C67-433C-892A-FBE5F2F03106}">
      <dsp:nvSpPr>
        <dsp:cNvPr id="0" name=""/>
        <dsp:cNvSpPr/>
      </dsp:nvSpPr>
      <dsp:spPr>
        <a:xfrm>
          <a:off x="3381929" y="494746"/>
          <a:ext cx="624211" cy="249684"/>
        </a:xfrm>
        <a:prstGeom prst="chevron">
          <a:avLst/>
        </a:prstGeom>
        <a:solidFill>
          <a:srgbClr val="C3C5C6">
            <a:alpha val="89804"/>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chemeClr val="tx1"/>
              </a:solidFill>
              <a:latin typeface="Calibri" panose="020F0502020204030204"/>
              <a:ea typeface="+mn-ea"/>
              <a:cs typeface="+mn-cs"/>
            </a:rPr>
            <a:t>130,3</a:t>
          </a:r>
        </a:p>
      </dsp:txBody>
      <dsp:txXfrm>
        <a:off x="3506771" y="494746"/>
        <a:ext cx="374527" cy="249684"/>
      </dsp:txXfrm>
    </dsp:sp>
    <dsp:sp modelId="{271D193C-BAC1-45D4-9F55-82CC0206262A}">
      <dsp:nvSpPr>
        <dsp:cNvPr id="0" name=""/>
        <dsp:cNvSpPr/>
      </dsp:nvSpPr>
      <dsp:spPr>
        <a:xfrm>
          <a:off x="1972" y="812117"/>
          <a:ext cx="793613" cy="300824"/>
        </a:xfrm>
        <a:prstGeom prst="chevron">
          <a:avLst/>
        </a:prstGeom>
        <a:solidFill>
          <a:srgbClr val="D9EA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Daňové příjmy</a:t>
          </a:r>
        </a:p>
      </dsp:txBody>
      <dsp:txXfrm>
        <a:off x="152384" y="812117"/>
        <a:ext cx="492789" cy="300824"/>
      </dsp:txXfrm>
    </dsp:sp>
    <dsp:sp modelId="{47012AB8-D9C4-4B00-AA2F-9FE5BCB3AE2B}">
      <dsp:nvSpPr>
        <dsp:cNvPr id="0" name=""/>
        <dsp:cNvSpPr/>
      </dsp:nvSpPr>
      <dsp:spPr>
        <a:xfrm>
          <a:off x="697818" y="837687"/>
          <a:ext cx="624211" cy="249684"/>
        </a:xfrm>
        <a:prstGeom prst="chevron">
          <a:avLst/>
        </a:prstGeom>
        <a:solidFill>
          <a:srgbClr val="004595">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952,5</a:t>
          </a:r>
        </a:p>
      </dsp:txBody>
      <dsp:txXfrm>
        <a:off x="822660" y="837687"/>
        <a:ext cx="374527" cy="249684"/>
      </dsp:txXfrm>
    </dsp:sp>
    <dsp:sp modelId="{49C1FADA-A17D-4E70-A3E9-E768A1AF2D9C}">
      <dsp:nvSpPr>
        <dsp:cNvPr id="0" name=""/>
        <dsp:cNvSpPr/>
      </dsp:nvSpPr>
      <dsp:spPr>
        <a:xfrm>
          <a:off x="1234640" y="837687"/>
          <a:ext cx="624211" cy="249684"/>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1 002,1</a:t>
          </a:r>
        </a:p>
      </dsp:txBody>
      <dsp:txXfrm>
        <a:off x="1359482" y="837687"/>
        <a:ext cx="374527" cy="249684"/>
      </dsp:txXfrm>
    </dsp:sp>
    <dsp:sp modelId="{190C9095-C4CF-4C8B-9843-FC9A87C43110}">
      <dsp:nvSpPr>
        <dsp:cNvPr id="0" name=""/>
        <dsp:cNvSpPr/>
      </dsp:nvSpPr>
      <dsp:spPr>
        <a:xfrm>
          <a:off x="1771463" y="837687"/>
          <a:ext cx="624211" cy="249684"/>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1 071,5</a:t>
          </a:r>
        </a:p>
      </dsp:txBody>
      <dsp:txXfrm>
        <a:off x="1896305" y="837687"/>
        <a:ext cx="374527" cy="249684"/>
      </dsp:txXfrm>
    </dsp:sp>
    <dsp:sp modelId="{729925F6-6C21-4C2A-A124-CB5331D4D0A1}">
      <dsp:nvSpPr>
        <dsp:cNvPr id="0" name=""/>
        <dsp:cNvSpPr/>
      </dsp:nvSpPr>
      <dsp:spPr>
        <a:xfrm>
          <a:off x="2308285" y="837687"/>
          <a:ext cx="624211" cy="249684"/>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1 155,6</a:t>
          </a:r>
        </a:p>
      </dsp:txBody>
      <dsp:txXfrm>
        <a:off x="2433127" y="837687"/>
        <a:ext cx="374527" cy="249684"/>
      </dsp:txXfrm>
    </dsp:sp>
    <dsp:sp modelId="{F1F41FAD-CF79-4184-9D4A-4B24B3BD1679}">
      <dsp:nvSpPr>
        <dsp:cNvPr id="0" name=""/>
        <dsp:cNvSpPr/>
      </dsp:nvSpPr>
      <dsp:spPr>
        <a:xfrm>
          <a:off x="2845107" y="837687"/>
          <a:ext cx="624211" cy="249684"/>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bg1"/>
              </a:solidFill>
              <a:latin typeface="Calibri" panose="020F0502020204030204"/>
              <a:ea typeface="+mn-ea"/>
              <a:cs typeface="+mn-cs"/>
            </a:rPr>
            <a:t>1 240,4</a:t>
          </a:r>
        </a:p>
      </dsp:txBody>
      <dsp:txXfrm>
        <a:off x="2969949" y="837687"/>
        <a:ext cx="374527" cy="249684"/>
      </dsp:txXfrm>
    </dsp:sp>
    <dsp:sp modelId="{4C65EDB7-00FC-46A4-9C20-9DA139026CE1}">
      <dsp:nvSpPr>
        <dsp:cNvPr id="0" name=""/>
        <dsp:cNvSpPr/>
      </dsp:nvSpPr>
      <dsp:spPr>
        <a:xfrm>
          <a:off x="3381929" y="837687"/>
          <a:ext cx="624211" cy="249684"/>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84,8</a:t>
          </a:r>
        </a:p>
      </dsp:txBody>
      <dsp:txXfrm>
        <a:off x="3506771" y="837687"/>
        <a:ext cx="374527" cy="249684"/>
      </dsp:txXfrm>
    </dsp:sp>
    <dsp:sp modelId="{3B038CE9-4800-42E2-ADC1-CECE41DB3D7F}">
      <dsp:nvSpPr>
        <dsp:cNvPr id="0" name=""/>
        <dsp:cNvSpPr/>
      </dsp:nvSpPr>
      <dsp:spPr>
        <a:xfrm>
          <a:off x="1972" y="1155057"/>
          <a:ext cx="793613" cy="300824"/>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Nedaňové příjmy</a:t>
          </a:r>
        </a:p>
      </dsp:txBody>
      <dsp:txXfrm>
        <a:off x="152384" y="1155057"/>
        <a:ext cx="492789" cy="300824"/>
      </dsp:txXfrm>
    </dsp:sp>
    <dsp:sp modelId="{0C4F5166-7B8C-4DC5-9D99-03C90D522575}">
      <dsp:nvSpPr>
        <dsp:cNvPr id="0" name=""/>
        <dsp:cNvSpPr/>
      </dsp:nvSpPr>
      <dsp:spPr>
        <a:xfrm>
          <a:off x="697818" y="1180627"/>
          <a:ext cx="624211" cy="249684"/>
        </a:xfrm>
        <a:prstGeom prst="chevron">
          <a:avLst/>
        </a:prstGeom>
        <a:solidFill>
          <a:srgbClr val="004595">
            <a:alpha val="2000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42,0</a:t>
          </a:r>
        </a:p>
      </dsp:txBody>
      <dsp:txXfrm>
        <a:off x="822660" y="1180627"/>
        <a:ext cx="374527" cy="249684"/>
      </dsp:txXfrm>
    </dsp:sp>
    <dsp:sp modelId="{7CB82BEA-AE28-47E4-BA52-D78E48C0F651}">
      <dsp:nvSpPr>
        <dsp:cNvPr id="0" name=""/>
        <dsp:cNvSpPr/>
      </dsp:nvSpPr>
      <dsp:spPr>
        <a:xfrm>
          <a:off x="1234640" y="1180627"/>
          <a:ext cx="624211" cy="249684"/>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38,6</a:t>
          </a:r>
        </a:p>
      </dsp:txBody>
      <dsp:txXfrm>
        <a:off x="1359482" y="1180627"/>
        <a:ext cx="374527" cy="249684"/>
      </dsp:txXfrm>
    </dsp:sp>
    <dsp:sp modelId="{3963FC4F-805E-4287-BBFA-DE711BEEDB2C}">
      <dsp:nvSpPr>
        <dsp:cNvPr id="0" name=""/>
        <dsp:cNvSpPr/>
      </dsp:nvSpPr>
      <dsp:spPr>
        <a:xfrm>
          <a:off x="1771463" y="1180627"/>
          <a:ext cx="624211" cy="249684"/>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33,9</a:t>
          </a:r>
        </a:p>
      </dsp:txBody>
      <dsp:txXfrm>
        <a:off x="1896305" y="1180627"/>
        <a:ext cx="374527" cy="249684"/>
      </dsp:txXfrm>
    </dsp:sp>
    <dsp:sp modelId="{68FF06A0-95BF-4EB5-BCC0-FE24A744B17A}">
      <dsp:nvSpPr>
        <dsp:cNvPr id="0" name=""/>
        <dsp:cNvSpPr/>
      </dsp:nvSpPr>
      <dsp:spPr>
        <a:xfrm>
          <a:off x="2308285" y="1180627"/>
          <a:ext cx="624211" cy="249684"/>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24,4</a:t>
          </a:r>
        </a:p>
      </dsp:txBody>
      <dsp:txXfrm>
        <a:off x="2433127" y="1180627"/>
        <a:ext cx="374527" cy="249684"/>
      </dsp:txXfrm>
    </dsp:sp>
    <dsp:sp modelId="{1FAD3650-64BC-4728-B0DE-4DF577F605F2}">
      <dsp:nvSpPr>
        <dsp:cNvPr id="0" name=""/>
        <dsp:cNvSpPr/>
      </dsp:nvSpPr>
      <dsp:spPr>
        <a:xfrm>
          <a:off x="2845107" y="1180627"/>
          <a:ext cx="624211" cy="249684"/>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bg1"/>
              </a:solidFill>
              <a:latin typeface="Calibri" panose="020F0502020204030204"/>
              <a:ea typeface="+mn-ea"/>
              <a:cs typeface="+mn-cs"/>
            </a:rPr>
            <a:t>23,5</a:t>
          </a:r>
        </a:p>
      </dsp:txBody>
      <dsp:txXfrm>
        <a:off x="2969949" y="1180627"/>
        <a:ext cx="374527" cy="249684"/>
      </dsp:txXfrm>
    </dsp:sp>
    <dsp:sp modelId="{C132509D-D53A-413A-B4A6-5E3503422542}">
      <dsp:nvSpPr>
        <dsp:cNvPr id="0" name=""/>
        <dsp:cNvSpPr/>
      </dsp:nvSpPr>
      <dsp:spPr>
        <a:xfrm>
          <a:off x="3381929" y="1180627"/>
          <a:ext cx="624211" cy="249684"/>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rgbClr val="FF0000"/>
              </a:solidFill>
              <a:latin typeface="+mn-lt"/>
            </a:rPr>
            <a:t>–</a:t>
          </a:r>
          <a:r>
            <a:rPr lang="cs-CZ" sz="800" b="1" kern="1200">
              <a:solidFill>
                <a:srgbClr val="FF0000"/>
              </a:solidFill>
              <a:latin typeface="+mn-lt"/>
              <a:ea typeface="+mn-ea"/>
              <a:cs typeface="+mn-cs"/>
            </a:rPr>
            <a:t>0,9</a:t>
          </a:r>
        </a:p>
      </dsp:txBody>
      <dsp:txXfrm>
        <a:off x="3506771" y="1180627"/>
        <a:ext cx="374527" cy="249684"/>
      </dsp:txXfrm>
    </dsp:sp>
    <dsp:sp modelId="{A299FC5C-1339-4079-8517-1DD3EECA853E}">
      <dsp:nvSpPr>
        <dsp:cNvPr id="0" name=""/>
        <dsp:cNvSpPr/>
      </dsp:nvSpPr>
      <dsp:spPr>
        <a:xfrm>
          <a:off x="1972" y="1497998"/>
          <a:ext cx="812227" cy="300824"/>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Kapitálové příjmy</a:t>
          </a:r>
        </a:p>
      </dsp:txBody>
      <dsp:txXfrm>
        <a:off x="152384" y="1497998"/>
        <a:ext cx="511403" cy="300824"/>
      </dsp:txXfrm>
    </dsp:sp>
    <dsp:sp modelId="{3FDD460E-C514-4FC3-8C45-360F099B4F8F}">
      <dsp:nvSpPr>
        <dsp:cNvPr id="0" name=""/>
        <dsp:cNvSpPr/>
      </dsp:nvSpPr>
      <dsp:spPr>
        <a:xfrm>
          <a:off x="716432" y="1523568"/>
          <a:ext cx="624211" cy="249684"/>
        </a:xfrm>
        <a:prstGeom prst="chevron">
          <a:avLst/>
        </a:prstGeom>
        <a:solidFill>
          <a:srgbClr val="004595">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4,9</a:t>
          </a:r>
        </a:p>
      </dsp:txBody>
      <dsp:txXfrm>
        <a:off x="841274" y="1523568"/>
        <a:ext cx="374527" cy="249684"/>
      </dsp:txXfrm>
    </dsp:sp>
    <dsp:sp modelId="{468992ED-F4D8-4F6D-B1A1-6343BD006473}">
      <dsp:nvSpPr>
        <dsp:cNvPr id="0" name=""/>
        <dsp:cNvSpPr/>
      </dsp:nvSpPr>
      <dsp:spPr>
        <a:xfrm>
          <a:off x="1253254" y="1523568"/>
          <a:ext cx="624211" cy="249684"/>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7,9</a:t>
          </a:r>
        </a:p>
      </dsp:txBody>
      <dsp:txXfrm>
        <a:off x="1378096" y="1523568"/>
        <a:ext cx="374527" cy="249684"/>
      </dsp:txXfrm>
    </dsp:sp>
    <dsp:sp modelId="{26A4A151-D07C-4DA7-A913-637EC8E300DA}">
      <dsp:nvSpPr>
        <dsp:cNvPr id="0" name=""/>
        <dsp:cNvSpPr/>
      </dsp:nvSpPr>
      <dsp:spPr>
        <a:xfrm>
          <a:off x="1790076" y="1523568"/>
          <a:ext cx="624211" cy="249684"/>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6,5</a:t>
          </a:r>
        </a:p>
      </dsp:txBody>
      <dsp:txXfrm>
        <a:off x="1914918" y="1523568"/>
        <a:ext cx="374527" cy="249684"/>
      </dsp:txXfrm>
    </dsp:sp>
    <dsp:sp modelId="{C2FAB8ED-1119-4492-9E82-19860B0208EA}">
      <dsp:nvSpPr>
        <dsp:cNvPr id="0" name=""/>
        <dsp:cNvSpPr/>
      </dsp:nvSpPr>
      <dsp:spPr>
        <a:xfrm>
          <a:off x="2326898" y="1523568"/>
          <a:ext cx="624211" cy="249684"/>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8,4</a:t>
          </a:r>
        </a:p>
      </dsp:txBody>
      <dsp:txXfrm>
        <a:off x="2451740" y="1523568"/>
        <a:ext cx="374527" cy="249684"/>
      </dsp:txXfrm>
    </dsp:sp>
    <dsp:sp modelId="{C7C89D5B-53E8-48DF-B6AA-56A4462BAFA3}">
      <dsp:nvSpPr>
        <dsp:cNvPr id="0" name=""/>
        <dsp:cNvSpPr/>
      </dsp:nvSpPr>
      <dsp:spPr>
        <a:xfrm>
          <a:off x="2863721" y="1523568"/>
          <a:ext cx="624211" cy="249684"/>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bg1"/>
              </a:solidFill>
              <a:latin typeface="Calibri" panose="020F0502020204030204"/>
              <a:ea typeface="+mn-ea"/>
              <a:cs typeface="+mn-cs"/>
            </a:rPr>
            <a:t>17,6</a:t>
          </a:r>
        </a:p>
      </dsp:txBody>
      <dsp:txXfrm>
        <a:off x="2988563" y="1523568"/>
        <a:ext cx="374527" cy="249684"/>
      </dsp:txXfrm>
    </dsp:sp>
    <dsp:sp modelId="{EF1309B9-1C6C-4BAE-82EC-68F65162E24D}">
      <dsp:nvSpPr>
        <dsp:cNvPr id="0" name=""/>
        <dsp:cNvSpPr/>
      </dsp:nvSpPr>
      <dsp:spPr>
        <a:xfrm>
          <a:off x="3400543" y="1523568"/>
          <a:ext cx="624211" cy="249684"/>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9,3</a:t>
          </a:r>
        </a:p>
      </dsp:txBody>
      <dsp:txXfrm>
        <a:off x="3525385" y="1523568"/>
        <a:ext cx="374527" cy="249684"/>
      </dsp:txXfrm>
    </dsp:sp>
    <dsp:sp modelId="{480089F2-B50A-49A9-8423-0D7B6F8D6839}">
      <dsp:nvSpPr>
        <dsp:cNvPr id="0" name=""/>
        <dsp:cNvSpPr/>
      </dsp:nvSpPr>
      <dsp:spPr>
        <a:xfrm>
          <a:off x="1972" y="1840938"/>
          <a:ext cx="793613" cy="300824"/>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Přijaté transfery</a:t>
          </a:r>
        </a:p>
      </dsp:txBody>
      <dsp:txXfrm>
        <a:off x="152384" y="1840938"/>
        <a:ext cx="492789" cy="300824"/>
      </dsp:txXfrm>
    </dsp:sp>
    <dsp:sp modelId="{98847991-7FC9-459A-8113-3B3CE09C913D}">
      <dsp:nvSpPr>
        <dsp:cNvPr id="0" name=""/>
        <dsp:cNvSpPr/>
      </dsp:nvSpPr>
      <dsp:spPr>
        <a:xfrm>
          <a:off x="697818" y="1866508"/>
          <a:ext cx="624211" cy="249684"/>
        </a:xfrm>
        <a:prstGeom prst="chevron">
          <a:avLst/>
        </a:prstGeom>
        <a:solidFill>
          <a:srgbClr val="004595">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134,4</a:t>
          </a:r>
        </a:p>
      </dsp:txBody>
      <dsp:txXfrm>
        <a:off x="822660" y="1866508"/>
        <a:ext cx="374527" cy="249684"/>
      </dsp:txXfrm>
    </dsp:sp>
    <dsp:sp modelId="{1FB013AE-1265-4AA4-B877-3F73C2284B66}">
      <dsp:nvSpPr>
        <dsp:cNvPr id="0" name=""/>
        <dsp:cNvSpPr/>
      </dsp:nvSpPr>
      <dsp:spPr>
        <a:xfrm>
          <a:off x="1234640" y="1866508"/>
          <a:ext cx="624211" cy="249684"/>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185,9</a:t>
          </a:r>
        </a:p>
      </dsp:txBody>
      <dsp:txXfrm>
        <a:off x="1359482" y="1866508"/>
        <a:ext cx="374527" cy="249684"/>
      </dsp:txXfrm>
    </dsp:sp>
    <dsp:sp modelId="{ADA72AC0-44B6-4A6F-B510-D4F3F5EC9133}">
      <dsp:nvSpPr>
        <dsp:cNvPr id="0" name=""/>
        <dsp:cNvSpPr/>
      </dsp:nvSpPr>
      <dsp:spPr>
        <a:xfrm>
          <a:off x="1771463" y="1866508"/>
          <a:ext cx="624211" cy="249684"/>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169,7</a:t>
          </a:r>
        </a:p>
      </dsp:txBody>
      <dsp:txXfrm>
        <a:off x="1896305" y="1866508"/>
        <a:ext cx="374527" cy="249684"/>
      </dsp:txXfrm>
    </dsp:sp>
    <dsp:sp modelId="{CED83E52-2D06-4554-B3C8-B83EF9FCC5F9}">
      <dsp:nvSpPr>
        <dsp:cNvPr id="0" name=""/>
        <dsp:cNvSpPr/>
      </dsp:nvSpPr>
      <dsp:spPr>
        <a:xfrm>
          <a:off x="2308285" y="1866508"/>
          <a:ext cx="624211" cy="249684"/>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85,2</a:t>
          </a:r>
        </a:p>
      </dsp:txBody>
      <dsp:txXfrm>
        <a:off x="2433127" y="1866508"/>
        <a:ext cx="374527" cy="249684"/>
      </dsp:txXfrm>
    </dsp:sp>
    <dsp:sp modelId="{C3CA2D55-BA82-448D-883B-AFED746031DF}">
      <dsp:nvSpPr>
        <dsp:cNvPr id="0" name=""/>
        <dsp:cNvSpPr/>
      </dsp:nvSpPr>
      <dsp:spPr>
        <a:xfrm>
          <a:off x="2845107" y="1866508"/>
          <a:ext cx="624211" cy="249684"/>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bg1"/>
              </a:solidFill>
              <a:latin typeface="Calibri" panose="020F0502020204030204"/>
              <a:ea typeface="+mn-ea"/>
              <a:cs typeface="+mn-cs"/>
            </a:rPr>
            <a:t>122,4</a:t>
          </a:r>
        </a:p>
      </dsp:txBody>
      <dsp:txXfrm>
        <a:off x="2969949" y="1866508"/>
        <a:ext cx="374527" cy="249684"/>
      </dsp:txXfrm>
    </dsp:sp>
    <dsp:sp modelId="{C7C2FC6F-CBA8-4A3D-9DA7-B9AF86FEE370}">
      <dsp:nvSpPr>
        <dsp:cNvPr id="0" name=""/>
        <dsp:cNvSpPr/>
      </dsp:nvSpPr>
      <dsp:spPr>
        <a:xfrm>
          <a:off x="3381929" y="1866508"/>
          <a:ext cx="624211" cy="249684"/>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37,2</a:t>
          </a:r>
        </a:p>
      </dsp:txBody>
      <dsp:txXfrm>
        <a:off x="3506771" y="1866508"/>
        <a:ext cx="374527" cy="24968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24C8AE-0C84-4B57-A0DB-F530EDB074FB}">
      <dsp:nvSpPr>
        <dsp:cNvPr id="0" name=""/>
        <dsp:cNvSpPr/>
      </dsp:nvSpPr>
      <dsp:spPr>
        <a:xfrm>
          <a:off x="1878" y="133623"/>
          <a:ext cx="778539" cy="286488"/>
        </a:xfrm>
        <a:prstGeom prst="chevron">
          <a:avLst/>
        </a:prstGeom>
        <a:no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marL="0" lvl="0" algn="ctr" defTabSz="355600">
            <a:lnSpc>
              <a:spcPct val="50000"/>
            </a:lnSpc>
            <a:spcBef>
              <a:spcPct val="0"/>
            </a:spcBef>
            <a:spcAft>
              <a:spcPts val="0"/>
            </a:spcAft>
          </a:pPr>
          <a:r>
            <a:rPr lang="cs-CZ" sz="800" b="0" kern="1200">
              <a:solidFill>
                <a:sysClr val="windowText" lastClr="000000"/>
              </a:solidFill>
              <a:latin typeface="Calibri" panose="020F0502020204030204"/>
              <a:ea typeface="+mn-ea"/>
              <a:cs typeface="+mn-cs"/>
            </a:rPr>
            <a:t>v mld. Kč</a:t>
          </a:r>
        </a:p>
      </dsp:txBody>
      <dsp:txXfrm>
        <a:off x="145122" y="133623"/>
        <a:ext cx="492051" cy="286488"/>
      </dsp:txXfrm>
    </dsp:sp>
    <dsp:sp modelId="{EA6E9049-714D-4F70-9449-67590FE925DF}">
      <dsp:nvSpPr>
        <dsp:cNvPr id="0" name=""/>
        <dsp:cNvSpPr/>
      </dsp:nvSpPr>
      <dsp:spPr>
        <a:xfrm>
          <a:off x="687309" y="157974"/>
          <a:ext cx="594463" cy="237785"/>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2014</a:t>
          </a:r>
        </a:p>
      </dsp:txBody>
      <dsp:txXfrm>
        <a:off x="806202" y="157974"/>
        <a:ext cx="356678" cy="237785"/>
      </dsp:txXfrm>
    </dsp:sp>
    <dsp:sp modelId="{E17CDDBE-C54E-41F3-B442-C82AC2798B30}">
      <dsp:nvSpPr>
        <dsp:cNvPr id="0" name=""/>
        <dsp:cNvSpPr/>
      </dsp:nvSpPr>
      <dsp:spPr>
        <a:xfrm>
          <a:off x="1198548" y="157974"/>
          <a:ext cx="594463" cy="237785"/>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2015</a:t>
          </a:r>
        </a:p>
      </dsp:txBody>
      <dsp:txXfrm>
        <a:off x="1317441" y="157974"/>
        <a:ext cx="356678" cy="237785"/>
      </dsp:txXfrm>
    </dsp:sp>
    <dsp:sp modelId="{26A82BEF-68BE-4FEF-A542-D5EE7C04721A}">
      <dsp:nvSpPr>
        <dsp:cNvPr id="0" name=""/>
        <dsp:cNvSpPr/>
      </dsp:nvSpPr>
      <dsp:spPr>
        <a:xfrm>
          <a:off x="1709786" y="157974"/>
          <a:ext cx="594463" cy="237785"/>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2016</a:t>
          </a:r>
        </a:p>
      </dsp:txBody>
      <dsp:txXfrm>
        <a:off x="1828679" y="157974"/>
        <a:ext cx="356678" cy="237785"/>
      </dsp:txXfrm>
    </dsp:sp>
    <dsp:sp modelId="{833188DE-4E3C-4E12-83E9-AF15E2D9BFD2}">
      <dsp:nvSpPr>
        <dsp:cNvPr id="0" name=""/>
        <dsp:cNvSpPr/>
      </dsp:nvSpPr>
      <dsp:spPr>
        <a:xfrm>
          <a:off x="2221025" y="157974"/>
          <a:ext cx="594463" cy="237785"/>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2017</a:t>
          </a:r>
        </a:p>
      </dsp:txBody>
      <dsp:txXfrm>
        <a:off x="2339918" y="157974"/>
        <a:ext cx="356678" cy="237785"/>
      </dsp:txXfrm>
    </dsp:sp>
    <dsp:sp modelId="{4BC069EA-54EB-411A-9913-8C17480DA2D5}">
      <dsp:nvSpPr>
        <dsp:cNvPr id="0" name=""/>
        <dsp:cNvSpPr/>
      </dsp:nvSpPr>
      <dsp:spPr>
        <a:xfrm>
          <a:off x="2732264" y="157974"/>
          <a:ext cx="594463" cy="237785"/>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2018</a:t>
          </a:r>
        </a:p>
      </dsp:txBody>
      <dsp:txXfrm>
        <a:off x="2851157" y="157974"/>
        <a:ext cx="356678" cy="237785"/>
      </dsp:txXfrm>
    </dsp:sp>
    <dsp:sp modelId="{D3A25E5F-696A-492F-9F7A-F9DECAD0E80A}">
      <dsp:nvSpPr>
        <dsp:cNvPr id="0" name=""/>
        <dsp:cNvSpPr/>
      </dsp:nvSpPr>
      <dsp:spPr>
        <a:xfrm>
          <a:off x="3243502" y="157974"/>
          <a:ext cx="594463" cy="237785"/>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2018</a:t>
          </a:r>
          <a:r>
            <a:rPr lang="cs-CZ" sz="800" kern="1200"/>
            <a:t>–</a:t>
          </a:r>
          <a:r>
            <a:rPr lang="cs-CZ" sz="800" b="1" kern="1200">
              <a:solidFill>
                <a:sysClr val="windowText" lastClr="000000"/>
              </a:solidFill>
              <a:latin typeface="Calibri" panose="020F0502020204030204"/>
              <a:ea typeface="+mn-ea"/>
              <a:cs typeface="+mn-cs"/>
            </a:rPr>
            <a:t>2017</a:t>
          </a:r>
        </a:p>
      </dsp:txBody>
      <dsp:txXfrm>
        <a:off x="3362395" y="157974"/>
        <a:ext cx="356678" cy="237785"/>
      </dsp:txXfrm>
    </dsp:sp>
    <dsp:sp modelId="{108D6996-3FEB-43E6-98A6-B3CEA7AF6F97}">
      <dsp:nvSpPr>
        <dsp:cNvPr id="0" name=""/>
        <dsp:cNvSpPr/>
      </dsp:nvSpPr>
      <dsp:spPr>
        <a:xfrm>
          <a:off x="1878" y="460219"/>
          <a:ext cx="755792" cy="286488"/>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latin typeface="Calibri" panose="020F0502020204030204"/>
              <a:ea typeface="+mn-ea"/>
              <a:cs typeface="+mn-cs"/>
            </a:rPr>
            <a:t>Celkové výdaje</a:t>
          </a:r>
        </a:p>
      </dsp:txBody>
      <dsp:txXfrm>
        <a:off x="145122" y="460219"/>
        <a:ext cx="469304" cy="286488"/>
      </dsp:txXfrm>
    </dsp:sp>
    <dsp:sp modelId="{DD05987A-3EC2-4CCA-9869-1F1361695B14}">
      <dsp:nvSpPr>
        <dsp:cNvPr id="0" name=""/>
        <dsp:cNvSpPr/>
      </dsp:nvSpPr>
      <dsp:spPr>
        <a:xfrm>
          <a:off x="664562" y="484571"/>
          <a:ext cx="594463" cy="237785"/>
        </a:xfrm>
        <a:prstGeom prst="chevron">
          <a:avLst/>
        </a:prstGeom>
        <a:solidFill>
          <a:srgbClr val="BD2A33">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latin typeface="Calibri" panose="020F0502020204030204"/>
              <a:ea typeface="+mn-ea"/>
              <a:cs typeface="+mn-cs"/>
            </a:rPr>
            <a:t>1 211,6</a:t>
          </a:r>
        </a:p>
      </dsp:txBody>
      <dsp:txXfrm>
        <a:off x="783455" y="484571"/>
        <a:ext cx="356678" cy="237785"/>
      </dsp:txXfrm>
    </dsp:sp>
    <dsp:sp modelId="{E0B3BD13-AF19-47FA-8B20-BF9AA0D890B4}">
      <dsp:nvSpPr>
        <dsp:cNvPr id="0" name=""/>
        <dsp:cNvSpPr/>
      </dsp:nvSpPr>
      <dsp:spPr>
        <a:xfrm>
          <a:off x="1175801" y="484571"/>
          <a:ext cx="594463" cy="237785"/>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latin typeface="Calibri" panose="020F0502020204030204"/>
              <a:ea typeface="+mn-ea"/>
              <a:cs typeface="+mn-cs"/>
            </a:rPr>
            <a:t>1 297,3</a:t>
          </a:r>
        </a:p>
      </dsp:txBody>
      <dsp:txXfrm>
        <a:off x="1294694" y="484571"/>
        <a:ext cx="356678" cy="237785"/>
      </dsp:txXfrm>
    </dsp:sp>
    <dsp:sp modelId="{39403DC2-8A29-4B93-A1AD-2A564629EE5C}">
      <dsp:nvSpPr>
        <dsp:cNvPr id="0" name=""/>
        <dsp:cNvSpPr/>
      </dsp:nvSpPr>
      <dsp:spPr>
        <a:xfrm>
          <a:off x="1687039" y="484571"/>
          <a:ext cx="594463" cy="237785"/>
        </a:xfrm>
        <a:prstGeom prst="chevron">
          <a:avLst/>
        </a:prstGeom>
        <a:solidFill>
          <a:srgbClr val="BD2A33">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latin typeface="Calibri" panose="020F0502020204030204"/>
              <a:ea typeface="+mn-ea"/>
              <a:cs typeface="+mn-cs"/>
            </a:rPr>
            <a:t>1 219,8</a:t>
          </a:r>
        </a:p>
      </dsp:txBody>
      <dsp:txXfrm>
        <a:off x="1805932" y="484571"/>
        <a:ext cx="356678" cy="237785"/>
      </dsp:txXfrm>
    </dsp:sp>
    <dsp:sp modelId="{4AFDE68C-9E06-4875-8967-539174B30ADD}">
      <dsp:nvSpPr>
        <dsp:cNvPr id="0" name=""/>
        <dsp:cNvSpPr/>
      </dsp:nvSpPr>
      <dsp:spPr>
        <a:xfrm>
          <a:off x="2198278" y="484571"/>
          <a:ext cx="594463" cy="237785"/>
        </a:xfrm>
        <a:prstGeom prst="chevron">
          <a:avLst/>
        </a:prstGeom>
        <a:solidFill>
          <a:srgbClr val="BD2A33">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latin typeface="Calibri" panose="020F0502020204030204"/>
              <a:ea typeface="+mn-ea"/>
              <a:cs typeface="+mn-cs"/>
            </a:rPr>
            <a:t>1 279,8</a:t>
          </a:r>
        </a:p>
      </dsp:txBody>
      <dsp:txXfrm>
        <a:off x="2317171" y="484571"/>
        <a:ext cx="356678" cy="237785"/>
      </dsp:txXfrm>
    </dsp:sp>
    <dsp:sp modelId="{805827EE-806F-459E-9BE2-BC7F4C63625B}">
      <dsp:nvSpPr>
        <dsp:cNvPr id="0" name=""/>
        <dsp:cNvSpPr/>
      </dsp:nvSpPr>
      <dsp:spPr>
        <a:xfrm>
          <a:off x="2709516" y="484571"/>
          <a:ext cx="594463" cy="237785"/>
        </a:xfrm>
        <a:prstGeom prst="chevron">
          <a:avLst/>
        </a:prstGeom>
        <a:solidFill>
          <a:srgbClr val="BD2A33"/>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 lastClr="FFFFFF"/>
              </a:solidFill>
              <a:latin typeface="Calibri" panose="020F0502020204030204"/>
              <a:ea typeface="+mn-ea"/>
              <a:cs typeface="+mn-cs"/>
            </a:rPr>
            <a:t>1 401,0</a:t>
          </a:r>
        </a:p>
      </dsp:txBody>
      <dsp:txXfrm>
        <a:off x="2828409" y="484571"/>
        <a:ext cx="356678" cy="237785"/>
      </dsp:txXfrm>
    </dsp:sp>
    <dsp:sp modelId="{341966EF-3C67-433C-892A-FBE5F2F03106}">
      <dsp:nvSpPr>
        <dsp:cNvPr id="0" name=""/>
        <dsp:cNvSpPr/>
      </dsp:nvSpPr>
      <dsp:spPr>
        <a:xfrm>
          <a:off x="3220755" y="484571"/>
          <a:ext cx="594463" cy="237785"/>
        </a:xfrm>
        <a:prstGeom prst="chevron">
          <a:avLst/>
        </a:prstGeom>
        <a:solidFill>
          <a:srgbClr val="C3C5C6">
            <a:alpha val="89804"/>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5715" rIns="0"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latin typeface="Calibri" panose="020F0502020204030204"/>
              <a:ea typeface="+mn-ea"/>
              <a:cs typeface="+mn-cs"/>
            </a:rPr>
            <a:t>121,2</a:t>
          </a:r>
        </a:p>
      </dsp:txBody>
      <dsp:txXfrm>
        <a:off x="3339648" y="484571"/>
        <a:ext cx="356678" cy="237785"/>
      </dsp:txXfrm>
    </dsp:sp>
    <dsp:sp modelId="{271D193C-BAC1-45D4-9F55-82CC0206262A}">
      <dsp:nvSpPr>
        <dsp:cNvPr id="0" name=""/>
        <dsp:cNvSpPr/>
      </dsp:nvSpPr>
      <dsp:spPr>
        <a:xfrm>
          <a:off x="1878" y="786816"/>
          <a:ext cx="755792" cy="286488"/>
        </a:xfrm>
        <a:prstGeom prst="chevron">
          <a:avLst/>
        </a:prstGeom>
        <a:solidFill>
          <a:srgbClr val="D9EA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Běžné výdaje</a:t>
          </a:r>
        </a:p>
      </dsp:txBody>
      <dsp:txXfrm>
        <a:off x="145122" y="786816"/>
        <a:ext cx="469304" cy="286488"/>
      </dsp:txXfrm>
    </dsp:sp>
    <dsp:sp modelId="{47012AB8-D9C4-4B00-AA2F-9FE5BCB3AE2B}">
      <dsp:nvSpPr>
        <dsp:cNvPr id="0" name=""/>
        <dsp:cNvSpPr/>
      </dsp:nvSpPr>
      <dsp:spPr>
        <a:xfrm>
          <a:off x="664562" y="811168"/>
          <a:ext cx="594463" cy="237785"/>
        </a:xfrm>
        <a:prstGeom prst="chevron">
          <a:avLst/>
        </a:prstGeom>
        <a:solidFill>
          <a:srgbClr val="004595">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1 100,1</a:t>
          </a:r>
        </a:p>
      </dsp:txBody>
      <dsp:txXfrm>
        <a:off x="783455" y="811168"/>
        <a:ext cx="356678" cy="237785"/>
      </dsp:txXfrm>
    </dsp:sp>
    <dsp:sp modelId="{49C1FADA-A17D-4E70-A3E9-E768A1AF2D9C}">
      <dsp:nvSpPr>
        <dsp:cNvPr id="0" name=""/>
        <dsp:cNvSpPr/>
      </dsp:nvSpPr>
      <dsp:spPr>
        <a:xfrm>
          <a:off x="1175801" y="811168"/>
          <a:ext cx="594463" cy="237785"/>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1 121,7</a:t>
          </a:r>
        </a:p>
      </dsp:txBody>
      <dsp:txXfrm>
        <a:off x="1294694" y="811168"/>
        <a:ext cx="356678" cy="237785"/>
      </dsp:txXfrm>
    </dsp:sp>
    <dsp:sp modelId="{190C9095-C4CF-4C8B-9843-FC9A87C43110}">
      <dsp:nvSpPr>
        <dsp:cNvPr id="0" name=""/>
        <dsp:cNvSpPr/>
      </dsp:nvSpPr>
      <dsp:spPr>
        <a:xfrm>
          <a:off x="1687039" y="811168"/>
          <a:ext cx="594463" cy="237785"/>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1 135,6</a:t>
          </a:r>
        </a:p>
      </dsp:txBody>
      <dsp:txXfrm>
        <a:off x="1805932" y="811168"/>
        <a:ext cx="356678" cy="237785"/>
      </dsp:txXfrm>
    </dsp:sp>
    <dsp:sp modelId="{729925F6-6C21-4C2A-A124-CB5331D4D0A1}">
      <dsp:nvSpPr>
        <dsp:cNvPr id="0" name=""/>
        <dsp:cNvSpPr/>
      </dsp:nvSpPr>
      <dsp:spPr>
        <a:xfrm>
          <a:off x="2198278" y="811168"/>
          <a:ext cx="594463" cy="237785"/>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1 198,0</a:t>
          </a:r>
        </a:p>
      </dsp:txBody>
      <dsp:txXfrm>
        <a:off x="2317171" y="811168"/>
        <a:ext cx="356678" cy="237785"/>
      </dsp:txXfrm>
    </dsp:sp>
    <dsp:sp modelId="{F1F41FAD-CF79-4184-9D4A-4B24B3BD1679}">
      <dsp:nvSpPr>
        <dsp:cNvPr id="0" name=""/>
        <dsp:cNvSpPr/>
      </dsp:nvSpPr>
      <dsp:spPr>
        <a:xfrm>
          <a:off x="2709516" y="811168"/>
          <a:ext cx="594463" cy="237785"/>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 lastClr="FFFFFF"/>
              </a:solidFill>
              <a:latin typeface="Calibri" panose="020F0502020204030204"/>
              <a:ea typeface="+mn-ea"/>
              <a:cs typeface="+mn-cs"/>
            </a:rPr>
            <a:t>1 284,5</a:t>
          </a:r>
        </a:p>
      </dsp:txBody>
      <dsp:txXfrm>
        <a:off x="2828409" y="811168"/>
        <a:ext cx="356678" cy="237785"/>
      </dsp:txXfrm>
    </dsp:sp>
    <dsp:sp modelId="{4C65EDB7-00FC-46A4-9C20-9DA139026CE1}">
      <dsp:nvSpPr>
        <dsp:cNvPr id="0" name=""/>
        <dsp:cNvSpPr/>
      </dsp:nvSpPr>
      <dsp:spPr>
        <a:xfrm>
          <a:off x="3220755" y="811168"/>
          <a:ext cx="594463" cy="237785"/>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86,5</a:t>
          </a:r>
        </a:p>
      </dsp:txBody>
      <dsp:txXfrm>
        <a:off x="3339648" y="811168"/>
        <a:ext cx="356678" cy="237785"/>
      </dsp:txXfrm>
    </dsp:sp>
    <dsp:sp modelId="{3B038CE9-4800-42E2-ADC1-CECE41DB3D7F}">
      <dsp:nvSpPr>
        <dsp:cNvPr id="0" name=""/>
        <dsp:cNvSpPr/>
      </dsp:nvSpPr>
      <dsp:spPr>
        <a:xfrm>
          <a:off x="0" y="1105916"/>
          <a:ext cx="755792" cy="286488"/>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Kapitálové výdaje</a:t>
          </a:r>
        </a:p>
      </dsp:txBody>
      <dsp:txXfrm>
        <a:off x="143244" y="1105916"/>
        <a:ext cx="469304" cy="286488"/>
      </dsp:txXfrm>
    </dsp:sp>
    <dsp:sp modelId="{0C4F5166-7B8C-4DC5-9D99-03C90D522575}">
      <dsp:nvSpPr>
        <dsp:cNvPr id="0" name=""/>
        <dsp:cNvSpPr/>
      </dsp:nvSpPr>
      <dsp:spPr>
        <a:xfrm>
          <a:off x="664562" y="1137765"/>
          <a:ext cx="594463" cy="237785"/>
        </a:xfrm>
        <a:prstGeom prst="chevron">
          <a:avLst/>
        </a:prstGeom>
        <a:solidFill>
          <a:srgbClr val="004595">
            <a:alpha val="2000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111,5</a:t>
          </a:r>
        </a:p>
      </dsp:txBody>
      <dsp:txXfrm>
        <a:off x="783455" y="1137765"/>
        <a:ext cx="356678" cy="237785"/>
      </dsp:txXfrm>
    </dsp:sp>
    <dsp:sp modelId="{7CB82BEA-AE28-47E4-BA52-D78E48C0F651}">
      <dsp:nvSpPr>
        <dsp:cNvPr id="0" name=""/>
        <dsp:cNvSpPr/>
      </dsp:nvSpPr>
      <dsp:spPr>
        <a:xfrm>
          <a:off x="1175801" y="1137765"/>
          <a:ext cx="594463" cy="237785"/>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175,7</a:t>
          </a:r>
        </a:p>
      </dsp:txBody>
      <dsp:txXfrm>
        <a:off x="1294694" y="1137765"/>
        <a:ext cx="356678" cy="237785"/>
      </dsp:txXfrm>
    </dsp:sp>
    <dsp:sp modelId="{3963FC4F-805E-4287-BBFA-DE711BEEDB2C}">
      <dsp:nvSpPr>
        <dsp:cNvPr id="0" name=""/>
        <dsp:cNvSpPr/>
      </dsp:nvSpPr>
      <dsp:spPr>
        <a:xfrm>
          <a:off x="1687039" y="1137765"/>
          <a:ext cx="594463" cy="237785"/>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84,3</a:t>
          </a:r>
        </a:p>
      </dsp:txBody>
      <dsp:txXfrm>
        <a:off x="1805932" y="1137765"/>
        <a:ext cx="356678" cy="237785"/>
      </dsp:txXfrm>
    </dsp:sp>
    <dsp:sp modelId="{68FF06A0-95BF-4EB5-BCC0-FE24A744B17A}">
      <dsp:nvSpPr>
        <dsp:cNvPr id="0" name=""/>
        <dsp:cNvSpPr/>
      </dsp:nvSpPr>
      <dsp:spPr>
        <a:xfrm>
          <a:off x="2198278" y="1137765"/>
          <a:ext cx="594463" cy="237785"/>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81,7</a:t>
          </a:r>
        </a:p>
      </dsp:txBody>
      <dsp:txXfrm>
        <a:off x="2317171" y="1137765"/>
        <a:ext cx="356678" cy="237785"/>
      </dsp:txXfrm>
    </dsp:sp>
    <dsp:sp modelId="{1FAD3650-64BC-4728-B0DE-4DF577F605F2}">
      <dsp:nvSpPr>
        <dsp:cNvPr id="0" name=""/>
        <dsp:cNvSpPr/>
      </dsp:nvSpPr>
      <dsp:spPr>
        <a:xfrm>
          <a:off x="2709516" y="1137765"/>
          <a:ext cx="594463" cy="237785"/>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 lastClr="FFFFFF"/>
              </a:solidFill>
              <a:latin typeface="Calibri" panose="020F0502020204030204"/>
              <a:ea typeface="+mn-ea"/>
              <a:cs typeface="+mn-cs"/>
            </a:rPr>
            <a:t>116,5</a:t>
          </a:r>
        </a:p>
      </dsp:txBody>
      <dsp:txXfrm>
        <a:off x="2828409" y="1137765"/>
        <a:ext cx="356678" cy="237785"/>
      </dsp:txXfrm>
    </dsp:sp>
    <dsp:sp modelId="{C132509D-D53A-413A-B4A6-5E3503422542}">
      <dsp:nvSpPr>
        <dsp:cNvPr id="0" name=""/>
        <dsp:cNvSpPr/>
      </dsp:nvSpPr>
      <dsp:spPr>
        <a:xfrm>
          <a:off x="3220755" y="1137765"/>
          <a:ext cx="594463" cy="237785"/>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ysClr val="windowText" lastClr="000000"/>
              </a:solidFill>
              <a:latin typeface="Calibri" panose="020F0502020204030204"/>
              <a:ea typeface="+mn-ea"/>
              <a:cs typeface="+mn-cs"/>
            </a:rPr>
            <a:t>34,8</a:t>
          </a:r>
        </a:p>
      </dsp:txBody>
      <dsp:txXfrm>
        <a:off x="3339648" y="1137765"/>
        <a:ext cx="356678" cy="23778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26BDF8-8E90-4FC8-999F-A2B529808A2C}">
      <dsp:nvSpPr>
        <dsp:cNvPr id="0" name=""/>
        <dsp:cNvSpPr/>
      </dsp:nvSpPr>
      <dsp:spPr>
        <a:xfrm>
          <a:off x="737133" y="443"/>
          <a:ext cx="2003905" cy="227583"/>
        </a:xfrm>
        <a:prstGeom prst="roundRect">
          <a:avLst>
            <a:gd name="adj" fmla="val 10000"/>
          </a:avLst>
        </a:prstGeom>
        <a:solidFill>
          <a:srgbClr val="004595"/>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cs-CZ" sz="1400" b="1" kern="1200"/>
            <a:t>2017</a:t>
          </a:r>
        </a:p>
      </dsp:txBody>
      <dsp:txXfrm>
        <a:off x="743799" y="7109"/>
        <a:ext cx="1990573" cy="214251"/>
      </dsp:txXfrm>
    </dsp:sp>
    <dsp:sp modelId="{702BDA7C-9FA2-42E2-A817-661C490762CC}">
      <dsp:nvSpPr>
        <dsp:cNvPr id="0" name=""/>
        <dsp:cNvSpPr/>
      </dsp:nvSpPr>
      <dsp:spPr>
        <a:xfrm rot="5400000">
          <a:off x="1695250" y="271862"/>
          <a:ext cx="87670" cy="87670"/>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98D128EA-9303-46F6-A9E6-C0F32F9BF16A}">
      <dsp:nvSpPr>
        <dsp:cNvPr id="0" name=""/>
        <dsp:cNvSpPr/>
      </dsp:nvSpPr>
      <dsp:spPr>
        <a:xfrm>
          <a:off x="737133" y="403368"/>
          <a:ext cx="2003905" cy="500976"/>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schválený</a:t>
          </a:r>
        </a:p>
        <a:p>
          <a:pPr lvl="0" algn="ctr" defTabSz="444500">
            <a:lnSpc>
              <a:spcPct val="90000"/>
            </a:lnSpc>
            <a:spcBef>
              <a:spcPct val="0"/>
            </a:spcBef>
            <a:spcAft>
              <a:spcPct val="35000"/>
            </a:spcAft>
          </a:pPr>
          <a:r>
            <a:rPr lang="cs-CZ" sz="1000" b="1" kern="1200"/>
            <a:t>97,07 mld. Kč (plnění na 79,36 %)</a:t>
          </a:r>
        </a:p>
      </dsp:txBody>
      <dsp:txXfrm>
        <a:off x="751806" y="418041"/>
        <a:ext cx="1974559" cy="471630"/>
      </dsp:txXfrm>
    </dsp:sp>
    <dsp:sp modelId="{9C6F06D4-3B28-42E9-B0D0-B4B6EF033B31}">
      <dsp:nvSpPr>
        <dsp:cNvPr id="0" name=""/>
        <dsp:cNvSpPr/>
      </dsp:nvSpPr>
      <dsp:spPr>
        <a:xfrm rot="5400000">
          <a:off x="1695250" y="948180"/>
          <a:ext cx="87670" cy="87670"/>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4AE50922-0E3B-4508-8F94-107FDFD1F3BA}">
      <dsp:nvSpPr>
        <dsp:cNvPr id="0" name=""/>
        <dsp:cNvSpPr/>
      </dsp:nvSpPr>
      <dsp:spPr>
        <a:xfrm>
          <a:off x="737133" y="1079686"/>
          <a:ext cx="2003905" cy="500976"/>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po změnách</a:t>
          </a:r>
        </a:p>
        <a:p>
          <a:pPr lvl="0" algn="ctr" defTabSz="444500">
            <a:lnSpc>
              <a:spcPct val="90000"/>
            </a:lnSpc>
            <a:spcBef>
              <a:spcPct val="0"/>
            </a:spcBef>
            <a:spcAft>
              <a:spcPct val="35000"/>
            </a:spcAft>
          </a:pPr>
          <a:r>
            <a:rPr lang="cs-CZ" sz="1000" b="1" kern="1200"/>
            <a:t>98,01 mld. Kč (plnění na 78,60 %)</a:t>
          </a:r>
        </a:p>
      </dsp:txBody>
      <dsp:txXfrm>
        <a:off x="751806" y="1094359"/>
        <a:ext cx="1974559" cy="471630"/>
      </dsp:txXfrm>
    </dsp:sp>
    <dsp:sp modelId="{5682E292-3CB9-458B-BAC4-480417163FA5}">
      <dsp:nvSpPr>
        <dsp:cNvPr id="0" name=""/>
        <dsp:cNvSpPr/>
      </dsp:nvSpPr>
      <dsp:spPr>
        <a:xfrm rot="5400000">
          <a:off x="1725253" y="1624498"/>
          <a:ext cx="87670" cy="87670"/>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59A6DA2E-3C27-44CA-B2F9-BAC0EC31918E}">
      <dsp:nvSpPr>
        <dsp:cNvPr id="0" name=""/>
        <dsp:cNvSpPr/>
      </dsp:nvSpPr>
      <dsp:spPr>
        <a:xfrm>
          <a:off x="737133" y="1756005"/>
          <a:ext cx="2003905" cy="500976"/>
        </a:xfrm>
        <a:prstGeom prst="roundRect">
          <a:avLst>
            <a:gd name="adj" fmla="val 10000"/>
          </a:avLst>
        </a:prstGeom>
        <a:solidFill>
          <a:srgbClr val="BD2A33"/>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b="0" kern="1200">
              <a:solidFill>
                <a:schemeClr val="bg1"/>
              </a:solidFill>
            </a:rPr>
            <a:t>Skutečnost</a:t>
          </a:r>
        </a:p>
        <a:p>
          <a:pPr lvl="0" algn="ctr" defTabSz="444500">
            <a:lnSpc>
              <a:spcPct val="90000"/>
            </a:lnSpc>
            <a:spcBef>
              <a:spcPct val="0"/>
            </a:spcBef>
            <a:spcAft>
              <a:spcPct val="35000"/>
            </a:spcAft>
          </a:pPr>
          <a:r>
            <a:rPr lang="cs-CZ" sz="1000" b="1" kern="1200">
              <a:solidFill>
                <a:schemeClr val="bg1"/>
              </a:solidFill>
            </a:rPr>
            <a:t>77,03 mld. Kč</a:t>
          </a:r>
        </a:p>
      </dsp:txBody>
      <dsp:txXfrm>
        <a:off x="751806" y="1770678"/>
        <a:ext cx="1974559" cy="471630"/>
      </dsp:txXfrm>
    </dsp:sp>
    <dsp:sp modelId="{9EFCEBA1-AEA7-459F-8366-C75DAE838381}">
      <dsp:nvSpPr>
        <dsp:cNvPr id="0" name=""/>
        <dsp:cNvSpPr/>
      </dsp:nvSpPr>
      <dsp:spPr>
        <a:xfrm>
          <a:off x="3021585" y="443"/>
          <a:ext cx="2003905" cy="227583"/>
        </a:xfrm>
        <a:prstGeom prst="roundRect">
          <a:avLst>
            <a:gd name="adj" fmla="val 10000"/>
          </a:avLst>
        </a:prstGeom>
        <a:solidFill>
          <a:srgbClr val="004595"/>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cs-CZ" sz="1400" b="1" kern="1200"/>
            <a:t>2018</a:t>
          </a:r>
        </a:p>
      </dsp:txBody>
      <dsp:txXfrm>
        <a:off x="3028251" y="7109"/>
        <a:ext cx="1990573" cy="214251"/>
      </dsp:txXfrm>
    </dsp:sp>
    <dsp:sp modelId="{F75C0F66-7F49-4153-8F78-2A45BA27648C}">
      <dsp:nvSpPr>
        <dsp:cNvPr id="0" name=""/>
        <dsp:cNvSpPr/>
      </dsp:nvSpPr>
      <dsp:spPr>
        <a:xfrm rot="5400000">
          <a:off x="3979703" y="271862"/>
          <a:ext cx="87670" cy="87670"/>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D263D90E-22F0-4D87-A12A-932C78CD928A}">
      <dsp:nvSpPr>
        <dsp:cNvPr id="0" name=""/>
        <dsp:cNvSpPr/>
      </dsp:nvSpPr>
      <dsp:spPr>
        <a:xfrm>
          <a:off x="3021585" y="403368"/>
          <a:ext cx="2003905" cy="500976"/>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schválený</a:t>
          </a:r>
        </a:p>
        <a:p>
          <a:pPr lvl="0" algn="ctr" defTabSz="444500">
            <a:lnSpc>
              <a:spcPct val="90000"/>
            </a:lnSpc>
            <a:spcBef>
              <a:spcPct val="0"/>
            </a:spcBef>
            <a:spcAft>
              <a:spcPct val="35000"/>
            </a:spcAft>
          </a:pPr>
          <a:r>
            <a:rPr lang="cs-CZ" sz="1000" b="1" kern="1200"/>
            <a:t>70,22 mld. Kč (plnění na 169,59 %)</a:t>
          </a:r>
        </a:p>
      </dsp:txBody>
      <dsp:txXfrm>
        <a:off x="3036258" y="418041"/>
        <a:ext cx="1974559" cy="471630"/>
      </dsp:txXfrm>
    </dsp:sp>
    <dsp:sp modelId="{2345220F-1623-4A77-A842-34B0D5ADB14A}">
      <dsp:nvSpPr>
        <dsp:cNvPr id="0" name=""/>
        <dsp:cNvSpPr/>
      </dsp:nvSpPr>
      <dsp:spPr>
        <a:xfrm rot="5400000">
          <a:off x="3979703" y="948180"/>
          <a:ext cx="87670" cy="87670"/>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53967923-395A-4CFB-9DB3-5B89D93E64C5}">
      <dsp:nvSpPr>
        <dsp:cNvPr id="0" name=""/>
        <dsp:cNvSpPr/>
      </dsp:nvSpPr>
      <dsp:spPr>
        <a:xfrm>
          <a:off x="3021585" y="1079686"/>
          <a:ext cx="2003905" cy="500976"/>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po změnách</a:t>
          </a:r>
        </a:p>
        <a:p>
          <a:pPr lvl="0" algn="ctr" defTabSz="444500">
            <a:lnSpc>
              <a:spcPct val="90000"/>
            </a:lnSpc>
            <a:spcBef>
              <a:spcPct val="0"/>
            </a:spcBef>
            <a:spcAft>
              <a:spcPct val="35000"/>
            </a:spcAft>
          </a:pPr>
          <a:r>
            <a:rPr lang="cs-CZ" sz="1000" b="1" kern="1200"/>
            <a:t>82,46 mld. Kč (plnění na 144,41 %)</a:t>
          </a:r>
        </a:p>
      </dsp:txBody>
      <dsp:txXfrm>
        <a:off x="3036258" y="1094359"/>
        <a:ext cx="1974559" cy="471630"/>
      </dsp:txXfrm>
    </dsp:sp>
    <dsp:sp modelId="{BDAE559C-D214-4007-8653-EA2E61B74601}">
      <dsp:nvSpPr>
        <dsp:cNvPr id="0" name=""/>
        <dsp:cNvSpPr/>
      </dsp:nvSpPr>
      <dsp:spPr>
        <a:xfrm rot="5400000">
          <a:off x="3979703" y="1624498"/>
          <a:ext cx="87670" cy="87670"/>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D95B28E1-5E58-46F7-8061-8EBAAF24A337}">
      <dsp:nvSpPr>
        <dsp:cNvPr id="0" name=""/>
        <dsp:cNvSpPr/>
      </dsp:nvSpPr>
      <dsp:spPr>
        <a:xfrm>
          <a:off x="3021585" y="1756005"/>
          <a:ext cx="2003905" cy="500976"/>
        </a:xfrm>
        <a:prstGeom prst="roundRect">
          <a:avLst>
            <a:gd name="adj" fmla="val 10000"/>
          </a:avLst>
        </a:prstGeom>
        <a:solidFill>
          <a:srgbClr val="BD2A33"/>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b="0" kern="1200">
              <a:solidFill>
                <a:schemeClr val="bg1"/>
              </a:solidFill>
            </a:rPr>
            <a:t>Skutečnost</a:t>
          </a:r>
        </a:p>
        <a:p>
          <a:pPr lvl="0" algn="ctr" defTabSz="444500">
            <a:lnSpc>
              <a:spcPct val="90000"/>
            </a:lnSpc>
            <a:spcBef>
              <a:spcPct val="0"/>
            </a:spcBef>
            <a:spcAft>
              <a:spcPct val="35000"/>
            </a:spcAft>
          </a:pPr>
          <a:r>
            <a:rPr lang="cs-CZ" sz="1000" b="1" kern="1200">
              <a:solidFill>
                <a:schemeClr val="bg1"/>
              </a:solidFill>
            </a:rPr>
            <a:t>119,08 mld. Kč</a:t>
          </a:r>
        </a:p>
      </dsp:txBody>
      <dsp:txXfrm>
        <a:off x="3036258" y="1770678"/>
        <a:ext cx="1974559" cy="4716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26BDF8-8E90-4FC8-999F-A2B529808A2C}">
      <dsp:nvSpPr>
        <dsp:cNvPr id="0" name=""/>
        <dsp:cNvSpPr/>
      </dsp:nvSpPr>
      <dsp:spPr>
        <a:xfrm>
          <a:off x="811974" y="1015"/>
          <a:ext cx="1938411" cy="207027"/>
        </a:xfrm>
        <a:prstGeom prst="roundRect">
          <a:avLst>
            <a:gd name="adj" fmla="val 10000"/>
          </a:avLst>
        </a:prstGeom>
        <a:solidFill>
          <a:srgbClr val="004595"/>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cs-CZ" sz="1400" b="1" kern="1200"/>
            <a:t>2017</a:t>
          </a:r>
        </a:p>
      </dsp:txBody>
      <dsp:txXfrm>
        <a:off x="818038" y="7079"/>
        <a:ext cx="1926283" cy="194899"/>
      </dsp:txXfrm>
    </dsp:sp>
    <dsp:sp modelId="{702BDA7C-9FA2-42E2-A817-661C490762CC}">
      <dsp:nvSpPr>
        <dsp:cNvPr id="0" name=""/>
        <dsp:cNvSpPr/>
      </dsp:nvSpPr>
      <dsp:spPr>
        <a:xfrm rot="5400000">
          <a:off x="1738777" y="250445"/>
          <a:ext cx="84805" cy="84805"/>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98D128EA-9303-46F6-A9E6-C0F32F9BF16A}">
      <dsp:nvSpPr>
        <dsp:cNvPr id="0" name=""/>
        <dsp:cNvSpPr/>
      </dsp:nvSpPr>
      <dsp:spPr>
        <a:xfrm>
          <a:off x="811974" y="377653"/>
          <a:ext cx="1938411" cy="484602"/>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schválený</a:t>
          </a:r>
        </a:p>
        <a:p>
          <a:pPr lvl="0" algn="ctr" defTabSz="444500">
            <a:lnSpc>
              <a:spcPct val="90000"/>
            </a:lnSpc>
            <a:spcBef>
              <a:spcPct val="0"/>
            </a:spcBef>
            <a:spcAft>
              <a:spcPct val="35000"/>
            </a:spcAft>
          </a:pPr>
          <a:r>
            <a:rPr lang="cs-CZ" sz="1000" b="1" kern="1200"/>
            <a:t>97,07 mld. Kč (čerpání na 84,31 %)</a:t>
          </a:r>
        </a:p>
      </dsp:txBody>
      <dsp:txXfrm>
        <a:off x="826168" y="391847"/>
        <a:ext cx="1910023" cy="456214"/>
      </dsp:txXfrm>
    </dsp:sp>
    <dsp:sp modelId="{9C6F06D4-3B28-42E9-B0D0-B4B6EF033B31}">
      <dsp:nvSpPr>
        <dsp:cNvPr id="0" name=""/>
        <dsp:cNvSpPr/>
      </dsp:nvSpPr>
      <dsp:spPr>
        <a:xfrm rot="5400000">
          <a:off x="1738777" y="904659"/>
          <a:ext cx="84805" cy="84805"/>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4AE50922-0E3B-4508-8F94-107FDFD1F3BA}">
      <dsp:nvSpPr>
        <dsp:cNvPr id="0" name=""/>
        <dsp:cNvSpPr/>
      </dsp:nvSpPr>
      <dsp:spPr>
        <a:xfrm>
          <a:off x="811974" y="1031867"/>
          <a:ext cx="1938411" cy="484602"/>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konečný</a:t>
          </a:r>
        </a:p>
        <a:p>
          <a:pPr lvl="0" algn="ctr" defTabSz="444500">
            <a:lnSpc>
              <a:spcPct val="90000"/>
            </a:lnSpc>
            <a:spcBef>
              <a:spcPct val="0"/>
            </a:spcBef>
            <a:spcAft>
              <a:spcPct val="35000"/>
            </a:spcAft>
          </a:pPr>
          <a:r>
            <a:rPr lang="cs-CZ" sz="1000" b="1" kern="1200"/>
            <a:t>158,72 mld. Kč (čerpání na 51,56 %)</a:t>
          </a:r>
        </a:p>
      </dsp:txBody>
      <dsp:txXfrm>
        <a:off x="826168" y="1046061"/>
        <a:ext cx="1910023" cy="456214"/>
      </dsp:txXfrm>
    </dsp:sp>
    <dsp:sp modelId="{5682E292-3CB9-458B-BAC4-480417163FA5}">
      <dsp:nvSpPr>
        <dsp:cNvPr id="0" name=""/>
        <dsp:cNvSpPr/>
      </dsp:nvSpPr>
      <dsp:spPr>
        <a:xfrm rot="5400000">
          <a:off x="1767799" y="1558873"/>
          <a:ext cx="84805" cy="84805"/>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59A6DA2E-3C27-44CA-B2F9-BAC0EC31918E}">
      <dsp:nvSpPr>
        <dsp:cNvPr id="0" name=""/>
        <dsp:cNvSpPr/>
      </dsp:nvSpPr>
      <dsp:spPr>
        <a:xfrm>
          <a:off x="811974" y="1686081"/>
          <a:ext cx="1938411" cy="484602"/>
        </a:xfrm>
        <a:prstGeom prst="roundRect">
          <a:avLst>
            <a:gd name="adj" fmla="val 10000"/>
          </a:avLst>
        </a:prstGeom>
        <a:solidFill>
          <a:srgbClr val="BD2A33"/>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b="0" kern="1200">
              <a:solidFill>
                <a:schemeClr val="bg1"/>
              </a:solidFill>
            </a:rPr>
            <a:t>Skutečnost</a:t>
          </a:r>
        </a:p>
        <a:p>
          <a:pPr lvl="0" algn="ctr" defTabSz="444500">
            <a:lnSpc>
              <a:spcPct val="90000"/>
            </a:lnSpc>
            <a:spcBef>
              <a:spcPct val="0"/>
            </a:spcBef>
            <a:spcAft>
              <a:spcPct val="35000"/>
            </a:spcAft>
          </a:pPr>
          <a:r>
            <a:rPr lang="cs-CZ" sz="1000" b="1" kern="1200">
              <a:solidFill>
                <a:schemeClr val="bg1"/>
              </a:solidFill>
            </a:rPr>
            <a:t>81,83 mld. Kč</a:t>
          </a:r>
        </a:p>
      </dsp:txBody>
      <dsp:txXfrm>
        <a:off x="826168" y="1700275"/>
        <a:ext cx="1910023" cy="456214"/>
      </dsp:txXfrm>
    </dsp:sp>
    <dsp:sp modelId="{9EFCEBA1-AEA7-459F-8366-C75DAE838381}">
      <dsp:nvSpPr>
        <dsp:cNvPr id="0" name=""/>
        <dsp:cNvSpPr/>
      </dsp:nvSpPr>
      <dsp:spPr>
        <a:xfrm>
          <a:off x="3021763" y="1015"/>
          <a:ext cx="1938411" cy="207027"/>
        </a:xfrm>
        <a:prstGeom prst="roundRect">
          <a:avLst>
            <a:gd name="adj" fmla="val 10000"/>
          </a:avLst>
        </a:prstGeom>
        <a:solidFill>
          <a:srgbClr val="004595"/>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cs-CZ" sz="1400" b="1" kern="1200"/>
            <a:t>2018</a:t>
          </a:r>
        </a:p>
      </dsp:txBody>
      <dsp:txXfrm>
        <a:off x="3027827" y="7079"/>
        <a:ext cx="1926283" cy="194899"/>
      </dsp:txXfrm>
    </dsp:sp>
    <dsp:sp modelId="{F75C0F66-7F49-4153-8F78-2A45BA27648C}">
      <dsp:nvSpPr>
        <dsp:cNvPr id="0" name=""/>
        <dsp:cNvSpPr/>
      </dsp:nvSpPr>
      <dsp:spPr>
        <a:xfrm rot="5400000">
          <a:off x="3948567" y="250445"/>
          <a:ext cx="84805" cy="84805"/>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D263D90E-22F0-4D87-A12A-932C78CD928A}">
      <dsp:nvSpPr>
        <dsp:cNvPr id="0" name=""/>
        <dsp:cNvSpPr/>
      </dsp:nvSpPr>
      <dsp:spPr>
        <a:xfrm>
          <a:off x="3021763" y="377653"/>
          <a:ext cx="1938411" cy="484602"/>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schválený</a:t>
          </a:r>
        </a:p>
        <a:p>
          <a:pPr lvl="0" algn="ctr" defTabSz="444500">
            <a:lnSpc>
              <a:spcPct val="90000"/>
            </a:lnSpc>
            <a:spcBef>
              <a:spcPct val="0"/>
            </a:spcBef>
            <a:spcAft>
              <a:spcPct val="35000"/>
            </a:spcAft>
          </a:pPr>
          <a:r>
            <a:rPr lang="cs-CZ" sz="1000" b="1" kern="1200"/>
            <a:t>70,22 mld. Kč (čerpání na 160,43 %)</a:t>
          </a:r>
        </a:p>
      </dsp:txBody>
      <dsp:txXfrm>
        <a:off x="3035957" y="391847"/>
        <a:ext cx="1910023" cy="456214"/>
      </dsp:txXfrm>
    </dsp:sp>
    <dsp:sp modelId="{2345220F-1623-4A77-A842-34B0D5ADB14A}">
      <dsp:nvSpPr>
        <dsp:cNvPr id="0" name=""/>
        <dsp:cNvSpPr/>
      </dsp:nvSpPr>
      <dsp:spPr>
        <a:xfrm rot="5400000">
          <a:off x="3948567" y="904659"/>
          <a:ext cx="84805" cy="84805"/>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53967923-395A-4CFB-9DB3-5B89D93E64C5}">
      <dsp:nvSpPr>
        <dsp:cNvPr id="0" name=""/>
        <dsp:cNvSpPr/>
      </dsp:nvSpPr>
      <dsp:spPr>
        <a:xfrm>
          <a:off x="3021763" y="1031867"/>
          <a:ext cx="1938411" cy="484602"/>
        </a:xfrm>
        <a:prstGeom prst="roundRect">
          <a:avLst>
            <a:gd name="adj" fmla="val 10000"/>
          </a:avLst>
        </a:prstGeom>
        <a:solidFill>
          <a:srgbClr val="D9EAFF"/>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kern="1200"/>
            <a:t>Rozpočet konečný</a:t>
          </a:r>
        </a:p>
        <a:p>
          <a:pPr lvl="0" algn="ctr" defTabSz="444500">
            <a:lnSpc>
              <a:spcPct val="90000"/>
            </a:lnSpc>
            <a:spcBef>
              <a:spcPct val="0"/>
            </a:spcBef>
            <a:spcAft>
              <a:spcPct val="35000"/>
            </a:spcAft>
          </a:pPr>
          <a:r>
            <a:rPr lang="cs-CZ" sz="1000" b="1" kern="1200"/>
            <a:t>153,18 mld. Kč (čerpání na 73,54 %)</a:t>
          </a:r>
        </a:p>
      </dsp:txBody>
      <dsp:txXfrm>
        <a:off x="3035957" y="1046061"/>
        <a:ext cx="1910023" cy="456214"/>
      </dsp:txXfrm>
    </dsp:sp>
    <dsp:sp modelId="{BDAE559C-D214-4007-8653-EA2E61B74601}">
      <dsp:nvSpPr>
        <dsp:cNvPr id="0" name=""/>
        <dsp:cNvSpPr/>
      </dsp:nvSpPr>
      <dsp:spPr>
        <a:xfrm rot="5400000">
          <a:off x="3948567" y="1558873"/>
          <a:ext cx="84805" cy="84805"/>
        </a:xfrm>
        <a:prstGeom prst="rightArrow">
          <a:avLst>
            <a:gd name="adj1" fmla="val 66700"/>
            <a:gd name="adj2" fmla="val 50000"/>
          </a:avLst>
        </a:prstGeom>
        <a:solidFill>
          <a:srgbClr val="D9EAFF"/>
        </a:solidFill>
        <a:ln>
          <a:noFill/>
        </a:ln>
        <a:effectLst/>
      </dsp:spPr>
      <dsp:style>
        <a:lnRef idx="0">
          <a:scrgbClr r="0" g="0" b="0"/>
        </a:lnRef>
        <a:fillRef idx="1">
          <a:scrgbClr r="0" g="0" b="0"/>
        </a:fillRef>
        <a:effectRef idx="0">
          <a:scrgbClr r="0" g="0" b="0"/>
        </a:effectRef>
        <a:fontRef idx="minor">
          <a:schemeClr val="lt1"/>
        </a:fontRef>
      </dsp:style>
    </dsp:sp>
    <dsp:sp modelId="{D95B28E1-5E58-46F7-8061-8EBAAF24A337}">
      <dsp:nvSpPr>
        <dsp:cNvPr id="0" name=""/>
        <dsp:cNvSpPr/>
      </dsp:nvSpPr>
      <dsp:spPr>
        <a:xfrm>
          <a:off x="3021763" y="1686081"/>
          <a:ext cx="1938411" cy="484602"/>
        </a:xfrm>
        <a:prstGeom prst="roundRect">
          <a:avLst>
            <a:gd name="adj" fmla="val 10000"/>
          </a:avLst>
        </a:prstGeom>
        <a:solidFill>
          <a:srgbClr val="BD2A33"/>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cs-CZ" sz="1000" b="0" kern="1200">
              <a:solidFill>
                <a:schemeClr val="bg1"/>
              </a:solidFill>
            </a:rPr>
            <a:t>Skutečnost</a:t>
          </a:r>
        </a:p>
        <a:p>
          <a:pPr lvl="0" algn="ctr" defTabSz="444500">
            <a:lnSpc>
              <a:spcPct val="90000"/>
            </a:lnSpc>
            <a:spcBef>
              <a:spcPct val="0"/>
            </a:spcBef>
            <a:spcAft>
              <a:spcPct val="35000"/>
            </a:spcAft>
          </a:pPr>
          <a:r>
            <a:rPr lang="cs-CZ" sz="1000" b="1" kern="1200">
              <a:solidFill>
                <a:schemeClr val="bg1"/>
              </a:solidFill>
            </a:rPr>
            <a:t>112,65 mld. Kč</a:t>
          </a:r>
        </a:p>
      </dsp:txBody>
      <dsp:txXfrm>
        <a:off x="3035957" y="1700275"/>
        <a:ext cx="1910023" cy="45621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24C8AE-0C84-4B57-A0DB-F530EDB074FB}">
      <dsp:nvSpPr>
        <dsp:cNvPr id="0" name=""/>
        <dsp:cNvSpPr/>
      </dsp:nvSpPr>
      <dsp:spPr>
        <a:xfrm>
          <a:off x="2763" y="25928"/>
          <a:ext cx="1145213" cy="421417"/>
        </a:xfrm>
        <a:prstGeom prst="chevron">
          <a:avLst/>
        </a:prstGeom>
        <a:no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algn="ctr" defTabSz="444500">
            <a:lnSpc>
              <a:spcPct val="50000"/>
            </a:lnSpc>
            <a:spcBef>
              <a:spcPct val="0"/>
            </a:spcBef>
            <a:spcAft>
              <a:spcPts val="0"/>
            </a:spcAft>
          </a:pPr>
          <a:endParaRPr lang="cs-CZ" sz="1000" b="0" kern="1200">
            <a:solidFill>
              <a:schemeClr val="tx1"/>
            </a:solidFill>
            <a:latin typeface="Calibri" panose="020F0502020204030204"/>
            <a:ea typeface="+mn-ea"/>
            <a:cs typeface="+mn-cs"/>
          </a:endParaRPr>
        </a:p>
      </dsp:txBody>
      <dsp:txXfrm>
        <a:off x="213472" y="25928"/>
        <a:ext cx="723796" cy="421417"/>
      </dsp:txXfrm>
    </dsp:sp>
    <dsp:sp modelId="{EA6E9049-714D-4F70-9449-67590FE925DF}">
      <dsp:nvSpPr>
        <dsp:cNvPr id="0" name=""/>
        <dsp:cNvSpPr/>
      </dsp:nvSpPr>
      <dsp:spPr>
        <a:xfrm>
          <a:off x="1011016" y="61749"/>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2014</a:t>
          </a:r>
        </a:p>
      </dsp:txBody>
      <dsp:txXfrm>
        <a:off x="1185904" y="61749"/>
        <a:ext cx="524666" cy="349776"/>
      </dsp:txXfrm>
    </dsp:sp>
    <dsp:sp modelId="{E17CDDBE-C54E-41F3-B442-C82AC2798B30}">
      <dsp:nvSpPr>
        <dsp:cNvPr id="0" name=""/>
        <dsp:cNvSpPr/>
      </dsp:nvSpPr>
      <dsp:spPr>
        <a:xfrm>
          <a:off x="1763037" y="61749"/>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2015</a:t>
          </a:r>
        </a:p>
      </dsp:txBody>
      <dsp:txXfrm>
        <a:off x="1937925" y="61749"/>
        <a:ext cx="524666" cy="349776"/>
      </dsp:txXfrm>
    </dsp:sp>
    <dsp:sp modelId="{26A82BEF-68BE-4FEF-A542-D5EE7C04721A}">
      <dsp:nvSpPr>
        <dsp:cNvPr id="0" name=""/>
        <dsp:cNvSpPr/>
      </dsp:nvSpPr>
      <dsp:spPr>
        <a:xfrm>
          <a:off x="2515057" y="61749"/>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2016</a:t>
          </a:r>
        </a:p>
      </dsp:txBody>
      <dsp:txXfrm>
        <a:off x="2689945" y="61749"/>
        <a:ext cx="524666" cy="349776"/>
      </dsp:txXfrm>
    </dsp:sp>
    <dsp:sp modelId="{833188DE-4E3C-4E12-83E9-AF15E2D9BFD2}">
      <dsp:nvSpPr>
        <dsp:cNvPr id="0" name=""/>
        <dsp:cNvSpPr/>
      </dsp:nvSpPr>
      <dsp:spPr>
        <a:xfrm>
          <a:off x="3267078" y="61749"/>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2017</a:t>
          </a:r>
        </a:p>
      </dsp:txBody>
      <dsp:txXfrm>
        <a:off x="3441966" y="61749"/>
        <a:ext cx="524666" cy="349776"/>
      </dsp:txXfrm>
    </dsp:sp>
    <dsp:sp modelId="{4BC069EA-54EB-411A-9913-8C17480DA2D5}">
      <dsp:nvSpPr>
        <dsp:cNvPr id="0" name=""/>
        <dsp:cNvSpPr/>
      </dsp:nvSpPr>
      <dsp:spPr>
        <a:xfrm>
          <a:off x="4019098" y="61749"/>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2018</a:t>
          </a:r>
        </a:p>
      </dsp:txBody>
      <dsp:txXfrm>
        <a:off x="4193986" y="61749"/>
        <a:ext cx="524666" cy="349776"/>
      </dsp:txXfrm>
    </dsp:sp>
    <dsp:sp modelId="{D3A25E5F-696A-492F-9F7A-F9DECAD0E80A}">
      <dsp:nvSpPr>
        <dsp:cNvPr id="0" name=""/>
        <dsp:cNvSpPr/>
      </dsp:nvSpPr>
      <dsp:spPr>
        <a:xfrm>
          <a:off x="4771118" y="61749"/>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2018</a:t>
          </a:r>
          <a:r>
            <a:rPr lang="cs-CZ" sz="1000" kern="1200"/>
            <a:t>–</a:t>
          </a:r>
          <a:r>
            <a:rPr lang="cs-CZ" sz="1000" b="1" kern="1200">
              <a:solidFill>
                <a:schemeClr val="tx1"/>
              </a:solidFill>
              <a:latin typeface="Calibri" panose="020F0502020204030204"/>
              <a:ea typeface="+mn-ea"/>
              <a:cs typeface="+mn-cs"/>
            </a:rPr>
            <a:t>2017</a:t>
          </a:r>
        </a:p>
      </dsp:txBody>
      <dsp:txXfrm>
        <a:off x="4946006" y="61749"/>
        <a:ext cx="524666" cy="349776"/>
      </dsp:txXfrm>
    </dsp:sp>
    <dsp:sp modelId="{108D6996-3FEB-43E6-98A6-B3CEA7AF6F97}">
      <dsp:nvSpPr>
        <dsp:cNvPr id="0" name=""/>
        <dsp:cNvSpPr/>
      </dsp:nvSpPr>
      <dsp:spPr>
        <a:xfrm>
          <a:off x="2763" y="506345"/>
          <a:ext cx="1111753" cy="421417"/>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Příjmy</a:t>
          </a:r>
        </a:p>
      </dsp:txBody>
      <dsp:txXfrm>
        <a:off x="213472" y="506345"/>
        <a:ext cx="690336" cy="421417"/>
      </dsp:txXfrm>
    </dsp:sp>
    <dsp:sp modelId="{DD05987A-3EC2-4CCA-9869-1F1361695B14}">
      <dsp:nvSpPr>
        <dsp:cNvPr id="0" name=""/>
        <dsp:cNvSpPr/>
      </dsp:nvSpPr>
      <dsp:spPr>
        <a:xfrm>
          <a:off x="977556" y="542165"/>
          <a:ext cx="874442" cy="349776"/>
        </a:xfrm>
        <a:prstGeom prst="chevron">
          <a:avLst/>
        </a:prstGeom>
        <a:solidFill>
          <a:srgbClr val="004595">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422,2</a:t>
          </a:r>
        </a:p>
      </dsp:txBody>
      <dsp:txXfrm>
        <a:off x="1152444" y="542165"/>
        <a:ext cx="524666" cy="349776"/>
      </dsp:txXfrm>
    </dsp:sp>
    <dsp:sp modelId="{E0B3BD13-AF19-47FA-8B20-BF9AA0D890B4}">
      <dsp:nvSpPr>
        <dsp:cNvPr id="0" name=""/>
        <dsp:cNvSpPr/>
      </dsp:nvSpPr>
      <dsp:spPr>
        <a:xfrm>
          <a:off x="1729576" y="542165"/>
          <a:ext cx="874442" cy="349776"/>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446,0</a:t>
          </a:r>
        </a:p>
      </dsp:txBody>
      <dsp:txXfrm>
        <a:off x="1904464" y="542165"/>
        <a:ext cx="524666" cy="349776"/>
      </dsp:txXfrm>
    </dsp:sp>
    <dsp:sp modelId="{39403DC2-8A29-4B93-A1AD-2A564629EE5C}">
      <dsp:nvSpPr>
        <dsp:cNvPr id="0" name=""/>
        <dsp:cNvSpPr/>
      </dsp:nvSpPr>
      <dsp:spPr>
        <a:xfrm>
          <a:off x="2481597" y="542165"/>
          <a:ext cx="874442" cy="349776"/>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446,6</a:t>
          </a:r>
        </a:p>
      </dsp:txBody>
      <dsp:txXfrm>
        <a:off x="2656485" y="542165"/>
        <a:ext cx="524666" cy="349776"/>
      </dsp:txXfrm>
    </dsp:sp>
    <dsp:sp modelId="{4AFDE68C-9E06-4875-8967-539174B30ADD}">
      <dsp:nvSpPr>
        <dsp:cNvPr id="0" name=""/>
        <dsp:cNvSpPr/>
      </dsp:nvSpPr>
      <dsp:spPr>
        <a:xfrm>
          <a:off x="3233617" y="542165"/>
          <a:ext cx="874442" cy="349776"/>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bg1"/>
              </a:solidFill>
              <a:latin typeface="Calibri" panose="020F0502020204030204"/>
              <a:ea typeface="+mn-ea"/>
              <a:cs typeface="+mn-cs"/>
            </a:rPr>
            <a:t>472,6</a:t>
          </a:r>
        </a:p>
      </dsp:txBody>
      <dsp:txXfrm>
        <a:off x="3408505" y="542165"/>
        <a:ext cx="524666" cy="349776"/>
      </dsp:txXfrm>
    </dsp:sp>
    <dsp:sp modelId="{805827EE-806F-459E-9BE2-BC7F4C63625B}">
      <dsp:nvSpPr>
        <dsp:cNvPr id="0" name=""/>
        <dsp:cNvSpPr/>
      </dsp:nvSpPr>
      <dsp:spPr>
        <a:xfrm>
          <a:off x="3985637" y="542165"/>
          <a:ext cx="874442" cy="349776"/>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latin typeface="Calibri" panose="020F0502020204030204"/>
              <a:ea typeface="+mn-ea"/>
              <a:cs typeface="+mn-cs"/>
            </a:rPr>
            <a:t>532,6</a:t>
          </a:r>
        </a:p>
      </dsp:txBody>
      <dsp:txXfrm>
        <a:off x="4160525" y="542165"/>
        <a:ext cx="524666" cy="349776"/>
      </dsp:txXfrm>
    </dsp:sp>
    <dsp:sp modelId="{341966EF-3C67-433C-892A-FBE5F2F03106}">
      <dsp:nvSpPr>
        <dsp:cNvPr id="0" name=""/>
        <dsp:cNvSpPr/>
      </dsp:nvSpPr>
      <dsp:spPr>
        <a:xfrm>
          <a:off x="4737658" y="542165"/>
          <a:ext cx="874442" cy="349776"/>
        </a:xfrm>
        <a:prstGeom prst="chevron">
          <a:avLst/>
        </a:prstGeom>
        <a:solidFill>
          <a:srgbClr val="C3C5C6">
            <a:alpha val="89804"/>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ysClr val="windowText" lastClr="000000"/>
              </a:solidFill>
              <a:latin typeface="Calibri" panose="020F0502020204030204"/>
              <a:ea typeface="+mn-ea"/>
              <a:cs typeface="+mn-cs"/>
            </a:rPr>
            <a:t>60,0</a:t>
          </a:r>
        </a:p>
      </dsp:txBody>
      <dsp:txXfrm>
        <a:off x="4912546" y="542165"/>
        <a:ext cx="524666" cy="349776"/>
      </dsp:txXfrm>
    </dsp:sp>
    <dsp:sp modelId="{271D193C-BAC1-45D4-9F55-82CC0206262A}">
      <dsp:nvSpPr>
        <dsp:cNvPr id="0" name=""/>
        <dsp:cNvSpPr/>
      </dsp:nvSpPr>
      <dsp:spPr>
        <a:xfrm>
          <a:off x="2763" y="986761"/>
          <a:ext cx="1111753" cy="421417"/>
        </a:xfrm>
        <a:prstGeom prst="chevron">
          <a:avLst/>
        </a:prstGeom>
        <a:solidFill>
          <a:srgbClr val="D9EA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Výdaje</a:t>
          </a:r>
        </a:p>
      </dsp:txBody>
      <dsp:txXfrm>
        <a:off x="213472" y="986761"/>
        <a:ext cx="690336" cy="421417"/>
      </dsp:txXfrm>
    </dsp:sp>
    <dsp:sp modelId="{47012AB8-D9C4-4B00-AA2F-9FE5BCB3AE2B}">
      <dsp:nvSpPr>
        <dsp:cNvPr id="0" name=""/>
        <dsp:cNvSpPr/>
      </dsp:nvSpPr>
      <dsp:spPr>
        <a:xfrm>
          <a:off x="977556" y="1022582"/>
          <a:ext cx="874442" cy="349776"/>
        </a:xfrm>
        <a:prstGeom prst="chevron">
          <a:avLst/>
        </a:prstGeom>
        <a:solidFill>
          <a:srgbClr val="004595">
            <a:alpha val="2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410,9</a:t>
          </a:r>
        </a:p>
      </dsp:txBody>
      <dsp:txXfrm>
        <a:off x="1152444" y="1022582"/>
        <a:ext cx="524666" cy="349776"/>
      </dsp:txXfrm>
    </dsp:sp>
    <dsp:sp modelId="{49C1FADA-A17D-4E70-A3E9-E768A1AF2D9C}">
      <dsp:nvSpPr>
        <dsp:cNvPr id="0" name=""/>
        <dsp:cNvSpPr/>
      </dsp:nvSpPr>
      <dsp:spPr>
        <a:xfrm>
          <a:off x="1729576" y="1022582"/>
          <a:ext cx="874442" cy="349776"/>
        </a:xfrm>
        <a:prstGeom prst="chevron">
          <a:avLst/>
        </a:prstGeom>
        <a:solidFill>
          <a:srgbClr val="004595">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425,3</a:t>
          </a:r>
        </a:p>
      </dsp:txBody>
      <dsp:txXfrm>
        <a:off x="1904464" y="1022582"/>
        <a:ext cx="524666" cy="349776"/>
      </dsp:txXfrm>
    </dsp:sp>
    <dsp:sp modelId="{190C9095-C4CF-4C8B-9843-FC9A87C43110}">
      <dsp:nvSpPr>
        <dsp:cNvPr id="0" name=""/>
        <dsp:cNvSpPr/>
      </dsp:nvSpPr>
      <dsp:spPr>
        <a:xfrm>
          <a:off x="2481597" y="1022582"/>
          <a:ext cx="874442" cy="349776"/>
        </a:xfrm>
        <a:prstGeom prst="chevron">
          <a:avLst/>
        </a:prstGeom>
        <a:solidFill>
          <a:srgbClr val="004595">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393,5</a:t>
          </a:r>
        </a:p>
      </dsp:txBody>
      <dsp:txXfrm>
        <a:off x="2656485" y="1022582"/>
        <a:ext cx="524666" cy="349776"/>
      </dsp:txXfrm>
    </dsp:sp>
    <dsp:sp modelId="{729925F6-6C21-4C2A-A124-CB5331D4D0A1}">
      <dsp:nvSpPr>
        <dsp:cNvPr id="0" name=""/>
        <dsp:cNvSpPr/>
      </dsp:nvSpPr>
      <dsp:spPr>
        <a:xfrm>
          <a:off x="3233617" y="1022582"/>
          <a:ext cx="874442" cy="349776"/>
        </a:xfrm>
        <a:prstGeom prst="chevron">
          <a:avLst/>
        </a:prstGeom>
        <a:solidFill>
          <a:srgbClr val="004595">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latin typeface="Calibri" panose="020F0502020204030204"/>
              <a:ea typeface="+mn-ea"/>
              <a:cs typeface="+mn-cs"/>
            </a:rPr>
            <a:t>441,7</a:t>
          </a:r>
        </a:p>
      </dsp:txBody>
      <dsp:txXfrm>
        <a:off x="3408505" y="1022582"/>
        <a:ext cx="524666" cy="349776"/>
      </dsp:txXfrm>
    </dsp:sp>
    <dsp:sp modelId="{F1F41FAD-CF79-4184-9D4A-4B24B3BD1679}">
      <dsp:nvSpPr>
        <dsp:cNvPr id="0" name=""/>
        <dsp:cNvSpPr/>
      </dsp:nvSpPr>
      <dsp:spPr>
        <a:xfrm>
          <a:off x="3985637" y="1022582"/>
          <a:ext cx="874442" cy="349776"/>
        </a:xfrm>
        <a:prstGeom prst="chevron">
          <a:avLst/>
        </a:prstGeom>
        <a:solidFill>
          <a:srgbClr val="004595"/>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latin typeface="Calibri" panose="020F0502020204030204"/>
              <a:ea typeface="+mn-ea"/>
              <a:cs typeface="+mn-cs"/>
            </a:rPr>
            <a:t>523,8</a:t>
          </a:r>
        </a:p>
      </dsp:txBody>
      <dsp:txXfrm>
        <a:off x="4160525" y="1022582"/>
        <a:ext cx="524666" cy="349776"/>
      </dsp:txXfrm>
    </dsp:sp>
    <dsp:sp modelId="{4C65EDB7-00FC-46A4-9C20-9DA139026CE1}">
      <dsp:nvSpPr>
        <dsp:cNvPr id="0" name=""/>
        <dsp:cNvSpPr/>
      </dsp:nvSpPr>
      <dsp:spPr>
        <a:xfrm>
          <a:off x="4737658" y="1022582"/>
          <a:ext cx="874442" cy="349776"/>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82,1</a:t>
          </a:r>
        </a:p>
      </dsp:txBody>
      <dsp:txXfrm>
        <a:off x="4912546" y="1022582"/>
        <a:ext cx="524666" cy="349776"/>
      </dsp:txXfrm>
    </dsp:sp>
    <dsp:sp modelId="{3B038CE9-4800-42E2-ADC1-CECE41DB3D7F}">
      <dsp:nvSpPr>
        <dsp:cNvPr id="0" name=""/>
        <dsp:cNvSpPr/>
      </dsp:nvSpPr>
      <dsp:spPr>
        <a:xfrm>
          <a:off x="2763" y="1467178"/>
          <a:ext cx="1111753" cy="421417"/>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Saldo</a:t>
          </a:r>
        </a:p>
      </dsp:txBody>
      <dsp:txXfrm>
        <a:off x="213472" y="1467178"/>
        <a:ext cx="690336" cy="421417"/>
      </dsp:txXfrm>
    </dsp:sp>
    <dsp:sp modelId="{0C4F5166-7B8C-4DC5-9D99-03C90D522575}">
      <dsp:nvSpPr>
        <dsp:cNvPr id="0" name=""/>
        <dsp:cNvSpPr/>
      </dsp:nvSpPr>
      <dsp:spPr>
        <a:xfrm>
          <a:off x="977556" y="1502998"/>
          <a:ext cx="874442" cy="349776"/>
        </a:xfrm>
        <a:prstGeom prst="chevron">
          <a:avLst/>
        </a:prstGeom>
        <a:solidFill>
          <a:srgbClr val="BD2A33">
            <a:alpha val="2000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11,3</a:t>
          </a:r>
        </a:p>
      </dsp:txBody>
      <dsp:txXfrm>
        <a:off x="1152444" y="1502998"/>
        <a:ext cx="524666" cy="349776"/>
      </dsp:txXfrm>
    </dsp:sp>
    <dsp:sp modelId="{7CB82BEA-AE28-47E4-BA52-D78E48C0F651}">
      <dsp:nvSpPr>
        <dsp:cNvPr id="0" name=""/>
        <dsp:cNvSpPr/>
      </dsp:nvSpPr>
      <dsp:spPr>
        <a:xfrm>
          <a:off x="1729576" y="1502998"/>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20,7</a:t>
          </a:r>
        </a:p>
      </dsp:txBody>
      <dsp:txXfrm>
        <a:off x="1904464" y="1502998"/>
        <a:ext cx="524666" cy="349776"/>
      </dsp:txXfrm>
    </dsp:sp>
    <dsp:sp modelId="{3963FC4F-805E-4287-BBFA-DE711BEEDB2C}">
      <dsp:nvSpPr>
        <dsp:cNvPr id="0" name=""/>
        <dsp:cNvSpPr/>
      </dsp:nvSpPr>
      <dsp:spPr>
        <a:xfrm>
          <a:off x="2481597" y="1502998"/>
          <a:ext cx="874442" cy="349776"/>
        </a:xfrm>
        <a:prstGeom prst="chevron">
          <a:avLst/>
        </a:prstGeom>
        <a:solidFill>
          <a:srgbClr val="BD2A33">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53,1</a:t>
          </a:r>
        </a:p>
      </dsp:txBody>
      <dsp:txXfrm>
        <a:off x="2656485" y="1502998"/>
        <a:ext cx="524666" cy="349776"/>
      </dsp:txXfrm>
    </dsp:sp>
    <dsp:sp modelId="{68FF06A0-95BF-4EB5-BCC0-FE24A744B17A}">
      <dsp:nvSpPr>
        <dsp:cNvPr id="0" name=""/>
        <dsp:cNvSpPr/>
      </dsp:nvSpPr>
      <dsp:spPr>
        <a:xfrm>
          <a:off x="3233617" y="1502998"/>
          <a:ext cx="874442" cy="349776"/>
        </a:xfrm>
        <a:prstGeom prst="chevron">
          <a:avLst/>
        </a:prstGeom>
        <a:solidFill>
          <a:srgbClr val="BD2A33">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latin typeface="Calibri" panose="020F0502020204030204"/>
              <a:ea typeface="+mn-ea"/>
              <a:cs typeface="+mn-cs"/>
            </a:rPr>
            <a:t>31,0</a:t>
          </a:r>
        </a:p>
      </dsp:txBody>
      <dsp:txXfrm>
        <a:off x="3408505" y="1502998"/>
        <a:ext cx="524666" cy="349776"/>
      </dsp:txXfrm>
    </dsp:sp>
    <dsp:sp modelId="{1FAD3650-64BC-4728-B0DE-4DF577F605F2}">
      <dsp:nvSpPr>
        <dsp:cNvPr id="0" name=""/>
        <dsp:cNvSpPr/>
      </dsp:nvSpPr>
      <dsp:spPr>
        <a:xfrm>
          <a:off x="3985637" y="1502998"/>
          <a:ext cx="874442" cy="349776"/>
        </a:xfrm>
        <a:prstGeom prst="chevron">
          <a:avLst/>
        </a:prstGeom>
        <a:solidFill>
          <a:srgbClr val="BD2A33"/>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bg1"/>
              </a:solidFill>
              <a:latin typeface="Calibri" panose="020F0502020204030204"/>
              <a:ea typeface="+mn-ea"/>
              <a:cs typeface="+mn-cs"/>
            </a:rPr>
            <a:t>8,8</a:t>
          </a:r>
        </a:p>
      </dsp:txBody>
      <dsp:txXfrm>
        <a:off x="4160525" y="1502998"/>
        <a:ext cx="524666" cy="349776"/>
      </dsp:txXfrm>
    </dsp:sp>
    <dsp:sp modelId="{C132509D-D53A-413A-B4A6-5E3503422542}">
      <dsp:nvSpPr>
        <dsp:cNvPr id="0" name=""/>
        <dsp:cNvSpPr/>
      </dsp:nvSpPr>
      <dsp:spPr>
        <a:xfrm>
          <a:off x="4737658" y="1502998"/>
          <a:ext cx="874442" cy="349776"/>
        </a:xfrm>
        <a:prstGeom prst="chevron">
          <a:avLst/>
        </a:prstGeom>
        <a:solidFill>
          <a:srgbClr val="C3C5C6">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rgbClr val="FF0000"/>
              </a:solidFill>
            </a:rPr>
            <a:t>–</a:t>
          </a:r>
          <a:r>
            <a:rPr lang="cs-CZ" sz="1000" b="1" kern="1200" baseline="0">
              <a:solidFill>
                <a:srgbClr val="FF0000"/>
              </a:solidFill>
              <a:latin typeface="Calibri" panose="020F0502020204030204"/>
              <a:ea typeface="+mn-ea"/>
              <a:cs typeface="+mn-cs"/>
            </a:rPr>
            <a:t>22,2</a:t>
          </a:r>
        </a:p>
      </dsp:txBody>
      <dsp:txXfrm>
        <a:off x="4912546" y="1502998"/>
        <a:ext cx="524666" cy="34977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24C8AE-0C84-4B57-A0DB-F530EDB074FB}">
      <dsp:nvSpPr>
        <dsp:cNvPr id="0" name=""/>
        <dsp:cNvSpPr/>
      </dsp:nvSpPr>
      <dsp:spPr>
        <a:xfrm>
          <a:off x="2763" y="66707"/>
          <a:ext cx="1145213" cy="421417"/>
        </a:xfrm>
        <a:prstGeom prst="chevron">
          <a:avLst/>
        </a:prstGeom>
        <a:no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algn="ctr" defTabSz="444500">
            <a:lnSpc>
              <a:spcPct val="50000"/>
            </a:lnSpc>
            <a:spcBef>
              <a:spcPct val="0"/>
            </a:spcBef>
            <a:spcAft>
              <a:spcPts val="0"/>
            </a:spcAft>
          </a:pPr>
          <a:endParaRPr lang="cs-CZ" sz="1000" b="0" kern="1200">
            <a:solidFill>
              <a:schemeClr val="tx1"/>
            </a:solidFill>
            <a:latin typeface="Calibri" panose="020F0502020204030204"/>
            <a:ea typeface="+mn-ea"/>
            <a:cs typeface="+mn-cs"/>
          </a:endParaRPr>
        </a:p>
      </dsp:txBody>
      <dsp:txXfrm>
        <a:off x="213472" y="66707"/>
        <a:ext cx="723796" cy="421417"/>
      </dsp:txXfrm>
    </dsp:sp>
    <dsp:sp modelId="{EA6E9049-714D-4F70-9449-67590FE925DF}">
      <dsp:nvSpPr>
        <dsp:cNvPr id="0" name=""/>
        <dsp:cNvSpPr/>
      </dsp:nvSpPr>
      <dsp:spPr>
        <a:xfrm>
          <a:off x="1011016" y="102528"/>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SFDI</a:t>
          </a:r>
        </a:p>
      </dsp:txBody>
      <dsp:txXfrm>
        <a:off x="1185904" y="102528"/>
        <a:ext cx="524666" cy="349776"/>
      </dsp:txXfrm>
    </dsp:sp>
    <dsp:sp modelId="{E17CDDBE-C54E-41F3-B442-C82AC2798B30}">
      <dsp:nvSpPr>
        <dsp:cNvPr id="0" name=""/>
        <dsp:cNvSpPr/>
      </dsp:nvSpPr>
      <dsp:spPr>
        <a:xfrm>
          <a:off x="1763037" y="102528"/>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SZIF</a:t>
          </a:r>
        </a:p>
      </dsp:txBody>
      <dsp:txXfrm>
        <a:off x="1937925" y="102528"/>
        <a:ext cx="524666" cy="349776"/>
      </dsp:txXfrm>
    </dsp:sp>
    <dsp:sp modelId="{26A82BEF-68BE-4FEF-A542-D5EE7C04721A}">
      <dsp:nvSpPr>
        <dsp:cNvPr id="0" name=""/>
        <dsp:cNvSpPr/>
      </dsp:nvSpPr>
      <dsp:spPr>
        <a:xfrm>
          <a:off x="2515057" y="102528"/>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SFRB</a:t>
          </a:r>
        </a:p>
      </dsp:txBody>
      <dsp:txXfrm>
        <a:off x="2689945" y="102528"/>
        <a:ext cx="524666" cy="349776"/>
      </dsp:txXfrm>
    </dsp:sp>
    <dsp:sp modelId="{833188DE-4E3C-4E12-83E9-AF15E2D9BFD2}">
      <dsp:nvSpPr>
        <dsp:cNvPr id="0" name=""/>
        <dsp:cNvSpPr/>
      </dsp:nvSpPr>
      <dsp:spPr>
        <a:xfrm>
          <a:off x="3267078" y="102528"/>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SFK</a:t>
          </a:r>
        </a:p>
      </dsp:txBody>
      <dsp:txXfrm>
        <a:off x="3441966" y="102528"/>
        <a:ext cx="524666" cy="349776"/>
      </dsp:txXfrm>
    </dsp:sp>
    <dsp:sp modelId="{4BC069EA-54EB-411A-9913-8C17480DA2D5}">
      <dsp:nvSpPr>
        <dsp:cNvPr id="0" name=""/>
        <dsp:cNvSpPr/>
      </dsp:nvSpPr>
      <dsp:spPr>
        <a:xfrm>
          <a:off x="4019098" y="102528"/>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SFKMG</a:t>
          </a:r>
        </a:p>
      </dsp:txBody>
      <dsp:txXfrm>
        <a:off x="4193986" y="102528"/>
        <a:ext cx="524666" cy="349776"/>
      </dsp:txXfrm>
    </dsp:sp>
    <dsp:sp modelId="{D3A25E5F-696A-492F-9F7A-F9DECAD0E80A}">
      <dsp:nvSpPr>
        <dsp:cNvPr id="0" name=""/>
        <dsp:cNvSpPr/>
      </dsp:nvSpPr>
      <dsp:spPr>
        <a:xfrm>
          <a:off x="4771118" y="102528"/>
          <a:ext cx="874442" cy="349776"/>
        </a:xfrm>
        <a:prstGeom prst="chevron">
          <a:avLst/>
        </a:prstGeom>
        <a:solidFill>
          <a:srgbClr val="D9EAFF">
            <a:alpha val="9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SFŽP</a:t>
          </a:r>
        </a:p>
      </dsp:txBody>
      <dsp:txXfrm>
        <a:off x="4946006" y="102528"/>
        <a:ext cx="524666" cy="349776"/>
      </dsp:txXfrm>
    </dsp:sp>
    <dsp:sp modelId="{108D6996-3FEB-43E6-98A6-B3CEA7AF6F97}">
      <dsp:nvSpPr>
        <dsp:cNvPr id="0" name=""/>
        <dsp:cNvSpPr/>
      </dsp:nvSpPr>
      <dsp:spPr>
        <a:xfrm>
          <a:off x="2763" y="547124"/>
          <a:ext cx="1111753" cy="421417"/>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Příjmy</a:t>
          </a:r>
        </a:p>
      </dsp:txBody>
      <dsp:txXfrm>
        <a:off x="213472" y="547124"/>
        <a:ext cx="690336" cy="421417"/>
      </dsp:txXfrm>
    </dsp:sp>
    <dsp:sp modelId="{DD05987A-3EC2-4CCA-9869-1F1361695B14}">
      <dsp:nvSpPr>
        <dsp:cNvPr id="0" name=""/>
        <dsp:cNvSpPr/>
      </dsp:nvSpPr>
      <dsp:spPr>
        <a:xfrm>
          <a:off x="977556" y="582945"/>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77,03</a:t>
          </a:r>
        </a:p>
      </dsp:txBody>
      <dsp:txXfrm>
        <a:off x="1152444" y="582945"/>
        <a:ext cx="524666" cy="349776"/>
      </dsp:txXfrm>
    </dsp:sp>
    <dsp:sp modelId="{E0B3BD13-AF19-47FA-8B20-BF9AA0D890B4}">
      <dsp:nvSpPr>
        <dsp:cNvPr id="0" name=""/>
        <dsp:cNvSpPr/>
      </dsp:nvSpPr>
      <dsp:spPr>
        <a:xfrm>
          <a:off x="1729576" y="582945"/>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37,39</a:t>
          </a:r>
        </a:p>
      </dsp:txBody>
      <dsp:txXfrm>
        <a:off x="1904464" y="582945"/>
        <a:ext cx="524666" cy="349776"/>
      </dsp:txXfrm>
    </dsp:sp>
    <dsp:sp modelId="{39403DC2-8A29-4B93-A1AD-2A564629EE5C}">
      <dsp:nvSpPr>
        <dsp:cNvPr id="0" name=""/>
        <dsp:cNvSpPr/>
      </dsp:nvSpPr>
      <dsp:spPr>
        <a:xfrm>
          <a:off x="2481597" y="582945"/>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0,80</a:t>
          </a:r>
        </a:p>
      </dsp:txBody>
      <dsp:txXfrm>
        <a:off x="2656485" y="582945"/>
        <a:ext cx="524666" cy="349776"/>
      </dsp:txXfrm>
    </dsp:sp>
    <dsp:sp modelId="{4AFDE68C-9E06-4875-8967-539174B30ADD}">
      <dsp:nvSpPr>
        <dsp:cNvPr id="0" name=""/>
        <dsp:cNvSpPr/>
      </dsp:nvSpPr>
      <dsp:spPr>
        <a:xfrm>
          <a:off x="3233617" y="582945"/>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0,08</a:t>
          </a:r>
        </a:p>
      </dsp:txBody>
      <dsp:txXfrm>
        <a:off x="3408505" y="582945"/>
        <a:ext cx="524666" cy="349776"/>
      </dsp:txXfrm>
    </dsp:sp>
    <dsp:sp modelId="{805827EE-806F-459E-9BE2-BC7F4C63625B}">
      <dsp:nvSpPr>
        <dsp:cNvPr id="0" name=""/>
        <dsp:cNvSpPr/>
      </dsp:nvSpPr>
      <dsp:spPr>
        <a:xfrm>
          <a:off x="3985637" y="582945"/>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1,27</a:t>
          </a:r>
        </a:p>
      </dsp:txBody>
      <dsp:txXfrm>
        <a:off x="4160525" y="582945"/>
        <a:ext cx="524666" cy="349776"/>
      </dsp:txXfrm>
    </dsp:sp>
    <dsp:sp modelId="{341966EF-3C67-433C-892A-FBE5F2F03106}">
      <dsp:nvSpPr>
        <dsp:cNvPr id="0" name=""/>
        <dsp:cNvSpPr/>
      </dsp:nvSpPr>
      <dsp:spPr>
        <a:xfrm>
          <a:off x="4737658" y="582945"/>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ysClr val="windowText" lastClr="000000"/>
              </a:solidFill>
              <a:latin typeface="Calibri" panose="020F0502020204030204"/>
              <a:ea typeface="+mn-ea"/>
              <a:cs typeface="+mn-cs"/>
            </a:rPr>
            <a:t>2,01</a:t>
          </a:r>
        </a:p>
      </dsp:txBody>
      <dsp:txXfrm>
        <a:off x="4912546" y="582945"/>
        <a:ext cx="524666" cy="349776"/>
      </dsp:txXfrm>
    </dsp:sp>
    <dsp:sp modelId="{271D193C-BAC1-45D4-9F55-82CC0206262A}">
      <dsp:nvSpPr>
        <dsp:cNvPr id="0" name=""/>
        <dsp:cNvSpPr/>
      </dsp:nvSpPr>
      <dsp:spPr>
        <a:xfrm>
          <a:off x="2763" y="1027541"/>
          <a:ext cx="1111753" cy="421417"/>
        </a:xfrm>
        <a:prstGeom prst="chevron">
          <a:avLst/>
        </a:prstGeom>
        <a:solidFill>
          <a:srgbClr val="D9EA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Výdaje</a:t>
          </a:r>
        </a:p>
      </dsp:txBody>
      <dsp:txXfrm>
        <a:off x="213472" y="1027541"/>
        <a:ext cx="690336" cy="421417"/>
      </dsp:txXfrm>
    </dsp:sp>
    <dsp:sp modelId="{47012AB8-D9C4-4B00-AA2F-9FE5BCB3AE2B}">
      <dsp:nvSpPr>
        <dsp:cNvPr id="0" name=""/>
        <dsp:cNvSpPr/>
      </dsp:nvSpPr>
      <dsp:spPr>
        <a:xfrm>
          <a:off x="977556" y="1063361"/>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80,02</a:t>
          </a:r>
        </a:p>
      </dsp:txBody>
      <dsp:txXfrm>
        <a:off x="1152444" y="1063361"/>
        <a:ext cx="524666" cy="349776"/>
      </dsp:txXfrm>
    </dsp:sp>
    <dsp:sp modelId="{49C1FADA-A17D-4E70-A3E9-E768A1AF2D9C}">
      <dsp:nvSpPr>
        <dsp:cNvPr id="0" name=""/>
        <dsp:cNvSpPr/>
      </dsp:nvSpPr>
      <dsp:spPr>
        <a:xfrm>
          <a:off x="1729576" y="1063361"/>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38,55</a:t>
          </a:r>
        </a:p>
      </dsp:txBody>
      <dsp:txXfrm>
        <a:off x="1904464" y="1063361"/>
        <a:ext cx="524666" cy="349776"/>
      </dsp:txXfrm>
    </dsp:sp>
    <dsp:sp modelId="{190C9095-C4CF-4C8B-9843-FC9A87C43110}">
      <dsp:nvSpPr>
        <dsp:cNvPr id="0" name=""/>
        <dsp:cNvSpPr/>
      </dsp:nvSpPr>
      <dsp:spPr>
        <a:xfrm>
          <a:off x="2481597" y="1063361"/>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1,22</a:t>
          </a:r>
        </a:p>
      </dsp:txBody>
      <dsp:txXfrm>
        <a:off x="2656485" y="1063361"/>
        <a:ext cx="524666" cy="349776"/>
      </dsp:txXfrm>
    </dsp:sp>
    <dsp:sp modelId="{729925F6-6C21-4C2A-A124-CB5331D4D0A1}">
      <dsp:nvSpPr>
        <dsp:cNvPr id="0" name=""/>
        <dsp:cNvSpPr/>
      </dsp:nvSpPr>
      <dsp:spPr>
        <a:xfrm>
          <a:off x="3233617" y="1063361"/>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0,06</a:t>
          </a:r>
        </a:p>
      </dsp:txBody>
      <dsp:txXfrm>
        <a:off x="3408505" y="1063361"/>
        <a:ext cx="524666" cy="349776"/>
      </dsp:txXfrm>
    </dsp:sp>
    <dsp:sp modelId="{F1F41FAD-CF79-4184-9D4A-4B24B3BD1679}">
      <dsp:nvSpPr>
        <dsp:cNvPr id="0" name=""/>
        <dsp:cNvSpPr/>
      </dsp:nvSpPr>
      <dsp:spPr>
        <a:xfrm>
          <a:off x="3985637" y="1063361"/>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0,81</a:t>
          </a:r>
        </a:p>
      </dsp:txBody>
      <dsp:txXfrm>
        <a:off x="4160525" y="1063361"/>
        <a:ext cx="524666" cy="349776"/>
      </dsp:txXfrm>
    </dsp:sp>
    <dsp:sp modelId="{4C65EDB7-00FC-46A4-9C20-9DA139026CE1}">
      <dsp:nvSpPr>
        <dsp:cNvPr id="0" name=""/>
        <dsp:cNvSpPr/>
      </dsp:nvSpPr>
      <dsp:spPr>
        <a:xfrm>
          <a:off x="4737658" y="1063361"/>
          <a:ext cx="874442" cy="349776"/>
        </a:xfrm>
        <a:prstGeom prst="chevron">
          <a:avLst/>
        </a:prstGeom>
        <a:solidFill>
          <a:srgbClr val="C3C5C6">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1,11</a:t>
          </a:r>
        </a:p>
      </dsp:txBody>
      <dsp:txXfrm>
        <a:off x="4912546" y="1063361"/>
        <a:ext cx="524666" cy="349776"/>
      </dsp:txXfrm>
    </dsp:sp>
    <dsp:sp modelId="{3B038CE9-4800-42E2-ADC1-CECE41DB3D7F}">
      <dsp:nvSpPr>
        <dsp:cNvPr id="0" name=""/>
        <dsp:cNvSpPr/>
      </dsp:nvSpPr>
      <dsp:spPr>
        <a:xfrm>
          <a:off x="2763" y="1507957"/>
          <a:ext cx="1111753" cy="421417"/>
        </a:xfrm>
        <a:prstGeom prst="chevron">
          <a:avLst/>
        </a:prstGeom>
        <a:solidFill>
          <a:srgbClr val="D9EAFF"/>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a:solidFill>
                <a:schemeClr val="tx1"/>
              </a:solidFill>
              <a:latin typeface="Calibri" panose="020F0502020204030204"/>
              <a:ea typeface="+mn-ea"/>
              <a:cs typeface="+mn-cs"/>
            </a:rPr>
            <a:t>Saldo příjmů a výdajů</a:t>
          </a:r>
        </a:p>
      </dsp:txBody>
      <dsp:txXfrm>
        <a:off x="213472" y="1507957"/>
        <a:ext cx="690336" cy="421417"/>
      </dsp:txXfrm>
    </dsp:sp>
    <dsp:sp modelId="{0C4F5166-7B8C-4DC5-9D99-03C90D522575}">
      <dsp:nvSpPr>
        <dsp:cNvPr id="0" name=""/>
        <dsp:cNvSpPr/>
      </dsp:nvSpPr>
      <dsp:spPr>
        <a:xfrm>
          <a:off x="977556" y="1543778"/>
          <a:ext cx="874442" cy="349776"/>
        </a:xfrm>
        <a:prstGeom prst="chevron">
          <a:avLst/>
        </a:prstGeom>
        <a:solidFill>
          <a:srgbClr val="BD2A33">
            <a:alpha val="4000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rgbClr val="FF0000"/>
              </a:solidFill>
            </a:rPr>
            <a:t>–</a:t>
          </a:r>
          <a:r>
            <a:rPr lang="cs-CZ" sz="1000" b="1" kern="1200" baseline="0">
              <a:solidFill>
                <a:srgbClr val="FF0000"/>
              </a:solidFill>
              <a:latin typeface="Calibri" panose="020F0502020204030204"/>
              <a:ea typeface="+mn-ea"/>
              <a:cs typeface="+mn-cs"/>
            </a:rPr>
            <a:t>2,99</a:t>
          </a:r>
        </a:p>
      </dsp:txBody>
      <dsp:txXfrm>
        <a:off x="1152444" y="1543778"/>
        <a:ext cx="524666" cy="349776"/>
      </dsp:txXfrm>
    </dsp:sp>
    <dsp:sp modelId="{7CB82BEA-AE28-47E4-BA52-D78E48C0F651}">
      <dsp:nvSpPr>
        <dsp:cNvPr id="0" name=""/>
        <dsp:cNvSpPr/>
      </dsp:nvSpPr>
      <dsp:spPr>
        <a:xfrm>
          <a:off x="1729576" y="1543778"/>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rgbClr val="FF0000"/>
              </a:solidFill>
            </a:rPr>
            <a:t>–1,16</a:t>
          </a:r>
          <a:endParaRPr lang="cs-CZ" sz="1000" b="1" kern="1200">
            <a:solidFill>
              <a:schemeClr val="tx1"/>
            </a:solidFill>
            <a:latin typeface="Calibri" panose="020F0502020204030204"/>
            <a:ea typeface="+mn-ea"/>
            <a:cs typeface="+mn-cs"/>
          </a:endParaRPr>
        </a:p>
      </dsp:txBody>
      <dsp:txXfrm>
        <a:off x="1904464" y="1543778"/>
        <a:ext cx="524666" cy="349776"/>
      </dsp:txXfrm>
    </dsp:sp>
    <dsp:sp modelId="{3963FC4F-805E-4287-BBFA-DE711BEEDB2C}">
      <dsp:nvSpPr>
        <dsp:cNvPr id="0" name=""/>
        <dsp:cNvSpPr/>
      </dsp:nvSpPr>
      <dsp:spPr>
        <a:xfrm>
          <a:off x="2481597" y="1543778"/>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rgbClr val="FF0000"/>
              </a:solidFill>
            </a:rPr>
            <a:t>–</a:t>
          </a:r>
          <a:r>
            <a:rPr lang="cs-CZ" sz="1000" b="1" kern="1200" baseline="0">
              <a:solidFill>
                <a:srgbClr val="FF0000"/>
              </a:solidFill>
              <a:latin typeface="Calibri" panose="020F0502020204030204"/>
              <a:ea typeface="+mn-ea"/>
              <a:cs typeface="+mn-cs"/>
            </a:rPr>
            <a:t>0,42</a:t>
          </a:r>
          <a:endParaRPr lang="cs-CZ" sz="1000" b="1" kern="1200">
            <a:solidFill>
              <a:srgbClr val="FF0000"/>
            </a:solidFill>
            <a:latin typeface="Calibri" panose="020F0502020204030204"/>
            <a:ea typeface="+mn-ea"/>
            <a:cs typeface="+mn-cs"/>
          </a:endParaRPr>
        </a:p>
      </dsp:txBody>
      <dsp:txXfrm>
        <a:off x="2656485" y="1543778"/>
        <a:ext cx="524666" cy="349776"/>
      </dsp:txXfrm>
    </dsp:sp>
    <dsp:sp modelId="{68FF06A0-95BF-4EB5-BCC0-FE24A744B17A}">
      <dsp:nvSpPr>
        <dsp:cNvPr id="0" name=""/>
        <dsp:cNvSpPr/>
      </dsp:nvSpPr>
      <dsp:spPr>
        <a:xfrm>
          <a:off x="3233617" y="1543778"/>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0,03</a:t>
          </a:r>
        </a:p>
      </dsp:txBody>
      <dsp:txXfrm>
        <a:off x="3408505" y="1543778"/>
        <a:ext cx="524666" cy="349776"/>
      </dsp:txXfrm>
    </dsp:sp>
    <dsp:sp modelId="{1FAD3650-64BC-4728-B0DE-4DF577F605F2}">
      <dsp:nvSpPr>
        <dsp:cNvPr id="0" name=""/>
        <dsp:cNvSpPr/>
      </dsp:nvSpPr>
      <dsp:spPr>
        <a:xfrm>
          <a:off x="3985637" y="1543778"/>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0,46</a:t>
          </a:r>
        </a:p>
      </dsp:txBody>
      <dsp:txXfrm>
        <a:off x="4160525" y="1543778"/>
        <a:ext cx="524666" cy="349776"/>
      </dsp:txXfrm>
    </dsp:sp>
    <dsp:sp modelId="{C132509D-D53A-413A-B4A6-5E3503422542}">
      <dsp:nvSpPr>
        <dsp:cNvPr id="0" name=""/>
        <dsp:cNvSpPr/>
      </dsp:nvSpPr>
      <dsp:spPr>
        <a:xfrm>
          <a:off x="4737658" y="1543778"/>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0,90</a:t>
          </a:r>
        </a:p>
      </dsp:txBody>
      <dsp:txXfrm>
        <a:off x="4912546" y="1543778"/>
        <a:ext cx="524666" cy="349776"/>
      </dsp:txXfrm>
    </dsp:sp>
    <dsp:sp modelId="{0FFED735-4CCB-4EAF-B1A3-CF503238954F}">
      <dsp:nvSpPr>
        <dsp:cNvPr id="0" name=""/>
        <dsp:cNvSpPr/>
      </dsp:nvSpPr>
      <dsp:spPr>
        <a:xfrm>
          <a:off x="2763" y="1988374"/>
          <a:ext cx="1113776" cy="421417"/>
        </a:xfrm>
        <a:prstGeom prst="chevron">
          <a:avLst/>
        </a:prstGeom>
        <a:solidFill>
          <a:srgbClr val="D9EA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cs-CZ" sz="800" b="1" kern="1200">
              <a:solidFill>
                <a:schemeClr val="tx1"/>
              </a:solidFill>
              <a:latin typeface="Calibri" panose="020F0502020204030204"/>
              <a:ea typeface="+mn-ea"/>
              <a:cs typeface="+mn-cs"/>
            </a:rPr>
            <a:t>Podíl jednotlivých SF na celkových dotacích ze SR</a:t>
          </a:r>
          <a:endParaRPr lang="cs-CZ" sz="800" b="1" kern="1200" baseline="0">
            <a:solidFill>
              <a:schemeClr val="tx1"/>
            </a:solidFill>
            <a:latin typeface="Calibri" panose="020F0502020204030204"/>
            <a:ea typeface="+mn-ea"/>
            <a:cs typeface="+mn-cs"/>
          </a:endParaRPr>
        </a:p>
      </dsp:txBody>
      <dsp:txXfrm>
        <a:off x="213472" y="1988374"/>
        <a:ext cx="692359" cy="421417"/>
      </dsp:txXfrm>
    </dsp:sp>
    <dsp:sp modelId="{8D326494-8F17-40AB-A859-50D8DC048C66}">
      <dsp:nvSpPr>
        <dsp:cNvPr id="0" name=""/>
        <dsp:cNvSpPr/>
      </dsp:nvSpPr>
      <dsp:spPr>
        <a:xfrm>
          <a:off x="979579" y="2024194"/>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50,21 %</a:t>
          </a:r>
        </a:p>
      </dsp:txBody>
      <dsp:txXfrm>
        <a:off x="1154467" y="2024194"/>
        <a:ext cx="524666" cy="349776"/>
      </dsp:txXfrm>
    </dsp:sp>
    <dsp:sp modelId="{D4F10E64-ABAB-4CFF-948A-75B2C3FBE017}">
      <dsp:nvSpPr>
        <dsp:cNvPr id="0" name=""/>
        <dsp:cNvSpPr/>
      </dsp:nvSpPr>
      <dsp:spPr>
        <a:xfrm>
          <a:off x="1731599" y="2024194"/>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47,72 %</a:t>
          </a:r>
        </a:p>
      </dsp:txBody>
      <dsp:txXfrm>
        <a:off x="1906487" y="2024194"/>
        <a:ext cx="524666" cy="349776"/>
      </dsp:txXfrm>
    </dsp:sp>
    <dsp:sp modelId="{A05632CE-DADD-4D9B-939A-E7AE55A26E8D}">
      <dsp:nvSpPr>
        <dsp:cNvPr id="0" name=""/>
        <dsp:cNvSpPr/>
      </dsp:nvSpPr>
      <dsp:spPr>
        <a:xfrm>
          <a:off x="2483619" y="2024194"/>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0,10 %</a:t>
          </a:r>
        </a:p>
      </dsp:txBody>
      <dsp:txXfrm>
        <a:off x="2658507" y="2024194"/>
        <a:ext cx="524666" cy="349776"/>
      </dsp:txXfrm>
    </dsp:sp>
    <dsp:sp modelId="{7AB4704B-FC09-4BD5-ACAE-46FB2612B11C}">
      <dsp:nvSpPr>
        <dsp:cNvPr id="0" name=""/>
        <dsp:cNvSpPr/>
      </dsp:nvSpPr>
      <dsp:spPr>
        <a:xfrm>
          <a:off x="3235640" y="2024194"/>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0,00 %</a:t>
          </a:r>
        </a:p>
      </dsp:txBody>
      <dsp:txXfrm>
        <a:off x="3410528" y="2024194"/>
        <a:ext cx="524666" cy="349776"/>
      </dsp:txXfrm>
    </dsp:sp>
    <dsp:sp modelId="{79B56624-BD2D-4DF1-AAC9-05FD419367B3}">
      <dsp:nvSpPr>
        <dsp:cNvPr id="0" name=""/>
        <dsp:cNvSpPr/>
      </dsp:nvSpPr>
      <dsp:spPr>
        <a:xfrm>
          <a:off x="3987660" y="2024194"/>
          <a:ext cx="874442"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1,27 %</a:t>
          </a:r>
        </a:p>
      </dsp:txBody>
      <dsp:txXfrm>
        <a:off x="4162548" y="2024194"/>
        <a:ext cx="524666" cy="349776"/>
      </dsp:txXfrm>
    </dsp:sp>
    <dsp:sp modelId="{1C6C2DC9-F026-46BB-A584-DC17AA1047FF}">
      <dsp:nvSpPr>
        <dsp:cNvPr id="0" name=""/>
        <dsp:cNvSpPr/>
      </dsp:nvSpPr>
      <dsp:spPr>
        <a:xfrm>
          <a:off x="4739681" y="2024194"/>
          <a:ext cx="878884" cy="349776"/>
        </a:xfrm>
        <a:prstGeom prst="chevron">
          <a:avLst/>
        </a:prstGeom>
        <a:solidFill>
          <a:srgbClr val="BD2A33">
            <a:alpha val="4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cs-CZ" sz="1000" b="1" kern="1200" baseline="0">
              <a:solidFill>
                <a:schemeClr val="tx1"/>
              </a:solidFill>
              <a:latin typeface="Calibri" panose="020F0502020204030204"/>
              <a:ea typeface="+mn-ea"/>
              <a:cs typeface="+mn-cs"/>
            </a:rPr>
            <a:t>0,69 %</a:t>
          </a:r>
        </a:p>
      </dsp:txBody>
      <dsp:txXfrm>
        <a:off x="4914569" y="2024194"/>
        <a:ext cx="529108" cy="349776"/>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EBBA57-BB55-4BA3-AE86-6A5FA382CA9C}">
      <dsp:nvSpPr>
        <dsp:cNvPr id="0" name=""/>
        <dsp:cNvSpPr/>
      </dsp:nvSpPr>
      <dsp:spPr>
        <a:xfrm>
          <a:off x="372969" y="26582"/>
          <a:ext cx="1480685" cy="1294305"/>
        </a:xfrm>
        <a:prstGeom prst="rightArrow">
          <a:avLst>
            <a:gd name="adj1" fmla="val 70000"/>
            <a:gd name="adj2" fmla="val 50000"/>
          </a:avLst>
        </a:prstGeom>
        <a:solidFill>
          <a:srgbClr val="004595">
            <a:alpha val="20000"/>
          </a:srgb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12700" bIns="6350" numCol="1" spcCol="1270" anchor="ctr" anchorCtr="0">
          <a:noAutofit/>
        </a:bodyPr>
        <a:lstStyle/>
        <a:p>
          <a:pPr marL="57150" lvl="1" indent="-57150" algn="l" defTabSz="444500">
            <a:lnSpc>
              <a:spcPct val="90000"/>
            </a:lnSpc>
            <a:spcBef>
              <a:spcPct val="0"/>
            </a:spcBef>
            <a:spcAft>
              <a:spcPct val="15000"/>
            </a:spcAft>
            <a:buChar char="••"/>
          </a:pPr>
          <a:r>
            <a:rPr lang="cs-CZ" sz="1000" kern="1200"/>
            <a:t>Příjmy </a:t>
          </a:r>
          <a:r>
            <a:rPr lang="cs-CZ" sz="1000" b="1" kern="1200"/>
            <a:t>264,85 mld. Kč</a:t>
          </a:r>
        </a:p>
        <a:p>
          <a:pPr marL="57150" lvl="1" indent="-57150" algn="l" defTabSz="444500">
            <a:lnSpc>
              <a:spcPct val="90000"/>
            </a:lnSpc>
            <a:spcBef>
              <a:spcPct val="0"/>
            </a:spcBef>
            <a:spcAft>
              <a:spcPct val="15000"/>
            </a:spcAft>
            <a:buChar char="••"/>
          </a:pPr>
          <a:r>
            <a:rPr lang="cs-CZ" sz="1000" kern="1200"/>
            <a:t>Výdaje </a:t>
          </a:r>
          <a:r>
            <a:rPr lang="cs-CZ" sz="1000" b="1" kern="1200"/>
            <a:t>259,00 mld. Kč</a:t>
          </a:r>
        </a:p>
      </dsp:txBody>
      <dsp:txXfrm>
        <a:off x="743141" y="220728"/>
        <a:ext cx="721833" cy="906013"/>
      </dsp:txXfrm>
    </dsp:sp>
    <dsp:sp modelId="{23C279A7-C5A9-45B9-928A-0DA4CEEC9FF4}">
      <dsp:nvSpPr>
        <dsp:cNvPr id="0" name=""/>
        <dsp:cNvSpPr/>
      </dsp:nvSpPr>
      <dsp:spPr>
        <a:xfrm>
          <a:off x="2798" y="303563"/>
          <a:ext cx="740342" cy="740342"/>
        </a:xfrm>
        <a:prstGeom prst="ellipse">
          <a:avLst/>
        </a:prstGeom>
        <a:solidFill>
          <a:srgbClr val="00459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cs-CZ" sz="900" b="1" kern="1200"/>
            <a:t>2016  saldo 5,85 mld. Kč</a:t>
          </a:r>
        </a:p>
      </dsp:txBody>
      <dsp:txXfrm>
        <a:off x="111219" y="411984"/>
        <a:ext cx="523500" cy="523500"/>
      </dsp:txXfrm>
    </dsp:sp>
    <dsp:sp modelId="{063BA64A-CFAF-4752-B72B-0C366DDDBF97}">
      <dsp:nvSpPr>
        <dsp:cNvPr id="0" name=""/>
        <dsp:cNvSpPr/>
      </dsp:nvSpPr>
      <dsp:spPr>
        <a:xfrm>
          <a:off x="2316368" y="26582"/>
          <a:ext cx="1480685" cy="1294305"/>
        </a:xfrm>
        <a:prstGeom prst="rightArrow">
          <a:avLst>
            <a:gd name="adj1" fmla="val 70000"/>
            <a:gd name="adj2" fmla="val 50000"/>
          </a:avLst>
        </a:prstGeom>
        <a:solidFill>
          <a:srgbClr val="004595">
            <a:alpha val="20000"/>
          </a:srgb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12700" bIns="6350" numCol="1" spcCol="1270" anchor="ctr" anchorCtr="0">
          <a:noAutofit/>
        </a:bodyPr>
        <a:lstStyle/>
        <a:p>
          <a:pPr marL="57150" lvl="1" indent="-57150" algn="l" defTabSz="444500">
            <a:lnSpc>
              <a:spcPct val="90000"/>
            </a:lnSpc>
            <a:spcBef>
              <a:spcPct val="0"/>
            </a:spcBef>
            <a:spcAft>
              <a:spcPct val="15000"/>
            </a:spcAft>
            <a:buChar char="••"/>
          </a:pPr>
          <a:r>
            <a:rPr lang="cs-CZ" sz="1000" b="0" kern="1200"/>
            <a:t>Příjmy </a:t>
          </a:r>
          <a:r>
            <a:rPr lang="cs-CZ" sz="1000" b="1" kern="1200"/>
            <a:t>284,83 mld. Kč</a:t>
          </a:r>
        </a:p>
        <a:p>
          <a:pPr marL="57150" lvl="1" indent="-57150" algn="l" defTabSz="444500">
            <a:lnSpc>
              <a:spcPct val="90000"/>
            </a:lnSpc>
            <a:spcBef>
              <a:spcPct val="0"/>
            </a:spcBef>
            <a:spcAft>
              <a:spcPct val="15000"/>
            </a:spcAft>
            <a:buChar char="••"/>
          </a:pPr>
          <a:r>
            <a:rPr lang="cs-CZ" sz="1000" kern="1200"/>
            <a:t>Výdaje </a:t>
          </a:r>
          <a:r>
            <a:rPr lang="cs-CZ" sz="1000" b="1" kern="1200"/>
            <a:t>275,31 mld. Kč</a:t>
          </a:r>
        </a:p>
      </dsp:txBody>
      <dsp:txXfrm>
        <a:off x="2686540" y="220728"/>
        <a:ext cx="721833" cy="906013"/>
      </dsp:txXfrm>
    </dsp:sp>
    <dsp:sp modelId="{24DE6A38-58E9-4F7A-B765-B44CB9BBB3CD}">
      <dsp:nvSpPr>
        <dsp:cNvPr id="0" name=""/>
        <dsp:cNvSpPr/>
      </dsp:nvSpPr>
      <dsp:spPr>
        <a:xfrm>
          <a:off x="1946197" y="303563"/>
          <a:ext cx="740342" cy="740342"/>
        </a:xfrm>
        <a:prstGeom prst="ellipse">
          <a:avLst/>
        </a:prstGeom>
        <a:solidFill>
          <a:srgbClr val="00459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cs-CZ" sz="900" b="1" kern="1200"/>
            <a:t>2017  saldo 9,52 mld. Kč</a:t>
          </a:r>
        </a:p>
      </dsp:txBody>
      <dsp:txXfrm>
        <a:off x="2054618" y="411984"/>
        <a:ext cx="523500" cy="523500"/>
      </dsp:txXfrm>
    </dsp:sp>
    <dsp:sp modelId="{F292ADBC-D83F-48AC-A47A-30D2DA7D9467}">
      <dsp:nvSpPr>
        <dsp:cNvPr id="0" name=""/>
        <dsp:cNvSpPr/>
      </dsp:nvSpPr>
      <dsp:spPr>
        <a:xfrm>
          <a:off x="4277236" y="26582"/>
          <a:ext cx="1480685" cy="1294305"/>
        </a:xfrm>
        <a:prstGeom prst="rightArrow">
          <a:avLst>
            <a:gd name="adj1" fmla="val 70000"/>
            <a:gd name="adj2" fmla="val 50000"/>
          </a:avLst>
        </a:prstGeom>
        <a:solidFill>
          <a:srgbClr val="BD2A33">
            <a:alpha val="40000"/>
          </a:srgb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12700" bIns="6350" numCol="1" spcCol="1270" anchor="ctr" anchorCtr="0">
          <a:noAutofit/>
        </a:bodyPr>
        <a:lstStyle/>
        <a:p>
          <a:pPr marL="57150" lvl="1" indent="-57150" algn="l" defTabSz="444500">
            <a:lnSpc>
              <a:spcPct val="90000"/>
            </a:lnSpc>
            <a:spcBef>
              <a:spcPct val="0"/>
            </a:spcBef>
            <a:spcAft>
              <a:spcPct val="15000"/>
            </a:spcAft>
            <a:buChar char="••"/>
          </a:pPr>
          <a:r>
            <a:rPr lang="cs-CZ" sz="1000" kern="1200"/>
            <a:t>Příjmy </a:t>
          </a:r>
          <a:r>
            <a:rPr lang="cs-CZ" sz="1000" b="1" kern="1200"/>
            <a:t>309,77 mld. Kč</a:t>
          </a:r>
        </a:p>
        <a:p>
          <a:pPr marL="57150" lvl="1" indent="-57150" algn="l" defTabSz="444500">
            <a:lnSpc>
              <a:spcPct val="90000"/>
            </a:lnSpc>
            <a:spcBef>
              <a:spcPct val="0"/>
            </a:spcBef>
            <a:spcAft>
              <a:spcPct val="15000"/>
            </a:spcAft>
            <a:buChar char="••"/>
          </a:pPr>
          <a:r>
            <a:rPr lang="cs-CZ" sz="1000" kern="1200"/>
            <a:t>Výdaje </a:t>
          </a:r>
          <a:r>
            <a:rPr lang="cs-CZ" sz="1000" b="1" kern="1200"/>
            <a:t>295,30 mld. Kč</a:t>
          </a:r>
        </a:p>
      </dsp:txBody>
      <dsp:txXfrm>
        <a:off x="4647407" y="220728"/>
        <a:ext cx="721833" cy="906013"/>
      </dsp:txXfrm>
    </dsp:sp>
    <dsp:sp modelId="{FCF6CD72-78F2-49D2-A859-A0D57E07A1EB}">
      <dsp:nvSpPr>
        <dsp:cNvPr id="0" name=""/>
        <dsp:cNvSpPr/>
      </dsp:nvSpPr>
      <dsp:spPr>
        <a:xfrm>
          <a:off x="3889596" y="303563"/>
          <a:ext cx="775279" cy="740342"/>
        </a:xfrm>
        <a:prstGeom prst="ellipse">
          <a:avLst/>
        </a:prstGeom>
        <a:solidFill>
          <a:srgbClr val="BD2A3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cs-CZ" sz="900" b="1" kern="1200"/>
            <a:t>2018  </a:t>
          </a:r>
          <a:br>
            <a:rPr lang="cs-CZ" sz="900" b="1" kern="1200"/>
          </a:br>
          <a:r>
            <a:rPr lang="cs-CZ" sz="900" b="1" kern="1200" spc="-10" baseline="0"/>
            <a:t>saldo 14,48 </a:t>
          </a:r>
          <a:br>
            <a:rPr lang="cs-CZ" sz="900" b="1" kern="1200" spc="-10" baseline="0"/>
          </a:br>
          <a:r>
            <a:rPr lang="cs-CZ" sz="900" b="1" kern="1200"/>
            <a:t>mld. Kč</a:t>
          </a:r>
        </a:p>
      </dsp:txBody>
      <dsp:txXfrm>
        <a:off x="4003133" y="411984"/>
        <a:ext cx="548205" cy="52350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hProcess6">
  <dgm:title val=""/>
  <dgm:desc val=""/>
  <dgm:catLst>
    <dgm:cat type="process"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theList">
    <dgm:varLst>
      <dgm:dir/>
      <dgm:animLvl val="lvl"/>
      <dgm:resizeHandles val="exact"/>
    </dgm:varLst>
    <dgm:choose name="Name0">
      <dgm:if name="Name1" func="var" arg="dir" op="equ" val="norm">
        <dgm:alg type="lin">
          <dgm:param type="linDir" val="fromL"/>
          <dgm:param type="nodeHorzAlign" val="l"/>
        </dgm:alg>
      </dgm:if>
      <dgm:else name="Name2">
        <dgm:alg type="lin">
          <dgm:param type="linDir" val="fromR"/>
          <dgm:param type="nodeHorzAlign" val="r"/>
        </dgm:alg>
      </dgm:else>
    </dgm:choose>
    <dgm:shape xmlns:r="http://schemas.openxmlformats.org/officeDocument/2006/relationships" r:blip="">
      <dgm:adjLst/>
    </dgm:shape>
    <dgm:presOf/>
    <dgm:constrLst>
      <dgm:constr type="w" for="ch" forName="compNode" refType="w"/>
      <dgm:constr type="h" for="ch" forName="compNode" refType="w" refFor="ch" refForName="compNode" fact="0.7"/>
      <dgm:constr type="ctrY" for="ch" forName="compNode" refType="h" fact="0.5"/>
      <dgm:constr type="w" for="ch" forName="aSpace" refType="w" fact="0.05"/>
      <dgm:constr type="primFontSz" for="des" forName="childTextHidden" op="equ" val="65"/>
      <dgm:constr type="primFontSz" for="des" forName="parentText" op="equ"/>
    </dgm:constrLst>
    <dgm:ruleLst/>
    <dgm:forEach name="aNodeForEach" axis="ch" ptType="node">
      <dgm:layoutNode name="compNode">
        <dgm:alg type="composite">
          <dgm:param type="ar" val="1.43"/>
        </dgm:alg>
        <dgm:shape xmlns:r="http://schemas.openxmlformats.org/officeDocument/2006/relationships" r:blip="">
          <dgm:adjLst/>
        </dgm:shape>
        <dgm:presOf/>
        <dgm:choose name="Name3">
          <dgm:if name="Name4" func="var" arg="dir" op="equ" val="norm">
            <dgm:constrLst>
              <dgm:constr type="w" for="ch" forName="childTextVisible" refType="w" fact="0.8"/>
              <dgm:constr type="h" for="ch" forName="childTextVisible" refType="h"/>
              <dgm:constr type="r" for="ch" forName="childTextVisible" refType="w"/>
              <dgm:constr type="w" for="ch" forName="childTextHidden" refType="w" fact="0.6"/>
              <dgm:constr type="h" for="ch" forName="childTextHidden" refType="h"/>
              <dgm:constr type="r" for="ch" forName="childTextHidden" refType="w"/>
              <dgm:constr type="l" for="ch" forName="parentText"/>
              <dgm:constr type="w" for="ch" forName="parentText" refType="w" fact="0.4"/>
              <dgm:constr type="h" for="ch" forName="parentText" refType="w" refFor="ch" refForName="parentText" op="equ"/>
              <dgm:constr type="ctrY" for="ch" forName="parentText" refType="h" fact="0.5"/>
            </dgm:constrLst>
          </dgm:if>
          <dgm:else name="Name5">
            <dgm:constrLst>
              <dgm:constr type="w" for="ch" forName="childTextVisible" refType="w" fact="0.8"/>
              <dgm:constr type="h" for="ch" forName="childTextVisible" refType="h"/>
              <dgm:constr type="l" for="ch" forName="childTextVisible"/>
              <dgm:constr type="w" for="ch" forName="childTextHidden" refType="w" fact="0.6"/>
              <dgm:constr type="h" for="ch" forName="childTextHidden" refType="h"/>
              <dgm:constr type="l" for="ch" forName="childTextHidden"/>
              <dgm:constr type="r" for="ch" forName="parentText" refType="w"/>
              <dgm:constr type="w" for="ch" forName="parentText" refType="w" fact="0.4"/>
              <dgm:constr type="h" for="ch" forName="parentText" refType="w" refFor="ch" refForName="parentText" op="equ"/>
              <dgm:constr type="ctrY" for="ch" forName="parentText" refType="h" fact="0.5"/>
            </dgm:constrLst>
          </dgm:else>
        </dgm:choose>
        <dgm:ruleLst/>
        <dgm:layoutNode name="noGeometry">
          <dgm:alg type="sp"/>
          <dgm:shape xmlns:r="http://schemas.openxmlformats.org/officeDocument/2006/relationships" r:blip="">
            <dgm:adjLst/>
          </dgm:shape>
          <dgm:presOf/>
          <dgm:constrLst/>
          <dgm:ruleLst/>
        </dgm:layoutNode>
        <dgm:layoutNode name="childTextVisible" styleLbl="bgAccFollowNode1">
          <dgm:varLst>
            <dgm:bulletEnabled val="1"/>
          </dgm:varLst>
          <dgm:alg type="sp"/>
          <dgm:choose name="Name6">
            <dgm:if name="Name7" func="var" arg="dir" op="equ" val="norm">
              <dgm:shape xmlns:r="http://schemas.openxmlformats.org/officeDocument/2006/relationships" type="rightArrow" r:blip="">
                <dgm:adjLst>
                  <dgm:adj idx="1" val="0.7"/>
                  <dgm:adj idx="2" val="0.5"/>
                </dgm:adjLst>
              </dgm:shape>
            </dgm:if>
            <dgm:else name="Name8">
              <dgm:shape xmlns:r="http://schemas.openxmlformats.org/officeDocument/2006/relationships" type="leftArrow" r:blip="">
                <dgm:adjLst>
                  <dgm:adj idx="1" val="0.7"/>
                  <dgm:adj idx="2" val="0.5"/>
                </dgm:adjLst>
              </dgm:shape>
            </dgm:else>
          </dgm:choose>
          <dgm:presOf axis="des" ptType="node"/>
          <dgm:constrLst/>
          <dgm:ruleLst/>
        </dgm:layoutNode>
        <dgm:layoutNode name="childTextHidden" styleLbl="bgAccFollowNode1">
          <dgm:choose name="Name9">
            <dgm:if name="Name10" axis="des followSib" ptType="node node" st="1 1" cnt="1 0" func="cnt" op="gte" val="1">
              <dgm:alg type="tx">
                <dgm:param type="stBulletLvl" val="1"/>
                <dgm:param type="txAnchorVertCh" val="mid"/>
              </dgm:alg>
            </dgm:if>
            <dgm:else name="Name11">
              <dgm:alg type="tx">
                <dgm:param type="stBulletLvl" val="2"/>
                <dgm:param type="txAnchorVertCh" val="mid"/>
              </dgm:alg>
            </dgm:else>
          </dgm:choose>
          <dgm:choose name="Name12">
            <dgm:if name="Name13" func="var" arg="dir" op="equ" val="norm">
              <dgm:shape xmlns:r="http://schemas.openxmlformats.org/officeDocument/2006/relationships" type="rightArrow" r:blip="" hideGeom="1">
                <dgm:adjLst>
                  <dgm:adj idx="1" val="0.7"/>
                  <dgm:adj idx="2" val="0.5"/>
                </dgm:adjLst>
              </dgm:shape>
            </dgm:if>
            <dgm:else name="Name14">
              <dgm:shape xmlns:r="http://schemas.openxmlformats.org/officeDocument/2006/relationships" type="leftArrow" r:blip="" hideGeom="1">
                <dgm:adjLst>
                  <dgm:adj idx="1" val="0.7"/>
                  <dgm:adj idx="2" val="0.5"/>
                </dgm:adjLst>
              </dgm:shape>
            </dgm:else>
          </dgm:choose>
          <dgm:presOf axis="des" ptType="node"/>
          <dgm:constrLst>
            <dgm:constr type="secFontSz" refType="primFontSz"/>
            <dgm:constr type="tMarg" refType="primFontSz" fact="0.05"/>
            <dgm:constr type="bMarg" refType="primFontSz" fact="0.05"/>
            <dgm:constr type="rMarg" refType="primFontSz" fact="0.1"/>
            <dgm:constr type="lMarg" refType="primFontSz" fact="0.2"/>
          </dgm:constrLst>
          <dgm:ruleLst>
            <dgm:rule type="primFontSz" val="5" fact="NaN" max="NaN"/>
          </dgm:ruleLst>
        </dgm:layoutNode>
        <dgm:layoutNode name="parentText" styleLbl="node1">
          <dgm:varLst>
            <dgm:chMax val="1"/>
            <dgm:bulletEnabled val="1"/>
          </dgm:varLst>
          <dgm:alg type="tx"/>
          <dgm:shape xmlns:r="http://schemas.openxmlformats.org/officeDocument/2006/relationships" type="ellipse" r:blip="">
            <dgm:adjLst/>
          </dgm:shape>
          <dgm:presOf axis="self"/>
          <dgm:constrLst>
            <dgm:constr type="primFontSz" val="65"/>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choose name="Name15">
        <dgm:if name="Name16" axis="self" ptType="node" func="revPos" op="gte" val="2">
          <dgm:layoutNode name="aSpace">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0.68352</cdr:x>
      <cdr:y>0</cdr:y>
    </cdr:from>
    <cdr:to>
      <cdr:x>0.9603</cdr:x>
      <cdr:y>0.12989</cdr:y>
    </cdr:to>
    <cdr:sp macro="" textlink="">
      <cdr:nvSpPr>
        <cdr:cNvPr id="2" name="TextovéPole 1"/>
        <cdr:cNvSpPr txBox="1"/>
      </cdr:nvSpPr>
      <cdr:spPr>
        <a:xfrm xmlns:a="http://schemas.openxmlformats.org/drawingml/2006/main">
          <a:off x="3937081" y="0"/>
          <a:ext cx="1594252" cy="257175"/>
        </a:xfrm>
        <a:prstGeom xmlns:a="http://schemas.openxmlformats.org/drawingml/2006/main" prst="rect">
          <a:avLst/>
        </a:prstGeom>
        <a:solidFill xmlns:a="http://schemas.openxmlformats.org/drawingml/2006/main">
          <a:srgbClr val="C3C5C6"/>
        </a:solidFill>
      </cdr:spPr>
      <cdr:txBody>
        <a:bodyPr xmlns:a="http://schemas.openxmlformats.org/drawingml/2006/main" vertOverflow="clip" wrap="none" rtlCol="0" anchor="t"/>
        <a:lstStyle xmlns:a="http://schemas.openxmlformats.org/drawingml/2006/main"/>
        <a:p xmlns:a="http://schemas.openxmlformats.org/drawingml/2006/main">
          <a:pPr algn="ctr"/>
          <a:r>
            <a:rPr lang="cs-CZ" sz="1100" b="1">
              <a:solidFill>
                <a:sysClr val="windowText" lastClr="000000"/>
              </a:solidFill>
            </a:rPr>
            <a:t>Průměr EU = 4,8</a:t>
          </a:r>
        </a:p>
        <a:p xmlns:a="http://schemas.openxmlformats.org/drawingml/2006/main">
          <a:endParaRPr lang="cs-CZ" sz="1100"/>
        </a:p>
      </cdr:txBody>
    </cdr:sp>
  </cdr:relSizeAnchor>
</c:userShapes>
</file>

<file path=word/drawings/drawing2.xml><?xml version="1.0" encoding="utf-8"?>
<c:userShapes xmlns:c="http://schemas.openxmlformats.org/drawingml/2006/chart">
  <cdr:relSizeAnchor xmlns:cdr="http://schemas.openxmlformats.org/drawingml/2006/chartDrawing">
    <cdr:from>
      <cdr:x>0.11692</cdr:x>
      <cdr:y>0.25333</cdr:y>
    </cdr:from>
    <cdr:to>
      <cdr:x>0.45446</cdr:x>
      <cdr:y>0.71631</cdr:y>
    </cdr:to>
    <cdr:sp macro="" textlink="">
      <cdr:nvSpPr>
        <cdr:cNvPr id="2" name="TextovéPole 1"/>
        <cdr:cNvSpPr txBox="1"/>
      </cdr:nvSpPr>
      <cdr:spPr>
        <a:xfrm xmlns:a="http://schemas.openxmlformats.org/drawingml/2006/main">
          <a:off x="357785" y="373910"/>
          <a:ext cx="1032865" cy="6833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cs-CZ" sz="1050" b="1"/>
            <a:t>23 % </a:t>
          </a:r>
          <a:r>
            <a:rPr lang="cs-CZ" sz="900" b="1"/>
            <a:t> zemědělské půdy je ohroženo větrnou erozí</a:t>
          </a:r>
        </a:p>
      </cdr:txBody>
    </cdr:sp>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9C96BDC37B4FC4F85A0AFCD44DC1B0E" ma:contentTypeVersion="0" ma:contentTypeDescription="Vytvoří nový dokument" ma:contentTypeScope="" ma:versionID="68da6f95d18824290317c072616fe1ad">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29450-9388-4A7E-AB66-2B4F950D43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26B3D1-D44E-4B44-B4D1-D485C6B43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65865D0-C491-4CDE-B76E-F7B48873DB92}">
  <ds:schemaRefs>
    <ds:schemaRef ds:uri="http://schemas.microsoft.com/sharepoint/v3/contenttype/forms"/>
  </ds:schemaRefs>
</ds:datastoreItem>
</file>

<file path=customXml/itemProps4.xml><?xml version="1.0" encoding="utf-8"?>
<ds:datastoreItem xmlns:ds="http://schemas.openxmlformats.org/officeDocument/2006/customXml" ds:itemID="{DF5CCCB4-6123-4421-995F-C26698E314CC}">
  <ds:schemaRefs>
    <ds:schemaRef ds:uri="http://schemas.openxmlformats.org/officeDocument/2006/bibliography"/>
  </ds:schemaRefs>
</ds:datastoreItem>
</file>

<file path=customXml/itemProps5.xml><?xml version="1.0" encoding="utf-8"?>
<ds:datastoreItem xmlns:ds="http://schemas.openxmlformats.org/officeDocument/2006/customXml" ds:itemID="{E4D0C3EF-C5D1-4517-AA65-58B18DA1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AE1E6553.dotm</Template>
  <TotalTime>117</TotalTime>
  <Pages>60</Pages>
  <Words>14521</Words>
  <Characters>85677</Characters>
  <Application>Microsoft Office Word</Application>
  <DocSecurity>0</DocSecurity>
  <Lines>713</Lines>
  <Paragraphs>199</Paragraphs>
  <ScaleCrop>false</ScaleCrop>
  <HeadingPairs>
    <vt:vector size="2" baseType="variant">
      <vt:variant>
        <vt:lpstr>Název</vt:lpstr>
      </vt:variant>
      <vt:variant>
        <vt:i4>1</vt:i4>
      </vt:variant>
    </vt:vector>
  </HeadingPairs>
  <TitlesOfParts>
    <vt:vector size="1" baseType="lpstr">
      <vt:lpstr>Verze, která se průběžně mění s příchozími připomínkami</vt:lpstr>
    </vt:vector>
  </TitlesOfParts>
  <Company>NKU</Company>
  <LinksUpToDate>false</LinksUpToDate>
  <CharactersWithSpaces>99999</CharactersWithSpaces>
  <SharedDoc>false</SharedDoc>
  <HLinks>
    <vt:vector size="72" baseType="variant">
      <vt:variant>
        <vt:i4>5242882</vt:i4>
      </vt:variant>
      <vt:variant>
        <vt:i4>33</vt:i4>
      </vt:variant>
      <vt:variant>
        <vt:i4>0</vt:i4>
      </vt:variant>
      <vt:variant>
        <vt:i4>5</vt:i4>
      </vt:variant>
      <vt:variant>
        <vt:lpwstr>http://www.mfcr.cz/cs/o-ministerstvu/zakladni-informace/informacni-systemy/iissp--monitor</vt:lpwstr>
      </vt:variant>
      <vt:variant>
        <vt:lpwstr/>
      </vt:variant>
      <vt:variant>
        <vt:i4>4784198</vt:i4>
      </vt:variant>
      <vt:variant>
        <vt:i4>30</vt:i4>
      </vt:variant>
      <vt:variant>
        <vt:i4>0</vt:i4>
      </vt:variant>
      <vt:variant>
        <vt:i4>5</vt:i4>
      </vt:variant>
      <vt:variant>
        <vt:lpwstr>aspi://module='ASPI'&amp;link='258/2013 Sb.%2523'&amp;ucin-k-dni='30.12.9999'</vt:lpwstr>
      </vt:variant>
      <vt:variant>
        <vt:lpwstr/>
      </vt:variant>
      <vt:variant>
        <vt:i4>4325442</vt:i4>
      </vt:variant>
      <vt:variant>
        <vt:i4>27</vt:i4>
      </vt:variant>
      <vt:variant>
        <vt:i4>0</vt:i4>
      </vt:variant>
      <vt:variant>
        <vt:i4>5</vt:i4>
      </vt:variant>
      <vt:variant>
        <vt:lpwstr>aspi://module='ASPI'&amp;link='504/2012 Sb.%2523'&amp;ucin-k-dni='30.12.9999'</vt:lpwstr>
      </vt:variant>
      <vt:variant>
        <vt:lpwstr/>
      </vt:variant>
      <vt:variant>
        <vt:i4>4784198</vt:i4>
      </vt:variant>
      <vt:variant>
        <vt:i4>24</vt:i4>
      </vt:variant>
      <vt:variant>
        <vt:i4>0</vt:i4>
      </vt:variant>
      <vt:variant>
        <vt:i4>5</vt:i4>
      </vt:variant>
      <vt:variant>
        <vt:lpwstr>aspi://module='ASPI'&amp;link='258/2013 Sb.%2523'&amp;ucin-k-dni='30.12.9999'</vt:lpwstr>
      </vt:variant>
      <vt:variant>
        <vt:lpwstr/>
      </vt:variant>
      <vt:variant>
        <vt:i4>4325442</vt:i4>
      </vt:variant>
      <vt:variant>
        <vt:i4>21</vt:i4>
      </vt:variant>
      <vt:variant>
        <vt:i4>0</vt:i4>
      </vt:variant>
      <vt:variant>
        <vt:i4>5</vt:i4>
      </vt:variant>
      <vt:variant>
        <vt:lpwstr>aspi://module='ASPI'&amp;link='504/2012 Sb.%2523'&amp;ucin-k-dni='30.12.9999'</vt:lpwstr>
      </vt:variant>
      <vt:variant>
        <vt:lpwstr/>
      </vt:variant>
      <vt:variant>
        <vt:i4>4325444</vt:i4>
      </vt:variant>
      <vt:variant>
        <vt:i4>18</vt:i4>
      </vt:variant>
      <vt:variant>
        <vt:i4>0</vt:i4>
      </vt:variant>
      <vt:variant>
        <vt:i4>5</vt:i4>
      </vt:variant>
      <vt:variant>
        <vt:lpwstr>aspi://module='ASPI'&amp;link='475/2013 Sb.%2523'&amp;ucin-k-dni='30.12.9999'</vt:lpwstr>
      </vt:variant>
      <vt:variant>
        <vt:lpwstr/>
      </vt:variant>
      <vt:variant>
        <vt:i4>7733358</vt:i4>
      </vt:variant>
      <vt:variant>
        <vt:i4>15</vt:i4>
      </vt:variant>
      <vt:variant>
        <vt:i4>0</vt:i4>
      </vt:variant>
      <vt:variant>
        <vt:i4>5</vt:i4>
      </vt:variant>
      <vt:variant>
        <vt:lpwstr>http://www.penize.cz/dane/280247-nove-zbrane-na-neplatice-dani!-podari-se-zarazit-danove-uniky</vt:lpwstr>
      </vt:variant>
      <vt:variant>
        <vt:lpwstr/>
      </vt:variant>
      <vt:variant>
        <vt:i4>7602279</vt:i4>
      </vt:variant>
      <vt:variant>
        <vt:i4>12</vt:i4>
      </vt:variant>
      <vt:variant>
        <vt:i4>0</vt:i4>
      </vt:variant>
      <vt:variant>
        <vt:i4>5</vt:i4>
      </vt:variant>
      <vt:variant>
        <vt:lpwstr>https://www.celnisprava.cz/cz/dane/spotrebni-dane/Stranky/default.aspx</vt:lpwstr>
      </vt:variant>
      <vt:variant>
        <vt:lpwstr/>
      </vt:variant>
      <vt:variant>
        <vt:i4>1835012</vt:i4>
      </vt:variant>
      <vt:variant>
        <vt:i4>9</vt:i4>
      </vt:variant>
      <vt:variant>
        <vt:i4>0</vt:i4>
      </vt:variant>
      <vt:variant>
        <vt:i4>5</vt:i4>
      </vt:variant>
      <vt:variant>
        <vt:lpwstr>http://www.mfcr.cz/cs/aktualne/tiskove-zpravy/2014/vytvoreni-skupiny-pro-boj-s-danovymi-uni-17250</vt:lpwstr>
      </vt:variant>
      <vt:variant>
        <vt:lpwstr/>
      </vt:variant>
      <vt:variant>
        <vt:i4>4784198</vt:i4>
      </vt:variant>
      <vt:variant>
        <vt:i4>6</vt:i4>
      </vt:variant>
      <vt:variant>
        <vt:i4>0</vt:i4>
      </vt:variant>
      <vt:variant>
        <vt:i4>5</vt:i4>
      </vt:variant>
      <vt:variant>
        <vt:lpwstr>aspi://module='ASPI'&amp;link='258/2013 Sb.%2523'&amp;ucin-k-dni='30.12.9999'</vt:lpwstr>
      </vt:variant>
      <vt:variant>
        <vt:lpwstr/>
      </vt:variant>
      <vt:variant>
        <vt:i4>4325442</vt:i4>
      </vt:variant>
      <vt:variant>
        <vt:i4>3</vt:i4>
      </vt:variant>
      <vt:variant>
        <vt:i4>0</vt:i4>
      </vt:variant>
      <vt:variant>
        <vt:i4>5</vt:i4>
      </vt:variant>
      <vt:variant>
        <vt:lpwstr>aspi://module='ASPI'&amp;link='504/2012 Sb.%2523'&amp;ucin-k-dni='30.12.9999'</vt:lpwstr>
      </vt:variant>
      <vt:variant>
        <vt:lpwstr/>
      </vt:variant>
      <vt:variant>
        <vt:i4>5242947</vt:i4>
      </vt:variant>
      <vt:variant>
        <vt:i4>0</vt:i4>
      </vt:variant>
      <vt:variant>
        <vt:i4>0</vt:i4>
      </vt:variant>
      <vt:variant>
        <vt:i4>5</vt:i4>
      </vt:variant>
      <vt:variant>
        <vt:lpwstr>aspi://module='ASPI'&amp;link='504/2012 Sb.%2523'&amp;ucin-k-dni='27. 1.2014'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Verze, která se průběžně mění s příchozími připomínkami</dc:title>
  <dc:creator>KEPRT Ondřej</dc:creator>
  <cp:lastModifiedBy>KOKRDA Daniel</cp:lastModifiedBy>
  <cp:revision>14</cp:revision>
  <cp:lastPrinted>2019-08-22T10:39:00Z</cp:lastPrinted>
  <dcterms:created xsi:type="dcterms:W3CDTF">2019-08-21T06:00:00Z</dcterms:created>
  <dcterms:modified xsi:type="dcterms:W3CDTF">2019-08-22T10:41:00Z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556/15-NKU420/183/15</vt:lpwstr>
  </property>
  <property fmtid="{D5CDD505-2E9C-101B-9397-08002B2CF9AE}" pid="3" name="Contact_PostaOdes_All">
    <vt:lpwstr>ROZDĚLOVNÍK...</vt:lpwstr>
  </property>
  <property fmtid="{D5CDD505-2E9C-101B-9397-08002B2CF9AE}" pid="4" name="SZ_Spis_Pisemnost">
    <vt:lpwstr>556/15</vt:lpwstr>
  </property>
  <property fmtid="{D5CDD505-2E9C-101B-9397-08002B2CF9AE}" pid="5" name="DisplayName_SpisovyUzel_PoziceZodpo_Pisemnost">
    <vt:lpwstr>Odbor II.</vt:lpwstr>
  </property>
  <property fmtid="{D5CDD505-2E9C-101B-9397-08002B2CF9AE}" pid="6" name="Zkratka_SpisovyUzel_PoziceZodpo_Pisemnost">
    <vt:lpwstr>420</vt:lpwstr>
  </property>
  <property fmtid="{D5CDD505-2E9C-101B-9397-08002B2CF9AE}" pid="7" name="Key_BarCode_Pisemnost">
    <vt:lpwstr>*B000235707*</vt:lpwstr>
  </property>
  <property fmtid="{D5CDD505-2E9C-101B-9397-08002B2CF9AE}" pid="8" name="EC_Pisemnost">
    <vt:lpwstr>15-7654/NKU</vt:lpwstr>
  </property>
  <property fmtid="{D5CDD505-2E9C-101B-9397-08002B2CF9AE}" pid="9" name="Odkaz">
    <vt:lpwstr>ODKAZ</vt:lpwstr>
  </property>
  <property fmtid="{D5CDD505-2E9C-101B-9397-08002B2CF9AE}" pid="10" name="SkartacniZnakLhuta_PisemnostZnak">
    <vt:lpwstr>?/?</vt:lpwstr>
  </property>
  <property fmtid="{D5CDD505-2E9C-101B-9397-08002B2CF9AE}" pid="11" name="CJ_Spis_Pisemnost">
    <vt:lpwstr>CJ/SPIS/ROK</vt:lpwstr>
  </property>
  <property fmtid="{D5CDD505-2E9C-101B-9397-08002B2CF9AE}" pid="12" name="UserName_PisemnostTypZpristupneniInformaciZOSZ_Pisemnost">
    <vt:lpwstr>ZOSZ_UserName</vt:lpwstr>
  </property>
  <property fmtid="{D5CDD505-2E9C-101B-9397-08002B2CF9AE}" pid="13" name="Password_PisemnostTypZpristupneniInformaciZOSZ_Pisemnost">
    <vt:lpwstr>ZOSZ_Password</vt:lpwstr>
  </property>
  <property fmtid="{D5CDD505-2E9C-101B-9397-08002B2CF9AE}" pid="14" name="DatumPlatnosti_PisemnostTypZpristupneniInformaciZOSZ_Pisemnost">
    <vt:lpwstr>ZOSZ_DatumPlatnosti</vt:lpwstr>
  </property>
  <property fmtid="{D5CDD505-2E9C-101B-9397-08002B2CF9AE}" pid="15" name="TEST">
    <vt:lpwstr>testovací pole</vt:lpwstr>
  </property>
  <property fmtid="{D5CDD505-2E9C-101B-9397-08002B2CF9AE}" pid="16" name="PocetListu_Pisemnost">
    <vt:lpwstr>1/0</vt:lpwstr>
  </property>
  <property fmtid="{D5CDD505-2E9C-101B-9397-08002B2CF9AE}" pid="17" name="Vec_Pisemnost">
    <vt:lpwstr>Stanovisko_NKU_k_navrhu_SZU_2014_do_prip</vt:lpwstr>
  </property>
  <property fmtid="{D5CDD505-2E9C-101B-9397-08002B2CF9AE}" pid="18" name="DatumPoriz_Pisemnost">
    <vt:lpwstr>12.5.2015</vt:lpwstr>
  </property>
  <property fmtid="{D5CDD505-2E9C-101B-9397-08002B2CF9AE}" pid="19" name="KRukam">
    <vt:lpwstr>{KRukam}</vt:lpwstr>
  </property>
  <property fmtid="{D5CDD505-2E9C-101B-9397-08002B2CF9AE}" pid="20" name="PocetListuDokumentu_Pisemnost">
    <vt:lpwstr>1</vt:lpwstr>
  </property>
  <property fmtid="{D5CDD505-2E9C-101B-9397-08002B2CF9AE}" pid="21" name="PocetPriloh_Pisemnost">
    <vt:lpwstr>0</vt:lpwstr>
  </property>
  <property fmtid="{D5CDD505-2E9C-101B-9397-08002B2CF9AE}" pid="22" name="TypPrilohy_Pisemnost">
    <vt:lpwstr>TYP PŘÍLOHY</vt:lpwstr>
  </property>
  <property fmtid="{D5CDD505-2E9C-101B-9397-08002B2CF9AE}" pid="23" name="DisplayName_UserPoriz_Pisemnost">
    <vt:lpwstr>Ing. Jana Nápravníková</vt:lpwstr>
  </property>
  <property fmtid="{D5CDD505-2E9C-101B-9397-08002B2CF9AE}" pid="24" name="Podpis">
    <vt:lpwstr/>
  </property>
  <property fmtid="{D5CDD505-2E9C-101B-9397-08002B2CF9AE}" pid="25" name="SmlouvaCislo">
    <vt:lpwstr>ČÍSLO SMLOUVY</vt:lpwstr>
  </property>
  <property fmtid="{D5CDD505-2E9C-101B-9397-08002B2CF9AE}" pid="26" name="ContentTypeId">
    <vt:lpwstr>0x010100B9C96BDC37B4FC4F85A0AFCD44DC1B0E</vt:lpwstr>
  </property>
</Properties>
</file>