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489" w:rsidRDefault="00966489" w:rsidP="00966489">
      <w:pPr>
        <w:spacing w:after="0"/>
        <w:jc w:val="center"/>
        <w:outlineLvl w:val="0"/>
        <w:rPr>
          <w:b/>
          <w:bCs/>
          <w:sz w:val="24"/>
          <w:lang w:eastAsia="cs-CZ"/>
        </w:rPr>
      </w:pPr>
      <w:r>
        <w:rPr>
          <w:b/>
          <w:bCs/>
          <w:sz w:val="24"/>
          <w:lang w:eastAsia="cs-CZ"/>
        </w:rPr>
        <w:t>PLATNÉ ZNĚNÍ NOVELIZOVANÝCH ZÁKONŮ</w:t>
      </w:r>
    </w:p>
    <w:p w:rsidR="00966489" w:rsidRDefault="00966489" w:rsidP="00966489">
      <w:pPr>
        <w:spacing w:after="0"/>
        <w:jc w:val="center"/>
        <w:outlineLvl w:val="0"/>
        <w:rPr>
          <w:b/>
          <w:bCs/>
          <w:sz w:val="24"/>
          <w:lang w:eastAsia="cs-CZ"/>
        </w:rPr>
      </w:pPr>
      <w:r>
        <w:rPr>
          <w:b/>
          <w:bCs/>
          <w:sz w:val="24"/>
          <w:lang w:eastAsia="cs-CZ"/>
        </w:rPr>
        <w:t>SE ZAPRACOVANÝMI ZMĚNAMI</w:t>
      </w:r>
    </w:p>
    <w:p w:rsidR="00F1040C" w:rsidRPr="008F1494" w:rsidRDefault="00F1040C" w:rsidP="00F1040C">
      <w:pPr>
        <w:rPr>
          <w:sz w:val="24"/>
        </w:rPr>
      </w:pPr>
      <w:bookmarkStart w:id="0" w:name="_GoBack"/>
      <w:bookmarkEnd w:id="0"/>
    </w:p>
    <w:p w:rsidR="00F1040C" w:rsidRPr="008F1494" w:rsidRDefault="00F1040C" w:rsidP="00F1040C">
      <w:pPr>
        <w:rPr>
          <w:sz w:val="24"/>
        </w:rPr>
      </w:pPr>
      <w:r w:rsidRPr="008F1494">
        <w:rPr>
          <w:sz w:val="24"/>
        </w:rPr>
        <w:t xml:space="preserve">I. PLATNÉ ZNĚNÍ ZÁKONA Č. 21/1992 </w:t>
      </w:r>
      <w:r w:rsidRPr="008F1494">
        <w:rPr>
          <w:caps/>
          <w:sz w:val="24"/>
        </w:rPr>
        <w:t xml:space="preserve">Sb., o bankách, ve znění </w:t>
      </w:r>
      <w:r w:rsidRPr="008F1494">
        <w:rPr>
          <w:sz w:val="24"/>
        </w:rPr>
        <w:t>POZDĚJŠÍCH PŘEDPISŮ, S VYZNAČENÍM NAVRHOVANÝCH ZMĚN A DOPLNĚNÍ</w:t>
      </w:r>
    </w:p>
    <w:p w:rsidR="00F1040C" w:rsidRPr="008F1494" w:rsidRDefault="00F1040C" w:rsidP="00F1040C">
      <w:pPr>
        <w:spacing w:before="0" w:after="0"/>
        <w:jc w:val="center"/>
        <w:rPr>
          <w:bCs/>
          <w:sz w:val="24"/>
          <w:lang w:eastAsia="cs-CZ"/>
        </w:rPr>
      </w:pPr>
    </w:p>
    <w:p w:rsidR="00F1040C" w:rsidRPr="008F1494" w:rsidRDefault="00F1040C" w:rsidP="00F1040C">
      <w:pPr>
        <w:spacing w:before="0" w:after="0"/>
        <w:jc w:val="center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§ 1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(1) Tento zákon zapracovává příslušné předpisy Evropské unie</w:t>
      </w:r>
      <w:r w:rsidRPr="008F1494">
        <w:rPr>
          <w:bCs/>
          <w:sz w:val="24"/>
          <w:vertAlign w:val="superscript"/>
          <w:lang w:eastAsia="cs-CZ"/>
        </w:rPr>
        <w:t>1</w:t>
      </w:r>
      <w:r w:rsidRPr="008F1494">
        <w:rPr>
          <w:bCs/>
          <w:sz w:val="24"/>
          <w:lang w:eastAsia="cs-CZ"/>
        </w:rPr>
        <w:t>), zároveň navazuje na přímo použitelný předpis Evropské unie</w:t>
      </w:r>
      <w:r w:rsidRPr="008F1494">
        <w:rPr>
          <w:bCs/>
          <w:sz w:val="24"/>
          <w:vertAlign w:val="superscript"/>
          <w:lang w:eastAsia="cs-CZ"/>
        </w:rPr>
        <w:t>27</w:t>
      </w:r>
      <w:r w:rsidRPr="008F1494">
        <w:rPr>
          <w:bCs/>
          <w:sz w:val="24"/>
          <w:lang w:eastAsia="cs-CZ"/>
        </w:rPr>
        <w:t>) a upravuje některé vztahy související se vznikem, podnikáním a zánikem bank se sídlem na území České republiky, včetně jejich působení mimo území České republiky, a dále některé vztahy související s působením zahraničních bank na území České republiky. Bankami se rozumějí akciové společnosti se sídlem v České republice, které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a) </w:t>
      </w:r>
      <w:r w:rsidRPr="008F1494">
        <w:rPr>
          <w:bCs/>
          <w:sz w:val="24"/>
          <w:lang w:eastAsia="cs-CZ"/>
        </w:rPr>
        <w:tab/>
        <w:t>přijímají vklady od veřejnosti, a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b) </w:t>
      </w:r>
      <w:r w:rsidRPr="008F1494">
        <w:rPr>
          <w:bCs/>
          <w:sz w:val="24"/>
          <w:lang w:eastAsia="cs-CZ"/>
        </w:rPr>
        <w:tab/>
        <w:t>poskytují úvěry,</w:t>
      </w:r>
    </w:p>
    <w:p w:rsidR="00F1040C" w:rsidRPr="008F1494" w:rsidRDefault="00F1040C" w:rsidP="00F1040C">
      <w:pPr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a které k výkonu činností podle písmen a) a b) mají bankovní licenci (dále jen „licence“) (§ 4).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(2) Pro účely tohoto zákona se rozumí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a) </w:t>
      </w:r>
      <w:r w:rsidRPr="008F1494">
        <w:rPr>
          <w:bCs/>
          <w:sz w:val="24"/>
          <w:lang w:eastAsia="cs-CZ"/>
        </w:rPr>
        <w:tab/>
        <w:t>vkladem svěřené peněžní prostředky, které představují závazek vůči vkladateli na jejich výplatu;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b) </w:t>
      </w:r>
      <w:r w:rsidRPr="008F1494">
        <w:rPr>
          <w:bCs/>
          <w:sz w:val="24"/>
          <w:lang w:eastAsia="cs-CZ"/>
        </w:rPr>
        <w:tab/>
        <w:t>úvěrem v jakékoliv formě dočasně poskytnuté peněžní prostředky.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(3) Banka může, kromě činností uvedených v odstavci 1 písm. a) a b), vykonávat tyto další činnosti, má-li je povoleny v jí udělené licenci,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a) </w:t>
      </w:r>
      <w:r w:rsidRPr="008F1494">
        <w:rPr>
          <w:bCs/>
          <w:sz w:val="24"/>
          <w:lang w:eastAsia="cs-CZ"/>
        </w:rPr>
        <w:tab/>
        <w:t>investování do cenných papírů na vlastní účet,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b) </w:t>
      </w:r>
      <w:r w:rsidRPr="008F1494">
        <w:rPr>
          <w:bCs/>
          <w:sz w:val="24"/>
          <w:lang w:eastAsia="cs-CZ"/>
        </w:rPr>
        <w:tab/>
        <w:t>finanční pronájem (finanční leasing),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c)</w:t>
      </w:r>
      <w:r w:rsidRPr="008F1494">
        <w:rPr>
          <w:bCs/>
          <w:sz w:val="24"/>
          <w:lang w:eastAsia="cs-CZ"/>
        </w:rPr>
        <w:tab/>
        <w:t>platební služby a vydávání elektronických peněz,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d) </w:t>
      </w:r>
      <w:r w:rsidRPr="008F1494">
        <w:rPr>
          <w:bCs/>
          <w:sz w:val="24"/>
          <w:lang w:eastAsia="cs-CZ"/>
        </w:rPr>
        <w:tab/>
        <w:t>vydávání a správu platebních prostředků, jestliže se nejedná o poskytování platebních služeb nebo vydávání elektronických peněz podle písmene c),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e) </w:t>
      </w:r>
      <w:r w:rsidRPr="008F1494">
        <w:rPr>
          <w:bCs/>
          <w:sz w:val="24"/>
          <w:lang w:eastAsia="cs-CZ"/>
        </w:rPr>
        <w:tab/>
        <w:t>poskytování záruk,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f) </w:t>
      </w:r>
      <w:r w:rsidRPr="008F1494">
        <w:rPr>
          <w:bCs/>
          <w:sz w:val="24"/>
          <w:lang w:eastAsia="cs-CZ"/>
        </w:rPr>
        <w:tab/>
        <w:t>otvírání akreditivů,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g) </w:t>
      </w:r>
      <w:r w:rsidRPr="008F1494">
        <w:rPr>
          <w:bCs/>
          <w:sz w:val="24"/>
          <w:lang w:eastAsia="cs-CZ"/>
        </w:rPr>
        <w:tab/>
        <w:t>obstarávání inkasa,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h) </w:t>
      </w:r>
      <w:r w:rsidRPr="008F1494">
        <w:rPr>
          <w:bCs/>
          <w:sz w:val="24"/>
          <w:lang w:eastAsia="cs-CZ"/>
        </w:rPr>
        <w:tab/>
        <w:t>poskytování investičních služeb, s tím, že se v licenci uvede, které investiční služby je banka oprávněna poskytovat a ve vztahu ke kterým investičním nástrojům,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i) </w:t>
      </w:r>
      <w:r w:rsidRPr="008F1494">
        <w:rPr>
          <w:bCs/>
          <w:sz w:val="24"/>
          <w:lang w:eastAsia="cs-CZ"/>
        </w:rPr>
        <w:tab/>
        <w:t>finanční makléřství; spočívá-li finanční makléřství ve zprostředkování spotřebitelského úvěru, může banka tuto činnost vykonávat pouze tehdy, je-li některou z osob oprávněných zprostředkovávat spotřebitelský úvěr podle zákona upravujícího spotřebitelský úvěr,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j) </w:t>
      </w:r>
      <w:r w:rsidRPr="008F1494">
        <w:rPr>
          <w:bCs/>
          <w:sz w:val="24"/>
          <w:lang w:eastAsia="cs-CZ"/>
        </w:rPr>
        <w:tab/>
        <w:t>výkon funkce depozitáře,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k) </w:t>
      </w:r>
      <w:r w:rsidRPr="008F1494">
        <w:rPr>
          <w:bCs/>
          <w:sz w:val="24"/>
          <w:lang w:eastAsia="cs-CZ"/>
        </w:rPr>
        <w:tab/>
        <w:t>směnárenskou činnost,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lastRenderedPageBreak/>
        <w:t xml:space="preserve">l) </w:t>
      </w:r>
      <w:r w:rsidRPr="008F1494">
        <w:rPr>
          <w:bCs/>
          <w:sz w:val="24"/>
          <w:lang w:eastAsia="cs-CZ"/>
        </w:rPr>
        <w:tab/>
        <w:t>poskytování bankovních informací,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m) </w:t>
      </w:r>
      <w:r w:rsidRPr="008F1494">
        <w:rPr>
          <w:bCs/>
          <w:sz w:val="24"/>
          <w:lang w:eastAsia="cs-CZ"/>
        </w:rPr>
        <w:tab/>
        <w:t>obchodování na vlastní účet nebo na účet klienta s devizovými hodnotami, které nejsou investičním nástrojem, a se zlatem,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n) </w:t>
      </w:r>
      <w:r w:rsidRPr="008F1494">
        <w:rPr>
          <w:bCs/>
          <w:sz w:val="24"/>
          <w:lang w:eastAsia="cs-CZ"/>
        </w:rPr>
        <w:tab/>
        <w:t>pronájem bezpečnostních schránek,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o) </w:t>
      </w:r>
      <w:r w:rsidRPr="008F1494">
        <w:rPr>
          <w:bCs/>
          <w:sz w:val="24"/>
          <w:lang w:eastAsia="cs-CZ"/>
        </w:rPr>
        <w:tab/>
        <w:t>provádění administrace investičních fondů a zahraničních investičních fondů, s tím, že se v licenci uvede, které činnosti je banka oprávněna vykonávat a ve vztahu ke kterým fondům,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p) </w:t>
      </w:r>
      <w:r w:rsidRPr="008F1494">
        <w:rPr>
          <w:bCs/>
          <w:sz w:val="24"/>
          <w:lang w:eastAsia="cs-CZ"/>
        </w:rPr>
        <w:tab/>
        <w:t>činnost akreditované osoby podle zákona upravujícího podnikání na kapitálovém trhu,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q) </w:t>
      </w:r>
      <w:r w:rsidRPr="008F1494">
        <w:rPr>
          <w:bCs/>
          <w:sz w:val="24"/>
          <w:lang w:eastAsia="cs-CZ"/>
        </w:rPr>
        <w:tab/>
        <w:t>poskytování služby hlášení údajů podle zákona upravujícího podnikání na kapitálovém trhu, s tím, že se v licenci uvede, které ze služeb hlášení údajů je banka oprávněna poskytovat,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r) </w:t>
      </w:r>
      <w:r w:rsidRPr="008F1494">
        <w:rPr>
          <w:bCs/>
          <w:sz w:val="24"/>
          <w:lang w:eastAsia="cs-CZ"/>
        </w:rPr>
        <w:tab/>
        <w:t>činnosti, které přímo souvisejí s činnostmi uvedenými v písmenech a) až q) a v odstavci 1.</w:t>
      </w:r>
    </w:p>
    <w:p w:rsidR="00F1040C" w:rsidRPr="008F1494" w:rsidRDefault="00F1040C" w:rsidP="00F1040C">
      <w:pPr>
        <w:ind w:firstLine="567"/>
        <w:rPr>
          <w:b/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(4) Banka nesmí vykonávat jiné podnikatelské činnosti než ty, které má povoleny v licenci; to neplatí pro činnosti vykonávané pro jiného, pokud souvisejí se zajištěním jejího provozu a provozu jí ovládaných jiných bank, spořitelních a úvěrních družstev, obchodníků s cennými papíry, pojišťoven, zajišťoven, finančních institucí a podniků pomocných služeb. Banka může vykonávat působnost kontaktního místa veřejné správy, je-li držitelem autorizace podle zvláštního zákona. Banka může vykonávat činnost akreditované osoby podle zákona upravujícího činnost akreditovaných osob na finančním trhu, je-li akreditovanou osobou podle takového zákona. </w:t>
      </w:r>
      <w:r w:rsidRPr="008F1494">
        <w:rPr>
          <w:b/>
          <w:bCs/>
          <w:sz w:val="24"/>
          <w:u w:val="single"/>
          <w:lang w:eastAsia="cs-CZ"/>
        </w:rPr>
        <w:t>Banka dále může vykonávat podnikatelskou činnost spočívající v poskytování elektronické identifikace, autentizace a služeb vytvářejících důvěru v souladu s přímo použitelným předpisem Evropské unie</w:t>
      </w:r>
      <w:r w:rsidRPr="008F1494">
        <w:rPr>
          <w:b/>
          <w:sz w:val="24"/>
          <w:u w:val="single"/>
          <w:lang w:eastAsia="cs-CZ"/>
        </w:rPr>
        <w:t xml:space="preserve"> upravujícím elektronickou identifikaci a služby vytvářející důvěru pro elektronické transakce na vnitřním trhu</w:t>
      </w:r>
      <w:r w:rsidRPr="008F1494">
        <w:rPr>
          <w:rStyle w:val="Znakapoznpodarou"/>
          <w:b/>
          <w:sz w:val="24"/>
          <w:u w:val="single"/>
          <w:lang w:eastAsia="cs-CZ"/>
        </w:rPr>
        <w:footnoteReference w:customMarkFollows="1" w:id="1"/>
        <w:t>35)</w:t>
      </w:r>
      <w:r w:rsidRPr="008F1494">
        <w:rPr>
          <w:b/>
          <w:bCs/>
          <w:sz w:val="24"/>
          <w:u w:val="single"/>
          <w:lang w:eastAsia="cs-CZ"/>
        </w:rPr>
        <w:t>, jakož i souvisejících služeb, zejména poskytování nebo potvrzování osobních identifikačních údajů klienta, informací o klientovi souvisejících s jeho osobními identifikačními údaji, informací o bankovních obchodech klienta a vytváření a uchování elektronických dokumentů (dále jen „identifikační služby“). Pokud právní předpisy vyžadují k poskytování identifikačních služeb povolení, registraci či akreditaci, může banka takové identifikační služby poskytovat, je-li držitelem příslušného oprávnění.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(5) Pokud je k výkonu některé z činností uvedených v odstavci 3 třeba povolení České národní banky podle zákonů upravujících regulaci poskytování některých finančních služeb a žadatel prokáže splnění všech stanovených podmínek pro udělení takového povolení, povolí Česká národní banka výkon této činnosti v licenci.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(6) Bankovní činnosti uvedené v odstavci 1 písm. a) a b) a v odstavci 3 může vykonávat na území České republiky rovněž zahraniční banka prostřednictvím své pobočky (dále jen „pobočka zahraniční banky“); zahraniční banka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a) </w:t>
      </w:r>
      <w:r w:rsidRPr="008F1494">
        <w:rPr>
          <w:bCs/>
          <w:sz w:val="24"/>
          <w:lang w:eastAsia="cs-CZ"/>
        </w:rPr>
        <w:tab/>
        <w:t xml:space="preserve">se sídlem v členském státě Evropské unie nebo ve státě, který je smluvní stranou Dohody o Evropském hospodářském prostoru (dále jen „členský stát“), která požívá výhody jednotné licence podle práva Evropské unie (§ 5a), vykonává tyto </w:t>
      </w:r>
      <w:r w:rsidRPr="008F1494">
        <w:rPr>
          <w:bCs/>
          <w:sz w:val="24"/>
          <w:lang w:eastAsia="cs-CZ"/>
        </w:rPr>
        <w:lastRenderedPageBreak/>
        <w:t>činnosti prostřednictvím pobočky této zahraniční banky (dále jen „pobočka banky z členského státu“),</w:t>
      </w:r>
    </w:p>
    <w:p w:rsidR="00F1040C" w:rsidRPr="008F1494" w:rsidRDefault="00F1040C" w:rsidP="00F1040C">
      <w:pPr>
        <w:ind w:left="1134" w:hanging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 b) </w:t>
      </w:r>
      <w:r w:rsidRPr="008F1494">
        <w:rPr>
          <w:bCs/>
          <w:sz w:val="24"/>
          <w:lang w:eastAsia="cs-CZ"/>
        </w:rPr>
        <w:tab/>
        <w:t>se sídlem v jiném než členském státě vykonává tyto činnosti prostřednictvím pobočky této zahraniční banky (dále jen „pobočka banky z jiného než členského státu“), pokud jí byla udělena Českou národní bankou licence (§ 5) a pouze v rozsahu udělené licence.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>(7) Licence obsahuje jmenovité vymezení povolené činnosti a může obsahovat vymezení rozsahu povolené činnosti, nikoliv však ve smyslu omezení počtu jednotlivých obchodních případů, a dále může obsahovat stanovení podmínek, které musí banka nebo pobočka banky z jiného než členského státu splnit před zahájením kterékoliv povolené činnosti, popřípadě je dodržovat při výkonu kterékoliv povolené činnosti.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  <w:r w:rsidRPr="008F1494">
        <w:rPr>
          <w:bCs/>
          <w:sz w:val="24"/>
          <w:lang w:eastAsia="cs-CZ"/>
        </w:rPr>
        <w:t xml:space="preserve"> (8) Právní postavení České národní banky upravuje zvláštní zákon.</w:t>
      </w:r>
      <w:r w:rsidRPr="008F1494">
        <w:rPr>
          <w:bCs/>
          <w:sz w:val="24"/>
          <w:vertAlign w:val="superscript"/>
          <w:lang w:eastAsia="cs-CZ"/>
        </w:rPr>
        <w:t>2</w:t>
      </w:r>
      <w:r w:rsidRPr="008F1494">
        <w:rPr>
          <w:bCs/>
          <w:sz w:val="24"/>
          <w:lang w:eastAsia="cs-CZ"/>
        </w:rPr>
        <w:t>)</w:t>
      </w:r>
    </w:p>
    <w:p w:rsidR="00F1040C" w:rsidRPr="008F1494" w:rsidRDefault="00F1040C" w:rsidP="00F1040C">
      <w:pPr>
        <w:autoSpaceDE w:val="0"/>
        <w:autoSpaceDN w:val="0"/>
        <w:adjustRightInd w:val="0"/>
        <w:spacing w:before="0" w:after="0"/>
        <w:jc w:val="center"/>
        <w:rPr>
          <w:b/>
          <w:bCs/>
          <w:sz w:val="24"/>
          <w:u w:val="single"/>
          <w:lang w:eastAsia="cs-CZ"/>
        </w:rPr>
      </w:pPr>
    </w:p>
    <w:p w:rsidR="00F1040C" w:rsidRPr="008F1494" w:rsidRDefault="00F1040C" w:rsidP="00F1040C">
      <w:pPr>
        <w:autoSpaceDE w:val="0"/>
        <w:autoSpaceDN w:val="0"/>
        <w:adjustRightInd w:val="0"/>
        <w:spacing w:before="0" w:after="0"/>
        <w:jc w:val="center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§ 38aa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 xml:space="preserve">(1) </w:t>
      </w:r>
      <w:r w:rsidRPr="008F1494">
        <w:rPr>
          <w:b/>
          <w:bCs/>
          <w:sz w:val="24"/>
          <w:u w:val="single"/>
        </w:rPr>
        <w:t>Banka nebo pobočka zahraniční banky je oprávněna nabízet, poskytovat nebo zprostředkovávat identifikační služby a uzavírat smlouvy o nich</w:t>
      </w:r>
      <w:r w:rsidRPr="008F1494">
        <w:rPr>
          <w:b/>
          <w:bCs/>
          <w:sz w:val="24"/>
          <w:u w:val="single"/>
          <w:lang w:eastAsia="cs-CZ"/>
        </w:rPr>
        <w:t xml:space="preserve"> též jménem a na účet poskytovatele identifikačních služeb</w:t>
      </w:r>
      <w:r w:rsidRPr="008F1494">
        <w:rPr>
          <w:b/>
          <w:bCs/>
          <w:sz w:val="24"/>
          <w:u w:val="single"/>
        </w:rPr>
        <w:t>. Poskytovatelem identifikačních služeb se v tomto zákoně rozumí osoba, která není bankou, je oprávněna poskytovat identifikační služby a ve které mají podíl pouze banky nebo pobočky zahraničních bank</w:t>
      </w:r>
      <w:r w:rsidRPr="008F1494">
        <w:rPr>
          <w:b/>
          <w:sz w:val="24"/>
          <w:u w:val="single"/>
        </w:rPr>
        <w:t>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sz w:val="24"/>
        </w:rPr>
      </w:pP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bCs/>
          <w:sz w:val="24"/>
          <w:u w:val="single"/>
          <w:lang w:eastAsia="cs-CZ"/>
        </w:rPr>
        <w:t xml:space="preserve">(2) </w:t>
      </w:r>
      <w:r w:rsidRPr="008F1494">
        <w:rPr>
          <w:b/>
          <w:sz w:val="24"/>
          <w:u w:val="single"/>
        </w:rPr>
        <w:t>Správce národního bodu pro identifikaci a autentizaci podle zákona o elektronické identifikaci</w:t>
      </w:r>
      <w:r w:rsidRPr="008F1494">
        <w:rPr>
          <w:b/>
          <w:sz w:val="24"/>
          <w:u w:val="single"/>
          <w:vertAlign w:val="superscript"/>
        </w:rPr>
        <w:t xml:space="preserve"> </w:t>
      </w:r>
      <w:r w:rsidRPr="008F1494">
        <w:rPr>
          <w:b/>
          <w:sz w:val="24"/>
          <w:u w:val="single"/>
        </w:rPr>
        <w:t>umožní prostřednictvím národního bodu</w:t>
      </w:r>
      <w:r w:rsidRPr="008F1494">
        <w:rPr>
          <w:b/>
          <w:u w:val="single"/>
        </w:rPr>
        <w:t xml:space="preserve"> </w:t>
      </w:r>
      <w:r w:rsidRPr="008F1494">
        <w:rPr>
          <w:b/>
          <w:sz w:val="24"/>
          <w:u w:val="single"/>
        </w:rPr>
        <w:t>pro identifikaci a autentizaci provést elektronickou identifikaci prostředkem pro elektronickou identifikaci</w:t>
      </w:r>
      <w:r w:rsidRPr="008F1494">
        <w:rPr>
          <w:rStyle w:val="Znakapoznpodarou"/>
          <w:b/>
          <w:sz w:val="24"/>
          <w:u w:val="single"/>
        </w:rPr>
        <w:footnoteReference w:customMarkFollows="1" w:id="2"/>
        <w:t>36</w:t>
      </w:r>
      <w:r w:rsidRPr="008F1494">
        <w:rPr>
          <w:b/>
          <w:bCs/>
          <w:sz w:val="24"/>
          <w:u w:val="single"/>
          <w:lang w:eastAsia="cs-CZ"/>
        </w:rPr>
        <w:t xml:space="preserve">) </w:t>
      </w:r>
      <w:r w:rsidRPr="008F1494">
        <w:rPr>
          <w:b/>
          <w:sz w:val="24"/>
          <w:u w:val="single"/>
        </w:rPr>
        <w:t>vydaným bankou, pobočkou zahraniční banky nebo poskytovatelem identifikačních služeb pouze kvalifikovanému poskytovateli</w:t>
      </w:r>
      <w:r w:rsidRPr="008F1494">
        <w:rPr>
          <w:rStyle w:val="Znakapoznpodarou"/>
          <w:b/>
          <w:sz w:val="24"/>
          <w:u w:val="single"/>
        </w:rPr>
        <w:footnoteReference w:customMarkFollows="1" w:id="3"/>
        <w:t>37</w:t>
      </w:r>
      <w:r w:rsidRPr="008F1494">
        <w:rPr>
          <w:b/>
          <w:bCs/>
          <w:sz w:val="24"/>
          <w:u w:val="single"/>
          <w:lang w:eastAsia="cs-CZ"/>
        </w:rPr>
        <w:t>)</w:t>
      </w:r>
      <w:r w:rsidRPr="008F1494">
        <w:rPr>
          <w:b/>
          <w:sz w:val="24"/>
          <w:u w:val="single"/>
        </w:rPr>
        <w:t>, který je státním orgánem nebo územním samosprávným celkem.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>(3) Prostředek pro elektronickou identifikaci vydaný bankou, pobočkou zahraniční banky nebo poskytovatelem identifikačních služeb, který podle potvrzení pověřené osoby podle zákona o elektronické identifikaci splňuje technické specifikace, normy a postupy alespoň pro úroveň záruky značná stanovenou přímo použitelným předpisem Evropské unie upravujícím minimální technické specifikace, normy a postupy pro úrovně záruky prostředků pro elektronickou identifikaci</w:t>
      </w:r>
      <w:r w:rsidRPr="008F1494">
        <w:rPr>
          <w:rStyle w:val="Znakapoznpodarou"/>
          <w:b/>
          <w:sz w:val="24"/>
          <w:u w:val="single"/>
        </w:rPr>
        <w:footnoteReference w:customMarkFollows="1" w:id="4"/>
        <w:t>38</w:t>
      </w:r>
      <w:r w:rsidRPr="008F1494">
        <w:rPr>
          <w:b/>
          <w:sz w:val="24"/>
          <w:u w:val="single"/>
        </w:rPr>
        <w:t>), lze rovněž využít pro účely prokázání totožnosti, které vyžaduje právní předpis nebo výkon působnosti, i pokud není vydáván a používán v rámci kvalifikovaného systému podle zákona o elektronické identifikaci.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</w:p>
    <w:p w:rsidR="00F1040C" w:rsidRPr="008F1494" w:rsidRDefault="00F1040C" w:rsidP="00F1040C">
      <w:pPr>
        <w:autoSpaceDE w:val="0"/>
        <w:autoSpaceDN w:val="0"/>
        <w:adjustRightInd w:val="0"/>
        <w:spacing w:before="0" w:after="0"/>
        <w:jc w:val="center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>§ 38ab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lastRenderedPageBreak/>
        <w:t>(1) Banka, pobočka zahraniční banky nebo poskytovatel identifikačních služeb jsou oprávněni zřídit a spravovat informační systém, který bance, pobočce zahraniční banky nebo poskytovateli identifikačních služeb umožňuje využívat údaje vedené v informačním systému veřejné správy, včetně údajů vedených v základním registru.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sz w:val="24"/>
        </w:rPr>
      </w:pP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bCs/>
          <w:sz w:val="24"/>
          <w:u w:val="single"/>
          <w:lang w:eastAsia="cs-CZ"/>
        </w:rPr>
        <w:t xml:space="preserve">(2) </w:t>
      </w:r>
      <w:r w:rsidRPr="008F1494">
        <w:rPr>
          <w:b/>
          <w:sz w:val="24"/>
          <w:u w:val="single"/>
        </w:rPr>
        <w:t>Banka, pobočka zahraniční banky nebo poskytovatel identifikačních služeb jsou oprávněni oznámit Ministerstvu vnitra vykonávání agendy zapsané v registru práv a povinností, které je v souladu s právy a povinnostmi podle tohoto zákona nebo podle jiných právních předpisů. Ustanovení § 55 až § 57 zákona o základních registrech se použije obdobně. Pokud Ministerstvo vnitra neshledá v oznámení o vykonávání agendy nedostatky, provede nejpozději do 30 dnů registraci banky, pobočky zahraniční banky nebo poskytovatele identifikačních služeb pro výkon agendy.</w:t>
      </w:r>
    </w:p>
    <w:p w:rsidR="00F1040C" w:rsidRPr="008F1494" w:rsidRDefault="00F1040C" w:rsidP="00F1040C">
      <w:pPr>
        <w:autoSpaceDE w:val="0"/>
        <w:autoSpaceDN w:val="0"/>
        <w:adjustRightInd w:val="0"/>
        <w:jc w:val="center"/>
        <w:rPr>
          <w:b/>
          <w:sz w:val="24"/>
          <w:u w:val="single"/>
        </w:rPr>
      </w:pPr>
    </w:p>
    <w:p w:rsidR="00F1040C" w:rsidRPr="008F1494" w:rsidRDefault="00F1040C" w:rsidP="00F1040C">
      <w:pPr>
        <w:autoSpaceDE w:val="0"/>
        <w:autoSpaceDN w:val="0"/>
        <w:adjustRightInd w:val="0"/>
        <w:jc w:val="center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>§ 38ac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>(1) Banka, pobočka zahraniční banky nebo poskytovatel identifikačních služeb jsou oprávněni k plnění svých právních povinností využívat prostřednictvím informačního systému podle § 38ab údaje</w:t>
      </w:r>
    </w:p>
    <w:p w:rsidR="00F1040C" w:rsidRPr="008F1494" w:rsidRDefault="00F1040C" w:rsidP="00F1040C">
      <w:pPr>
        <w:pStyle w:val="Odstavecseseznamem"/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ze základního registru obyvatel,</w:t>
      </w:r>
    </w:p>
    <w:p w:rsidR="00F1040C" w:rsidRPr="008F1494" w:rsidRDefault="00F1040C" w:rsidP="00F1040C">
      <w:pPr>
        <w:pStyle w:val="Odstavecseseznamem"/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z informačního systému evidence obyvatel,</w:t>
      </w:r>
    </w:p>
    <w:p w:rsidR="00F1040C" w:rsidRPr="008F1494" w:rsidRDefault="00F1040C" w:rsidP="00F1040C">
      <w:pPr>
        <w:pStyle w:val="Odstavecseseznamem"/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z informačního systému cizinců,</w:t>
      </w:r>
    </w:p>
    <w:p w:rsidR="00F1040C" w:rsidRPr="008F1494" w:rsidRDefault="00F1040C" w:rsidP="00F1040C">
      <w:pPr>
        <w:pStyle w:val="Odstavecseseznamem"/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 xml:space="preserve">z </w:t>
      </w:r>
      <w:proofErr w:type="spellStart"/>
      <w:r w:rsidRPr="008F1494">
        <w:rPr>
          <w:rFonts w:ascii="Times New Roman" w:hAnsi="Times New Roman"/>
          <w:b/>
          <w:bCs/>
          <w:sz w:val="24"/>
          <w:u w:val="single"/>
        </w:rPr>
        <w:t>agendového</w:t>
      </w:r>
      <w:proofErr w:type="spellEnd"/>
      <w:r w:rsidRPr="008F1494">
        <w:rPr>
          <w:rFonts w:ascii="Times New Roman" w:hAnsi="Times New Roman"/>
          <w:b/>
          <w:bCs/>
          <w:sz w:val="24"/>
          <w:u w:val="single"/>
        </w:rPr>
        <w:t xml:space="preserve"> informačního systému evidence občanských průkazů a</w:t>
      </w:r>
    </w:p>
    <w:p w:rsidR="00F1040C" w:rsidRPr="008F1494" w:rsidRDefault="00F1040C" w:rsidP="00F1040C">
      <w:pPr>
        <w:pStyle w:val="Odstavecseseznamem"/>
        <w:numPr>
          <w:ilvl w:val="0"/>
          <w:numId w:val="6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 xml:space="preserve">z </w:t>
      </w:r>
      <w:proofErr w:type="spellStart"/>
      <w:r w:rsidRPr="008F1494">
        <w:rPr>
          <w:rFonts w:ascii="Times New Roman" w:hAnsi="Times New Roman"/>
          <w:b/>
          <w:bCs/>
          <w:sz w:val="24"/>
          <w:u w:val="single"/>
        </w:rPr>
        <w:t>agendového</w:t>
      </w:r>
      <w:proofErr w:type="spellEnd"/>
      <w:r w:rsidRPr="008F1494">
        <w:rPr>
          <w:rFonts w:ascii="Times New Roman" w:hAnsi="Times New Roman"/>
          <w:b/>
          <w:bCs/>
          <w:sz w:val="24"/>
          <w:u w:val="single"/>
        </w:rPr>
        <w:t xml:space="preserve"> informačního systému evidence cestovních dokladů.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(2) Využívanými údaji podle odstavce 1 písm. a) jsou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jméno, popřípadě jména, příjmení,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adresa místa pobytu, případně též adresa, na kterou mají být doručovány písemnosti,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datum, místo a okres narození, a u subjektu údajů, který se narodil v cizině, datum, místo a stát, kde se narodil,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úmrtí; je-li vydáno rozhodnutí soudu o prohlášení za mrtvého, den, který je v rozhodnutí uveden jako den smrti nebo den, který subjekt údajů prohlášený za mrtvého nepřežil,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státní občanství,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čísla a druhy elektronicky čitelných identifikačních dokladů a</w:t>
      </w:r>
    </w:p>
    <w:p w:rsidR="00F1040C" w:rsidRPr="008F1494" w:rsidRDefault="00F1040C" w:rsidP="00F1040C">
      <w:pPr>
        <w:pStyle w:val="Odstavecseseznamem"/>
        <w:numPr>
          <w:ilvl w:val="0"/>
          <w:numId w:val="7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údaje o elektronické adrese nebo telefonním čísle.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(3) Využívanými údaji podle odstavce 1 písm. b) jsou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jméno, popřípadě jména, příjmení, rodné příjmení,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narození,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pohlaví,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místo a okres narození, a u subjektu údajů, který se narodil v cizině, místo a stát, kde se narodil,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lastRenderedPageBreak/>
        <w:t>rodné číslo,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státní občanství,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adresa místa trvalého pobytu, případně též adresa, na kterou mají být doručovány písemnosti,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nabytí právní moci rozhodnutí soudu o schválení smlouvy o nápomoci nebo zastoupení členem domácnosti včetně čísla jednacího a označení soudu, který smlouvu nebo zastoupení schválil, datum nabytí právní moci rozhodnutí soudu o omezení svéprávnosti včetně čísla jednacího a označení soudu, který o omezení svéprávnosti rozhodl, jméno, popřípadě jména, příjmení a rodné číslo opatrovníka, datum nabytí právní moci rozhodnutí soudu o zrušení omezení svéprávnosti, datum odvolání podpůrce soudem a datum zániku zastoupení členem domácnosti,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úmrtí a</w:t>
      </w:r>
    </w:p>
    <w:p w:rsidR="00F1040C" w:rsidRPr="008F1494" w:rsidRDefault="00F1040C" w:rsidP="00F1040C">
      <w:pPr>
        <w:pStyle w:val="Odstavecseseznamem"/>
        <w:numPr>
          <w:ilvl w:val="0"/>
          <w:numId w:val="8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den, který byl v rozhodnutí soudu o prohlášení za mrtvého uveden jako den smrti nebo den, který subjekt údajů prohlášený za mrtvého nepřežil.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(4) Využívanými údaji podle odstavce 1 písm. c) jsou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jméno, popřípadě jména, příjmení, rodné příjmení,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narození,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pohlaví,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místo a stát nebo okres narození,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rodné číslo,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obrazový záznam,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státní občanství, popřípadě více státních občanství,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adresa místa pobytu,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nabytí právní moci rozhodnutí soudu o omezení svéprávnosti včetně čísla jednacího a označení soudu, který rozhodl o omezení svéprávnosti,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úmrtí a</w:t>
      </w:r>
    </w:p>
    <w:p w:rsidR="00F1040C" w:rsidRPr="008F1494" w:rsidRDefault="00F1040C" w:rsidP="00F1040C">
      <w:pPr>
        <w:pStyle w:val="Odstavecseseznamem"/>
        <w:numPr>
          <w:ilvl w:val="0"/>
          <w:numId w:val="9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den, který byl v rozhodnutí soudu o prohlášení za mrtvého uveden jako den smrti nebo den, který subjekt údajů prohlášený za mrtvého nepřežil.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(5) Využívanými údaji podle odstavce 1 písm. d) jsou</w:t>
      </w:r>
    </w:p>
    <w:p w:rsidR="00F1040C" w:rsidRPr="008F1494" w:rsidRDefault="00F1040C" w:rsidP="00F1040C">
      <w:pPr>
        <w:pStyle w:val="Odstavecseseznamem"/>
        <w:numPr>
          <w:ilvl w:val="0"/>
          <w:numId w:val="10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číslo občanského průkazu,</w:t>
      </w:r>
    </w:p>
    <w:p w:rsidR="00F1040C" w:rsidRPr="008F1494" w:rsidRDefault="00F1040C" w:rsidP="00F1040C">
      <w:pPr>
        <w:pStyle w:val="Odstavecseseznamem"/>
        <w:numPr>
          <w:ilvl w:val="0"/>
          <w:numId w:val="10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vydání občanského průkazu,</w:t>
      </w:r>
    </w:p>
    <w:p w:rsidR="00F1040C" w:rsidRPr="008F1494" w:rsidRDefault="00F1040C" w:rsidP="00F1040C">
      <w:pPr>
        <w:pStyle w:val="Odstavecseseznamem"/>
        <w:numPr>
          <w:ilvl w:val="0"/>
          <w:numId w:val="10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označení úřadu, který občanský průkaz vydal,</w:t>
      </w:r>
    </w:p>
    <w:p w:rsidR="00F1040C" w:rsidRPr="008F1494" w:rsidRDefault="00F1040C" w:rsidP="00F1040C">
      <w:pPr>
        <w:pStyle w:val="Odstavecseseznamem"/>
        <w:numPr>
          <w:ilvl w:val="0"/>
          <w:numId w:val="10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skončení platnosti občanského průkazu a</w:t>
      </w:r>
    </w:p>
    <w:p w:rsidR="00F1040C" w:rsidRPr="008F1494" w:rsidRDefault="00F1040C" w:rsidP="00F1040C">
      <w:pPr>
        <w:pStyle w:val="Odstavecseseznamem"/>
        <w:numPr>
          <w:ilvl w:val="0"/>
          <w:numId w:val="10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digitální zpracování podoby občana.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(6) Využívanými údaji podle odstavce 1 písm. e) jsou</w:t>
      </w:r>
    </w:p>
    <w:p w:rsidR="00F1040C" w:rsidRPr="008F1494" w:rsidRDefault="00F1040C" w:rsidP="00F1040C">
      <w:pPr>
        <w:pStyle w:val="Odstavecseseznamem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číslo a druh cestovního dokladu,</w:t>
      </w:r>
    </w:p>
    <w:p w:rsidR="00F1040C" w:rsidRPr="008F1494" w:rsidRDefault="00F1040C" w:rsidP="00F1040C">
      <w:pPr>
        <w:pStyle w:val="Odstavecseseznamem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vydání cestovního dokladu,</w:t>
      </w:r>
    </w:p>
    <w:p w:rsidR="00F1040C" w:rsidRPr="008F1494" w:rsidRDefault="00F1040C" w:rsidP="00F1040C">
      <w:pPr>
        <w:pStyle w:val="Odstavecseseznamem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datum skončení platnosti cestovního dokladu,</w:t>
      </w:r>
    </w:p>
    <w:p w:rsidR="00F1040C" w:rsidRPr="008F1494" w:rsidRDefault="00F1040C" w:rsidP="00F1040C">
      <w:pPr>
        <w:pStyle w:val="Odstavecseseznamem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lastRenderedPageBreak/>
        <w:t>označení orgánu, který cestovní doklad vydal, a</w:t>
      </w:r>
    </w:p>
    <w:p w:rsidR="00F1040C" w:rsidRPr="008F1494" w:rsidRDefault="00F1040C" w:rsidP="00F1040C">
      <w:pPr>
        <w:pStyle w:val="Odstavecseseznamem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1134" w:hanging="567"/>
        <w:contextualSpacing w:val="0"/>
        <w:jc w:val="both"/>
        <w:rPr>
          <w:rFonts w:ascii="Times New Roman" w:hAnsi="Times New Roman"/>
          <w:b/>
          <w:bCs/>
          <w:sz w:val="24"/>
          <w:u w:val="single"/>
        </w:rPr>
      </w:pPr>
      <w:r w:rsidRPr="008F1494">
        <w:rPr>
          <w:rFonts w:ascii="Times New Roman" w:hAnsi="Times New Roman"/>
          <w:b/>
          <w:bCs/>
          <w:sz w:val="24"/>
          <w:u w:val="single"/>
        </w:rPr>
        <w:t>digitální zpracování fotografie držitele cestovního dokladu.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(7) Údaje, které jsou vedeny jako referenční údaje v základním registru obyvatel, se využijí z informačního systému evidence obyvatel, informačního systému cizinců,</w:t>
      </w:r>
      <w:r w:rsidRPr="008F1494">
        <w:t xml:space="preserve"> </w:t>
      </w:r>
      <w:proofErr w:type="spellStart"/>
      <w:r w:rsidRPr="008F1494">
        <w:rPr>
          <w:b/>
          <w:bCs/>
          <w:sz w:val="24"/>
          <w:u w:val="single"/>
          <w:lang w:eastAsia="cs-CZ"/>
        </w:rPr>
        <w:t>agendového</w:t>
      </w:r>
      <w:proofErr w:type="spellEnd"/>
      <w:r w:rsidRPr="008F1494">
        <w:rPr>
          <w:b/>
          <w:bCs/>
          <w:sz w:val="24"/>
          <w:u w:val="single"/>
          <w:lang w:eastAsia="cs-CZ"/>
        </w:rPr>
        <w:t xml:space="preserve"> informačního systému evidence občanských průkazů nebo </w:t>
      </w:r>
      <w:proofErr w:type="spellStart"/>
      <w:r w:rsidRPr="008F1494">
        <w:rPr>
          <w:b/>
          <w:bCs/>
          <w:sz w:val="24"/>
          <w:u w:val="single"/>
          <w:lang w:eastAsia="cs-CZ"/>
        </w:rPr>
        <w:t>agendového</w:t>
      </w:r>
      <w:proofErr w:type="spellEnd"/>
      <w:r w:rsidRPr="008F1494">
        <w:rPr>
          <w:b/>
          <w:bCs/>
          <w:sz w:val="24"/>
          <w:u w:val="single"/>
          <w:lang w:eastAsia="cs-CZ"/>
        </w:rPr>
        <w:t xml:space="preserve"> informačního systému evidence cestovních dokladů, pouze pokud jsou ve tvaru předcházejícím současný stav.</w:t>
      </w:r>
    </w:p>
    <w:p w:rsidR="00F1040C" w:rsidRPr="008F1494" w:rsidRDefault="00F1040C" w:rsidP="00F1040C">
      <w:pPr>
        <w:autoSpaceDE w:val="0"/>
        <w:autoSpaceDN w:val="0"/>
        <w:adjustRightInd w:val="0"/>
        <w:ind w:firstLine="567"/>
        <w:rPr>
          <w:b/>
          <w:bCs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(8) Z údajů uvedených v odstavcích 2 až 6 lze v konkrétním případě využít vždy jen takové údaje, které jsou v dané věci nezbytné.</w:t>
      </w:r>
    </w:p>
    <w:p w:rsidR="00F1040C" w:rsidRPr="008F1494" w:rsidRDefault="00F1040C" w:rsidP="00F1040C">
      <w:pPr>
        <w:spacing w:before="0" w:after="0"/>
        <w:rPr>
          <w:bCs/>
          <w:sz w:val="24"/>
          <w:lang w:eastAsia="cs-CZ"/>
        </w:rPr>
      </w:pPr>
    </w:p>
    <w:p w:rsidR="00F1040C" w:rsidRPr="008F1494" w:rsidRDefault="00F1040C" w:rsidP="00F1040C">
      <w:pPr>
        <w:spacing w:before="0" w:after="0"/>
        <w:rPr>
          <w:sz w:val="24"/>
        </w:rPr>
      </w:pPr>
    </w:p>
    <w:p w:rsidR="00F1040C" w:rsidRPr="008F1494" w:rsidRDefault="00F1040C" w:rsidP="00F1040C">
      <w:pPr>
        <w:spacing w:before="0" w:after="0"/>
        <w:rPr>
          <w:sz w:val="24"/>
        </w:rPr>
      </w:pPr>
    </w:p>
    <w:p w:rsidR="00F1040C" w:rsidRPr="008F1494" w:rsidRDefault="00F1040C" w:rsidP="00F1040C">
      <w:pPr>
        <w:spacing w:before="0" w:after="0"/>
        <w:rPr>
          <w:sz w:val="24"/>
        </w:rPr>
      </w:pPr>
    </w:p>
    <w:p w:rsidR="00F1040C" w:rsidRPr="008F1494" w:rsidRDefault="00F1040C" w:rsidP="00F1040C">
      <w:pPr>
        <w:spacing w:before="0" w:after="0"/>
        <w:rPr>
          <w:sz w:val="24"/>
        </w:rPr>
      </w:pPr>
      <w:r w:rsidRPr="008F1494">
        <w:rPr>
          <w:sz w:val="24"/>
        </w:rPr>
        <w:t>II. PLATNÉ ZNĚNÍ ZÁKONA Č</w:t>
      </w:r>
      <w:r w:rsidRPr="008F1494">
        <w:rPr>
          <w:caps/>
          <w:sz w:val="24"/>
        </w:rPr>
        <w:t>. 253/2008 Sb., o některých opatřeních proti legalizaci výnosů z trestné činnosti a financování terorismu, ve znění</w:t>
      </w:r>
      <w:r w:rsidRPr="008F1494">
        <w:rPr>
          <w:sz w:val="24"/>
        </w:rPr>
        <w:t xml:space="preserve"> POZDĚJŠÍCH PŘEDPISŮ, S VYZNAČENÍM NAVRHOVANÝCH ZMĚN A DOPLNĚNÍ</w:t>
      </w:r>
    </w:p>
    <w:p w:rsidR="00F1040C" w:rsidRPr="008F1494" w:rsidRDefault="00F1040C" w:rsidP="00F1040C">
      <w:pPr>
        <w:spacing w:before="0" w:after="0"/>
        <w:jc w:val="center"/>
        <w:rPr>
          <w:sz w:val="24"/>
        </w:rPr>
      </w:pPr>
    </w:p>
    <w:p w:rsidR="00F1040C" w:rsidRPr="008F1494" w:rsidRDefault="00F1040C" w:rsidP="00F1040C">
      <w:pPr>
        <w:jc w:val="center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>§</w:t>
      </w:r>
      <w:r w:rsidRPr="008F1494">
        <w:rPr>
          <w:b/>
          <w:bCs/>
          <w:sz w:val="24"/>
          <w:u w:val="single"/>
          <w:lang w:eastAsia="cs-CZ"/>
        </w:rPr>
        <w:t> 11a</w:t>
      </w:r>
      <w:r w:rsidRPr="008F1494">
        <w:rPr>
          <w:b/>
          <w:bCs/>
          <w:sz w:val="24"/>
          <w:u w:val="single"/>
          <w:lang w:eastAsia="cs-CZ"/>
        </w:rPr>
        <w:br/>
        <w:t>Elektronická</w:t>
      </w:r>
      <w:r w:rsidRPr="008F1494">
        <w:rPr>
          <w:b/>
          <w:sz w:val="24"/>
          <w:u w:val="single"/>
        </w:rPr>
        <w:t xml:space="preserve"> identifikace</w:t>
      </w:r>
    </w:p>
    <w:p w:rsidR="00F1040C" w:rsidRPr="008F1494" w:rsidRDefault="00F1040C" w:rsidP="00F1040C">
      <w:pPr>
        <w:ind w:firstLine="567"/>
        <w:rPr>
          <w:b/>
          <w:sz w:val="24"/>
          <w:u w:val="single"/>
        </w:rPr>
      </w:pPr>
      <w:r w:rsidRPr="008F1494">
        <w:rPr>
          <w:b/>
          <w:sz w:val="24"/>
          <w:u w:val="single"/>
        </w:rPr>
        <w:t xml:space="preserve">(1) Povinná osoba může bez fyzické přítomnosti klienta, který je fyzickou osobou, nebo </w:t>
      </w:r>
      <w:r w:rsidRPr="008F1494">
        <w:rPr>
          <w:b/>
          <w:bCs/>
          <w:sz w:val="24"/>
          <w:u w:val="single"/>
          <w:lang w:eastAsia="cs-CZ"/>
        </w:rPr>
        <w:t xml:space="preserve">bez fyzické přítomnosti </w:t>
      </w:r>
      <w:r w:rsidRPr="008F1494">
        <w:rPr>
          <w:b/>
          <w:sz w:val="24"/>
          <w:u w:val="single"/>
        </w:rPr>
        <w:t>fyzické osoby jednající za klienta provést identifikaci klienta prostřednictvím</w:t>
      </w:r>
    </w:p>
    <w:p w:rsidR="00F1040C" w:rsidRPr="008F1494" w:rsidRDefault="00F1040C" w:rsidP="00F1040C">
      <w:pPr>
        <w:numPr>
          <w:ilvl w:val="0"/>
          <w:numId w:val="1"/>
        </w:numPr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prostředku pro elektronickou identifikaci, který splňuje technické specifikace, normy a postupy pro vysokou úroveň záruky stanovené přímo použitelným předpisem Evropské unie upravujícím minimální technické specifikace, normy a postupy pro úrovně záruky prostředků pro elektronickou identifikaci</w:t>
      </w:r>
      <w:r w:rsidRPr="008F1494">
        <w:rPr>
          <w:rStyle w:val="Znakapoznpodarou"/>
          <w:b/>
          <w:sz w:val="24"/>
          <w:u w:val="single"/>
          <w:lang w:eastAsia="cs-CZ"/>
        </w:rPr>
        <w:footnoteReference w:customMarkFollows="1" w:id="5"/>
        <w:t>40)</w:t>
      </w:r>
      <w:r w:rsidRPr="008F1494">
        <w:rPr>
          <w:b/>
          <w:sz w:val="24"/>
          <w:u w:val="single"/>
          <w:vertAlign w:val="superscript"/>
        </w:rPr>
        <w:t xml:space="preserve"> </w:t>
      </w:r>
      <w:r w:rsidRPr="008F1494">
        <w:rPr>
          <w:b/>
          <w:sz w:val="24"/>
          <w:u w:val="single"/>
          <w:lang w:eastAsia="cs-CZ"/>
        </w:rPr>
        <w:t xml:space="preserve">(dále jen „příslušný předpis Evropské unie“) a který je vydáván a používán v rámci kvalifikovaného systému podle zákona o elektronické identifikaci, </w:t>
      </w:r>
    </w:p>
    <w:p w:rsidR="00F1040C" w:rsidRPr="008F1494" w:rsidRDefault="00F1040C" w:rsidP="00F1040C">
      <w:pPr>
        <w:numPr>
          <w:ilvl w:val="0"/>
          <w:numId w:val="1"/>
        </w:numPr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prostředku pro elektronickou identifikaci, který byl platně oznámen postupem podle přímo použitelného předpisu Evropské unie upravujícího elektronickou identifikaci a služby vytvářející důvěru pro elektronické transakce na vnitřním trhu</w:t>
      </w:r>
      <w:r w:rsidRPr="008F1494">
        <w:rPr>
          <w:b/>
          <w:sz w:val="24"/>
          <w:u w:val="single"/>
          <w:vertAlign w:val="superscript"/>
          <w:lang w:eastAsia="cs-CZ"/>
        </w:rPr>
        <w:t>30</w:t>
      </w:r>
      <w:r w:rsidRPr="008F1494">
        <w:rPr>
          <w:b/>
          <w:sz w:val="24"/>
          <w:u w:val="single"/>
          <w:lang w:eastAsia="cs-CZ"/>
        </w:rPr>
        <w:t>) a který splňuje technické specifikace, normy a postupy stanovené příslušným předpisem Evropské unie pro vysokou úroveň záruky,</w:t>
      </w:r>
    </w:p>
    <w:p w:rsidR="00F1040C" w:rsidRPr="008F1494" w:rsidRDefault="00F1040C" w:rsidP="00F1040C">
      <w:pPr>
        <w:numPr>
          <w:ilvl w:val="0"/>
          <w:numId w:val="1"/>
        </w:numPr>
        <w:ind w:left="1134" w:hanging="567"/>
        <w:rPr>
          <w:b/>
          <w:bCs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prostředku pro elektronickou identifikaci, který podle potvrzení pověřené osoby podle zákona o elektronické identifikaci</w:t>
      </w:r>
      <w:r w:rsidRPr="008F1494">
        <w:rPr>
          <w:b/>
          <w:sz w:val="24"/>
          <w:u w:val="single"/>
        </w:rPr>
        <w:t xml:space="preserve"> </w:t>
      </w:r>
      <w:r w:rsidRPr="008F1494">
        <w:rPr>
          <w:b/>
          <w:sz w:val="24"/>
          <w:u w:val="single"/>
          <w:lang w:eastAsia="cs-CZ"/>
        </w:rPr>
        <w:t>splňuje technické specifikace, normy a postupy stanovené příslušným předpisem Evropské unie pro úroveň záruky alespoň značnou (dále jen „uznaný prostředek“) a který byl vydán bankou nebo pobočkou zahraniční banky, nebo</w:t>
      </w:r>
    </w:p>
    <w:p w:rsidR="00F1040C" w:rsidRPr="008F1494" w:rsidRDefault="00F1040C" w:rsidP="00F1040C">
      <w:pPr>
        <w:numPr>
          <w:ilvl w:val="0"/>
          <w:numId w:val="1"/>
        </w:numPr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lastRenderedPageBreak/>
        <w:t>uznaného prostředku, který byl vydán poskytovatelem identifikačních služeb podle zákona o bankách</w:t>
      </w:r>
      <w:r w:rsidRPr="008F1494">
        <w:rPr>
          <w:rStyle w:val="Znakapoznpodarou"/>
          <w:b/>
          <w:sz w:val="24"/>
          <w:u w:val="single"/>
          <w:lang w:eastAsia="cs-CZ"/>
        </w:rPr>
        <w:footnoteReference w:customMarkFollows="1" w:id="6"/>
        <w:t>41</w:t>
      </w:r>
      <w:r w:rsidRPr="008F1494">
        <w:rPr>
          <w:b/>
          <w:sz w:val="24"/>
          <w:u w:val="single"/>
          <w:lang w:eastAsia="cs-CZ"/>
        </w:rPr>
        <w:t>).</w:t>
      </w:r>
    </w:p>
    <w:p w:rsidR="00F1040C" w:rsidRPr="008F1494" w:rsidRDefault="00F1040C" w:rsidP="00F1040C">
      <w:pPr>
        <w:pStyle w:val="Text1"/>
        <w:ind w:left="0" w:firstLine="567"/>
        <w:rPr>
          <w:b/>
          <w:bCs/>
          <w:sz w:val="24"/>
          <w:szCs w:val="24"/>
          <w:u w:val="single"/>
          <w:lang w:eastAsia="cs-CZ"/>
        </w:rPr>
      </w:pPr>
      <w:r w:rsidRPr="008F1494">
        <w:rPr>
          <w:b/>
          <w:bCs/>
          <w:sz w:val="24"/>
          <w:szCs w:val="24"/>
          <w:u w:val="single"/>
          <w:lang w:eastAsia="cs-CZ"/>
        </w:rPr>
        <w:t>(2) Banka nebo pobočka zahraniční banky může vydat uznaný prostředek, pouze pokud ověřila identifikační údaje klienta v informačním systému veřejné správy a</w:t>
      </w:r>
    </w:p>
    <w:p w:rsidR="00F1040C" w:rsidRPr="008F1494" w:rsidRDefault="00F1040C" w:rsidP="00F1040C">
      <w:pPr>
        <w:numPr>
          <w:ilvl w:val="0"/>
          <w:numId w:val="2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identifikovala klienta postupem podle tohoto zákona za fyzické přítomnosti identifikovaného, nebo</w:t>
      </w:r>
    </w:p>
    <w:p w:rsidR="00F1040C" w:rsidRPr="008F1494" w:rsidRDefault="00F1040C" w:rsidP="00F1040C">
      <w:pPr>
        <w:numPr>
          <w:ilvl w:val="0"/>
          <w:numId w:val="2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identifikovala klienta prostřednictvím prostředku pro elektronickou identifikaci uvedeného v odstavci 1 písm. a) nebo c).</w:t>
      </w:r>
    </w:p>
    <w:p w:rsidR="00F1040C" w:rsidRPr="008F1494" w:rsidRDefault="00F1040C" w:rsidP="00F1040C">
      <w:pPr>
        <w:pStyle w:val="Text1"/>
        <w:ind w:left="0" w:firstLine="567"/>
        <w:rPr>
          <w:b/>
          <w:bCs/>
          <w:sz w:val="24"/>
          <w:szCs w:val="24"/>
          <w:u w:val="single"/>
          <w:lang w:eastAsia="cs-CZ"/>
        </w:rPr>
      </w:pPr>
      <w:r w:rsidRPr="008F1494">
        <w:rPr>
          <w:b/>
          <w:bCs/>
          <w:sz w:val="24"/>
          <w:szCs w:val="24"/>
          <w:u w:val="single"/>
          <w:lang w:eastAsia="cs-CZ"/>
        </w:rPr>
        <w:t>(3) Poskytovatel identifikačních služeb podle zákona o bankách může vydat uznaný prostředek, pouze pokud ověřil identifikační údaje klienta v informačním systému veřejné správy a</w:t>
      </w:r>
    </w:p>
    <w:p w:rsidR="00F1040C" w:rsidRPr="008F1494" w:rsidRDefault="00F1040C" w:rsidP="00F1040C">
      <w:pPr>
        <w:numPr>
          <w:ilvl w:val="0"/>
          <w:numId w:val="3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ověřil totožnost klienta postupem podle tohoto zákona za fyzické přítomnosti identifikovaného, nebo</w:t>
      </w:r>
    </w:p>
    <w:p w:rsidR="00F1040C" w:rsidRPr="008F1494" w:rsidRDefault="00F1040C" w:rsidP="00F1040C">
      <w:pPr>
        <w:numPr>
          <w:ilvl w:val="0"/>
          <w:numId w:val="3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ověřil totožnost klienta prostřednictvím prostředku pro elektronickou identifikaci uvedeného v odstavci 1 písm. a) nebo c).</w:t>
      </w:r>
    </w:p>
    <w:p w:rsidR="00F1040C" w:rsidRPr="008F1494" w:rsidRDefault="00F1040C" w:rsidP="00F1040C">
      <w:pPr>
        <w:pStyle w:val="Text1"/>
        <w:ind w:left="0" w:firstLine="567"/>
        <w:rPr>
          <w:b/>
          <w:bCs/>
          <w:sz w:val="24"/>
          <w:szCs w:val="24"/>
          <w:u w:val="single"/>
          <w:lang w:eastAsia="cs-CZ"/>
        </w:rPr>
      </w:pPr>
      <w:r w:rsidRPr="008F1494">
        <w:rPr>
          <w:b/>
          <w:bCs/>
          <w:sz w:val="24"/>
          <w:szCs w:val="24"/>
          <w:u w:val="single"/>
          <w:lang w:eastAsia="cs-CZ"/>
        </w:rPr>
        <w:t>(4) Identifikaci klienta prostřednictvím uznaného prostředku podle odstavce 1 písm. c) je možné provést pouze</w:t>
      </w:r>
    </w:p>
    <w:p w:rsidR="00F1040C" w:rsidRPr="008F1494" w:rsidRDefault="00F1040C" w:rsidP="00F1040C">
      <w:pPr>
        <w:numPr>
          <w:ilvl w:val="0"/>
          <w:numId w:val="4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 xml:space="preserve">u banky nebo pobočky zahraniční banky, která uznaný prostředek vydala, nebo </w:t>
      </w:r>
    </w:p>
    <w:p w:rsidR="00F1040C" w:rsidRPr="008F1494" w:rsidRDefault="00F1040C" w:rsidP="00F1040C">
      <w:pPr>
        <w:numPr>
          <w:ilvl w:val="0"/>
          <w:numId w:val="4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 xml:space="preserve">u </w:t>
      </w:r>
      <w:r w:rsidRPr="008F1494">
        <w:rPr>
          <w:b/>
          <w:sz w:val="24"/>
          <w:u w:val="single"/>
        </w:rPr>
        <w:t>poskytovatele identifikačních služeb</w:t>
      </w:r>
      <w:r w:rsidRPr="008F1494">
        <w:rPr>
          <w:b/>
          <w:sz w:val="24"/>
          <w:u w:val="single"/>
          <w:lang w:eastAsia="cs-CZ"/>
        </w:rPr>
        <w:t xml:space="preserve"> podle zákona o bankách</w:t>
      </w:r>
      <w:r w:rsidRPr="008F1494">
        <w:rPr>
          <w:b/>
          <w:bCs/>
          <w:sz w:val="24"/>
          <w:u w:val="single"/>
          <w:lang w:eastAsia="cs-CZ"/>
        </w:rPr>
        <w:t xml:space="preserve">, pokud je totožnost potvrzena </w:t>
      </w:r>
      <w:r w:rsidRPr="008F1494">
        <w:rPr>
          <w:b/>
          <w:sz w:val="24"/>
          <w:u w:val="single"/>
          <w:lang w:eastAsia="cs-CZ"/>
        </w:rPr>
        <w:t>bankou nebo pobočkou zahraniční banky, která uznaný prostředek vydala.</w:t>
      </w:r>
      <w:r w:rsidRPr="008F1494">
        <w:rPr>
          <w:b/>
          <w:bCs/>
          <w:sz w:val="24"/>
          <w:u w:val="single"/>
          <w:lang w:eastAsia="cs-CZ"/>
        </w:rPr>
        <w:t xml:space="preserve"> </w:t>
      </w:r>
    </w:p>
    <w:p w:rsidR="00F1040C" w:rsidRPr="008F1494" w:rsidRDefault="00F1040C" w:rsidP="00F1040C">
      <w:pPr>
        <w:pStyle w:val="Text1"/>
        <w:ind w:left="0" w:firstLine="567"/>
        <w:rPr>
          <w:b/>
          <w:bCs/>
          <w:sz w:val="24"/>
          <w:szCs w:val="24"/>
          <w:u w:val="single"/>
          <w:lang w:eastAsia="cs-CZ"/>
        </w:rPr>
      </w:pPr>
      <w:r w:rsidRPr="008F1494">
        <w:rPr>
          <w:b/>
          <w:bCs/>
          <w:sz w:val="24"/>
          <w:szCs w:val="24"/>
          <w:u w:val="single"/>
          <w:lang w:eastAsia="cs-CZ"/>
        </w:rPr>
        <w:t xml:space="preserve">(5) Povinná osoba, která provede identifikaci klienta postupem podle odstavce 1 písm. c) nebo d), </w:t>
      </w:r>
    </w:p>
    <w:p w:rsidR="00F1040C" w:rsidRPr="008F1494" w:rsidRDefault="00F1040C" w:rsidP="00F1040C">
      <w:pPr>
        <w:numPr>
          <w:ilvl w:val="0"/>
          <w:numId w:val="5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bCs/>
          <w:sz w:val="24"/>
          <w:u w:val="single"/>
          <w:lang w:eastAsia="cs-CZ"/>
        </w:rPr>
        <w:t>musí mít zajištěno poskytnutí informace o tom, kdo provedl identifikaci klienta za fyzické přítomnosti</w:t>
      </w:r>
      <w:r w:rsidRPr="008F1494">
        <w:rPr>
          <w:b/>
          <w:sz w:val="24"/>
          <w:u w:val="single"/>
          <w:lang w:eastAsia="cs-CZ"/>
        </w:rPr>
        <w:t xml:space="preserve"> identifikovaného nebo podle odstavce 1 písm. a) a </w:t>
      </w:r>
    </w:p>
    <w:p w:rsidR="00F1040C" w:rsidRPr="008F1494" w:rsidRDefault="00F1040C" w:rsidP="00F1040C">
      <w:pPr>
        <w:numPr>
          <w:ilvl w:val="0"/>
          <w:numId w:val="5"/>
        </w:numPr>
        <w:tabs>
          <w:tab w:val="left" w:pos="1134"/>
        </w:tabs>
        <w:ind w:left="1134" w:hanging="567"/>
        <w:rPr>
          <w:b/>
          <w:sz w:val="24"/>
          <w:u w:val="single"/>
          <w:lang w:eastAsia="cs-CZ"/>
        </w:rPr>
      </w:pPr>
      <w:r w:rsidRPr="008F1494">
        <w:rPr>
          <w:b/>
          <w:sz w:val="24"/>
          <w:u w:val="single"/>
          <w:lang w:eastAsia="cs-CZ"/>
        </w:rPr>
        <w:t>nemá povinnost podle § 16 odst. 1 písm. c).</w:t>
      </w:r>
    </w:p>
    <w:p w:rsidR="00F1040C" w:rsidRPr="008F1494" w:rsidRDefault="00F1040C" w:rsidP="00F1040C">
      <w:pPr>
        <w:widowControl w:val="0"/>
        <w:ind w:firstLine="567"/>
        <w:rPr>
          <w:b/>
          <w:sz w:val="24"/>
          <w:u w:val="single"/>
        </w:rPr>
      </w:pPr>
      <w:r w:rsidRPr="008F1494">
        <w:rPr>
          <w:b/>
          <w:bCs/>
          <w:sz w:val="24"/>
          <w:u w:val="single"/>
          <w:lang w:eastAsia="cs-CZ"/>
        </w:rPr>
        <w:t xml:space="preserve">(6) Banka, pobočka zahraniční banky a poskytovatel identifikačních služeb nemají povinnost ověřit identifikační údaje klienta v informačním systému veřejné správy podle odstavce </w:t>
      </w:r>
      <w:r>
        <w:rPr>
          <w:b/>
          <w:bCs/>
          <w:sz w:val="24"/>
          <w:u w:val="single"/>
          <w:lang w:eastAsia="cs-CZ"/>
        </w:rPr>
        <w:t>2</w:t>
      </w:r>
      <w:r w:rsidRPr="008F1494">
        <w:rPr>
          <w:b/>
          <w:bCs/>
          <w:sz w:val="24"/>
          <w:u w:val="single"/>
          <w:lang w:eastAsia="cs-CZ"/>
        </w:rPr>
        <w:t xml:space="preserve"> a </w:t>
      </w:r>
      <w:r>
        <w:rPr>
          <w:b/>
          <w:bCs/>
          <w:sz w:val="24"/>
          <w:u w:val="single"/>
          <w:lang w:eastAsia="cs-CZ"/>
        </w:rPr>
        <w:t>3</w:t>
      </w:r>
      <w:r w:rsidRPr="008F1494">
        <w:rPr>
          <w:b/>
          <w:bCs/>
          <w:sz w:val="24"/>
          <w:u w:val="single"/>
          <w:lang w:eastAsia="cs-CZ"/>
        </w:rPr>
        <w:t xml:space="preserve"> po dobu, kdy jim není umožněn přístup do informačních systémů veřejné správy prostřednictvím vlastního informačního systému podle zákona o bankách</w:t>
      </w:r>
      <w:r w:rsidRPr="008F1494">
        <w:rPr>
          <w:rStyle w:val="Znakapoznpodarou"/>
          <w:b/>
          <w:bCs/>
          <w:sz w:val="24"/>
          <w:u w:val="single"/>
          <w:lang w:eastAsia="cs-CZ"/>
        </w:rPr>
        <w:footnoteReference w:customMarkFollows="1" w:id="7"/>
        <w:t>42</w:t>
      </w:r>
      <w:r w:rsidRPr="008F1494">
        <w:rPr>
          <w:b/>
          <w:bCs/>
          <w:sz w:val="24"/>
          <w:u w:val="single"/>
          <w:lang w:eastAsia="cs-CZ"/>
        </w:rPr>
        <w:t>), a po dobu jednoho roku ode dne, kdy tento přístup bude umožněn poprvé.</w:t>
      </w:r>
    </w:p>
    <w:p w:rsidR="00F1040C" w:rsidRPr="008F1494" w:rsidRDefault="00F1040C" w:rsidP="00F1040C">
      <w:pPr>
        <w:spacing w:before="0" w:after="0"/>
        <w:jc w:val="center"/>
        <w:rPr>
          <w:sz w:val="24"/>
        </w:rPr>
      </w:pPr>
    </w:p>
    <w:p w:rsidR="00F1040C" w:rsidRPr="008F1494" w:rsidRDefault="00F1040C" w:rsidP="00F1040C">
      <w:pPr>
        <w:jc w:val="center"/>
        <w:rPr>
          <w:sz w:val="24"/>
        </w:rPr>
      </w:pPr>
      <w:r w:rsidRPr="008F1494">
        <w:rPr>
          <w:sz w:val="24"/>
        </w:rPr>
        <w:t>§ 28</w:t>
      </w:r>
    </w:p>
    <w:p w:rsidR="00F1040C" w:rsidRPr="008F1494" w:rsidRDefault="00F1040C" w:rsidP="00F1040C">
      <w:pPr>
        <w:jc w:val="center"/>
        <w:rPr>
          <w:b/>
          <w:sz w:val="24"/>
        </w:rPr>
      </w:pPr>
      <w:r w:rsidRPr="008F1494">
        <w:rPr>
          <w:b/>
          <w:sz w:val="24"/>
        </w:rPr>
        <w:t>Zvláštní ustanovení</w:t>
      </w:r>
      <w:r w:rsidRPr="008F1494">
        <w:rPr>
          <w:sz w:val="24"/>
        </w:rPr>
        <w:t xml:space="preserve"> o </w:t>
      </w:r>
      <w:r w:rsidRPr="008F1494">
        <w:rPr>
          <w:b/>
          <w:sz w:val="24"/>
        </w:rPr>
        <w:t>platbách v hotovosti</w:t>
      </w:r>
    </w:p>
    <w:p w:rsidR="00F1040C" w:rsidRPr="008F1494" w:rsidRDefault="00F1040C" w:rsidP="00F1040C">
      <w:pPr>
        <w:ind w:firstLine="567"/>
        <w:rPr>
          <w:sz w:val="24"/>
        </w:rPr>
      </w:pPr>
      <w:r w:rsidRPr="008F1494">
        <w:rPr>
          <w:sz w:val="24"/>
        </w:rPr>
        <w:t>Podnikatel a právnická osoba uvedená v § 2 odst. 2 písm. d), pokud se povinnou osobou stává pouze tehdy, jestliže uskutečňuje obchod v hotovosti ve výši 10000 EUR nebo vyšší, má v rámci tohoto jednotlivého obchodu povinnost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lastRenderedPageBreak/>
        <w:t>a) </w:t>
      </w:r>
      <w:r w:rsidRPr="008F1494">
        <w:rPr>
          <w:sz w:val="24"/>
        </w:rPr>
        <w:tab/>
        <w:t xml:space="preserve">provést identifikaci klienta podle § 8, popřípadě ji nahradit identifikací podle </w:t>
      </w:r>
      <w:r w:rsidRPr="008F1494">
        <w:rPr>
          <w:b/>
          <w:sz w:val="24"/>
          <w:u w:val="single"/>
        </w:rPr>
        <w:t>§ 10, 11 nebo 11a</w:t>
      </w:r>
      <w:r w:rsidRPr="008F1494">
        <w:rPr>
          <w:sz w:val="24"/>
        </w:rPr>
        <w:t>, pokud se na tento obchod nebo na klienta nevztahuje možnost zjednodušeného postupu podle § 13 nebo výjimka podle § 13a,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b) </w:t>
      </w:r>
      <w:r w:rsidRPr="008F1494">
        <w:rPr>
          <w:sz w:val="24"/>
        </w:rPr>
        <w:tab/>
        <w:t>odmítnout uskutečnění obchodu, jestliže má pochybnosti o pravdivosti získaných identifikačních údajů o klientovi, jestliže se klient odmítne podrobit identifikaci nebo odmítne doložit plnou moc podle § 8 odst. 4; o této skutečnosti současně informuje Úřad,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c) </w:t>
      </w:r>
      <w:r w:rsidRPr="008F1494">
        <w:rPr>
          <w:sz w:val="24"/>
        </w:rPr>
        <w:tab/>
        <w:t>provádět kontrolu klienta podle § 9 odst. 2,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d) </w:t>
      </w:r>
      <w:r w:rsidRPr="008F1494">
        <w:rPr>
          <w:sz w:val="24"/>
        </w:rPr>
        <w:tab/>
        <w:t>uchovávat informace podle § 16 odst. 1 a 2,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e) </w:t>
      </w:r>
      <w:r w:rsidRPr="008F1494">
        <w:rPr>
          <w:sz w:val="24"/>
        </w:rPr>
        <w:tab/>
        <w:t>podávat oznámení podezřelého obchodu podle § 18,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f) </w:t>
      </w:r>
      <w:r w:rsidRPr="008F1494">
        <w:rPr>
          <w:sz w:val="24"/>
        </w:rPr>
        <w:tab/>
        <w:t>informační podle § 24,</w:t>
      </w:r>
    </w:p>
    <w:p w:rsidR="00F1040C" w:rsidRPr="008F1494" w:rsidRDefault="00F1040C" w:rsidP="00F1040C">
      <w:pPr>
        <w:tabs>
          <w:tab w:val="left" w:pos="1134"/>
        </w:tabs>
        <w:ind w:left="1134" w:hanging="567"/>
        <w:rPr>
          <w:sz w:val="24"/>
        </w:rPr>
      </w:pPr>
      <w:r w:rsidRPr="008F1494">
        <w:rPr>
          <w:sz w:val="24"/>
        </w:rPr>
        <w:t>g) </w:t>
      </w:r>
      <w:r w:rsidRPr="008F1494">
        <w:rPr>
          <w:sz w:val="24"/>
        </w:rPr>
        <w:tab/>
        <w:t>mlčenlivosti podle § 38.</w:t>
      </w:r>
    </w:p>
    <w:p w:rsidR="00F1040C" w:rsidRPr="008F1494" w:rsidRDefault="00F1040C" w:rsidP="00F1040C">
      <w:pPr>
        <w:ind w:firstLine="567"/>
        <w:rPr>
          <w:bCs/>
          <w:sz w:val="24"/>
          <w:lang w:eastAsia="cs-CZ"/>
        </w:rPr>
      </w:pPr>
    </w:p>
    <w:p w:rsidR="007B2B86" w:rsidRDefault="00C94C40"/>
    <w:sectPr w:rsidR="007B2B86" w:rsidSect="00BF21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629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C40" w:rsidRDefault="00C94C40" w:rsidP="00F1040C">
      <w:pPr>
        <w:spacing w:before="0" w:after="0"/>
      </w:pPr>
      <w:r>
        <w:separator/>
      </w:r>
    </w:p>
  </w:endnote>
  <w:endnote w:type="continuationSeparator" w:id="0">
    <w:p w:rsidR="00C94C40" w:rsidRDefault="00C94C40" w:rsidP="00F104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Default="00C94C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Pr="00E1652B" w:rsidRDefault="006C2B22" w:rsidP="00BA1AF2">
    <w:pPr>
      <w:ind w:left="2926"/>
      <w:jc w:val="right"/>
      <w:rPr>
        <w:sz w:val="20"/>
        <w:szCs w:val="20"/>
      </w:rPr>
    </w:pPr>
    <w:r w:rsidRPr="00E1652B">
      <w:rPr>
        <w:sz w:val="20"/>
        <w:szCs w:val="20"/>
      </w:rPr>
      <w:fldChar w:fldCharType="begin"/>
    </w:r>
    <w:r w:rsidRPr="00E1652B">
      <w:rPr>
        <w:sz w:val="20"/>
        <w:szCs w:val="20"/>
      </w:rPr>
      <w:instrText xml:space="preserve"> PAGE </w:instrText>
    </w:r>
    <w:r w:rsidRPr="00E1652B">
      <w:rPr>
        <w:sz w:val="20"/>
        <w:szCs w:val="20"/>
      </w:rPr>
      <w:fldChar w:fldCharType="separate"/>
    </w:r>
    <w:r w:rsidR="00966489">
      <w:rPr>
        <w:noProof/>
        <w:sz w:val="20"/>
        <w:szCs w:val="20"/>
      </w:rPr>
      <w:t>6</w:t>
    </w:r>
    <w:r w:rsidRPr="00E1652B">
      <w:rPr>
        <w:sz w:val="20"/>
        <w:szCs w:val="20"/>
      </w:rPr>
      <w:fldChar w:fldCharType="end"/>
    </w:r>
    <w:r w:rsidRPr="00E1652B">
      <w:rPr>
        <w:sz w:val="20"/>
        <w:szCs w:val="20"/>
      </w:rPr>
      <w:t>/</w:t>
    </w:r>
    <w:r w:rsidRPr="00E1652B">
      <w:rPr>
        <w:sz w:val="20"/>
        <w:szCs w:val="20"/>
      </w:rPr>
      <w:fldChar w:fldCharType="begin"/>
    </w:r>
    <w:r w:rsidRPr="00E1652B">
      <w:rPr>
        <w:sz w:val="20"/>
        <w:szCs w:val="20"/>
      </w:rPr>
      <w:instrText xml:space="preserve"> NUMPAGES  </w:instrText>
    </w:r>
    <w:r w:rsidRPr="00E1652B">
      <w:rPr>
        <w:sz w:val="20"/>
        <w:szCs w:val="20"/>
      </w:rPr>
      <w:fldChar w:fldCharType="separate"/>
    </w:r>
    <w:r w:rsidR="00966489">
      <w:rPr>
        <w:noProof/>
        <w:sz w:val="20"/>
        <w:szCs w:val="20"/>
      </w:rPr>
      <w:t>8</w:t>
    </w:r>
    <w:r w:rsidRPr="00E1652B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Default="00C94C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C40" w:rsidRDefault="00C94C40" w:rsidP="00F1040C">
      <w:pPr>
        <w:spacing w:before="0" w:after="0"/>
      </w:pPr>
      <w:r>
        <w:separator/>
      </w:r>
    </w:p>
  </w:footnote>
  <w:footnote w:type="continuationSeparator" w:id="0">
    <w:p w:rsidR="00C94C40" w:rsidRDefault="00C94C40" w:rsidP="00F1040C">
      <w:pPr>
        <w:spacing w:before="0" w:after="0"/>
      </w:pPr>
      <w:r>
        <w:continuationSeparator/>
      </w:r>
    </w:p>
  </w:footnote>
  <w:footnote w:id="1">
    <w:p w:rsidR="00F1040C" w:rsidRPr="00FF23C8" w:rsidRDefault="00F1040C" w:rsidP="00F1040C">
      <w:pPr>
        <w:pStyle w:val="Textpoznpodarou"/>
        <w:rPr>
          <w:b/>
          <w:u w:val="single"/>
        </w:rPr>
      </w:pPr>
      <w:r w:rsidRPr="00FF23C8">
        <w:rPr>
          <w:rStyle w:val="Znakapoznpodarou"/>
          <w:b/>
          <w:u w:val="single"/>
        </w:rPr>
        <w:t>35</w:t>
      </w:r>
      <w:r w:rsidRPr="00FF23C8">
        <w:rPr>
          <w:b/>
          <w:u w:val="single"/>
        </w:rPr>
        <w:t>) Nařízení Evropského parlamentu a Rady (EU) č. 910/2014 ze dne 23. července 2014 o elektronické identifikaci a službách vytvářejících důvěru pro elektronické transakce na vnitřním trhu a o zrušení směrnice 1999/93/ES.</w:t>
      </w:r>
    </w:p>
  </w:footnote>
  <w:footnote w:id="2">
    <w:p w:rsidR="00F1040C" w:rsidRPr="00FF23C8" w:rsidRDefault="00F1040C" w:rsidP="00F1040C">
      <w:pPr>
        <w:pStyle w:val="Textpoznpodarou"/>
        <w:rPr>
          <w:b/>
          <w:szCs w:val="20"/>
          <w:u w:val="single"/>
        </w:rPr>
      </w:pPr>
      <w:r w:rsidRPr="00FF23C8">
        <w:rPr>
          <w:rStyle w:val="Znakapoznpodarou"/>
          <w:b/>
          <w:szCs w:val="20"/>
          <w:u w:val="single"/>
        </w:rPr>
        <w:t>36</w:t>
      </w:r>
      <w:r w:rsidRPr="00FF23C8">
        <w:rPr>
          <w:b/>
          <w:szCs w:val="20"/>
          <w:u w:val="single"/>
        </w:rPr>
        <w:t xml:space="preserve">) </w:t>
      </w:r>
      <w:r w:rsidRPr="00FF23C8">
        <w:rPr>
          <w:b/>
          <w:u w:val="single"/>
        </w:rPr>
        <w:t>Čl. 3 bod 2 nařízení Evropského parlamentu a Rady (EU) č. 910/2014 ze dne 23. července 2014 o elektronické identifikaci a službách vytvářejících důvěru pro elektronické transakce na vnitřním trhu a o zrušení směrnice 1999/93/ES.</w:t>
      </w:r>
    </w:p>
  </w:footnote>
  <w:footnote w:id="3">
    <w:p w:rsidR="00F1040C" w:rsidRPr="00FF23C8" w:rsidRDefault="00F1040C" w:rsidP="00F1040C">
      <w:pPr>
        <w:pStyle w:val="Textpoznpodarou"/>
        <w:rPr>
          <w:b/>
          <w:szCs w:val="20"/>
          <w:u w:val="single"/>
        </w:rPr>
      </w:pPr>
      <w:r w:rsidRPr="00FF23C8">
        <w:rPr>
          <w:rStyle w:val="Znakapoznpodarou"/>
          <w:b/>
          <w:szCs w:val="20"/>
          <w:u w:val="single"/>
        </w:rPr>
        <w:t>37</w:t>
      </w:r>
      <w:r w:rsidRPr="00FF23C8">
        <w:rPr>
          <w:b/>
          <w:szCs w:val="20"/>
          <w:u w:val="single"/>
        </w:rPr>
        <w:t xml:space="preserve">) </w:t>
      </w:r>
      <w:r w:rsidRPr="00FF23C8">
        <w:rPr>
          <w:b/>
          <w:u w:val="single"/>
        </w:rPr>
        <w:t>§ 18 zákona č. 250/2017 Sb., o elektronické identifikaci, ve znění pozdějších předpisů.</w:t>
      </w:r>
    </w:p>
  </w:footnote>
  <w:footnote w:id="4">
    <w:p w:rsidR="00F1040C" w:rsidRPr="006537E6" w:rsidRDefault="00F1040C" w:rsidP="00F1040C">
      <w:pPr>
        <w:pStyle w:val="Textpoznpodarou"/>
      </w:pPr>
      <w:r w:rsidRPr="00FF23C8">
        <w:rPr>
          <w:rStyle w:val="Znakapoznpodarou"/>
          <w:b/>
          <w:szCs w:val="20"/>
          <w:u w:val="single"/>
        </w:rPr>
        <w:t>38</w:t>
      </w:r>
      <w:r w:rsidRPr="00FF23C8">
        <w:rPr>
          <w:b/>
          <w:u w:val="single"/>
        </w:rPr>
        <w:t xml:space="preserve">) </w:t>
      </w:r>
      <w:r w:rsidRPr="00FF23C8">
        <w:rPr>
          <w:b/>
          <w:u w:val="single"/>
          <w:lang w:eastAsia="cs-CZ"/>
        </w:rPr>
        <w:t>Prováděcí nařízení Komise (EU) 2015/1502 ze dne 8. září 2015, kterým se stanoví minimální technické specifikace a postupy pro úrovně záruky prostředků pro elektronickou identifikaci podle čl. 8 odst. 3 nařízení Evropského parlamentu a Rady (EU) č. 910/2014 o elektronické identifikaci a službách vytvářejících důvěru pro elektronické transakce na vnitřním trhu.</w:t>
      </w:r>
    </w:p>
  </w:footnote>
  <w:footnote w:id="5">
    <w:p w:rsidR="00F1040C" w:rsidRPr="00FF23C8" w:rsidRDefault="00F1040C" w:rsidP="00F1040C">
      <w:pPr>
        <w:pStyle w:val="Textpoznpodarou"/>
        <w:rPr>
          <w:b/>
          <w:u w:val="single"/>
        </w:rPr>
      </w:pPr>
      <w:r w:rsidRPr="00FF23C8">
        <w:rPr>
          <w:rStyle w:val="Znakapoznpodarou"/>
          <w:b/>
          <w:u w:val="single"/>
        </w:rPr>
        <w:t>40</w:t>
      </w:r>
      <w:r w:rsidRPr="00FF23C8">
        <w:rPr>
          <w:b/>
          <w:u w:val="single"/>
        </w:rPr>
        <w:t>) Prováděcí nařízení Komise (EU) 2015/1502 ze dne 8. září 2015, kterým se stanoví minimální technické specifikace a postupy pro úrovně záruky prostředků pro elektronickou identifikaci podle čl. 8 odst. 3 nařízení Evropského parlamentu a Rady (EU) č. 910/2014 o elektronické identifikaci a službách vytvářejících důvěru pro elektronické transakce na vnitřním trhu.</w:t>
      </w:r>
    </w:p>
  </w:footnote>
  <w:footnote w:id="6">
    <w:p w:rsidR="00F1040C" w:rsidRPr="00FF23C8" w:rsidRDefault="00F1040C" w:rsidP="00F1040C">
      <w:pPr>
        <w:pStyle w:val="Textpoznpodarou"/>
        <w:rPr>
          <w:b/>
          <w:u w:val="single"/>
        </w:rPr>
      </w:pPr>
      <w:r w:rsidRPr="00FF23C8">
        <w:rPr>
          <w:rStyle w:val="Znakapoznpodarou"/>
          <w:b/>
          <w:u w:val="single"/>
        </w:rPr>
        <w:t>41</w:t>
      </w:r>
      <w:r w:rsidRPr="00FF23C8">
        <w:rPr>
          <w:b/>
          <w:u w:val="single"/>
        </w:rPr>
        <w:t>) § 38aa odst. 1 zákona č. 21/1992 Sb., o bankách, ve znění pozdějších předpisů.</w:t>
      </w:r>
    </w:p>
  </w:footnote>
  <w:footnote w:id="7">
    <w:p w:rsidR="00F1040C" w:rsidRPr="00FF23C8" w:rsidRDefault="00F1040C" w:rsidP="00F1040C">
      <w:pPr>
        <w:pStyle w:val="Textpoznpodarou"/>
        <w:rPr>
          <w:b/>
          <w:u w:val="single"/>
        </w:rPr>
      </w:pPr>
      <w:r w:rsidRPr="00FF23C8">
        <w:rPr>
          <w:rStyle w:val="Znakapoznpodarou"/>
          <w:b/>
          <w:u w:val="single"/>
        </w:rPr>
        <w:t>42</w:t>
      </w:r>
      <w:r w:rsidRPr="00FF23C8">
        <w:rPr>
          <w:b/>
          <w:u w:val="single"/>
        </w:rPr>
        <w:t>) § 38 ab odst. 1 zákona č. 21/1992 Sb., o bankách,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Default="00C94C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Default="00C94C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6E" w:rsidRDefault="00C94C40" w:rsidP="00707B09">
    <w:pPr>
      <w:rPr>
        <w:noProof/>
      </w:rPr>
    </w:pPr>
  </w:p>
  <w:p w:rsidR="005A486E" w:rsidRPr="009C7B7D" w:rsidRDefault="00C94C40" w:rsidP="00707B09"/>
  <w:p w:rsidR="005A486E" w:rsidRDefault="00C94C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547FD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93E26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D586B"/>
    <w:multiLevelType w:val="hybridMultilevel"/>
    <w:tmpl w:val="E988C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0E28"/>
    <w:multiLevelType w:val="hybridMultilevel"/>
    <w:tmpl w:val="E988C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64EE7"/>
    <w:multiLevelType w:val="hybridMultilevel"/>
    <w:tmpl w:val="E988C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D605B"/>
    <w:multiLevelType w:val="hybridMultilevel"/>
    <w:tmpl w:val="E988C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7473A"/>
    <w:multiLevelType w:val="hybridMultilevel"/>
    <w:tmpl w:val="E988C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53DA2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7798D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B4EA5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65AAC"/>
    <w:multiLevelType w:val="hybridMultilevel"/>
    <w:tmpl w:val="6C708F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0C"/>
    <w:rsid w:val="006C2B22"/>
    <w:rsid w:val="00924625"/>
    <w:rsid w:val="00966489"/>
    <w:rsid w:val="00C94C40"/>
    <w:rsid w:val="00F07D86"/>
    <w:rsid w:val="00F1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08DC0-1C30-4F8D-AC83-C4CEEFFE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ální text"/>
    <w:qFormat/>
    <w:rsid w:val="00F1040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04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1040C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F104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040C"/>
    <w:rPr>
      <w:rFonts w:ascii="Times New Roman" w:eastAsia="Times New Roman" w:hAnsi="Times New Roman" w:cs="Times New Roman"/>
      <w:szCs w:val="24"/>
    </w:rPr>
  </w:style>
  <w:style w:type="paragraph" w:styleId="Textpoznpodarou">
    <w:name w:val="footnote text"/>
    <w:aliases w:val="RL Text pozn. pod čarou"/>
    <w:basedOn w:val="Normln"/>
    <w:link w:val="TextpoznpodarouChar"/>
    <w:autoRedefine/>
    <w:uiPriority w:val="99"/>
    <w:rsid w:val="00F1040C"/>
    <w:pPr>
      <w:spacing w:before="0"/>
    </w:pPr>
    <w:rPr>
      <w:sz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F1040C"/>
    <w:rPr>
      <w:rFonts w:ascii="Times New Roman" w:eastAsia="Times New Roman" w:hAnsi="Times New Roman" w:cs="Times New Roman"/>
      <w:sz w:val="20"/>
      <w:szCs w:val="24"/>
    </w:rPr>
  </w:style>
  <w:style w:type="character" w:styleId="Znakapoznpodarou">
    <w:name w:val="footnote reference"/>
    <w:aliases w:val="RL Značka pozn. pod čarou"/>
    <w:rsid w:val="00F1040C"/>
    <w:rPr>
      <w:vertAlign w:val="superscript"/>
    </w:rPr>
  </w:style>
  <w:style w:type="paragraph" w:customStyle="1" w:styleId="Text1">
    <w:name w:val="Text 1"/>
    <w:basedOn w:val="Normln"/>
    <w:link w:val="Text1Char"/>
    <w:qFormat/>
    <w:rsid w:val="00F1040C"/>
    <w:pPr>
      <w:ind w:left="567"/>
    </w:pPr>
    <w:rPr>
      <w:szCs w:val="20"/>
    </w:rPr>
  </w:style>
  <w:style w:type="character" w:customStyle="1" w:styleId="Text1Char">
    <w:name w:val="Text 1 Char"/>
    <w:basedOn w:val="Standardnpsmoodstavce"/>
    <w:link w:val="Text1"/>
    <w:rsid w:val="00F1040C"/>
    <w:rPr>
      <w:rFonts w:ascii="Times New Roman" w:eastAsia="Times New Roman" w:hAnsi="Times New Roman" w:cs="Times New Roman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F1040C"/>
    <w:pPr>
      <w:spacing w:before="0" w:after="0" w:line="340" w:lineRule="exact"/>
      <w:ind w:left="720"/>
      <w:contextualSpacing/>
      <w:jc w:val="left"/>
    </w:pPr>
    <w:rPr>
      <w:rFonts w:asciiTheme="minorHAnsi" w:eastAsia="Calibri" w:hAnsiTheme="minorHAnsi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F1040C"/>
    <w:rPr>
      <w:rFonts w:eastAsia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2370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KalimullinaL</dc:creator>
  <cp:keywords/>
  <dc:description/>
  <cp:lastModifiedBy>KalimullinaL</cp:lastModifiedBy>
  <cp:revision>2</cp:revision>
  <dcterms:created xsi:type="dcterms:W3CDTF">2019-07-29T13:40:00Z</dcterms:created>
  <dcterms:modified xsi:type="dcterms:W3CDTF">2019-07-29T13:47:00Z</dcterms:modified>
</cp:coreProperties>
</file>