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9D6" w:rsidRDefault="005859D6" w:rsidP="005859D6">
      <w:pPr>
        <w:pStyle w:val="ZKON"/>
      </w:pPr>
      <w:r>
        <w:t>ZÁKON</w:t>
      </w:r>
    </w:p>
    <w:p w:rsidR="00CD6770" w:rsidRPr="005859D6" w:rsidRDefault="005859D6" w:rsidP="005859D6">
      <w:pPr>
        <w:pStyle w:val="nadpiszkona"/>
        <w:spacing w:after="120"/>
        <w:rPr>
          <w:b w:val="0"/>
        </w:rPr>
      </w:pPr>
      <w:r w:rsidRPr="005859D6">
        <w:rPr>
          <w:b w:val="0"/>
        </w:rPr>
        <w:t xml:space="preserve">ze dne </w:t>
      </w:r>
      <w:r w:rsidR="00CD6770" w:rsidRPr="005859D6">
        <w:rPr>
          <w:b w:val="0"/>
        </w:rPr>
        <w:t>…</w:t>
      </w:r>
      <w:proofErr w:type="gramStart"/>
      <w:r w:rsidR="00CD6770" w:rsidRPr="005859D6">
        <w:rPr>
          <w:b w:val="0"/>
        </w:rPr>
        <w:t>….201</w:t>
      </w:r>
      <w:r w:rsidRPr="005859D6">
        <w:rPr>
          <w:b w:val="0"/>
        </w:rPr>
        <w:t>9</w:t>
      </w:r>
      <w:proofErr w:type="gramEnd"/>
      <w:r w:rsidR="00CD6770" w:rsidRPr="005859D6">
        <w:rPr>
          <w:b w:val="0"/>
        </w:rPr>
        <w:t>,</w:t>
      </w:r>
    </w:p>
    <w:p w:rsidR="00CD6770" w:rsidRPr="003616CA" w:rsidRDefault="00CD6770" w:rsidP="005859D6">
      <w:pPr>
        <w:pStyle w:val="nadpiszkona"/>
        <w:spacing w:before="0"/>
      </w:pPr>
      <w:bookmarkStart w:id="0" w:name="_GoBack"/>
      <w:r w:rsidRPr="003616CA">
        <w:t>kterým se mění zákon č. 29/2000 Sb., o poštovních službách a o změně některých zákonů</w:t>
      </w:r>
    </w:p>
    <w:p w:rsidR="00CD6770" w:rsidRPr="003616CA" w:rsidRDefault="00CD6770" w:rsidP="005859D6">
      <w:pPr>
        <w:pStyle w:val="nadpiszkona"/>
        <w:spacing w:before="0"/>
      </w:pPr>
      <w:r w:rsidRPr="003616CA">
        <w:t>(zákon o poštovních službách), ve znění pozdějších předpisů, a zákon č. 319/2015 Sb., kterým se mění zákon č. 29/2000 Sb., o poštovních službách a o změně některých zákonů (zákon o poštovních službách), ve znění pozdějších předpisů, a zákon č.</w:t>
      </w:r>
      <w:r>
        <w:t xml:space="preserve"> </w:t>
      </w:r>
      <w:r w:rsidRPr="003616CA">
        <w:t>77/1997 Sb., o</w:t>
      </w:r>
      <w:r w:rsidR="005859D6">
        <w:t> </w:t>
      </w:r>
      <w:r w:rsidRPr="003616CA">
        <w:t>státním podniku, ve znění pozdějších předpisů</w:t>
      </w:r>
    </w:p>
    <w:bookmarkEnd w:id="0"/>
    <w:p w:rsidR="00CD6770" w:rsidRDefault="005859D6" w:rsidP="005859D6">
      <w:pPr>
        <w:pStyle w:val="Parlament"/>
      </w:pPr>
      <w:r>
        <w:t>Parlament se usnesl na tomto zákoně České republiky:</w:t>
      </w:r>
    </w:p>
    <w:p w:rsidR="00CD6770" w:rsidRPr="003616CA" w:rsidRDefault="005859D6" w:rsidP="005859D6">
      <w:pPr>
        <w:pStyle w:val="ST"/>
      </w:pPr>
      <w:r>
        <w:t xml:space="preserve">ČÁST </w:t>
      </w:r>
      <w:r w:rsidR="00CD6770" w:rsidRPr="003616CA">
        <w:t>PRVNÍ</w:t>
      </w:r>
    </w:p>
    <w:p w:rsidR="00CD6770" w:rsidRPr="003616CA" w:rsidRDefault="00CD6770" w:rsidP="005859D6">
      <w:pPr>
        <w:pStyle w:val="NADPISSTI"/>
      </w:pPr>
      <w:r w:rsidRPr="003616CA">
        <w:t>Změna zákona o poštovních službách</w:t>
      </w:r>
    </w:p>
    <w:p w:rsidR="00CD6770" w:rsidRDefault="005859D6" w:rsidP="005859D6">
      <w:pPr>
        <w:pStyle w:val="lnek"/>
      </w:pPr>
      <w:r>
        <w:t xml:space="preserve">Čl. </w:t>
      </w:r>
      <w:r w:rsidR="00CD6770" w:rsidRPr="003616CA">
        <w:t>I</w:t>
      </w:r>
    </w:p>
    <w:p w:rsidR="00CD6770" w:rsidRPr="003616CA" w:rsidRDefault="00CD6770" w:rsidP="005859D6">
      <w:pPr>
        <w:pStyle w:val="Textlnku"/>
      </w:pPr>
      <w:r w:rsidRPr="003616CA">
        <w:t>Zákon č. 29/2000 Sb., o poštovních službách a o změně některých zákonů (zákon o</w:t>
      </w:r>
      <w:r w:rsidR="005859D6">
        <w:t> </w:t>
      </w:r>
      <w:r w:rsidRPr="003616CA">
        <w:t>poštovních službách), ve znění zákona č. 517/2002 Sb., zákona č. 225/2003 Sb., zákona č. 501/2004 Sb., zákona č. 95/2005 Sb., zákona č. 413/2005 Sb., zákona č. 444/2005 Sb., zákona č. 264/2006 Sb., zákona č.</w:t>
      </w:r>
      <w:r>
        <w:t> </w:t>
      </w:r>
      <w:r w:rsidRPr="003616CA">
        <w:t>110/2007 Sb., zákona č. 41/2009 Sb., zákona č. 281/2009 Sb., zákona č. 285/2009 Sb., zákona č.</w:t>
      </w:r>
      <w:r>
        <w:t> </w:t>
      </w:r>
      <w:r w:rsidRPr="003616CA">
        <w:t>153/2010 Sb., zákona č. 329/2011 Sb., zákona č. 89/2012</w:t>
      </w:r>
      <w:r w:rsidR="00E21A6F">
        <w:t> </w:t>
      </w:r>
      <w:r w:rsidRPr="003616CA">
        <w:t>Sb., zákona č. 221/2012 Sb., zákona č. 212/2013 Sb., zákona č. 258/2014 Sb., zákona č. 319/2015 Sb., zákona č. 378/2015 Sb., zákona č.</w:t>
      </w:r>
      <w:r>
        <w:t> </w:t>
      </w:r>
      <w:r w:rsidRPr="003616CA">
        <w:t xml:space="preserve"> 250/2016 Sb. a zákona č. 183/2017 Sb., se mění takto:</w:t>
      </w:r>
    </w:p>
    <w:p w:rsidR="00CD6770" w:rsidRPr="003616CA" w:rsidRDefault="00CD6770" w:rsidP="005859D6">
      <w:pPr>
        <w:pStyle w:val="Novelizanbod"/>
      </w:pPr>
      <w:r w:rsidRPr="003616CA">
        <w:t>V § 6 odstavec 4 zní:</w:t>
      </w:r>
    </w:p>
    <w:p w:rsidR="00CD6770" w:rsidRPr="003616CA" w:rsidRDefault="00CD6770" w:rsidP="005859D6">
      <w:pPr>
        <w:pStyle w:val="Textlnku"/>
      </w:pPr>
      <w:r w:rsidRPr="003616CA">
        <w:t>„(4) Úřad může provozovateli uložit rozhodnutím povinnost provést ve lhůtě ne kratší než 20 dnů změnu poštovních podmínek, jsou-li v rozporu s tímto zákonem nebo prováděcími právními předpisy k tomuto zákonu nebo v rozporu se zákonem obsahujícím pravidla ochrany spotřebitele, a to z důvodu nekalých, klamavých nebo agresivních obchodních praktik nebo z důvodu diskriminace spotřebitele</w:t>
      </w:r>
      <w:r w:rsidRPr="003616CA">
        <w:rPr>
          <w:vertAlign w:val="superscript"/>
        </w:rPr>
        <w:t>17)</w:t>
      </w:r>
      <w:r w:rsidRPr="003616CA">
        <w:t xml:space="preserve">. Změnu </w:t>
      </w:r>
      <w:r>
        <w:t xml:space="preserve">poštovních podmínek </w:t>
      </w:r>
      <w:proofErr w:type="gramStart"/>
      <w:r w:rsidRPr="003616CA">
        <w:t>provede</w:t>
      </w:r>
      <w:proofErr w:type="gramEnd"/>
      <w:r w:rsidRPr="003616CA">
        <w:t xml:space="preserve"> provozovatel nejpozději s účinností ke dni následujícímu po</w:t>
      </w:r>
      <w:r>
        <w:t xml:space="preserve"> uplynutí</w:t>
      </w:r>
      <w:r w:rsidRPr="003616CA">
        <w:t xml:space="preserve"> lhůty podle věty první; v tomto případě se odstavec 3 </w:t>
      </w:r>
      <w:proofErr w:type="gramStart"/>
      <w:r w:rsidRPr="003616CA">
        <w:t>nepoužije</w:t>
      </w:r>
      <w:proofErr w:type="gramEnd"/>
      <w:r w:rsidRPr="003616CA">
        <w:t>.“.</w:t>
      </w:r>
    </w:p>
    <w:p w:rsidR="00CD6770" w:rsidRDefault="00CD6770" w:rsidP="005859D6">
      <w:pPr>
        <w:pStyle w:val="Novelizanbod"/>
        <w:keepNext w:val="0"/>
      </w:pPr>
      <w:r w:rsidRPr="003616CA">
        <w:t xml:space="preserve">V § 34c se na konci odstavce 2 doplňuje věta „V prvním roce platnosti poštovní licence určí Úřad rozhodnutím předběžné čisté náklady držitele poštovní licence nejvýše ve výši </w:t>
      </w:r>
      <w:r w:rsidR="00EE4417">
        <w:t>7</w:t>
      </w:r>
      <w:r w:rsidRPr="003616CA">
        <w:t>50 000 000 Kč nebo ve výši jedné poloviny čistých nákladů uvedených pro dané zúčtovací období v žádosti o udělení poštovní licence, podle toho, která z</w:t>
      </w:r>
      <w:r>
        <w:t> těchto částek</w:t>
      </w:r>
      <w:r w:rsidRPr="003616CA">
        <w:t xml:space="preserve"> je nižší.</w:t>
      </w:r>
      <w:r>
        <w:t>“.</w:t>
      </w:r>
    </w:p>
    <w:p w:rsidR="00EE4417" w:rsidRPr="0067634F" w:rsidRDefault="00EE4417" w:rsidP="00EE4417">
      <w:pPr>
        <w:pStyle w:val="Novelizanbod"/>
        <w:rPr>
          <w:i/>
        </w:rPr>
      </w:pPr>
      <w:r w:rsidRPr="0067634F">
        <w:t xml:space="preserve">V § 34d odstavec 2 zní: </w:t>
      </w:r>
    </w:p>
    <w:p w:rsidR="00EE4417" w:rsidRPr="0067634F" w:rsidRDefault="00EE4417" w:rsidP="00EE4417">
      <w:pPr>
        <w:pStyle w:val="Textlnku"/>
      </w:pPr>
      <w:r>
        <w:t>„</w:t>
      </w:r>
      <w:r w:rsidRPr="0067634F">
        <w:t>(2) Úřad rozhodnutím určí čisté náklady představující nespravedlivou finanční zátěž, a to ve výši čistých nákladů ověřených podle § 34b odst. 6, nejvýše však ve výši 1 500</w:t>
      </w:r>
      <w:r>
        <w:t> </w:t>
      </w:r>
      <w:r w:rsidRPr="0067634F">
        <w:t>000</w:t>
      </w:r>
      <w:r>
        <w:t> </w:t>
      </w:r>
      <w:r w:rsidRPr="0067634F">
        <w:t>000 Kč; ostatní čisté náklady se nepovažují za nespravedlivou finanční zátěž.“.</w:t>
      </w:r>
    </w:p>
    <w:p w:rsidR="00CD6770" w:rsidRPr="003616CA" w:rsidRDefault="00CD6770" w:rsidP="005859D6">
      <w:pPr>
        <w:pStyle w:val="Novelizanbod"/>
        <w:keepNext w:val="0"/>
      </w:pPr>
      <w:r w:rsidRPr="003616CA">
        <w:lastRenderedPageBreak/>
        <w:t xml:space="preserve">Nadpis § 34e se zrušuje. </w:t>
      </w:r>
    </w:p>
    <w:p w:rsidR="00CD6770" w:rsidRPr="003616CA" w:rsidRDefault="00CD6770" w:rsidP="005859D6">
      <w:pPr>
        <w:pStyle w:val="Novelizanbod"/>
      </w:pPr>
      <w:r w:rsidRPr="003616CA">
        <w:t>V § 34e se doplňuje odstavec 3, který zní:</w:t>
      </w:r>
    </w:p>
    <w:p w:rsidR="00CD6770" w:rsidRPr="00CD6770" w:rsidRDefault="00CD6770" w:rsidP="005859D6">
      <w:pPr>
        <w:pStyle w:val="Textlnku"/>
        <w:rPr>
          <w:rFonts w:eastAsia="Calibri"/>
        </w:rPr>
      </w:pPr>
      <w:r w:rsidRPr="00CD6770">
        <w:rPr>
          <w:rFonts w:eastAsia="Calibri"/>
        </w:rPr>
        <w:t>„(3) V případě, že je ohledně financování předběžných čistých nákladů nebo čistých nákladů představujících nespravedlivou finanční zátěž vedeno řízení před Evropskou komisí ve věci veřejné podpory, považuje se toto řízení za řízení o předběžné otázce podle správního řádu.</w:t>
      </w:r>
      <w:r w:rsidRPr="00CD6770">
        <w:rPr>
          <w:rFonts w:eastAsia="Calibri"/>
          <w:vertAlign w:val="superscript"/>
        </w:rPr>
        <w:t xml:space="preserve"> </w:t>
      </w:r>
      <w:r w:rsidRPr="00CD6770">
        <w:rPr>
          <w:rFonts w:eastAsia="Calibri"/>
        </w:rPr>
        <w:t>Úřad nepřevede peněžní prostředky k úhradě předběžných čistých nákladů nebo čistých nákladů představujících nespravedlivou finanční zátěž, dokud Evropská komise nerozhodne o</w:t>
      </w:r>
      <w:r w:rsidR="00B82D2B">
        <w:rPr>
          <w:rFonts w:eastAsia="Calibri"/>
        </w:rPr>
        <w:t> </w:t>
      </w:r>
      <w:r w:rsidRPr="00CD6770">
        <w:rPr>
          <w:rFonts w:eastAsia="Calibri"/>
        </w:rPr>
        <w:t>oprávněnosti jejich poskytnutí.“.</w:t>
      </w:r>
    </w:p>
    <w:p w:rsidR="00CD6770" w:rsidRPr="00CD6770" w:rsidRDefault="00CD6770" w:rsidP="005859D6">
      <w:pPr>
        <w:pStyle w:val="Novelizanbod"/>
        <w:rPr>
          <w:rFonts w:eastAsia="Calibri"/>
        </w:rPr>
      </w:pPr>
      <w:r w:rsidRPr="00CD6770">
        <w:rPr>
          <w:rFonts w:eastAsia="Calibri"/>
        </w:rPr>
        <w:t>V § 37a odst. 1 písmena c) a d) znějí:</w:t>
      </w:r>
    </w:p>
    <w:p w:rsidR="00CD6770" w:rsidRPr="00CD6770" w:rsidRDefault="00CD6770" w:rsidP="005859D6">
      <w:pPr>
        <w:pStyle w:val="Psmeno"/>
        <w:rPr>
          <w:rFonts w:eastAsia="Calibri"/>
        </w:rPr>
      </w:pPr>
      <w:r w:rsidRPr="00CD6770">
        <w:rPr>
          <w:rFonts w:eastAsia="Calibri"/>
        </w:rPr>
        <w:t>„c) podniká v oblasti poštovních služeb v rozporu s obecnými podmínkami podnikání uvedenými v § 17,</w:t>
      </w:r>
    </w:p>
    <w:p w:rsidR="00CD6770" w:rsidRPr="00CD6770" w:rsidRDefault="00CD6770" w:rsidP="00CD6770">
      <w:pPr>
        <w:spacing w:after="240" w:line="360" w:lineRule="auto"/>
        <w:rPr>
          <w:rFonts w:eastAsia="Calibri"/>
        </w:rPr>
      </w:pPr>
      <w:r w:rsidRPr="00CD6770">
        <w:rPr>
          <w:rFonts w:eastAsia="Calibri"/>
        </w:rPr>
        <w:t>d) podniká v oblasti poštovních služeb bez oprávnění podle § 18 odst. 1,“.</w:t>
      </w:r>
    </w:p>
    <w:p w:rsidR="00CD6770" w:rsidRPr="00CD6770" w:rsidRDefault="00CD6770" w:rsidP="005859D6">
      <w:pPr>
        <w:pStyle w:val="Novelizanbod"/>
        <w:rPr>
          <w:rFonts w:eastAsia="Calibri"/>
        </w:rPr>
      </w:pPr>
      <w:r w:rsidRPr="00CD6770">
        <w:rPr>
          <w:rFonts w:eastAsia="Calibri"/>
        </w:rPr>
        <w:t>V § 37a odst. 2 se písmeno c) zrušuje.</w:t>
      </w:r>
    </w:p>
    <w:p w:rsidR="00CD6770" w:rsidRPr="00CD6770" w:rsidRDefault="00CD6770" w:rsidP="00CD6770">
      <w:pPr>
        <w:spacing w:after="240" w:line="360" w:lineRule="auto"/>
        <w:rPr>
          <w:rFonts w:eastAsia="Calibri"/>
        </w:rPr>
      </w:pPr>
      <w:r w:rsidRPr="00CD6770">
        <w:rPr>
          <w:rFonts w:eastAsia="Calibri"/>
        </w:rPr>
        <w:t>Dosavadní písmena d) až p) se označují jako písmena c) až o).</w:t>
      </w:r>
    </w:p>
    <w:p w:rsidR="00CD6770" w:rsidRPr="00CD6770" w:rsidRDefault="00CD6770" w:rsidP="005859D6">
      <w:pPr>
        <w:pStyle w:val="Novelizanbod"/>
        <w:spacing w:before="120"/>
        <w:rPr>
          <w:rFonts w:eastAsia="Calibri"/>
        </w:rPr>
      </w:pPr>
      <w:r w:rsidRPr="00CD6770">
        <w:rPr>
          <w:rFonts w:eastAsia="Calibri"/>
        </w:rPr>
        <w:t>V § 37a odst. 3 písmeno a) zní:</w:t>
      </w:r>
    </w:p>
    <w:p w:rsidR="00CD6770" w:rsidRPr="00CD6770" w:rsidRDefault="00CD6770" w:rsidP="005859D6">
      <w:pPr>
        <w:pStyle w:val="Psmeno"/>
        <w:rPr>
          <w:rFonts w:eastAsia="Calibri"/>
        </w:rPr>
      </w:pPr>
      <w:r w:rsidRPr="00CD6770">
        <w:rPr>
          <w:rFonts w:eastAsia="Calibri"/>
        </w:rPr>
        <w:t>„a) neplní poštovní povinnost způsobem podle § 33 odst. 1 písm. a) nebo podle rozhodnutí o udělení poštovní licence,“.</w:t>
      </w:r>
    </w:p>
    <w:p w:rsidR="00CD6770" w:rsidRPr="00CD6770" w:rsidRDefault="00CD6770" w:rsidP="005859D6">
      <w:pPr>
        <w:pStyle w:val="Novelizanbod"/>
        <w:rPr>
          <w:rFonts w:eastAsia="Calibri"/>
        </w:rPr>
      </w:pPr>
      <w:r w:rsidRPr="00CD6770">
        <w:rPr>
          <w:rFonts w:eastAsia="Calibri"/>
        </w:rPr>
        <w:t>V § 37a odst. 3 písm. f) se za slova „podle § 34 odst.“ vkládá číslo „1,“.</w:t>
      </w:r>
    </w:p>
    <w:p w:rsidR="00CD6770" w:rsidRPr="00CD6770" w:rsidRDefault="00CD6770" w:rsidP="005859D6">
      <w:pPr>
        <w:pStyle w:val="Novelizanbod"/>
        <w:rPr>
          <w:rFonts w:eastAsia="Calibri"/>
        </w:rPr>
      </w:pPr>
      <w:r w:rsidRPr="00CD6770">
        <w:rPr>
          <w:rFonts w:eastAsia="Calibri"/>
        </w:rPr>
        <w:t>V § 37a odst. 4 písm. b) se slova „písm. f) nebo l)“ nahrazují slovy „písm. e) nebo k)“.</w:t>
      </w:r>
    </w:p>
    <w:p w:rsidR="00CD6770" w:rsidRPr="00CD6770" w:rsidRDefault="00CD6770" w:rsidP="005859D6">
      <w:pPr>
        <w:pStyle w:val="Novelizanbod"/>
        <w:rPr>
          <w:rFonts w:eastAsia="Calibri"/>
        </w:rPr>
      </w:pPr>
      <w:r w:rsidRPr="00CD6770">
        <w:rPr>
          <w:rFonts w:eastAsia="Calibri"/>
        </w:rPr>
        <w:t>V § 37a odst. 4 písm. c) se slova „nebo podle odstavce 2 písm. b), e), i), k), m), n), nebo p)“ nahrazují slovy „nebo podle odstavce 2 písm. b), d), h), j), l), m) nebo o)“.</w:t>
      </w:r>
    </w:p>
    <w:p w:rsidR="00CD6770" w:rsidRPr="00CD6770" w:rsidRDefault="00CD6770" w:rsidP="005859D6">
      <w:pPr>
        <w:pStyle w:val="Novelizanbod"/>
        <w:rPr>
          <w:rFonts w:eastAsia="Calibri"/>
        </w:rPr>
      </w:pPr>
      <w:r w:rsidRPr="00CD6770">
        <w:rPr>
          <w:rFonts w:eastAsia="Calibri"/>
        </w:rPr>
        <w:t>V § 37a odst. 4 písm. d) se slova „písm. a), c), d), g), h), j) nebo o)“ nahrazují slovy „písm. a), c), f), g), i) nebo n)“.</w:t>
      </w:r>
    </w:p>
    <w:p w:rsidR="00CD6770" w:rsidRPr="00CD6770" w:rsidRDefault="00CD6770" w:rsidP="005859D6">
      <w:pPr>
        <w:pStyle w:val="Novelizanbod"/>
        <w:rPr>
          <w:rFonts w:eastAsia="Calibri"/>
        </w:rPr>
      </w:pPr>
      <w:r w:rsidRPr="00CD6770">
        <w:rPr>
          <w:rFonts w:eastAsia="Calibri"/>
        </w:rPr>
        <w:t xml:space="preserve">V § 38 se za odstavec 1 vkládá nový odstavec 2, který zní: </w:t>
      </w:r>
    </w:p>
    <w:p w:rsidR="00CD6770" w:rsidRPr="00CD6770" w:rsidRDefault="00CD6770" w:rsidP="005859D6">
      <w:pPr>
        <w:pStyle w:val="Textlnku"/>
        <w:rPr>
          <w:rFonts w:eastAsia="Calibri"/>
        </w:rPr>
      </w:pPr>
      <w:r w:rsidRPr="00CD6770">
        <w:rPr>
          <w:rFonts w:eastAsia="Calibri"/>
        </w:rPr>
        <w:t xml:space="preserve">„(2) Splnění povinnosti uložené provozovateli rozhodnutím podle § 6 odst. 4 lze vymáhat ukládáním donucovacích pokut až do celkové výše 5 000 000 Kč.“. </w:t>
      </w:r>
    </w:p>
    <w:p w:rsidR="00CD6770" w:rsidRPr="00CD6770" w:rsidRDefault="00CD6770" w:rsidP="00B82D2B">
      <w:pPr>
        <w:spacing w:before="120" w:after="120"/>
        <w:rPr>
          <w:rFonts w:eastAsia="Calibri"/>
        </w:rPr>
      </w:pPr>
      <w:r w:rsidRPr="00CD6770">
        <w:rPr>
          <w:rFonts w:eastAsia="Calibri"/>
        </w:rPr>
        <w:t>Dosavadní odstavec 2 se označuje jako odstavec 3.</w:t>
      </w:r>
    </w:p>
    <w:p w:rsidR="00CD6770" w:rsidRPr="00CD6770" w:rsidRDefault="00CD6770" w:rsidP="005859D6">
      <w:pPr>
        <w:pStyle w:val="Novelizanbod"/>
        <w:rPr>
          <w:rFonts w:eastAsia="Calibri"/>
        </w:rPr>
      </w:pPr>
      <w:r w:rsidRPr="00CD6770">
        <w:rPr>
          <w:rFonts w:eastAsia="Calibri"/>
        </w:rPr>
        <w:t xml:space="preserve">V § 38 odst. 3 se slova „§ 22 odst. 6 nebo 9 nebo“ zrušují. </w:t>
      </w:r>
    </w:p>
    <w:p w:rsidR="00CD6770" w:rsidRPr="003616CA" w:rsidRDefault="005859D6" w:rsidP="005859D6">
      <w:pPr>
        <w:pStyle w:val="lnek"/>
      </w:pPr>
      <w:r>
        <w:t xml:space="preserve">Čl. </w:t>
      </w:r>
      <w:r w:rsidR="00CD6770" w:rsidRPr="003616CA">
        <w:t>II</w:t>
      </w:r>
    </w:p>
    <w:p w:rsidR="00CD6770" w:rsidRPr="003616CA" w:rsidRDefault="00CD6770" w:rsidP="005859D6">
      <w:pPr>
        <w:pStyle w:val="Nadpislnku"/>
      </w:pPr>
      <w:r w:rsidRPr="003616CA">
        <w:t>Přechodná ustanovení</w:t>
      </w:r>
    </w:p>
    <w:p w:rsidR="00CD6770" w:rsidRPr="003616CA" w:rsidRDefault="00CD6770" w:rsidP="005859D6">
      <w:pPr>
        <w:pStyle w:val="Odstavecseseznamem"/>
        <w:numPr>
          <w:ilvl w:val="0"/>
          <w:numId w:val="7"/>
        </w:numPr>
        <w:spacing w:before="240" w:after="240"/>
        <w:ind w:left="357"/>
      </w:pPr>
      <w:r w:rsidRPr="003616CA">
        <w:t xml:space="preserve">Řízení o stanovení procentních podílů výnosů za poskytování poštovních služeb a zahraničních poštovních služeb jednotlivých plátců na celkových výnosech za poskytování poštovních služeb a zahraničních poštovních služeb všech plátců a řízení o stanovení výše platby plátce na účet pro financování základních služeb podle ustanovení § 34c odst. 7 a 8 zákona č. 29/2000 Sb., ve znění účinném přede dnem 1. ledna 2016, zahájená přede dnem nabytí účinnosti tohoto zákona se dnem nabytí účinnosti tohoto zákona zastavují a rozhodnutí vydaná v těchto řízeních pozbývají právních účinků. </w:t>
      </w:r>
      <w:r>
        <w:t>Pe</w:t>
      </w:r>
      <w:r w:rsidRPr="003616CA">
        <w:t>n</w:t>
      </w:r>
      <w:r>
        <w:t>ěž</w:t>
      </w:r>
      <w:r w:rsidRPr="003616CA">
        <w:t>ní prostředky určené na kompenzaci nespravedlivé finanční zátěže za roky 2013 a 2014 převedené na účet pro financování základních služeb</w:t>
      </w:r>
      <w:r w:rsidRPr="003616CA" w:rsidDel="000041CF">
        <w:t xml:space="preserve"> </w:t>
      </w:r>
      <w:r w:rsidRPr="003616CA">
        <w:t xml:space="preserve">zřízený podle § 34c odst. 3 zákona č. 29/2000 Sb., ve znění účinném přede dnem 1. ledna 2016, vrátí plátcům stát prostřednictvím Českého telekomunikačního úřadu (dále jen „Úřad“) do </w:t>
      </w:r>
      <w:r>
        <w:t>15</w:t>
      </w:r>
      <w:r w:rsidRPr="003616CA">
        <w:t xml:space="preserve"> dnů ode dne nabytí účinnosti tohoto zákona.</w:t>
      </w:r>
    </w:p>
    <w:p w:rsidR="00CD6770" w:rsidRPr="003616CA" w:rsidRDefault="00CD6770" w:rsidP="00E21A6F">
      <w:pPr>
        <w:pStyle w:val="Odstavecseseznamem"/>
        <w:numPr>
          <w:ilvl w:val="0"/>
          <w:numId w:val="7"/>
        </w:numPr>
        <w:spacing w:before="120" w:after="120"/>
        <w:ind w:left="351" w:hanging="357"/>
        <w:contextualSpacing w:val="0"/>
      </w:pPr>
      <w:r w:rsidRPr="003616CA">
        <w:t>Čisté náklady, které podle rozhodnutí Úřadu představují nespravedlivou finanční zátěž stanovenou podle § 34c odst. 2 zákona č. 29/2000 Sb., ve znění účinném přede dnem 1.</w:t>
      </w:r>
      <w:r w:rsidR="00E21A6F">
        <w:t> </w:t>
      </w:r>
      <w:r w:rsidRPr="003616CA">
        <w:t>ledna 2016</w:t>
      </w:r>
      <w:r>
        <w:t>,</w:t>
      </w:r>
      <w:r w:rsidRPr="003616CA">
        <w:t xml:space="preserve"> za zúčtovací období roků 2013 a 2014, uhradí stát v celkové výši 800</w:t>
      </w:r>
      <w:r w:rsidR="00E21A6F">
        <w:t> </w:t>
      </w:r>
      <w:r>
        <w:t>000</w:t>
      </w:r>
      <w:r w:rsidR="00E21A6F">
        <w:t> </w:t>
      </w:r>
      <w:r>
        <w:t>000</w:t>
      </w:r>
      <w:r w:rsidRPr="003616CA">
        <w:t xml:space="preserve"> Kč za oba roky, a to ve výši </w:t>
      </w:r>
      <w:r w:rsidR="00EE4417">
        <w:t>5</w:t>
      </w:r>
      <w:r w:rsidRPr="003616CA">
        <w:t>00</w:t>
      </w:r>
      <w:r>
        <w:t> 000 000</w:t>
      </w:r>
      <w:r w:rsidRPr="003616CA">
        <w:t xml:space="preserve"> Kč v roce 2019 a 300</w:t>
      </w:r>
      <w:r>
        <w:t> 000 000</w:t>
      </w:r>
      <w:r w:rsidRPr="003616CA">
        <w:t xml:space="preserve"> Kč v roce 2020, prostřednictvím Úřadu, vždy k 1. březnu příslušného roku nebo do 90 dnů ode dne doručení rozhodnutí Evropské komise o oprávněnosti jejich poskytnutí nebo do 90 dnů ode dne nabytí účinnosti tohoto zákona, podle toho, který z těchto okamžiků nastane později. Ostatní čisté náklady uvedené v rozhodnutí Úřadu podle věty první, které převyšují za zúčtovací období roků 2013 a 2014 částku 800</w:t>
      </w:r>
      <w:r>
        <w:t> 000 000</w:t>
      </w:r>
      <w:r w:rsidRPr="003616CA">
        <w:t xml:space="preserve"> Kč, se nepovažují za nespravedlivou finanční zátěž. </w:t>
      </w:r>
    </w:p>
    <w:p w:rsidR="00CD6770" w:rsidRPr="003616CA" w:rsidRDefault="00CD6770" w:rsidP="005859D6">
      <w:pPr>
        <w:pStyle w:val="Odstavecseseznamem"/>
        <w:numPr>
          <w:ilvl w:val="0"/>
          <w:numId w:val="7"/>
        </w:numPr>
        <w:spacing w:before="240" w:after="240"/>
        <w:ind w:left="357"/>
        <w:rPr>
          <w:rFonts w:eastAsia="Calibri"/>
          <w:lang w:eastAsia="en-US"/>
        </w:rPr>
      </w:pPr>
      <w:r w:rsidRPr="003616CA">
        <w:rPr>
          <w:rFonts w:eastAsia="Calibri"/>
          <w:lang w:eastAsia="en-US"/>
        </w:rPr>
        <w:t>Rozhodnutí Úřadu vydaná podle § 34c odst. 2 zákona č. 29/2000 Sb., ve znění účinném přede dnem 1. ledna 2016</w:t>
      </w:r>
      <w:r>
        <w:rPr>
          <w:rFonts w:eastAsia="Calibri"/>
          <w:lang w:eastAsia="en-US"/>
        </w:rPr>
        <w:t>,</w:t>
      </w:r>
      <w:r w:rsidRPr="003616CA">
        <w:rPr>
          <w:rFonts w:eastAsia="Calibri"/>
          <w:lang w:eastAsia="en-US"/>
        </w:rPr>
        <w:t xml:space="preserve"> za zúčtovací období roků 2013 a 2014 pozbývají dnem nabytí účinnosti tohoto zákona v části stanovící čisté náklady, které se nepovažují za nespravedlivou finanční zátěž, a v části stanovící čisté náklady, které představují nespravedlivou finanční zátěž, právních účinků.</w:t>
      </w:r>
    </w:p>
    <w:p w:rsidR="00CD6770" w:rsidRDefault="00CD6770" w:rsidP="00E21A6F">
      <w:pPr>
        <w:pStyle w:val="Odstavecseseznamem"/>
        <w:numPr>
          <w:ilvl w:val="0"/>
          <w:numId w:val="7"/>
        </w:numPr>
        <w:spacing w:before="120" w:after="120"/>
        <w:ind w:left="351" w:hanging="357"/>
        <w:contextualSpacing w:val="0"/>
        <w:rPr>
          <w:rFonts w:eastAsia="Calibri"/>
          <w:lang w:eastAsia="en-US"/>
        </w:rPr>
      </w:pPr>
      <w:r w:rsidRPr="003616CA">
        <w:rPr>
          <w:rFonts w:eastAsia="Calibri"/>
          <w:lang w:eastAsia="en-US"/>
        </w:rPr>
        <w:t>Ustanovení § 34e zákona č. 29/2000 Sb., ve znění účinném ode dne nabytí účinnosti tohoto zákona, se použijí i pro řízení o stanovení a financování čistých nákladů, která byla zahájena přede dnem nabytí účinnosti tohoto zákona.</w:t>
      </w:r>
    </w:p>
    <w:p w:rsidR="00EE4417" w:rsidRDefault="00EE4417" w:rsidP="00E21A6F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rPr>
          <w:szCs w:val="24"/>
        </w:rPr>
      </w:pPr>
      <w:r w:rsidRPr="0067634F">
        <w:rPr>
          <w:szCs w:val="24"/>
        </w:rPr>
        <w:t>Při určení nejvyšší výše předběžných čistých nákladů v prvním roce platnosti poštovní licence, o jejichž úhradu bylo požádáno přede dnem nabytí účinnosti tohoto zákona, se postupuje podle § 34c odst. 2 zákona č. 29/2000 Sb., ve znění účinném přede dnem nabytí účinnosti tohoto zákona.</w:t>
      </w:r>
    </w:p>
    <w:p w:rsidR="00EE4417" w:rsidRPr="00E21A6F" w:rsidRDefault="00EE4417" w:rsidP="00E21A6F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rPr>
          <w:rFonts w:eastAsia="Calibri"/>
          <w:lang w:eastAsia="en-US"/>
        </w:rPr>
      </w:pPr>
      <w:r w:rsidRPr="00E21A6F" w:rsidDel="0067493E">
        <w:rPr>
          <w:szCs w:val="24"/>
        </w:rPr>
        <w:t xml:space="preserve"> </w:t>
      </w:r>
      <w:r w:rsidRPr="00E21A6F">
        <w:rPr>
          <w:szCs w:val="24"/>
        </w:rPr>
        <w:t>Při určení nejvyšší možné výše čistých nákladů představujících nespravedlivou finanční zátěž, o jejichž úhradu bylo požádáno přede dnem nabytí účinnosti tohoto zákona, se postupuje podle § 34d odst. 2 zákona č. 29/2000 Sb., ve znění účinném přede dnem nabytí účinnosti tohoto zákona.</w:t>
      </w:r>
    </w:p>
    <w:p w:rsidR="00CD6770" w:rsidRPr="003616CA" w:rsidRDefault="005859D6" w:rsidP="005859D6">
      <w:pPr>
        <w:pStyle w:val="ST"/>
      </w:pPr>
      <w:r>
        <w:t xml:space="preserve">ČÁST </w:t>
      </w:r>
      <w:r w:rsidR="00CD6770" w:rsidRPr="003616CA">
        <w:t>DRUHÁ</w:t>
      </w:r>
    </w:p>
    <w:p w:rsidR="00CD6770" w:rsidRPr="003616CA" w:rsidRDefault="00CD6770" w:rsidP="005859D6">
      <w:pPr>
        <w:pStyle w:val="NADPISSTI"/>
      </w:pPr>
      <w:r w:rsidRPr="003616CA">
        <w:t>Změna zákona č. 319/2015 Sb.</w:t>
      </w:r>
    </w:p>
    <w:p w:rsidR="00CD6770" w:rsidRPr="003616CA" w:rsidRDefault="005859D6" w:rsidP="005859D6">
      <w:pPr>
        <w:pStyle w:val="lnek"/>
      </w:pPr>
      <w:r>
        <w:t xml:space="preserve">Čl. </w:t>
      </w:r>
      <w:r w:rsidR="00CD6770" w:rsidRPr="003616CA">
        <w:t>III</w:t>
      </w:r>
    </w:p>
    <w:p w:rsidR="00CD6770" w:rsidRPr="003616CA" w:rsidRDefault="00CD6770" w:rsidP="005859D6">
      <w:pPr>
        <w:pStyle w:val="Textlnku"/>
      </w:pPr>
      <w:r w:rsidRPr="003616CA">
        <w:t>V části první zákona č. 319/2015 Sb., kterým se mění zákon č. 29/2000 Sb., o poštovních službách a o změně některých zákonů (zákon o poštovních službách), ve znění pozdějších předpisů, a zákon č. 77/1997 Sb., o státním podniku, ve znění pozdějších předpisů, se na konci textu čl. II doplňují slova „, s výjimkou ustanovení § 34c odst. 3 až 13 zákona č. 29/2000 Sb., ve znění účinném přede dnem nabytí účinnosti tohoto zákona“.</w:t>
      </w:r>
    </w:p>
    <w:p w:rsidR="00CD6770" w:rsidRPr="003616CA" w:rsidRDefault="005859D6" w:rsidP="005859D6">
      <w:pPr>
        <w:pStyle w:val="ST"/>
      </w:pPr>
      <w:r>
        <w:t xml:space="preserve">ČÁST </w:t>
      </w:r>
      <w:r w:rsidR="00CD6770" w:rsidRPr="003616CA">
        <w:t>TŘETÍ</w:t>
      </w:r>
    </w:p>
    <w:p w:rsidR="00CD6770" w:rsidRPr="003616CA" w:rsidRDefault="00CD6770" w:rsidP="005859D6">
      <w:pPr>
        <w:pStyle w:val="NADPISSTI"/>
      </w:pPr>
      <w:r w:rsidRPr="003616CA">
        <w:t>ÚČINNOST</w:t>
      </w:r>
    </w:p>
    <w:p w:rsidR="00CD6770" w:rsidRPr="003616CA" w:rsidRDefault="005859D6" w:rsidP="005859D6">
      <w:pPr>
        <w:pStyle w:val="lnek"/>
      </w:pPr>
      <w:r>
        <w:t xml:space="preserve">Čl. </w:t>
      </w:r>
      <w:r w:rsidR="00CD6770" w:rsidRPr="003616CA">
        <w:t>IV</w:t>
      </w:r>
    </w:p>
    <w:p w:rsidR="00CD6770" w:rsidRDefault="00CD6770" w:rsidP="005859D6">
      <w:pPr>
        <w:pStyle w:val="Textlnku"/>
      </w:pPr>
      <w:r w:rsidRPr="00CD6770">
        <w:rPr>
          <w:rFonts w:eastAsia="Calibri"/>
          <w:lang w:eastAsia="en-US"/>
        </w:rPr>
        <w:t>Tento zákon nabývá účinnosti patnáctým dnem po jeho vyhlášení.</w:t>
      </w:r>
    </w:p>
    <w:sectPr w:rsidR="00CD677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770" w:rsidRDefault="00CD6770">
      <w:r>
        <w:separator/>
      </w:r>
    </w:p>
  </w:endnote>
  <w:endnote w:type="continuationSeparator" w:id="0">
    <w:p w:rsidR="00CD6770" w:rsidRDefault="00CD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770" w:rsidRDefault="00CD6770">
      <w:r>
        <w:separator/>
      </w:r>
    </w:p>
  </w:footnote>
  <w:footnote w:type="continuationSeparator" w:id="0">
    <w:p w:rsidR="00CD6770" w:rsidRDefault="00CD6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F11" w:rsidRDefault="00CD677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7F11" w:rsidRDefault="00FC7F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F11" w:rsidRDefault="00CD677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0BE4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FC7F11" w:rsidRDefault="00FC7F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356323C"/>
    <w:multiLevelType w:val="hybridMultilevel"/>
    <w:tmpl w:val="7470590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6701C92"/>
    <w:multiLevelType w:val="hybridMultilevel"/>
    <w:tmpl w:val="1F1E1470"/>
    <w:lvl w:ilvl="0" w:tplc="75A82500">
      <w:start w:val="1"/>
      <w:numFmt w:val="decimal"/>
      <w:lvlText w:val="%1."/>
      <w:lvlJc w:val="left"/>
      <w:pPr>
        <w:ind w:left="1776" w:hanging="1211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645" w:hanging="360"/>
      </w:pPr>
    </w:lvl>
    <w:lvl w:ilvl="2" w:tplc="0405001B" w:tentative="1">
      <w:start w:val="1"/>
      <w:numFmt w:val="lowerRoman"/>
      <w:lvlText w:val="%3."/>
      <w:lvlJc w:val="right"/>
      <w:pPr>
        <w:ind w:left="2365" w:hanging="180"/>
      </w:pPr>
    </w:lvl>
    <w:lvl w:ilvl="3" w:tplc="0405000F" w:tentative="1">
      <w:start w:val="1"/>
      <w:numFmt w:val="decimal"/>
      <w:lvlText w:val="%4."/>
      <w:lvlJc w:val="left"/>
      <w:pPr>
        <w:ind w:left="3085" w:hanging="360"/>
      </w:pPr>
    </w:lvl>
    <w:lvl w:ilvl="4" w:tplc="04050019" w:tentative="1">
      <w:start w:val="1"/>
      <w:numFmt w:val="lowerLetter"/>
      <w:lvlText w:val="%5."/>
      <w:lvlJc w:val="left"/>
      <w:pPr>
        <w:ind w:left="3805" w:hanging="360"/>
      </w:pPr>
    </w:lvl>
    <w:lvl w:ilvl="5" w:tplc="0405001B" w:tentative="1">
      <w:start w:val="1"/>
      <w:numFmt w:val="lowerRoman"/>
      <w:lvlText w:val="%6."/>
      <w:lvlJc w:val="right"/>
      <w:pPr>
        <w:ind w:left="4525" w:hanging="180"/>
      </w:pPr>
    </w:lvl>
    <w:lvl w:ilvl="6" w:tplc="0405000F" w:tentative="1">
      <w:start w:val="1"/>
      <w:numFmt w:val="decimal"/>
      <w:lvlText w:val="%7."/>
      <w:lvlJc w:val="left"/>
      <w:pPr>
        <w:ind w:left="5245" w:hanging="360"/>
      </w:pPr>
    </w:lvl>
    <w:lvl w:ilvl="7" w:tplc="04050019" w:tentative="1">
      <w:start w:val="1"/>
      <w:numFmt w:val="lowerLetter"/>
      <w:lvlText w:val="%8."/>
      <w:lvlJc w:val="left"/>
      <w:pPr>
        <w:ind w:left="5965" w:hanging="360"/>
      </w:pPr>
    </w:lvl>
    <w:lvl w:ilvl="8" w:tplc="0405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18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1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19"/>
  </w:num>
  <w:num w:numId="6">
    <w:abstractNumId w:val="17"/>
  </w:num>
  <w:num w:numId="7">
    <w:abstractNumId w:val="7"/>
  </w:num>
  <w:num w:numId="8">
    <w:abstractNumId w:val="6"/>
  </w:num>
  <w:num w:numId="9">
    <w:abstractNumId w:val="3"/>
  </w:num>
  <w:num w:numId="10">
    <w:abstractNumId w:val="2"/>
  </w:num>
  <w:num w:numId="11">
    <w:abstractNumId w:val="8"/>
  </w:num>
  <w:num w:numId="12">
    <w:abstractNumId w:val="21"/>
  </w:num>
  <w:num w:numId="13">
    <w:abstractNumId w:val="11"/>
  </w:num>
  <w:num w:numId="14">
    <w:abstractNumId w:val="18"/>
  </w:num>
  <w:num w:numId="15">
    <w:abstractNumId w:val="10"/>
  </w:num>
  <w:num w:numId="16">
    <w:abstractNumId w:val="16"/>
  </w:num>
  <w:num w:numId="17">
    <w:abstractNumId w:val="4"/>
  </w:num>
  <w:num w:numId="18">
    <w:abstractNumId w:val="13"/>
  </w:num>
  <w:num w:numId="19">
    <w:abstractNumId w:val="20"/>
  </w:num>
  <w:num w:numId="20">
    <w:abstractNumId w:val="14"/>
  </w:num>
  <w:num w:numId="21">
    <w:abstractNumId w:val="12"/>
  </w:num>
  <w:num w:numId="22">
    <w:abstractNumId w:val="14"/>
    <w:lvlOverride w:ilvl="0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D6770"/>
    <w:rsid w:val="00560BE4"/>
    <w:rsid w:val="005859D6"/>
    <w:rsid w:val="008F24AE"/>
    <w:rsid w:val="00B82D2B"/>
    <w:rsid w:val="00CD6770"/>
    <w:rsid w:val="00E21A6F"/>
    <w:rsid w:val="00EE4417"/>
    <w:rsid w:val="00FC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245BD-B08B-4A7E-A41B-2C207D29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60BE4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560BE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560BE4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560BE4"/>
  </w:style>
  <w:style w:type="paragraph" w:styleId="Zhlav">
    <w:name w:val="header"/>
    <w:basedOn w:val="Normln"/>
    <w:semiHidden/>
    <w:rsid w:val="00560BE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560BE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560BE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560BE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560BE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560BE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560BE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560BE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560BE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560BE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560BE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560BE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560BE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560BE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560BE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560BE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560BE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560BE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560BE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560BE4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560BE4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560BE4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560BE4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560BE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560BE4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560BE4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560BE4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D6770"/>
    <w:pPr>
      <w:ind w:left="720"/>
      <w:contextualSpacing/>
    </w:pPr>
  </w:style>
  <w:style w:type="paragraph" w:customStyle="1" w:styleId="Textodstavce">
    <w:name w:val="Text odstavce"/>
    <w:basedOn w:val="Normln"/>
    <w:rsid w:val="00560BE4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560BE4"/>
    <w:pPr>
      <w:ind w:left="567" w:hanging="567"/>
    </w:pPr>
  </w:style>
  <w:style w:type="character" w:styleId="slostrnky">
    <w:name w:val="page number"/>
    <w:basedOn w:val="Standardnpsmoodstavce"/>
    <w:semiHidden/>
    <w:rsid w:val="00560BE4"/>
  </w:style>
  <w:style w:type="paragraph" w:styleId="Zpat">
    <w:name w:val="footer"/>
    <w:basedOn w:val="Normln"/>
    <w:semiHidden/>
    <w:rsid w:val="00560BE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560BE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560BE4"/>
    <w:rPr>
      <w:vertAlign w:val="superscript"/>
    </w:rPr>
  </w:style>
  <w:style w:type="paragraph" w:styleId="Titulek">
    <w:name w:val="caption"/>
    <w:basedOn w:val="Normln"/>
    <w:next w:val="Normln"/>
    <w:qFormat/>
    <w:rsid w:val="00560BE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560BE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560BE4"/>
    <w:pPr>
      <w:keepNext/>
      <w:keepLines/>
      <w:spacing w:before="720"/>
      <w:jc w:val="center"/>
    </w:pPr>
  </w:style>
  <w:style w:type="character" w:customStyle="1" w:styleId="OdstavecseseznamemChar">
    <w:name w:val="Odstavec se seznamem Char"/>
    <w:link w:val="Odstavecseseznamem"/>
    <w:uiPriority w:val="34"/>
    <w:rsid w:val="00CD6770"/>
    <w:rPr>
      <w:sz w:val="24"/>
      <w:szCs w:val="24"/>
    </w:rPr>
  </w:style>
  <w:style w:type="paragraph" w:customStyle="1" w:styleId="VARIANTA">
    <w:name w:val="VARIANTA"/>
    <w:basedOn w:val="Normln"/>
    <w:next w:val="Normln"/>
    <w:rsid w:val="00560BE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560BE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560BE4"/>
    <w:rPr>
      <w:b/>
    </w:rPr>
  </w:style>
  <w:style w:type="paragraph" w:customStyle="1" w:styleId="Nadpislnku">
    <w:name w:val="Nadpis článku"/>
    <w:basedOn w:val="lnek"/>
    <w:next w:val="Textodstavce"/>
    <w:rsid w:val="00560BE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12</TotalTime>
  <Pages>4</Pages>
  <Words>1281</Words>
  <Characters>6405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Fialova Marcela</cp:lastModifiedBy>
  <cp:revision>4</cp:revision>
  <dcterms:created xsi:type="dcterms:W3CDTF">2019-07-11T08:04:00Z</dcterms:created>
  <dcterms:modified xsi:type="dcterms:W3CDTF">2019-07-11T08:32:00Z</dcterms:modified>
  <cp:category/>
</cp:coreProperties>
</file>