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5C4EF4" w:rsidRDefault="005C4EF4" w:rsidP="00A92050">
      <w:pPr>
        <w:jc w:val="center"/>
        <w:rPr>
          <w:b/>
        </w:rPr>
      </w:pPr>
    </w:p>
    <w:p w:rsidR="00A92050" w:rsidRDefault="00A92050" w:rsidP="00A92050">
      <w:pPr>
        <w:jc w:val="center"/>
        <w:rPr>
          <w:b/>
        </w:rPr>
      </w:pPr>
      <w:r>
        <w:rPr>
          <w:b/>
        </w:rPr>
        <w:t>k</w:t>
      </w:r>
      <w:r w:rsidR="009647CA">
        <w:rPr>
          <w:b/>
        </w:rPr>
        <w:t xml:space="preserve"> vládnímu </w:t>
      </w:r>
      <w:r>
        <w:rPr>
          <w:b/>
        </w:rPr>
        <w:t xml:space="preserve">návrhu </w:t>
      </w:r>
      <w:r w:rsidR="005C4EF4" w:rsidRPr="0063779B">
        <w:rPr>
          <w:b/>
        </w:rPr>
        <w:t>zákona, kterým se mění zákon č. 311/2006 Sb., o pohonných hmotách a čerpacích stanicích pohonných hmot a o změně některých souvisejících zákonů (zákon o pohonných hmotách), ve znění pozdějších předpisů</w:t>
      </w:r>
      <w:r w:rsidR="005C4EF4">
        <w:br/>
      </w:r>
      <w:r>
        <w:rPr>
          <w:b/>
        </w:rPr>
        <w:t xml:space="preserve">(tisk </w:t>
      </w:r>
      <w:r w:rsidR="005C4EF4">
        <w:rPr>
          <w:b/>
        </w:rPr>
        <w:t>364</w:t>
      </w:r>
      <w:r>
        <w:rPr>
          <w:b/>
        </w:rPr>
        <w:t>)</w:t>
      </w: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návrhy obsažené v usnesení garančního</w:t>
      </w:r>
      <w:r w:rsidR="005C4EF4">
        <w:t xml:space="preserve"> hospodářského</w:t>
      </w:r>
      <w:r>
        <w:t xml:space="preserve"> výboru č. </w:t>
      </w:r>
      <w:r w:rsidR="005C4EF4">
        <w:t>171</w:t>
      </w:r>
      <w:r w:rsidR="00AF24B6">
        <w:t xml:space="preserve"> z</w:t>
      </w:r>
      <w:r w:rsidR="005C4EF4">
        <w:t xml:space="preserve"> 27</w:t>
      </w:r>
      <w:r>
        <w:t xml:space="preserve">. schůze konané dne </w:t>
      </w:r>
      <w:r w:rsidR="005C4EF4">
        <w:t>2. května 2019</w:t>
      </w:r>
      <w:r>
        <w:t xml:space="preserve"> (tisk </w:t>
      </w:r>
      <w:r w:rsidR="005C4EF4">
        <w:t>364</w:t>
      </w:r>
      <w:r>
        <w:t>/</w:t>
      </w:r>
      <w:r w:rsidR="005C4EF4">
        <w:t>2</w:t>
      </w:r>
      <w:r>
        <w:t>)</w:t>
      </w:r>
    </w:p>
    <w:p w:rsidR="005C4EF4" w:rsidRDefault="00B67DFC" w:rsidP="00B67DFC">
      <w:pPr>
        <w:ind w:left="567" w:hanging="283"/>
        <w:rPr>
          <w:rFonts w:eastAsia="Calibri"/>
          <w:lang w:eastAsia="en-US"/>
        </w:rPr>
      </w:pPr>
      <w:r>
        <w:t>1.</w:t>
      </w:r>
      <w:r>
        <w:tab/>
      </w:r>
      <w:r w:rsidR="005C4EF4">
        <w:t>V čl. I se za bod 18 vkládají nové body 19 a 20, které znějí:</w:t>
      </w:r>
    </w:p>
    <w:p w:rsidR="005C4EF4" w:rsidRDefault="005C4EF4" w:rsidP="005C4EF4">
      <w:pPr>
        <w:ind w:firstLine="709"/>
      </w:pPr>
      <w:r>
        <w:t>„19. Na konci § 5 odst. 7 písm. d) se slovo „a“ zrušuje.</w:t>
      </w:r>
    </w:p>
    <w:p w:rsidR="005C4EF4" w:rsidRDefault="005C4EF4" w:rsidP="005C4EF4">
      <w:pPr>
        <w:ind w:firstLine="709"/>
      </w:pPr>
    </w:p>
    <w:p w:rsidR="005C4EF4" w:rsidRDefault="005C4EF4" w:rsidP="005C4EF4">
      <w:pPr>
        <w:ind w:left="703"/>
      </w:pPr>
      <w:r>
        <w:t>20. V § 5 se na konci odstavce 7 tečka nahrazuje slovem „, a“ a doplňuje se písmeno f), které zní:</w:t>
      </w:r>
    </w:p>
    <w:p w:rsidR="005C4EF4" w:rsidRDefault="005C4EF4" w:rsidP="005C4EF4">
      <w:pPr>
        <w:ind w:left="703"/>
      </w:pPr>
      <w:r>
        <w:t>„f) zajistit na čerpací stanici, z níž je prodáván nebo vydáván zkapalněný ropný plyn, označení výdejních stojanů zkapalněného ropného plynu informací „Plnění plynu do mobilních tlakových nádob je zakázáno.“.“.</w:t>
      </w:r>
    </w:p>
    <w:p w:rsidR="005C4EF4" w:rsidRDefault="005C4EF4" w:rsidP="005C4EF4">
      <w:pPr>
        <w:ind w:firstLine="703"/>
      </w:pPr>
      <w:r>
        <w:t>Dosavadní novelizační body 19 až 56 se označují jako novelizační body 21 až 58.</w:t>
      </w:r>
    </w:p>
    <w:p w:rsidR="005C4EF4" w:rsidRDefault="005C4EF4" w:rsidP="005C4EF4">
      <w:pPr>
        <w:ind w:firstLine="703"/>
      </w:pPr>
    </w:p>
    <w:p w:rsidR="005C4EF4" w:rsidRPr="00B67DFC" w:rsidRDefault="00B67DFC" w:rsidP="00B67DFC">
      <w:pPr>
        <w:ind w:left="360"/>
      </w:pPr>
      <w:r>
        <w:t>2.</w:t>
      </w:r>
      <w:r>
        <w:tab/>
      </w:r>
      <w:r w:rsidR="005C4EF4" w:rsidRPr="00B67DFC">
        <w:t>V čl. I bod 49 (dosavadní bod 47) zní:</w:t>
      </w:r>
    </w:p>
    <w:p w:rsidR="005C4EF4" w:rsidRDefault="005C4EF4" w:rsidP="005C4EF4">
      <w:pPr>
        <w:ind w:left="709"/>
      </w:pPr>
      <w:r>
        <w:t>„49. V § 7 odst. 2 písm. b) se slova „a e)“ nahrazují slovy „, e) a f)“ a slova „a 5,“ se nahrazují slovy „až 6 a“.“.</w:t>
      </w:r>
    </w:p>
    <w:p w:rsidR="005C4EF4" w:rsidRDefault="005C4EF4" w:rsidP="005C4EF4">
      <w:pPr>
        <w:ind w:left="709"/>
      </w:pPr>
    </w:p>
    <w:p w:rsidR="005C4EF4" w:rsidRPr="00B67DFC" w:rsidRDefault="00B67DFC" w:rsidP="00B67DFC">
      <w:pPr>
        <w:ind w:left="357"/>
      </w:pPr>
      <w:r>
        <w:t>3.</w:t>
      </w:r>
      <w:r>
        <w:tab/>
      </w:r>
      <w:r w:rsidR="005C4EF4" w:rsidRPr="00B67DFC">
        <w:t>V čl. I bodě 54 (dosavadním bodě 52), v § 9 odst. 6 písmeno b) zní:</w:t>
      </w:r>
    </w:p>
    <w:p w:rsidR="005C4EF4" w:rsidRDefault="005C4EF4" w:rsidP="005C4EF4">
      <w:pPr>
        <w:ind w:left="709"/>
      </w:pPr>
      <w:r>
        <w:t xml:space="preserve">„b) v rozporu s § 5 odst. 3 plní mobilní tlakové nádoby zkapalněnými ropnými plyny nebo jejich plnění umožní, nebo nezajistí označení výdejních stojanů zkapalněného ropného plynu podle § 5 odst. 7 písm. f),“. </w:t>
      </w:r>
    </w:p>
    <w:p w:rsidR="005C4EF4" w:rsidRDefault="005C4EF4" w:rsidP="005C4EF4">
      <w:pPr>
        <w:ind w:left="709"/>
      </w:pPr>
    </w:p>
    <w:p w:rsidR="005C4EF4" w:rsidRPr="00B67DFC" w:rsidRDefault="00B67DFC" w:rsidP="00B67DFC">
      <w:pPr>
        <w:ind w:left="360"/>
      </w:pPr>
      <w:r>
        <w:t>4.</w:t>
      </w:r>
      <w:r>
        <w:tab/>
      </w:r>
      <w:r w:rsidR="005C4EF4" w:rsidRPr="00B67DFC">
        <w:t>V čl. III se číslo „42“ nahrazuje číslem „44“, číslo „50“ se nahrazuje číslem „52“, číslo „53“ se nahrazuje číslem „55“ a číslo „56“ se nahrazuje číslem „58“.</w:t>
      </w:r>
    </w:p>
    <w:p w:rsidR="00A92050" w:rsidRPr="00A92050" w:rsidRDefault="00A92050" w:rsidP="00A92050"/>
    <w:p w:rsidR="00A92050" w:rsidRPr="00A92050" w:rsidRDefault="00A92050" w:rsidP="00A92050"/>
    <w:p w:rsidR="00A92050" w:rsidRPr="00A92050" w:rsidRDefault="00A92050" w:rsidP="00C25DED">
      <w:pPr>
        <w:jc w:val="center"/>
      </w:pPr>
      <w:r w:rsidRPr="00A92050">
        <w:rPr>
          <w:b/>
          <w:sz w:val="28"/>
          <w:szCs w:val="28"/>
        </w:rPr>
        <w:t xml:space="preserve">Pozměňovací návrhy přednesené ve druhém čtení dne </w:t>
      </w:r>
      <w:r w:rsidR="00C25DED">
        <w:rPr>
          <w:b/>
          <w:sz w:val="28"/>
          <w:szCs w:val="28"/>
        </w:rPr>
        <w:t>26. listopadu 2019</w:t>
      </w:r>
    </w:p>
    <w:p w:rsidR="00A92050" w:rsidRDefault="00A92050" w:rsidP="00A92050"/>
    <w:p w:rsidR="00C25DED" w:rsidRPr="00A92050" w:rsidRDefault="00C25DED" w:rsidP="00A92050"/>
    <w:p w:rsidR="00A92050" w:rsidRDefault="00A92050" w:rsidP="00A92050">
      <w:pPr>
        <w:pStyle w:val="Oznaenpozmn"/>
        <w:tabs>
          <w:tab w:val="clear" w:pos="425"/>
        </w:tabs>
        <w:ind w:left="567" w:hanging="567"/>
      </w:pPr>
      <w:r>
        <w:t>Poslanec</w:t>
      </w:r>
      <w:r w:rsidR="008C5E08">
        <w:t xml:space="preserve"> Pustějovský Pavel</w:t>
      </w:r>
    </w:p>
    <w:p w:rsidR="008C5E08" w:rsidRDefault="008C5E08" w:rsidP="008C5E08">
      <w:r>
        <w:t>(přihlásil se k PN  Martina Kolovratníka)</w:t>
      </w:r>
    </w:p>
    <w:p w:rsidR="00A92050" w:rsidRPr="008C5E08" w:rsidRDefault="008C5E08" w:rsidP="00A92050">
      <w:pPr>
        <w:rPr>
          <w:i/>
        </w:rPr>
      </w:pPr>
      <w:r w:rsidRPr="008C5E08">
        <w:rPr>
          <w:i/>
        </w:rPr>
        <w:t>(SD 3033)</w:t>
      </w:r>
    </w:p>
    <w:p w:rsidR="00A92050" w:rsidRPr="00A92050" w:rsidRDefault="00A92050" w:rsidP="00A92050"/>
    <w:p w:rsidR="008C5E08" w:rsidRPr="00676312" w:rsidRDefault="008C5E08" w:rsidP="008C5E08">
      <w:pPr>
        <w:spacing w:before="240" w:after="60" w:line="276" w:lineRule="auto"/>
        <w:rPr>
          <w:b/>
          <w:bCs/>
          <w:u w:val="single"/>
        </w:rPr>
      </w:pPr>
      <w:r w:rsidRPr="00676312">
        <w:rPr>
          <w:b/>
          <w:bCs/>
          <w:u w:val="single"/>
        </w:rPr>
        <w:t>Navrhovaná úprava</w:t>
      </w:r>
    </w:p>
    <w:p w:rsidR="008C5E08" w:rsidRPr="00676312" w:rsidRDefault="008C5E08" w:rsidP="008C5E08">
      <w:pPr>
        <w:spacing w:before="240" w:after="60" w:line="276" w:lineRule="auto"/>
        <w:rPr>
          <w:b/>
        </w:rPr>
      </w:pPr>
      <w:proofErr w:type="gramStart"/>
      <w:r w:rsidRPr="00676312">
        <w:rPr>
          <w:b/>
        </w:rPr>
        <w:t>1.V Čl.</w:t>
      </w:r>
      <w:proofErr w:type="gramEnd"/>
      <w:r w:rsidRPr="00676312">
        <w:rPr>
          <w:b/>
        </w:rPr>
        <w:t xml:space="preserve"> I dosavadní body č. 40 a 41 znějí:</w:t>
      </w:r>
    </w:p>
    <w:p w:rsidR="008C5E08" w:rsidRPr="00676312" w:rsidRDefault="008C5E08" w:rsidP="008C5E08">
      <w:pPr>
        <w:spacing w:after="120" w:line="276" w:lineRule="auto"/>
      </w:pPr>
      <w:r w:rsidRPr="00676312">
        <w:lastRenderedPageBreak/>
        <w:t xml:space="preserve">„40. V § 6q </w:t>
      </w:r>
      <w:r w:rsidRPr="008C5E08">
        <w:t>odstavec</w:t>
      </w:r>
      <w:r w:rsidRPr="00676312">
        <w:t xml:space="preserve"> 2 zní: </w:t>
      </w:r>
    </w:p>
    <w:p w:rsidR="008C5E08" w:rsidRPr="008C5E08" w:rsidRDefault="008C5E08" w:rsidP="008C5E08">
      <w:pPr>
        <w:spacing w:after="120" w:line="276" w:lineRule="auto"/>
        <w:ind w:firstLine="708"/>
      </w:pPr>
      <w:r w:rsidRPr="008C5E08">
        <w:t>„(2) Provozovatel dobíjecí stanice vybavené běžným dobíjecím bodem je povinen zajistit, aby každý běžný dobíjecí bod v rámci jím provozované dobíjecí stanice splňoval požadavky stanovené zvláštním právním předpisem upravujícím technické požadavky na stavby</w:t>
      </w:r>
      <w:r w:rsidRPr="008C5E08">
        <w:rPr>
          <w:vertAlign w:val="superscript"/>
        </w:rPr>
        <w:t>16)</w:t>
      </w:r>
      <w:r w:rsidRPr="008C5E08">
        <w:t xml:space="preserve"> a českou technickou normou upravující technické požadavky na nabíjení elektrických vozidel vodivým připojením a požadavky na rozměrovou kompatibilitu a zaměnitelnost pro přístroje s kolíky a dutinkami na střídavý proud</w:t>
      </w:r>
      <w:r w:rsidRPr="008C5E08">
        <w:rPr>
          <w:vertAlign w:val="superscript"/>
        </w:rPr>
        <w:t>17)</w:t>
      </w:r>
      <w:r w:rsidRPr="008C5E08">
        <w:t>. V případě dobíjecích stanic vybavených běžnými dobíjecími body, které byly uvedeny do provozu nebo obnoveny před 18. listopadem 2017, a v případě bezdrátových nebo indukčních jednotek se věta první nepoužije.“.</w:t>
      </w:r>
    </w:p>
    <w:p w:rsidR="008C5E08" w:rsidRPr="008C5E08" w:rsidRDefault="008C5E08" w:rsidP="008C5E08">
      <w:pPr>
        <w:spacing w:after="120" w:line="276" w:lineRule="auto"/>
      </w:pPr>
      <w:r w:rsidRPr="008C5E08">
        <w:t>41. V § 6q odstavec 3 zní:</w:t>
      </w:r>
    </w:p>
    <w:p w:rsidR="008C5E08" w:rsidRDefault="008C5E08" w:rsidP="008C5E08">
      <w:pPr>
        <w:ind w:firstLine="709"/>
      </w:pPr>
      <w:r w:rsidRPr="008C5E08">
        <w:t>„(3) Provozovatel dobíjecí stanice vybavené vysoce výkonným dobíjecím bodem je povinen zajistit, aby jím provozovaná dobíjecí stanice obsahovala alespoň jeden vysoce výkonný dobíjecí bod splňující požadavky stanovené zvláštním právním předpisem upravujícím technické požadavky na stavby</w:t>
      </w:r>
      <w:r w:rsidRPr="008C5E08">
        <w:rPr>
          <w:vertAlign w:val="superscript"/>
        </w:rPr>
        <w:t>16)</w:t>
      </w:r>
      <w:r w:rsidRPr="008C5E08">
        <w:t xml:space="preserve"> a všechny vysoce výkonné dobíjecí body v rámci jím provozované dobíjecí stanice splňovaly požadavky stanovené českými technickými normami upravujícími technické požadavky na nabíjení elektrických vozidel vodivým připojením a požadavky na rozměrovou kompatibilitu a zaměnitelnost pro přístroje s kolíky a dutinkami na střídavý proud a požadavky na rozměrovou kompatibilitu a zaměnitelnost pro vozidlová zásuvková spojení s kolíky a dutinkami na stejnosměrný a střídavý nebo stejnosměrný proud</w:t>
      </w:r>
      <w:r w:rsidRPr="008C5E08">
        <w:rPr>
          <w:vertAlign w:val="superscript"/>
        </w:rPr>
        <w:t>18)</w:t>
      </w:r>
      <w:r w:rsidRPr="008C5E08">
        <w:t>. V případě dobíjecích stanic vybavených vysoce výkonnými dobíjecími body, které byly uvedeny do provozu nebo obnoveny před 18. listopadem 2017, a v případě bezdrátových nebo indukčních jednotek se věta první nepoužije.“.“.</w:t>
      </w:r>
    </w:p>
    <w:p w:rsidR="008C5E08" w:rsidRPr="008C5E08" w:rsidRDefault="008C5E08" w:rsidP="008C5E08">
      <w:pPr>
        <w:ind w:firstLine="709"/>
      </w:pPr>
    </w:p>
    <w:p w:rsidR="008C5E08" w:rsidRPr="00676312" w:rsidRDefault="008C5E08" w:rsidP="008C5E08">
      <w:r w:rsidRPr="00676312">
        <w:t>2</w:t>
      </w:r>
      <w:r w:rsidRPr="00676312">
        <w:rPr>
          <w:b/>
        </w:rPr>
        <w:t>. V článku I. dosavadním novelizačním bodě 53, v § 9a odstavce 3 a 4 znějí:</w:t>
      </w:r>
    </w:p>
    <w:p w:rsidR="008C5E08" w:rsidRPr="00676312" w:rsidRDefault="008C5E08" w:rsidP="008C5E08"/>
    <w:p w:rsidR="008C5E08" w:rsidRPr="008C5E08" w:rsidRDefault="008C5E08" w:rsidP="008C5E08">
      <w:r w:rsidRPr="00676312">
        <w:t xml:space="preserve"> </w:t>
      </w:r>
      <w:r w:rsidRPr="008C5E08">
        <w:t>„(3) Provozovatel dobíjecí stanice vybavené běžným dobíjecím bodem se dopustí přestupku tím, že nezajistí, aby jím provozovaná dobíjecí stanice, s výjimkou bezdrátové nebo indukční jednotky, splňovala požadavky podle § 6q odst. 2.</w:t>
      </w:r>
    </w:p>
    <w:p w:rsidR="008C5E08" w:rsidRPr="00676312" w:rsidRDefault="008C5E08" w:rsidP="008C5E08">
      <w:pPr>
        <w:rPr>
          <w:b/>
        </w:rPr>
      </w:pPr>
    </w:p>
    <w:p w:rsidR="008C5E08" w:rsidRPr="008C5E08" w:rsidRDefault="008C5E08" w:rsidP="008C5E08">
      <w:pPr>
        <w:spacing w:after="120" w:line="276" w:lineRule="auto"/>
      </w:pPr>
      <w:r w:rsidRPr="008C5E08">
        <w:t>(4) Provozovatel dobíjecí stanice vybavené vysoce výkonným dobíjecím bodem se dopustí přestupku tím, že nezajistí, aby jím provozovaná dobíjecí stanice, s výjimkou bezdrátové nebo indukční jednotky, splňovala požadavky podle § 6q odst. 3.“.</w:t>
      </w:r>
    </w:p>
    <w:p w:rsidR="00A92050" w:rsidRDefault="00A92050" w:rsidP="00A92050"/>
    <w:p w:rsidR="00B67DFC" w:rsidRDefault="00B67DFC" w:rsidP="00A92050"/>
    <w:p w:rsidR="00B67DFC" w:rsidRDefault="00B67DFC" w:rsidP="00A92050"/>
    <w:p w:rsidR="00B67DFC" w:rsidRDefault="00B67DFC" w:rsidP="00A92050"/>
    <w:p w:rsidR="00B67DFC" w:rsidRPr="00A92050" w:rsidRDefault="00B67DFC" w:rsidP="00A92050"/>
    <w:p w:rsidR="00A92050" w:rsidRPr="00A92050" w:rsidRDefault="00A92050" w:rsidP="00A92050"/>
    <w:p w:rsidR="00A92050" w:rsidRPr="00A92050" w:rsidRDefault="00A92050" w:rsidP="00A92050">
      <w:pPr>
        <w:jc w:val="center"/>
      </w:pPr>
      <w:r w:rsidRPr="00A92050">
        <w:t>V Praze dne</w:t>
      </w:r>
      <w:r w:rsidR="008C5E08">
        <w:t xml:space="preserve"> </w:t>
      </w:r>
      <w:r w:rsidR="0063779B">
        <w:t>27.</w:t>
      </w:r>
      <w:r w:rsidR="008C5E08">
        <w:t xml:space="preserve"> listopadu 2019</w:t>
      </w:r>
    </w:p>
    <w:p w:rsidR="00A92050" w:rsidRPr="00A92050" w:rsidRDefault="00A92050" w:rsidP="00A92050">
      <w:pPr>
        <w:jc w:val="center"/>
      </w:pPr>
    </w:p>
    <w:p w:rsidR="00A92050" w:rsidRDefault="00A92050" w:rsidP="00A92050">
      <w:pPr>
        <w:jc w:val="center"/>
      </w:pPr>
    </w:p>
    <w:p w:rsidR="00B67DFC" w:rsidRPr="00B67DFC" w:rsidRDefault="008C5E08" w:rsidP="00A92050">
      <w:pPr>
        <w:jc w:val="center"/>
        <w:rPr>
          <w:b/>
        </w:rPr>
      </w:pPr>
      <w:r>
        <w:rPr>
          <w:b/>
        </w:rPr>
        <w:t xml:space="preserve">Ing. </w:t>
      </w:r>
      <w:r w:rsidR="00B67DFC" w:rsidRPr="00B67DFC">
        <w:rPr>
          <w:b/>
        </w:rPr>
        <w:t>Martin   K o l o v r a t n í k</w:t>
      </w:r>
      <w:r w:rsidR="0063779B" w:rsidRPr="0063779B">
        <w:t xml:space="preserve">, </w:t>
      </w:r>
      <w:proofErr w:type="gramStart"/>
      <w:r w:rsidR="0063779B" w:rsidRPr="0063779B">
        <w:t>v.r.</w:t>
      </w:r>
      <w:proofErr w:type="gramEnd"/>
    </w:p>
    <w:p w:rsidR="00A92050" w:rsidRPr="00A92050" w:rsidRDefault="00A92050" w:rsidP="00A92050">
      <w:pPr>
        <w:jc w:val="center"/>
      </w:pPr>
      <w:r w:rsidRPr="00A92050">
        <w:t xml:space="preserve">zpravodaj garančního </w:t>
      </w:r>
      <w:r w:rsidR="00B67DFC">
        <w:t xml:space="preserve">hospodářského </w:t>
      </w:r>
      <w:r w:rsidRPr="00A92050">
        <w:t>výb</w:t>
      </w:r>
      <w:bookmarkStart w:id="0" w:name="_GoBack"/>
      <w:bookmarkEnd w:id="0"/>
      <w:r w:rsidRPr="00A92050">
        <w:t>oru</w:t>
      </w:r>
      <w:r w:rsidR="00AF24B6">
        <w:t xml:space="preserve"> </w:t>
      </w:r>
    </w:p>
    <w:sectPr w:rsidR="00A92050"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3779B">
      <w:rPr>
        <w:rStyle w:val="slostrnky"/>
        <w:noProof/>
      </w:rPr>
      <w:t>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237455D4"/>
    <w:multiLevelType w:val="hybridMultilevel"/>
    <w:tmpl w:val="9796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6"/>
  </w:num>
  <w:num w:numId="2">
    <w:abstractNumId w:val="2"/>
  </w:num>
  <w:num w:numId="3">
    <w:abstractNumId w:val="1"/>
  </w:num>
  <w:num w:numId="4">
    <w:abstractNumId w:val="4"/>
  </w:num>
  <w:num w:numId="5">
    <w:abstractNumId w:val="8"/>
  </w:num>
  <w:num w:numId="6">
    <w:abstractNumId w:val="3"/>
  </w:num>
  <w:num w:numId="7">
    <w:abstractNumId w:val="7"/>
  </w:num>
  <w:num w:numId="8">
    <w:abstractNumId w:val="0"/>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266D0A"/>
    <w:rsid w:val="00331254"/>
    <w:rsid w:val="00381BC1"/>
    <w:rsid w:val="005C4EF4"/>
    <w:rsid w:val="0063779B"/>
    <w:rsid w:val="008C5E08"/>
    <w:rsid w:val="009647CA"/>
    <w:rsid w:val="00A73D85"/>
    <w:rsid w:val="00A92050"/>
    <w:rsid w:val="00AF24B6"/>
    <w:rsid w:val="00B67DFC"/>
    <w:rsid w:val="00C25D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8FAD7"/>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character" w:customStyle="1" w:styleId="OdstavecseseznamemChar">
    <w:name w:val="Odstavec se seznamem Char"/>
    <w:link w:val="Odstavecseseznamem"/>
    <w:uiPriority w:val="34"/>
    <w:locked/>
    <w:rsid w:val="005C4EF4"/>
    <w:rPr>
      <w:sz w:val="22"/>
      <w:szCs w:val="22"/>
      <w:lang w:eastAsia="en-US"/>
    </w:rPr>
  </w:style>
  <w:style w:type="paragraph" w:styleId="Odstavecseseznamem">
    <w:name w:val="List Paragraph"/>
    <w:basedOn w:val="Normln"/>
    <w:link w:val="OdstavecseseznamemChar"/>
    <w:uiPriority w:val="34"/>
    <w:qFormat/>
    <w:rsid w:val="005C4EF4"/>
    <w:pPr>
      <w:spacing w:after="160" w:line="256" w:lineRule="auto"/>
      <w:ind w:left="720"/>
      <w:contextualSpacing/>
      <w:jc w:val="left"/>
    </w:pPr>
    <w:rPr>
      <w:sz w:val="22"/>
      <w:szCs w:val="22"/>
      <w:lang w:eastAsia="en-US"/>
    </w:rPr>
  </w:style>
  <w:style w:type="paragraph" w:customStyle="1" w:styleId="PSnzevzkona">
    <w:name w:val="PS název zákona"/>
    <w:basedOn w:val="Normln"/>
    <w:next w:val="Normln"/>
    <w:qFormat/>
    <w:rsid w:val="005C4EF4"/>
    <w:pPr>
      <w:pBdr>
        <w:bottom w:val="single" w:sz="4" w:space="12" w:color="auto"/>
      </w:pBdr>
      <w:spacing w:before="360" w:after="120" w:line="256" w:lineRule="auto"/>
      <w:jc w:val="center"/>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5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17</TotalTime>
  <Pages>2</Pages>
  <Words>654</Words>
  <Characters>3554</Characters>
  <Application>Microsoft Office Word</Application>
  <DocSecurity>0</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6</cp:revision>
  <dcterms:created xsi:type="dcterms:W3CDTF">2019-06-06T11:06:00Z</dcterms:created>
  <dcterms:modified xsi:type="dcterms:W3CDTF">2019-11-27T10:39:00Z</dcterms:modified>
  <cp:category/>
</cp:coreProperties>
</file>