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66F238" w14:textId="77777777" w:rsidR="00A6731A" w:rsidRPr="004317F8" w:rsidRDefault="00A6731A" w:rsidP="004317F8">
      <w:pPr>
        <w:jc w:val="center"/>
        <w:rPr>
          <w:b/>
          <w:bCs/>
        </w:rPr>
      </w:pPr>
      <w:r w:rsidRPr="004317F8">
        <w:rPr>
          <w:b/>
          <w:bCs/>
        </w:rPr>
        <w:t>Platné znění s vyznačením změn</w:t>
      </w:r>
    </w:p>
    <w:p w14:paraId="1167202B" w14:textId="77777777" w:rsidR="004317F8" w:rsidRDefault="00A6731A" w:rsidP="00AE04FD">
      <w:pPr>
        <w:jc w:val="center"/>
        <w:rPr>
          <w:b/>
          <w:bCs/>
        </w:rPr>
      </w:pPr>
      <w:r w:rsidRPr="004317F8">
        <w:rPr>
          <w:b/>
          <w:bCs/>
        </w:rPr>
        <w:t>Zákon č. 4</w:t>
      </w:r>
      <w:r w:rsidR="004317F8">
        <w:rPr>
          <w:b/>
          <w:bCs/>
        </w:rPr>
        <w:t>58</w:t>
      </w:r>
      <w:r w:rsidRPr="004317F8">
        <w:rPr>
          <w:b/>
          <w:bCs/>
        </w:rPr>
        <w:t>/200</w:t>
      </w:r>
      <w:r w:rsidR="004317F8">
        <w:rPr>
          <w:b/>
          <w:bCs/>
        </w:rPr>
        <w:t>0</w:t>
      </w:r>
      <w:r w:rsidRPr="004317F8">
        <w:rPr>
          <w:b/>
          <w:bCs/>
        </w:rPr>
        <w:t xml:space="preserve"> Sb., o </w:t>
      </w:r>
      <w:r w:rsidR="004317F8">
        <w:rPr>
          <w:b/>
          <w:bCs/>
        </w:rPr>
        <w:t>podmínkách podnikání a o výkonu státní správy v energetických odvětvích a o změně některých zákonů (energetický zákon), ve znění pozdějších předpisů</w:t>
      </w:r>
    </w:p>
    <w:p w14:paraId="3C49D296" w14:textId="77777777" w:rsidR="00A848FA" w:rsidRPr="004317F8" w:rsidRDefault="00A848FA" w:rsidP="00AE04FD">
      <w:pPr>
        <w:jc w:val="center"/>
      </w:pPr>
    </w:p>
    <w:p w14:paraId="77208A79" w14:textId="77777777" w:rsidR="004317F8" w:rsidRPr="004317F8" w:rsidRDefault="004317F8" w:rsidP="004317F8">
      <w:pPr>
        <w:jc w:val="center"/>
        <w:rPr>
          <w:lang w:eastAsia="en-GB"/>
        </w:rPr>
      </w:pPr>
      <w:r w:rsidRPr="004317F8">
        <w:t>§ 11</w:t>
      </w:r>
    </w:p>
    <w:p w14:paraId="366D36D3" w14:textId="77777777" w:rsidR="004317F8" w:rsidRPr="004317F8" w:rsidRDefault="004317F8" w:rsidP="004317F8">
      <w:pPr>
        <w:jc w:val="center"/>
      </w:pPr>
      <w:r w:rsidRPr="004317F8">
        <w:t>Práva a povinnosti držitelů licencí</w:t>
      </w:r>
    </w:p>
    <w:p w14:paraId="16DD01AA" w14:textId="77777777" w:rsidR="004317F8" w:rsidRPr="004317F8" w:rsidRDefault="004317F8" w:rsidP="004317F8">
      <w:r w:rsidRPr="004317F8">
        <w:rPr>
          <w:rStyle w:val="HTMLVariable"/>
          <w:i w:val="0"/>
          <w:iCs w:val="0"/>
        </w:rPr>
        <w:t>(1)</w:t>
      </w:r>
      <w:r w:rsidRPr="004317F8">
        <w:rPr>
          <w:rStyle w:val="apple-converted-space"/>
        </w:rPr>
        <w:t> </w:t>
      </w:r>
      <w:r w:rsidRPr="004317F8">
        <w:t>Držitel licence je povinen</w:t>
      </w:r>
    </w:p>
    <w:p w14:paraId="37959566" w14:textId="77777777" w:rsidR="004317F8" w:rsidRPr="004317F8" w:rsidRDefault="004317F8" w:rsidP="004317F8">
      <w:r w:rsidRPr="004317F8">
        <w:rPr>
          <w:rStyle w:val="HTMLVariable"/>
          <w:i w:val="0"/>
          <w:iCs w:val="0"/>
        </w:rPr>
        <w:t>a)</w:t>
      </w:r>
      <w:r w:rsidRPr="004317F8">
        <w:rPr>
          <w:rStyle w:val="apple-converted-space"/>
        </w:rPr>
        <w:t> </w:t>
      </w:r>
      <w:r w:rsidRPr="004317F8">
        <w:t>vykonávat licencovanou činnost tak, aby byla zajištěna spolehlivá a trvale bezpečná dodávka energie, pokud je mu tato povinnost uložena ve zvláštní části tohoto zákona,</w:t>
      </w:r>
    </w:p>
    <w:p w14:paraId="00913E34" w14:textId="77777777" w:rsidR="004317F8" w:rsidRPr="004317F8" w:rsidRDefault="004317F8" w:rsidP="004317F8">
      <w:r w:rsidRPr="004317F8">
        <w:rPr>
          <w:rStyle w:val="HTMLVariable"/>
          <w:i w:val="0"/>
          <w:iCs w:val="0"/>
        </w:rPr>
        <w:t>b)</w:t>
      </w:r>
      <w:r w:rsidRPr="004317F8">
        <w:rPr>
          <w:rStyle w:val="apple-converted-space"/>
        </w:rPr>
        <w:t> </w:t>
      </w:r>
      <w:r w:rsidRPr="004317F8">
        <w:t>předkládat Energetickému regulačnímu úřad</w:t>
      </w:r>
      <w:bookmarkStart w:id="0" w:name="_GoBack"/>
      <w:bookmarkEnd w:id="0"/>
      <w:r w:rsidRPr="004317F8">
        <w:t>u údaje pro rozhodnutí o cenách a údaje pro přípravu a provádění programů zvýšení energetické účinnosti a podporu a sledování energetických služeb a jiných opatření ke zvýšení energetické účinnosti,</w:t>
      </w:r>
    </w:p>
    <w:p w14:paraId="5F0C03B1" w14:textId="77777777" w:rsidR="004317F8" w:rsidRPr="004317F8" w:rsidRDefault="004317F8" w:rsidP="004317F8">
      <w:r w:rsidRPr="004317F8">
        <w:rPr>
          <w:rStyle w:val="HTMLVariable"/>
          <w:i w:val="0"/>
          <w:iCs w:val="0"/>
        </w:rPr>
        <w:t>c)</w:t>
      </w:r>
      <w:r w:rsidRPr="004317F8">
        <w:rPr>
          <w:rStyle w:val="apple-converted-space"/>
        </w:rPr>
        <w:t> </w:t>
      </w:r>
      <w:r w:rsidRPr="004317F8">
        <w:t>zajistit, aby k výkonu licencované činnosti byla používána technická zařízení, která splňují požadavky bezpečnosti a spolehlivosti stanovené právními předpisy a technickými normami, v plynárenství i technickými pravidly, která jsou registrována u Hospodářské komory České republiky,</w:t>
      </w:r>
    </w:p>
    <w:p w14:paraId="6AF67CFC" w14:textId="77777777" w:rsidR="004317F8" w:rsidRPr="004317F8" w:rsidRDefault="004317F8" w:rsidP="004317F8">
      <w:r w:rsidRPr="004317F8">
        <w:rPr>
          <w:rStyle w:val="HTMLVariable"/>
          <w:i w:val="0"/>
          <w:iCs w:val="0"/>
        </w:rPr>
        <w:t>d)</w:t>
      </w:r>
      <w:r w:rsidRPr="004317F8">
        <w:rPr>
          <w:rStyle w:val="apple-converted-space"/>
        </w:rPr>
        <w:t> </w:t>
      </w:r>
      <w:r w:rsidRPr="004317F8">
        <w:t>zajistit, aby práce spojené s výkonem licencované činnosti byly prováděny osobami s odbornou způsobilostí,</w:t>
      </w:r>
    </w:p>
    <w:p w14:paraId="0D25B321" w14:textId="77777777" w:rsidR="004317F8" w:rsidRPr="004317F8" w:rsidRDefault="004317F8" w:rsidP="004317F8">
      <w:r w:rsidRPr="004317F8">
        <w:rPr>
          <w:rStyle w:val="HTMLVariable"/>
          <w:i w:val="0"/>
          <w:iCs w:val="0"/>
        </w:rPr>
        <w:t>e)</w:t>
      </w:r>
      <w:r w:rsidRPr="004317F8">
        <w:rPr>
          <w:rStyle w:val="apple-converted-space"/>
        </w:rPr>
        <w:t> </w:t>
      </w:r>
      <w:r w:rsidRPr="004317F8">
        <w:t>poskytovat ministerstvu a Energetickému regulačnímu úřadu pravdivé a úplné informace a podklady nezbytné pro výkon jejich zákonem stanovených oprávnění a umožnit jim přístup k zařízením, která k výkonu licencované činnosti slouží,</w:t>
      </w:r>
    </w:p>
    <w:p w14:paraId="7A55BBE5" w14:textId="77777777" w:rsidR="004317F8" w:rsidRPr="004317F8" w:rsidRDefault="004317F8" w:rsidP="004317F8">
      <w:r w:rsidRPr="004317F8">
        <w:rPr>
          <w:rStyle w:val="HTMLVariable"/>
          <w:i w:val="0"/>
          <w:iCs w:val="0"/>
        </w:rPr>
        <w:t>f)</w:t>
      </w:r>
      <w:r w:rsidRPr="004317F8">
        <w:rPr>
          <w:rStyle w:val="apple-converted-space"/>
        </w:rPr>
        <w:t> </w:t>
      </w:r>
      <w:r w:rsidRPr="004317F8">
        <w:t>vyúčtovávat dodávku elektřiny, plynu, tepelné energie a související službu v elektroenergetice a související službu v plynárenství,</w:t>
      </w:r>
    </w:p>
    <w:p w14:paraId="46164843" w14:textId="77777777" w:rsidR="004317F8" w:rsidRPr="004317F8" w:rsidRDefault="004317F8" w:rsidP="004317F8">
      <w:r w:rsidRPr="004317F8">
        <w:rPr>
          <w:rStyle w:val="HTMLVariable"/>
          <w:i w:val="0"/>
          <w:iCs w:val="0"/>
        </w:rPr>
        <w:t>g)</w:t>
      </w:r>
      <w:r w:rsidRPr="004317F8">
        <w:rPr>
          <w:rStyle w:val="apple-converted-space"/>
        </w:rPr>
        <w:t> </w:t>
      </w:r>
      <w:r w:rsidRPr="004317F8">
        <w:t>zachovávat mlčenlivost o skutečnostech charakteru obchodního, technického a finančního, o kterých se dozvěděl od svých zákazníků,</w:t>
      </w:r>
    </w:p>
    <w:p w14:paraId="5FDF06C8" w14:textId="77777777" w:rsidR="004317F8" w:rsidRPr="004317F8" w:rsidRDefault="004317F8" w:rsidP="004317F8">
      <w:r w:rsidRPr="004317F8">
        <w:rPr>
          <w:rStyle w:val="HTMLVariable"/>
          <w:i w:val="0"/>
          <w:iCs w:val="0"/>
        </w:rPr>
        <w:t>h)</w:t>
      </w:r>
      <w:r w:rsidRPr="004317F8">
        <w:rPr>
          <w:rStyle w:val="apple-converted-space"/>
        </w:rPr>
        <w:t> </w:t>
      </w:r>
      <w:r w:rsidRPr="004317F8">
        <w:t>dodržovat stanovené parametry kvality dodávek a služeb a v případě jejich nedodržení poskytovat náhradu,</w:t>
      </w:r>
    </w:p>
    <w:p w14:paraId="0A141BB3" w14:textId="77777777" w:rsidR="004317F8" w:rsidRPr="004317F8" w:rsidRDefault="004317F8" w:rsidP="004317F8">
      <w:r w:rsidRPr="004317F8">
        <w:rPr>
          <w:rStyle w:val="HTMLVariable"/>
          <w:i w:val="0"/>
          <w:iCs w:val="0"/>
        </w:rPr>
        <w:lastRenderedPageBreak/>
        <w:t>i)</w:t>
      </w:r>
      <w:r w:rsidRPr="004317F8">
        <w:rPr>
          <w:rStyle w:val="apple-converted-space"/>
        </w:rPr>
        <w:t> </w:t>
      </w:r>
      <w:r w:rsidRPr="004317F8">
        <w:t>vykonávat licencovanou činnost tak, aby nedošlo k ohrožení života a zdraví osob, majetku či zájmu na ochranu životního prostředí,</w:t>
      </w:r>
    </w:p>
    <w:p w14:paraId="40774ADD" w14:textId="77777777" w:rsidR="004317F8" w:rsidRPr="004317F8" w:rsidRDefault="004317F8" w:rsidP="004317F8">
      <w:r w:rsidRPr="004317F8">
        <w:rPr>
          <w:rStyle w:val="HTMLVariable"/>
          <w:i w:val="0"/>
          <w:iCs w:val="0"/>
        </w:rPr>
        <w:t>j)</w:t>
      </w:r>
      <w:r w:rsidRPr="004317F8">
        <w:rPr>
          <w:rStyle w:val="apple-converted-space"/>
        </w:rPr>
        <w:t> </w:t>
      </w:r>
      <w:r w:rsidRPr="004317F8">
        <w:t>při výkonu licencované činnosti uvádět pravdivé a úplné informace o podmínkách dodávek energie,</w:t>
      </w:r>
    </w:p>
    <w:p w14:paraId="3B7FD9E6" w14:textId="31092CE4" w:rsidR="004317F8" w:rsidRPr="004317F8" w:rsidRDefault="004317F8" w:rsidP="004317F8">
      <w:r w:rsidRPr="004317F8">
        <w:rPr>
          <w:rStyle w:val="HTMLVariable"/>
          <w:i w:val="0"/>
          <w:iCs w:val="0"/>
        </w:rPr>
        <w:t>k)</w:t>
      </w:r>
      <w:r w:rsidRPr="004317F8">
        <w:rPr>
          <w:rStyle w:val="apple-converted-space"/>
        </w:rPr>
        <w:t> </w:t>
      </w:r>
      <w:r w:rsidRPr="004317F8">
        <w:t>zdržet se všech činností, které mohou bránit poptávce po energetických službách</w:t>
      </w:r>
      <w:r w:rsidRPr="004317F8">
        <w:rPr>
          <w:rStyle w:val="apple-converted-space"/>
        </w:rPr>
        <w:t> </w:t>
      </w:r>
      <w:r w:rsidRPr="004317F8">
        <w:t>nebo dalších opatřeních zaměřených na zvyšování energetické účinnosti a jejich poskytování nebo které by mohly brzdit rozvoj trhů těchto služeb,</w:t>
      </w:r>
    </w:p>
    <w:p w14:paraId="32D72FB0" w14:textId="77777777" w:rsidR="004317F8" w:rsidRPr="004317F8" w:rsidRDefault="004317F8" w:rsidP="004317F8">
      <w:r w:rsidRPr="004317F8">
        <w:rPr>
          <w:rStyle w:val="HTMLVariable"/>
          <w:i w:val="0"/>
          <w:iCs w:val="0"/>
        </w:rPr>
        <w:t>l)</w:t>
      </w:r>
      <w:r w:rsidRPr="004317F8">
        <w:rPr>
          <w:rStyle w:val="apple-converted-space"/>
        </w:rPr>
        <w:t> </w:t>
      </w:r>
      <w:r w:rsidRPr="004317F8">
        <w:t>zajistit, aby byly splněny povinnosti držitele licence podle tohoto zákona a jiných právních předpisů i v případech, kdy držitel licence zajišťuje výkon činnosti spojené s právy a povinnostmi držitele licence prostřednictvím třetí osoby na základě smluvních vztahů, uzavřených podle obecně závazných právních předpisů,</w:t>
      </w:r>
    </w:p>
    <w:p w14:paraId="044D3255" w14:textId="77777777" w:rsidR="004317F8" w:rsidRPr="004317F8" w:rsidRDefault="004317F8" w:rsidP="004317F8">
      <w:r w:rsidRPr="004317F8">
        <w:rPr>
          <w:rStyle w:val="HTMLVariable"/>
          <w:i w:val="0"/>
          <w:iCs w:val="0"/>
        </w:rPr>
        <w:t>m)</w:t>
      </w:r>
      <w:r w:rsidRPr="004317F8">
        <w:rPr>
          <w:rStyle w:val="apple-converted-space"/>
        </w:rPr>
        <w:t> </w:t>
      </w:r>
      <w:r w:rsidRPr="004317F8">
        <w:t>mít k plnění svých práv a povinností k dispozici potřebné lidské, technické a finanční zdroje,</w:t>
      </w:r>
    </w:p>
    <w:p w14:paraId="20908D9E" w14:textId="77777777" w:rsidR="004317F8" w:rsidRPr="004317F8" w:rsidRDefault="004317F8" w:rsidP="004317F8">
      <w:r w:rsidRPr="004317F8">
        <w:rPr>
          <w:rStyle w:val="HTMLVariable"/>
          <w:i w:val="0"/>
          <w:iCs w:val="0"/>
        </w:rPr>
        <w:t>n)</w:t>
      </w:r>
      <w:r w:rsidRPr="004317F8">
        <w:rPr>
          <w:rStyle w:val="apple-converted-space"/>
        </w:rPr>
        <w:t> </w:t>
      </w:r>
      <w:r w:rsidRPr="004317F8">
        <w:t>předkládat Energetickému regulačnímu úřadu podklady nezbytné pro zpracování čtvrtletních a ročních zpráv o provozu soustav v energetických odvětvích,</w:t>
      </w:r>
    </w:p>
    <w:p w14:paraId="6495BCB7" w14:textId="77777777" w:rsidR="004317F8" w:rsidRPr="004317F8" w:rsidRDefault="004317F8" w:rsidP="004317F8">
      <w:r w:rsidRPr="004317F8">
        <w:rPr>
          <w:rStyle w:val="HTMLVariable"/>
          <w:i w:val="0"/>
          <w:iCs w:val="0"/>
        </w:rPr>
        <w:t>o)</w:t>
      </w:r>
      <w:r w:rsidRPr="004317F8">
        <w:rPr>
          <w:rStyle w:val="apple-converted-space"/>
        </w:rPr>
        <w:t> </w:t>
      </w:r>
      <w:r w:rsidRPr="004317F8">
        <w:t>na žádost zákazníka v postavení spotřebitele zpřístupnit jím určenému poskytovateli energetických služeb údaje z vyúčtování dodávky energie a údaje o jeho spotřebě energie za alespoň 3 předcházející zúčtovací období,</w:t>
      </w:r>
    </w:p>
    <w:p w14:paraId="5F759BE9" w14:textId="77777777" w:rsidR="004317F8" w:rsidRPr="004317F8" w:rsidRDefault="004317F8" w:rsidP="004317F8">
      <w:r w:rsidRPr="004317F8">
        <w:rPr>
          <w:rStyle w:val="HTMLVariable"/>
          <w:i w:val="0"/>
          <w:iCs w:val="0"/>
        </w:rPr>
        <w:t>p)</w:t>
      </w:r>
      <w:r w:rsidRPr="004317F8">
        <w:rPr>
          <w:rStyle w:val="apple-converted-space"/>
        </w:rPr>
        <w:t> </w:t>
      </w:r>
      <w:r w:rsidRPr="004317F8">
        <w:t>nabízet zákazníkům možnost předávání informací o vyúčtování dodávek energie a souvisejících služeb v elektronické podobě a na požádání poskytnout jasné a srozumitelné vysvětlení způsobu, jakým bylo jejich vyúčtování vypracováno,</w:t>
      </w:r>
    </w:p>
    <w:p w14:paraId="3DEB14E8" w14:textId="77777777" w:rsidR="004317F8" w:rsidRPr="004317F8" w:rsidRDefault="004317F8" w:rsidP="004317F8">
      <w:r w:rsidRPr="004317F8">
        <w:rPr>
          <w:rStyle w:val="HTMLVariable"/>
          <w:i w:val="0"/>
          <w:iCs w:val="0"/>
        </w:rPr>
        <w:t>q)</w:t>
      </w:r>
      <w:r w:rsidRPr="004317F8">
        <w:rPr>
          <w:rStyle w:val="apple-converted-space"/>
        </w:rPr>
        <w:t> </w:t>
      </w:r>
      <w:r w:rsidRPr="004317F8">
        <w:t>předkládat operátorovi trhu podklady pro zpracování zprávy o budoucí očekávané spotřebě elektřiny a plynu a o způsobu zabezpečení rovnováhy mezi nabídkou a poptávkou elektřiny a plynu,</w:t>
      </w:r>
    </w:p>
    <w:p w14:paraId="7E8DEB42" w14:textId="77777777" w:rsidR="004317F8" w:rsidRPr="004317F8" w:rsidRDefault="004317F8" w:rsidP="004317F8">
      <w:r w:rsidRPr="004317F8">
        <w:rPr>
          <w:rStyle w:val="HTMLVariable"/>
          <w:i w:val="0"/>
          <w:iCs w:val="0"/>
        </w:rPr>
        <w:t>r)</w:t>
      </w:r>
      <w:r w:rsidRPr="004317F8">
        <w:rPr>
          <w:rStyle w:val="apple-converted-space"/>
        </w:rPr>
        <w:t> </w:t>
      </w:r>
      <w:r w:rsidRPr="004317F8">
        <w:t>poskytnout údaje z evidence technické infrastruktury vedené podle stavebního zákona na žádost osobě, která prokáže právní zájem.</w:t>
      </w:r>
    </w:p>
    <w:p w14:paraId="25874128" w14:textId="6AED6A05" w:rsidR="004317F8" w:rsidRPr="004317F8" w:rsidRDefault="004317F8" w:rsidP="004317F8">
      <w:r w:rsidRPr="004317F8">
        <w:rPr>
          <w:rStyle w:val="HTMLVariable"/>
          <w:i w:val="0"/>
          <w:iCs w:val="0"/>
        </w:rPr>
        <w:t>(2)</w:t>
      </w:r>
      <w:r w:rsidRPr="004317F8">
        <w:rPr>
          <w:rStyle w:val="apple-converted-space"/>
        </w:rPr>
        <w:t> </w:t>
      </w:r>
      <w:r w:rsidRPr="004317F8">
        <w:t>Držitel licence podle § 4 odst. 1 postupuje při výkonu licencované činnosti při řešení mimořádných situací</w:t>
      </w:r>
      <w:r w:rsidRPr="004317F8">
        <w:rPr>
          <w:rStyle w:val="apple-converted-space"/>
        </w:rPr>
        <w:t> </w:t>
      </w:r>
      <w:r w:rsidRPr="004317F8">
        <w:t>a krizových situací</w:t>
      </w:r>
      <w:r w:rsidRPr="004317F8">
        <w:rPr>
          <w:rStyle w:val="apple-converted-space"/>
        </w:rPr>
        <w:t> </w:t>
      </w:r>
      <w:r w:rsidRPr="004317F8">
        <w:t>podle havarijního plánu a spolupracuje při tom se stálými orgány pro koordinaci složek integrovaného záchranného systému</w:t>
      </w:r>
      <w:r w:rsidRPr="004317F8">
        <w:rPr>
          <w:rStyle w:val="apple-converted-space"/>
        </w:rPr>
        <w:t> </w:t>
      </w:r>
      <w:r w:rsidRPr="004317F8">
        <w:t>a s orgány krizového řízení; havarijní plán je součástí plánu krizové připravenosti</w:t>
      </w:r>
      <w:r w:rsidR="00A848FA">
        <w:t>.</w:t>
      </w:r>
    </w:p>
    <w:p w14:paraId="50DB70E0" w14:textId="77777777" w:rsidR="004317F8" w:rsidRPr="004317F8" w:rsidRDefault="004317F8" w:rsidP="004317F8">
      <w:r w:rsidRPr="004317F8">
        <w:rPr>
          <w:rStyle w:val="HTMLVariable"/>
          <w:i w:val="0"/>
          <w:iCs w:val="0"/>
        </w:rPr>
        <w:lastRenderedPageBreak/>
        <w:t>(3)</w:t>
      </w:r>
      <w:r w:rsidRPr="004317F8">
        <w:rPr>
          <w:rStyle w:val="apple-converted-space"/>
        </w:rPr>
        <w:t> </w:t>
      </w:r>
      <w:r w:rsidRPr="004317F8">
        <w:t>Držitel licence na výrobu elektřiny, výrobu plynu, obchod s elektřinou nebo obchod s plynem je povinen uchovávat po dobu 5 let údaje o plnění podle smluv uzavřených s účastníky velkoobchodního trhu s elektřinou nebo plynem, s provozovatelem přenosové soustavy, provozovatelem přepravní soustavy nebo s provozovateli zásobníků plynu, jejichž předmětem je dodávka elektřiny nebo plynu nebo deriváty vztažené k elektřině nebo plynu, a na vyžádání těchto orgánů uchovávané údaje poskytovat.</w:t>
      </w:r>
    </w:p>
    <w:p w14:paraId="0D8616F2" w14:textId="77777777" w:rsidR="004317F8" w:rsidRPr="004317F8" w:rsidRDefault="004317F8" w:rsidP="004317F8">
      <w:r w:rsidRPr="004317F8">
        <w:rPr>
          <w:rStyle w:val="HTMLVariable"/>
          <w:i w:val="0"/>
          <w:iCs w:val="0"/>
        </w:rPr>
        <w:t>(4)</w:t>
      </w:r>
      <w:r w:rsidRPr="004317F8">
        <w:rPr>
          <w:rStyle w:val="apple-converted-space"/>
        </w:rPr>
        <w:t> </w:t>
      </w:r>
      <w:r w:rsidRPr="004317F8">
        <w:t>Držitel licence na přenos elektřiny, distribuci elektřiny, přepravu plynu nebo distribuci plynu a držitel licence na činnosti operátora trhu je povinen provést úkony nezbytné k uskutečnění volby nebo změny dodavatele elektřiny nebo plynu, pokud zákazník takové právo uplatní. Uplatněním práva na změnu dodavatele elektřiny nebo plynu v rozporu se sjednanými podmínkami ukončení smlouvy se stávajícím dodavatelem elektřiny nebo plynu není dotčena odpovědnost zákazníka za způsobenou škodu.</w:t>
      </w:r>
    </w:p>
    <w:p w14:paraId="6C2B0606" w14:textId="77777777" w:rsidR="004317F8" w:rsidRPr="004317F8" w:rsidRDefault="004317F8" w:rsidP="004317F8">
      <w:pPr>
        <w:jc w:val="center"/>
      </w:pPr>
      <w:r w:rsidRPr="004317F8">
        <w:t>§ 11a</w:t>
      </w:r>
    </w:p>
    <w:p w14:paraId="4992F24A" w14:textId="77777777" w:rsidR="004317F8" w:rsidRPr="004317F8" w:rsidRDefault="004317F8" w:rsidP="004317F8">
      <w:pPr>
        <w:jc w:val="center"/>
      </w:pPr>
      <w:r w:rsidRPr="004317F8">
        <w:t>Některá opatření na ochranu zákazníka</w:t>
      </w:r>
    </w:p>
    <w:p w14:paraId="2565E01E" w14:textId="77777777" w:rsidR="004317F8" w:rsidRPr="004317F8" w:rsidRDefault="004317F8" w:rsidP="004317F8">
      <w:r w:rsidRPr="004317F8">
        <w:rPr>
          <w:rStyle w:val="HTMLVariable"/>
          <w:i w:val="0"/>
          <w:iCs w:val="0"/>
        </w:rPr>
        <w:t>(1)</w:t>
      </w:r>
      <w:r w:rsidRPr="004317F8">
        <w:rPr>
          <w:rStyle w:val="apple-converted-space"/>
        </w:rPr>
        <w:t> </w:t>
      </w:r>
      <w:r w:rsidRPr="004317F8">
        <w:t xml:space="preserve">Držitel licence na výrobu elektřiny, výrobu plynu, obchod s elektřinou nebo obchod s plynem je povinen uveřejňovat způsobem umožňujícím dálkový přístup uplatňované podmínky dodávek plynu a ceny za dodávku plynu pro domácnosti a podnikající fyzické osoby s roční spotřebou plynu do 630 </w:t>
      </w:r>
      <w:proofErr w:type="spellStart"/>
      <w:r w:rsidRPr="004317F8">
        <w:t>MWh</w:t>
      </w:r>
      <w:proofErr w:type="spellEnd"/>
      <w:r w:rsidRPr="004317F8">
        <w:t>, podmínky dodávek elektřiny a ceny za dodávku elektřiny pro domácnosti nebo podnikající fyzické osoby odebírající elektřinu z hladiny nízkého napětí. Zvýšení cen za dodávku elektřiny nebo plynu nebo změny jiných podmínek dodávek elektřiny nebo plynu je držitel licence povinen uveřejnit a oznámit svým zákazníkům způsobem sjednaným ve smlouvě nejpozději třicátý den přede dnem jejich účinnosti. Pokud není způsob oznámení ve smlouvě sjednán, držitel licence oznámí zákazníkovi zvýšení cen za dodávku elektřiny nebo plynu nebo změny jiných podmínek dodávek elektřiny nebo plynu prokazatelným způsobem.</w:t>
      </w:r>
    </w:p>
    <w:p w14:paraId="5053B391" w14:textId="480BFB92" w:rsidR="004317F8" w:rsidRPr="004317F8" w:rsidRDefault="004317F8" w:rsidP="004317F8">
      <w:r w:rsidRPr="004317F8">
        <w:rPr>
          <w:rStyle w:val="HTMLVariable"/>
          <w:i w:val="0"/>
          <w:iCs w:val="0"/>
        </w:rPr>
        <w:t>(2)</w:t>
      </w:r>
      <w:r w:rsidRPr="004317F8">
        <w:rPr>
          <w:rStyle w:val="apple-converted-space"/>
        </w:rPr>
        <w:t> </w:t>
      </w:r>
      <w:r w:rsidRPr="004317F8">
        <w:t>V případě smlouvy o dodávce elektřiny, plynu nebo tepelné energie nebo smlouvy o sdružených službách dodávky elektřiny nebo plynu, kterou uzavřel zákazník v postavení spotřebitele s držitelem licence distančním způsobem nebo mimo obchodní prostory držitele licence, běží čtrnáctidenní lhůta pro odstoupení od smlouvy podle zvláštního zákona</w:t>
      </w:r>
      <w:r w:rsidRPr="004317F8">
        <w:rPr>
          <w:rStyle w:val="apple-converted-space"/>
        </w:rPr>
        <w:t> </w:t>
      </w:r>
      <w:r w:rsidRPr="004317F8">
        <w:t>ode dne jejího uzavření.</w:t>
      </w:r>
    </w:p>
    <w:p w14:paraId="361CA542" w14:textId="77777777" w:rsidR="004317F8" w:rsidRPr="004317F8" w:rsidRDefault="004317F8" w:rsidP="004317F8">
      <w:r w:rsidRPr="004317F8">
        <w:rPr>
          <w:rStyle w:val="HTMLVariable"/>
          <w:i w:val="0"/>
          <w:iCs w:val="0"/>
        </w:rPr>
        <w:t>(3)</w:t>
      </w:r>
      <w:r w:rsidRPr="004317F8">
        <w:rPr>
          <w:rStyle w:val="apple-converted-space"/>
        </w:rPr>
        <w:t> </w:t>
      </w:r>
      <w:r w:rsidRPr="004317F8">
        <w:t xml:space="preserve">V případě smlouvy o dodávce elektřiny nebo plynu nebo smlouvy o sdružených službách dodávky elektřiny nebo plynu, kterou při změně dodavatele uzavřel zákazník v postavení </w:t>
      </w:r>
      <w:r w:rsidRPr="004317F8">
        <w:lastRenderedPageBreak/>
        <w:t>spotřebitele s držitelem licence distančním způsobem nebo mimo obchodní prostory držitele licence, je zákazník oprávněn bez sankce vypovědět smlouvu uzavřenou na dobu neurčitou nebo určitou, ve lhůtě do patnáctého dne po zahájení dodávky elektřiny nebo plynu. Lhůta je zachována, je-li v jejím průběhu výpověď odeslána držiteli licence. Výpovědní doba činí 15 dnů a počíná běžet prvním dnem měsíce následujícího po doručení výpovědi. Tím nejsou dotčena práva a povinnosti zákazníka a držitele licence podle tohoto zákona týkající se sjednané výpovědi smlouvy uzavřené na dobu neurčitou.</w:t>
      </w:r>
    </w:p>
    <w:p w14:paraId="03FC97D1" w14:textId="77777777" w:rsidR="004317F8" w:rsidRPr="004317F8" w:rsidRDefault="004317F8" w:rsidP="004317F8">
      <w:r w:rsidRPr="004317F8">
        <w:rPr>
          <w:rStyle w:val="HTMLVariable"/>
          <w:i w:val="0"/>
          <w:iCs w:val="0"/>
        </w:rPr>
        <w:t>(4)</w:t>
      </w:r>
      <w:r w:rsidRPr="004317F8">
        <w:rPr>
          <w:rStyle w:val="apple-converted-space"/>
        </w:rPr>
        <w:t> </w:t>
      </w:r>
      <w:r w:rsidRPr="004317F8">
        <w:t>V případě pochybností je na držiteli licence, který smlouvu se zákazníkem uzavřel, aby prokázal, že smlouva nebyla uzavřena distančním způsobem nebo mimo obchodní prostory.</w:t>
      </w:r>
    </w:p>
    <w:p w14:paraId="0C58E14E" w14:textId="77777777" w:rsidR="004317F8" w:rsidRPr="004317F8" w:rsidRDefault="004317F8" w:rsidP="004317F8">
      <w:r w:rsidRPr="004317F8">
        <w:rPr>
          <w:rStyle w:val="HTMLVariable"/>
          <w:i w:val="0"/>
          <w:iCs w:val="0"/>
        </w:rPr>
        <w:t>(5)</w:t>
      </w:r>
      <w:r w:rsidRPr="004317F8">
        <w:rPr>
          <w:rStyle w:val="apple-converted-space"/>
        </w:rPr>
        <w:t> </w:t>
      </w:r>
      <w:r w:rsidRPr="004317F8">
        <w:t>Zvýší-li držitel licence na obchod s elektřinou, obchod s plynem, výrobu elektřiny nebo výrobu plynu cenu za dodávku elektřiny nebo plynu nebo změní-li jiné smluvní podmínky, je zákazník oprávněn bez uvedení důvodu odstoupit od smlouvy do 3 měsíců od data zvýšení ceny nebo změny jiných smluvních podmínek. To neplatí, pokud držitel licence oznámí zákazníkovi zvýšení ceny nebo změnu jiných smluvních podmínek nejpozději třicátý den přede dnem jejich účinnosti a současně zákazníka poučí o jeho právu na odstoupení od smlouvy. V takovém případě je zákazník oprávněn bez uvedení důvodu odstoupit od smlouvy nejpozději desátý den přede dnem zvýšení ceny nebo změny jiných smluvních podmínek. Právo na odstoupení od smlouvy podle tohoto odstavce zákazníkovi nevzniká v případě zvýšení regulované složky ceny, daní a poplatků, a dále v případě změny jiných smluvních podmínek v nezbytném rozsahu z důvodu zajištění souladu s obecně závazným právním předpisem.</w:t>
      </w:r>
    </w:p>
    <w:p w14:paraId="48C81F8A" w14:textId="0EBEFA97" w:rsidR="004317F8" w:rsidRPr="004317F8" w:rsidRDefault="004317F8" w:rsidP="004317F8">
      <w:r w:rsidRPr="004317F8">
        <w:rPr>
          <w:rStyle w:val="HTMLVariable"/>
          <w:i w:val="0"/>
          <w:iCs w:val="0"/>
        </w:rPr>
        <w:t>(6)</w:t>
      </w:r>
      <w:r w:rsidRPr="004317F8">
        <w:rPr>
          <w:rStyle w:val="apple-converted-space"/>
        </w:rPr>
        <w:t> </w:t>
      </w:r>
      <w:r w:rsidRPr="004317F8">
        <w:t>Odstoupení podle odstavce 3 je účinné k poslednímu dni kalendářního měsíce, ve kterém bylo doručeno příslušnému držiteli licence, neurčí-li zákazník pozdější den účinnosti odstoupení. Uplatnění práva na odstoupení nesmí být spojeno s žádnými finančními nároky vůči zákazníkovi. Odstoupení, které bylo uskutečněno do 3 měsíců od účinnosti zvýšení ceny nebo změny jiných smluvních podmínek a méně než 10 dnů před koncem daného měsíce, je účinné k poslednímu dni kalendářního měsíce, který následuje po měsíci, ve kterém bylo odstoupení doručeno příslušnému držiteli licence.</w:t>
      </w:r>
    </w:p>
    <w:p w14:paraId="406EBF6F" w14:textId="77777777" w:rsidR="004317F8" w:rsidRPr="004317F8" w:rsidRDefault="004317F8" w:rsidP="004317F8">
      <w:r w:rsidRPr="004317F8">
        <w:rPr>
          <w:rStyle w:val="HTMLVariable"/>
          <w:i w:val="0"/>
          <w:iCs w:val="0"/>
        </w:rPr>
        <w:t>(7)</w:t>
      </w:r>
      <w:r w:rsidRPr="004317F8">
        <w:rPr>
          <w:rStyle w:val="apple-converted-space"/>
        </w:rPr>
        <w:t> </w:t>
      </w:r>
      <w:r w:rsidRPr="004317F8">
        <w:t>Pro sjednání zvýšení ceny elektřiny nebo plynu nebo změny jiných smluvních podmínek, ke kterému není podle smlouvy uzavřené se zákazníkem třeba výslovného projevu vůle zákazníka nebo je projev vůle zákazníka spojen s marným uplynutím lhůty, se přiměřeně použijí ustanovení odstavců 3 a 4.</w:t>
      </w:r>
    </w:p>
    <w:p w14:paraId="73B2D80B" w14:textId="77777777" w:rsidR="004317F8" w:rsidRPr="004317F8" w:rsidRDefault="004317F8" w:rsidP="004317F8">
      <w:r w:rsidRPr="004317F8">
        <w:rPr>
          <w:rStyle w:val="HTMLVariable"/>
          <w:i w:val="0"/>
          <w:iCs w:val="0"/>
        </w:rPr>
        <w:lastRenderedPageBreak/>
        <w:t>(8)</w:t>
      </w:r>
      <w:r w:rsidRPr="004317F8">
        <w:rPr>
          <w:rStyle w:val="apple-converted-space"/>
        </w:rPr>
        <w:t> </w:t>
      </w:r>
      <w:r w:rsidRPr="004317F8">
        <w:t>Držitel licence na výrobu elektřiny, obchod s elektřinou, výrobu plynu nebo obchod s plynem je povinen zákazníkům umožnit neznevýhodňující výběr způsobu platby za dodanou elektřinu nebo plyn.</w:t>
      </w:r>
    </w:p>
    <w:p w14:paraId="2F170C38" w14:textId="77777777" w:rsidR="004317F8" w:rsidRPr="004317F8" w:rsidRDefault="004317F8" w:rsidP="004317F8">
      <w:pPr>
        <w:rPr>
          <w:color w:val="000000"/>
        </w:rPr>
      </w:pPr>
      <w:r w:rsidRPr="004317F8">
        <w:rPr>
          <w:rStyle w:val="HTMLVariable"/>
          <w:i w:val="0"/>
          <w:iCs w:val="0"/>
        </w:rPr>
        <w:t>(9)</w:t>
      </w:r>
      <w:r w:rsidRPr="004317F8">
        <w:rPr>
          <w:rStyle w:val="apple-converted-space"/>
        </w:rPr>
        <w:t> </w:t>
      </w:r>
      <w:r w:rsidRPr="004317F8">
        <w:t>Uplatňuje-li držitel licence na obchod s elektřinou, obchod s plynem, výrobu elektřiny, výrobu plynu nebo dodavatel tepelné energie zálohové platby na dodávku elektřiny, plynu nebo tepelné energie, stanoví zálohové platby nejvýše v rozsahu důvodně předpokládané spotřeby elektřiny, plynu nebo tepelné energie v následujícím zúčtovacím období.</w:t>
      </w:r>
    </w:p>
    <w:p w14:paraId="223C7B51" w14:textId="77777777" w:rsidR="004317F8" w:rsidRPr="004317F8" w:rsidRDefault="004317F8" w:rsidP="004317F8">
      <w:pPr>
        <w:jc w:val="center"/>
        <w:rPr>
          <w:b/>
          <w:bCs/>
        </w:rPr>
      </w:pPr>
      <w:r w:rsidRPr="004317F8">
        <w:rPr>
          <w:b/>
          <w:bCs/>
        </w:rPr>
        <w:t>§ 11b</w:t>
      </w:r>
    </w:p>
    <w:p w14:paraId="05538408" w14:textId="77777777" w:rsidR="004317F8" w:rsidRPr="004317F8" w:rsidRDefault="004317F8" w:rsidP="004317F8">
      <w:pPr>
        <w:jc w:val="center"/>
        <w:rPr>
          <w:b/>
          <w:bCs/>
        </w:rPr>
      </w:pPr>
      <w:r w:rsidRPr="004317F8">
        <w:rPr>
          <w:b/>
          <w:bCs/>
        </w:rPr>
        <w:t>Regulace na</w:t>
      </w:r>
      <w:r w:rsidRPr="004317F8">
        <w:rPr>
          <w:rFonts w:hint="cs"/>
          <w:b/>
          <w:bCs/>
        </w:rPr>
        <w:t>ř</w:t>
      </w:r>
      <w:r w:rsidRPr="004317F8">
        <w:rPr>
          <w:rFonts w:hint="eastAsia"/>
          <w:b/>
          <w:bCs/>
        </w:rPr>
        <w:t>í</w:t>
      </w:r>
      <w:r w:rsidRPr="004317F8">
        <w:rPr>
          <w:b/>
          <w:bCs/>
        </w:rPr>
        <w:t>zením obce</w:t>
      </w:r>
    </w:p>
    <w:p w14:paraId="6FFCE3D2" w14:textId="77777777" w:rsidR="004317F8" w:rsidRPr="004317F8" w:rsidRDefault="004317F8" w:rsidP="004317F8">
      <w:pPr>
        <w:rPr>
          <w:b/>
          <w:bCs/>
        </w:rPr>
      </w:pPr>
      <w:r w:rsidRPr="004317F8">
        <w:rPr>
          <w:b/>
          <w:bCs/>
        </w:rPr>
        <w:t>Obec m</w:t>
      </w:r>
      <w:r w:rsidRPr="004317F8">
        <w:rPr>
          <w:rFonts w:hint="cs"/>
          <w:b/>
          <w:bCs/>
        </w:rPr>
        <w:t>ů</w:t>
      </w:r>
      <w:r w:rsidRPr="004317F8">
        <w:rPr>
          <w:rFonts w:hint="eastAsia"/>
          <w:b/>
          <w:bCs/>
        </w:rPr>
        <w:t>ž</w:t>
      </w:r>
      <w:r w:rsidRPr="004317F8">
        <w:rPr>
          <w:b/>
          <w:bCs/>
        </w:rPr>
        <w:t>e na</w:t>
      </w:r>
      <w:r w:rsidRPr="004317F8">
        <w:rPr>
          <w:rFonts w:hint="cs"/>
          <w:b/>
          <w:bCs/>
        </w:rPr>
        <w:t>ř</w:t>
      </w:r>
      <w:r w:rsidRPr="004317F8">
        <w:rPr>
          <w:rFonts w:hint="eastAsia"/>
          <w:b/>
          <w:bCs/>
        </w:rPr>
        <w:t>í</w:t>
      </w:r>
      <w:r w:rsidRPr="004317F8">
        <w:rPr>
          <w:b/>
          <w:bCs/>
        </w:rPr>
        <w:t>zením obc</w:t>
      </w:r>
      <w:r>
        <w:rPr>
          <w:b/>
          <w:bCs/>
        </w:rPr>
        <w:t>e</w:t>
      </w:r>
      <w:r>
        <w:rPr>
          <w:rStyle w:val="FootnoteReference"/>
          <w:b/>
          <w:bCs/>
        </w:rPr>
        <w:footnoteReference w:id="1"/>
      </w:r>
      <w:r>
        <w:rPr>
          <w:b/>
          <w:bCs/>
        </w:rPr>
        <w:t xml:space="preserve"> </w:t>
      </w:r>
      <w:r w:rsidRPr="004317F8">
        <w:rPr>
          <w:b/>
          <w:bCs/>
        </w:rPr>
        <w:t>stanovit, že n</w:t>
      </w:r>
      <w:r w:rsidRPr="004317F8">
        <w:rPr>
          <w:rFonts w:hint="cs"/>
          <w:b/>
          <w:bCs/>
        </w:rPr>
        <w:t>ě</w:t>
      </w:r>
      <w:r w:rsidRPr="004317F8">
        <w:rPr>
          <w:b/>
          <w:bCs/>
        </w:rPr>
        <w:t>které formy prodeje zboží nebo poskytování služeb</w:t>
      </w:r>
      <w:r>
        <w:rPr>
          <w:b/>
          <w:bCs/>
        </w:rPr>
        <w:t xml:space="preserve"> </w:t>
      </w:r>
      <w:r w:rsidRPr="004317F8">
        <w:rPr>
          <w:b/>
          <w:bCs/>
        </w:rPr>
        <w:t>provád</w:t>
      </w:r>
      <w:r w:rsidRPr="004317F8">
        <w:rPr>
          <w:rFonts w:hint="cs"/>
          <w:b/>
          <w:bCs/>
        </w:rPr>
        <w:t>ě</w:t>
      </w:r>
      <w:r w:rsidRPr="004317F8">
        <w:rPr>
          <w:b/>
          <w:bCs/>
        </w:rPr>
        <w:t>né mimo obchodní prostory držitele licence p</w:t>
      </w:r>
      <w:r w:rsidRPr="004317F8">
        <w:rPr>
          <w:rFonts w:hint="cs"/>
          <w:b/>
          <w:bCs/>
        </w:rPr>
        <w:t>ř</w:t>
      </w:r>
      <w:r w:rsidRPr="004317F8">
        <w:rPr>
          <w:b/>
          <w:bCs/>
        </w:rPr>
        <w:t xml:space="preserve">i výkonu licencované </w:t>
      </w:r>
      <w:r w:rsidRPr="004317F8">
        <w:rPr>
          <w:rFonts w:hint="cs"/>
          <w:b/>
          <w:bCs/>
        </w:rPr>
        <w:t>č</w:t>
      </w:r>
      <w:r w:rsidRPr="004317F8">
        <w:rPr>
          <w:b/>
          <w:bCs/>
        </w:rPr>
        <w:t>innosti dle</w:t>
      </w:r>
      <w:r>
        <w:rPr>
          <w:b/>
          <w:bCs/>
        </w:rPr>
        <w:t xml:space="preserve"> </w:t>
      </w:r>
      <w:r w:rsidRPr="004317F8">
        <w:rPr>
          <w:b/>
          <w:bCs/>
        </w:rPr>
        <w:t xml:space="preserve">tohoto zákona, jsou v obci nebo v její </w:t>
      </w:r>
      <w:r w:rsidRPr="004317F8">
        <w:rPr>
          <w:rFonts w:hint="cs"/>
          <w:b/>
          <w:bCs/>
        </w:rPr>
        <w:t>č</w:t>
      </w:r>
      <w:r w:rsidRPr="004317F8">
        <w:rPr>
          <w:rFonts w:hint="eastAsia"/>
          <w:b/>
          <w:bCs/>
        </w:rPr>
        <w:t>á</w:t>
      </w:r>
      <w:r w:rsidRPr="004317F8">
        <w:rPr>
          <w:b/>
          <w:bCs/>
        </w:rPr>
        <w:t>sti zakázány.</w:t>
      </w:r>
    </w:p>
    <w:p w14:paraId="53BCE2FA" w14:textId="77777777" w:rsidR="004317F8" w:rsidRDefault="004317F8" w:rsidP="004317F8">
      <w:pPr>
        <w:rPr>
          <w:b/>
          <w:bCs/>
        </w:rPr>
      </w:pPr>
    </w:p>
    <w:p w14:paraId="105C7C0C" w14:textId="77777777" w:rsidR="004317F8" w:rsidRDefault="004317F8" w:rsidP="004317F8">
      <w:pPr>
        <w:rPr>
          <w:b/>
          <w:bCs/>
        </w:rPr>
        <w:sectPr w:rsidR="004317F8" w:rsidSect="004317F8">
          <w:footnotePr>
            <w:numStart w:val="7"/>
          </w:footnotePr>
          <w:type w:val="continuous"/>
          <w:pgSz w:w="11900" w:h="16840"/>
          <w:pgMar w:top="1417" w:right="1417" w:bottom="1417" w:left="1417" w:header="708" w:footer="708" w:gutter="0"/>
          <w:cols w:space="708"/>
          <w:docGrid w:linePitch="360"/>
        </w:sectPr>
      </w:pPr>
    </w:p>
    <w:p w14:paraId="470F8910" w14:textId="77777777" w:rsidR="004317F8" w:rsidRPr="004317F8" w:rsidRDefault="004317F8" w:rsidP="004317F8">
      <w:pPr>
        <w:rPr>
          <w:b/>
          <w:bCs/>
        </w:rPr>
      </w:pPr>
    </w:p>
    <w:sectPr w:rsidR="004317F8" w:rsidRPr="004317F8" w:rsidSect="004317F8">
      <w:type w:val="continuous"/>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6D59ED" w14:textId="77777777" w:rsidR="00DD3F7C" w:rsidRDefault="00DD3F7C" w:rsidP="004317F8">
      <w:r>
        <w:separator/>
      </w:r>
    </w:p>
  </w:endnote>
  <w:endnote w:type="continuationSeparator" w:id="0">
    <w:p w14:paraId="4C4A8BDC" w14:textId="77777777" w:rsidR="00DD3F7C" w:rsidRDefault="00DD3F7C" w:rsidP="00431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A417F" w14:textId="77777777" w:rsidR="00DD3F7C" w:rsidRDefault="00DD3F7C" w:rsidP="004317F8">
      <w:r>
        <w:separator/>
      </w:r>
    </w:p>
  </w:footnote>
  <w:footnote w:type="continuationSeparator" w:id="0">
    <w:p w14:paraId="1457EC4C" w14:textId="77777777" w:rsidR="00DD3F7C" w:rsidRDefault="00DD3F7C" w:rsidP="004317F8">
      <w:r>
        <w:continuationSeparator/>
      </w:r>
    </w:p>
  </w:footnote>
  <w:footnote w:id="1">
    <w:p w14:paraId="1C86C147" w14:textId="77777777" w:rsidR="004317F8" w:rsidRDefault="004317F8">
      <w:pPr>
        <w:pStyle w:val="FootnoteText"/>
      </w:pPr>
      <w:r w:rsidRPr="004317F8">
        <w:rPr>
          <w:rStyle w:val="FootnoteReference"/>
          <w:b/>
          <w:bCs/>
        </w:rPr>
        <w:footnoteRef/>
      </w:r>
      <w:r w:rsidRPr="004317F8">
        <w:rPr>
          <w:b/>
          <w:bCs/>
        </w:rPr>
        <w:t xml:space="preserve"> </w:t>
      </w:r>
      <w:r w:rsidRPr="004317F8">
        <w:rPr>
          <w:b/>
          <w:bCs/>
        </w:rPr>
        <w:t xml:space="preserve">§ 11 odst. 1 zákona </w:t>
      </w:r>
      <w:r w:rsidRPr="004317F8">
        <w:rPr>
          <w:rFonts w:hint="cs"/>
          <w:b/>
          <w:bCs/>
        </w:rPr>
        <w:t>č</w:t>
      </w:r>
      <w:r w:rsidRPr="004317F8">
        <w:rPr>
          <w:b/>
          <w:bCs/>
        </w:rPr>
        <w:t>. 128/2000 Sb., o obcích (obecní z</w:t>
      </w:r>
      <w:r w:rsidRPr="004317F8">
        <w:rPr>
          <w:rFonts w:hint="cs"/>
          <w:b/>
          <w:bCs/>
        </w:rPr>
        <w:t>ř</w:t>
      </w:r>
      <w:r w:rsidRPr="004317F8">
        <w:rPr>
          <w:rFonts w:hint="eastAsia"/>
          <w:b/>
          <w:bCs/>
        </w:rPr>
        <w:t>í</w:t>
      </w:r>
      <w:r w:rsidRPr="004317F8">
        <w:rPr>
          <w:b/>
          <w:bCs/>
        </w:rPr>
        <w:t>zení), ve zn</w:t>
      </w:r>
      <w:r w:rsidRPr="004317F8">
        <w:rPr>
          <w:rFonts w:hint="cs"/>
          <w:b/>
          <w:bCs/>
        </w:rPr>
        <w:t>ě</w:t>
      </w:r>
      <w:r w:rsidRPr="004317F8">
        <w:rPr>
          <w:b/>
          <w:bCs/>
        </w:rPr>
        <w:t>ní pozd</w:t>
      </w:r>
      <w:r w:rsidRPr="004317F8">
        <w:rPr>
          <w:rFonts w:hint="cs"/>
          <w:b/>
          <w:bCs/>
        </w:rPr>
        <w:t>ě</w:t>
      </w:r>
      <w:r w:rsidRPr="004317F8">
        <w:rPr>
          <w:b/>
          <w:bCs/>
        </w:rPr>
        <w:t>jších p</w:t>
      </w:r>
      <w:r w:rsidRPr="004317F8">
        <w:rPr>
          <w:rFonts w:hint="cs"/>
          <w:b/>
          <w:bCs/>
        </w:rPr>
        <w:t>ř</w:t>
      </w:r>
      <w:r w:rsidRPr="004317F8">
        <w:rPr>
          <w:b/>
          <w:bCs/>
        </w:rPr>
        <w:t>edpis</w:t>
      </w:r>
      <w:r w:rsidRPr="004317F8">
        <w:rPr>
          <w:rFonts w:hint="cs"/>
          <w:b/>
          <w:bCs/>
        </w:rPr>
        <w:t>ů</w:t>
      </w:r>
      <w:r w:rsidRPr="004317F8">
        <w:t>.</w:t>
      </w:r>
    </w:p>
    <w:p w14:paraId="78B17EE8" w14:textId="77777777" w:rsidR="004317F8" w:rsidRPr="004317F8" w:rsidRDefault="004317F8" w:rsidP="004317F8">
      <w:pPr>
        <w:spacing w:before="0" w:after="0" w:line="240" w:lineRule="auto"/>
        <w:jc w:val="left"/>
        <w:rPr>
          <w:rFonts w:cs="Times New Roman"/>
          <w:lang w:eastAsia="en-GB"/>
        </w:rPr>
      </w:pPr>
      <w:r>
        <w:rPr>
          <w:vertAlign w:val="superscript"/>
        </w:rPr>
        <w:t xml:space="preserve">8 </w:t>
      </w:r>
      <w:r w:rsidRPr="004317F8">
        <w:rPr>
          <w:sz w:val="20"/>
          <w:szCs w:val="20"/>
        </w:rPr>
        <w:t xml:space="preserve">Zákon č. 455/1991 Sb., </w:t>
      </w:r>
      <w:r w:rsidRPr="004317F8">
        <w:rPr>
          <w:rFonts w:cs="Times New Roman"/>
          <w:color w:val="000000"/>
          <w:sz w:val="20"/>
          <w:szCs w:val="20"/>
          <w:lang w:eastAsia="en-GB"/>
        </w:rPr>
        <w:t>o živnostenském podnikání (živnostenský zákon), ve znění pozdějších předpisů.</w:t>
      </w:r>
    </w:p>
    <w:p w14:paraId="4C5E7A60" w14:textId="77777777" w:rsidR="004317F8" w:rsidRPr="004317F8" w:rsidRDefault="004317F8">
      <w:pPr>
        <w:pStyle w:val="FootnoteText"/>
        <w:rPr>
          <w:vertAlign w:val="superscrip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841DA"/>
    <w:multiLevelType w:val="hybridMultilevel"/>
    <w:tmpl w:val="1BE8DE26"/>
    <w:lvl w:ilvl="0" w:tplc="AABEC80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97529FF"/>
    <w:multiLevelType w:val="hybridMultilevel"/>
    <w:tmpl w:val="53FEA038"/>
    <w:lvl w:ilvl="0" w:tplc="128E263C">
      <w:start w:val="1"/>
      <w:numFmt w:val="upp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08"/>
  <w:hyphenationZone w:val="425"/>
  <w:characterSpacingControl w:val="doNotCompress"/>
  <w:footnotePr>
    <w:numStart w:val="7"/>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A06"/>
    <w:rsid w:val="000F1B2D"/>
    <w:rsid w:val="001529B0"/>
    <w:rsid w:val="001E6A4B"/>
    <w:rsid w:val="002B68C1"/>
    <w:rsid w:val="003C4A06"/>
    <w:rsid w:val="004317F8"/>
    <w:rsid w:val="004C3946"/>
    <w:rsid w:val="00500FBD"/>
    <w:rsid w:val="00577772"/>
    <w:rsid w:val="00596247"/>
    <w:rsid w:val="005B2DF1"/>
    <w:rsid w:val="005B4371"/>
    <w:rsid w:val="005E092D"/>
    <w:rsid w:val="00627E6A"/>
    <w:rsid w:val="007D723E"/>
    <w:rsid w:val="0090553D"/>
    <w:rsid w:val="009600D3"/>
    <w:rsid w:val="009E2281"/>
    <w:rsid w:val="00A0125F"/>
    <w:rsid w:val="00A06FF9"/>
    <w:rsid w:val="00A457D7"/>
    <w:rsid w:val="00A6731A"/>
    <w:rsid w:val="00A75280"/>
    <w:rsid w:val="00A848FA"/>
    <w:rsid w:val="00AC3BA1"/>
    <w:rsid w:val="00AE04FD"/>
    <w:rsid w:val="00B3241C"/>
    <w:rsid w:val="00C16284"/>
    <w:rsid w:val="00CC2732"/>
    <w:rsid w:val="00CC2FDF"/>
    <w:rsid w:val="00CD59D5"/>
    <w:rsid w:val="00D142B1"/>
    <w:rsid w:val="00DD3F7C"/>
    <w:rsid w:val="00DD6440"/>
    <w:rsid w:val="00E0636C"/>
    <w:rsid w:val="00EC60EE"/>
    <w:rsid w:val="00F558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1D86A"/>
  <w15:chartTrackingRefBased/>
  <w15:docId w15:val="{D133EC9F-6F02-0445-B3C9-D6F7908AC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7F8"/>
    <w:pPr>
      <w:spacing w:before="120" w:after="120" w:line="360" w:lineRule="auto"/>
      <w:jc w:val="both"/>
    </w:pPr>
    <w:rPr>
      <w:rFonts w:ascii="Times New Roman" w:eastAsia="Times New Roman" w:hAnsi="Times New Roman" w:cs="Arial"/>
      <w:lang w:eastAsia="cs-CZ"/>
    </w:rPr>
  </w:style>
  <w:style w:type="paragraph" w:styleId="Heading1">
    <w:name w:val="heading 1"/>
    <w:basedOn w:val="Normal"/>
    <w:link w:val="Heading1Char"/>
    <w:uiPriority w:val="9"/>
    <w:qFormat/>
    <w:rsid w:val="001529B0"/>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1529B0"/>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unhideWhenUsed/>
    <w:qFormat/>
    <w:rsid w:val="00A06FF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29B0"/>
    <w:rPr>
      <w:rFonts w:ascii="Times New Roman" w:eastAsia="Times New Roman" w:hAnsi="Times New Roman" w:cs="Times New Roman"/>
      <w:b/>
      <w:bCs/>
      <w:kern w:val="36"/>
      <w:sz w:val="48"/>
      <w:szCs w:val="48"/>
      <w:lang w:eastAsia="cs-CZ"/>
    </w:rPr>
  </w:style>
  <w:style w:type="character" w:customStyle="1" w:styleId="Heading2Char">
    <w:name w:val="Heading 2 Char"/>
    <w:basedOn w:val="DefaultParagraphFont"/>
    <w:link w:val="Heading2"/>
    <w:uiPriority w:val="9"/>
    <w:rsid w:val="001529B0"/>
    <w:rPr>
      <w:rFonts w:ascii="Times New Roman" w:eastAsia="Times New Roman" w:hAnsi="Times New Roman" w:cs="Times New Roman"/>
      <w:b/>
      <w:bCs/>
      <w:sz w:val="36"/>
      <w:szCs w:val="36"/>
      <w:lang w:eastAsia="cs-CZ"/>
    </w:rPr>
  </w:style>
  <w:style w:type="paragraph" w:customStyle="1" w:styleId="p2">
    <w:name w:val="p2"/>
    <w:basedOn w:val="Normal"/>
    <w:rsid w:val="001529B0"/>
    <w:pPr>
      <w:spacing w:before="100" w:beforeAutospacing="1" w:after="100" w:afterAutospacing="1"/>
    </w:pPr>
  </w:style>
  <w:style w:type="character" w:customStyle="1" w:styleId="apple-converted-space">
    <w:name w:val="apple-converted-space"/>
    <w:basedOn w:val="DefaultParagraphFont"/>
    <w:rsid w:val="001529B0"/>
  </w:style>
  <w:style w:type="character" w:customStyle="1" w:styleId="highlight">
    <w:name w:val="highlight"/>
    <w:basedOn w:val="DefaultParagraphFont"/>
    <w:rsid w:val="001529B0"/>
  </w:style>
  <w:style w:type="character" w:customStyle="1" w:styleId="footnote">
    <w:name w:val="footnote"/>
    <w:basedOn w:val="DefaultParagraphFont"/>
    <w:rsid w:val="001529B0"/>
  </w:style>
  <w:style w:type="character" w:styleId="Hyperlink">
    <w:name w:val="Hyperlink"/>
    <w:basedOn w:val="DefaultParagraphFont"/>
    <w:uiPriority w:val="99"/>
    <w:semiHidden/>
    <w:unhideWhenUsed/>
    <w:rsid w:val="001529B0"/>
    <w:rPr>
      <w:color w:val="0000FF"/>
      <w:u w:val="single"/>
    </w:rPr>
  </w:style>
  <w:style w:type="paragraph" w:styleId="BalloonText">
    <w:name w:val="Balloon Text"/>
    <w:basedOn w:val="Normal"/>
    <w:link w:val="BalloonTextChar"/>
    <w:uiPriority w:val="99"/>
    <w:semiHidden/>
    <w:unhideWhenUsed/>
    <w:rsid w:val="001529B0"/>
    <w:rPr>
      <w:rFonts w:eastAsiaTheme="minorEastAsia"/>
      <w:sz w:val="18"/>
      <w:szCs w:val="18"/>
      <w:lang w:val="en-US" w:eastAsia="en-US"/>
    </w:rPr>
  </w:style>
  <w:style w:type="character" w:customStyle="1" w:styleId="BalloonTextChar">
    <w:name w:val="Balloon Text Char"/>
    <w:basedOn w:val="DefaultParagraphFont"/>
    <w:link w:val="BalloonText"/>
    <w:uiPriority w:val="99"/>
    <w:semiHidden/>
    <w:rsid w:val="001529B0"/>
    <w:rPr>
      <w:rFonts w:ascii="Times New Roman" w:hAnsi="Times New Roman" w:cs="Times New Roman"/>
      <w:sz w:val="18"/>
      <w:szCs w:val="18"/>
    </w:rPr>
  </w:style>
  <w:style w:type="character" w:customStyle="1" w:styleId="Heading3Char">
    <w:name w:val="Heading 3 Char"/>
    <w:basedOn w:val="DefaultParagraphFont"/>
    <w:link w:val="Heading3"/>
    <w:uiPriority w:val="9"/>
    <w:rsid w:val="00A06FF9"/>
    <w:rPr>
      <w:rFonts w:asciiTheme="majorHAnsi" w:eastAsiaTheme="majorEastAsia" w:hAnsiTheme="majorHAnsi" w:cstheme="majorBidi"/>
      <w:color w:val="1F3763" w:themeColor="accent1" w:themeShade="7F"/>
    </w:rPr>
  </w:style>
  <w:style w:type="paragraph" w:styleId="Header">
    <w:name w:val="header"/>
    <w:basedOn w:val="Normal"/>
    <w:link w:val="HeaderChar"/>
    <w:uiPriority w:val="99"/>
    <w:unhideWhenUsed/>
    <w:rsid w:val="00A06FF9"/>
    <w:pPr>
      <w:tabs>
        <w:tab w:val="center" w:pos="4536"/>
        <w:tab w:val="right" w:pos="9072"/>
      </w:tabs>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A06FF9"/>
  </w:style>
  <w:style w:type="paragraph" w:styleId="Footer">
    <w:name w:val="footer"/>
    <w:basedOn w:val="Normal"/>
    <w:link w:val="FooterChar"/>
    <w:uiPriority w:val="99"/>
    <w:unhideWhenUsed/>
    <w:rsid w:val="00A06FF9"/>
    <w:pPr>
      <w:tabs>
        <w:tab w:val="center" w:pos="4536"/>
        <w:tab w:val="right" w:pos="9072"/>
      </w:tabs>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A06FF9"/>
  </w:style>
  <w:style w:type="paragraph" w:customStyle="1" w:styleId="l3">
    <w:name w:val="l3"/>
    <w:basedOn w:val="Normal"/>
    <w:rsid w:val="00A06FF9"/>
    <w:pPr>
      <w:spacing w:before="100" w:beforeAutospacing="1" w:after="100" w:afterAutospacing="1"/>
    </w:pPr>
  </w:style>
  <w:style w:type="paragraph" w:customStyle="1" w:styleId="l4">
    <w:name w:val="l4"/>
    <w:basedOn w:val="Normal"/>
    <w:rsid w:val="00A06FF9"/>
    <w:pPr>
      <w:spacing w:before="100" w:beforeAutospacing="1" w:after="100" w:afterAutospacing="1"/>
    </w:pPr>
  </w:style>
  <w:style w:type="character" w:styleId="HTMLVariable">
    <w:name w:val="HTML Variable"/>
    <w:basedOn w:val="DefaultParagraphFont"/>
    <w:uiPriority w:val="99"/>
    <w:semiHidden/>
    <w:unhideWhenUsed/>
    <w:rsid w:val="00A06FF9"/>
    <w:rPr>
      <w:i/>
      <w:iCs/>
    </w:rPr>
  </w:style>
  <w:style w:type="paragraph" w:customStyle="1" w:styleId="l5">
    <w:name w:val="l5"/>
    <w:basedOn w:val="Normal"/>
    <w:rsid w:val="00A06FF9"/>
    <w:pPr>
      <w:spacing w:before="100" w:beforeAutospacing="1" w:after="100" w:afterAutospacing="1"/>
    </w:pPr>
  </w:style>
  <w:style w:type="paragraph" w:customStyle="1" w:styleId="l6">
    <w:name w:val="l6"/>
    <w:basedOn w:val="Normal"/>
    <w:rsid w:val="00A06FF9"/>
    <w:pPr>
      <w:spacing w:before="100" w:beforeAutospacing="1" w:after="100" w:afterAutospacing="1"/>
    </w:pPr>
  </w:style>
  <w:style w:type="paragraph" w:styleId="Revision">
    <w:name w:val="Revision"/>
    <w:hidden/>
    <w:uiPriority w:val="99"/>
    <w:semiHidden/>
    <w:rsid w:val="00A06FF9"/>
  </w:style>
  <w:style w:type="paragraph" w:styleId="BodyText">
    <w:name w:val="Body Text"/>
    <w:basedOn w:val="Normal"/>
    <w:link w:val="BodyTextChar"/>
    <w:uiPriority w:val="99"/>
    <w:unhideWhenUsed/>
    <w:qFormat/>
    <w:rsid w:val="009E2281"/>
    <w:rPr>
      <w:szCs w:val="20"/>
    </w:rPr>
  </w:style>
  <w:style w:type="character" w:customStyle="1" w:styleId="BodyTextChar">
    <w:name w:val="Body Text Char"/>
    <w:basedOn w:val="DefaultParagraphFont"/>
    <w:link w:val="BodyText"/>
    <w:uiPriority w:val="99"/>
    <w:rsid w:val="009E2281"/>
    <w:rPr>
      <w:rFonts w:ascii="Times New Roman" w:eastAsia="Times New Roman" w:hAnsi="Times New Roman" w:cs="Times New Roman"/>
      <w:szCs w:val="20"/>
      <w:lang w:eastAsia="cs-CZ"/>
    </w:rPr>
  </w:style>
  <w:style w:type="paragraph" w:styleId="NormalWeb">
    <w:name w:val="Normal (Web)"/>
    <w:basedOn w:val="Normal"/>
    <w:uiPriority w:val="99"/>
    <w:unhideWhenUsed/>
    <w:rsid w:val="009E2281"/>
    <w:pPr>
      <w:spacing w:before="100" w:beforeAutospacing="1" w:after="100" w:afterAutospacing="1"/>
    </w:pPr>
  </w:style>
  <w:style w:type="paragraph" w:styleId="ListParagraph">
    <w:name w:val="List Paragraph"/>
    <w:basedOn w:val="Normal"/>
    <w:uiPriority w:val="34"/>
    <w:qFormat/>
    <w:rsid w:val="009E2281"/>
    <w:pPr>
      <w:ind w:left="720"/>
      <w:contextualSpacing/>
    </w:pPr>
    <w:rPr>
      <w:szCs w:val="20"/>
    </w:rPr>
  </w:style>
  <w:style w:type="paragraph" w:customStyle="1" w:styleId="l1">
    <w:name w:val="l1"/>
    <w:basedOn w:val="Normal"/>
    <w:rsid w:val="00A6731A"/>
    <w:pPr>
      <w:spacing w:before="100" w:beforeAutospacing="1" w:after="100" w:afterAutospacing="1"/>
    </w:pPr>
  </w:style>
  <w:style w:type="paragraph" w:customStyle="1" w:styleId="l2">
    <w:name w:val="l2"/>
    <w:basedOn w:val="Normal"/>
    <w:rsid w:val="00A6731A"/>
    <w:pPr>
      <w:spacing w:before="100" w:beforeAutospacing="1" w:after="100" w:afterAutospacing="1"/>
    </w:pPr>
  </w:style>
  <w:style w:type="paragraph" w:styleId="FootnoteText">
    <w:name w:val="footnote text"/>
    <w:basedOn w:val="Normal"/>
    <w:link w:val="FootnoteTextChar"/>
    <w:uiPriority w:val="99"/>
    <w:unhideWhenUsed/>
    <w:rsid w:val="004C3946"/>
    <w:rPr>
      <w:sz w:val="20"/>
      <w:szCs w:val="20"/>
    </w:rPr>
  </w:style>
  <w:style w:type="character" w:customStyle="1" w:styleId="FootnoteTextChar">
    <w:name w:val="Footnote Text Char"/>
    <w:basedOn w:val="DefaultParagraphFont"/>
    <w:link w:val="FootnoteText"/>
    <w:uiPriority w:val="99"/>
    <w:rsid w:val="004C3946"/>
    <w:rPr>
      <w:rFonts w:ascii="Times New Roman" w:eastAsia="Times New Roman" w:hAnsi="Times New Roman" w:cs="Times New Roman"/>
      <w:sz w:val="20"/>
      <w:szCs w:val="20"/>
      <w:lang w:eastAsia="cs-CZ"/>
    </w:rPr>
  </w:style>
  <w:style w:type="character" w:styleId="FootnoteReference">
    <w:name w:val="footnote reference"/>
    <w:basedOn w:val="DefaultParagraphFont"/>
    <w:uiPriority w:val="99"/>
    <w:semiHidden/>
    <w:unhideWhenUsed/>
    <w:rsid w:val="004C3946"/>
    <w:rPr>
      <w:vertAlign w:val="superscript"/>
    </w:rPr>
  </w:style>
  <w:style w:type="paragraph" w:styleId="EndnoteText">
    <w:name w:val="endnote text"/>
    <w:basedOn w:val="Normal"/>
    <w:link w:val="EndnoteTextChar"/>
    <w:uiPriority w:val="99"/>
    <w:semiHidden/>
    <w:unhideWhenUsed/>
    <w:rsid w:val="004C3946"/>
    <w:rPr>
      <w:sz w:val="20"/>
      <w:szCs w:val="20"/>
    </w:rPr>
  </w:style>
  <w:style w:type="character" w:customStyle="1" w:styleId="EndnoteTextChar">
    <w:name w:val="Endnote Text Char"/>
    <w:basedOn w:val="DefaultParagraphFont"/>
    <w:link w:val="EndnoteText"/>
    <w:uiPriority w:val="99"/>
    <w:semiHidden/>
    <w:rsid w:val="004C3946"/>
    <w:rPr>
      <w:rFonts w:ascii="Times New Roman" w:eastAsia="Times New Roman" w:hAnsi="Times New Roman" w:cs="Times New Roman"/>
      <w:sz w:val="20"/>
      <w:szCs w:val="20"/>
      <w:lang w:eastAsia="cs-CZ"/>
    </w:rPr>
  </w:style>
  <w:style w:type="character" w:styleId="EndnoteReference">
    <w:name w:val="endnote reference"/>
    <w:basedOn w:val="DefaultParagraphFont"/>
    <w:uiPriority w:val="99"/>
    <w:semiHidden/>
    <w:unhideWhenUsed/>
    <w:rsid w:val="004C39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481513">
      <w:bodyDiv w:val="1"/>
      <w:marLeft w:val="0"/>
      <w:marRight w:val="0"/>
      <w:marTop w:val="0"/>
      <w:marBottom w:val="0"/>
      <w:divBdr>
        <w:top w:val="none" w:sz="0" w:space="0" w:color="auto"/>
        <w:left w:val="none" w:sz="0" w:space="0" w:color="auto"/>
        <w:bottom w:val="none" w:sz="0" w:space="0" w:color="auto"/>
        <w:right w:val="none" w:sz="0" w:space="0" w:color="auto"/>
      </w:divBdr>
    </w:div>
    <w:div w:id="156849238">
      <w:bodyDiv w:val="1"/>
      <w:marLeft w:val="0"/>
      <w:marRight w:val="0"/>
      <w:marTop w:val="0"/>
      <w:marBottom w:val="0"/>
      <w:divBdr>
        <w:top w:val="none" w:sz="0" w:space="0" w:color="auto"/>
        <w:left w:val="none" w:sz="0" w:space="0" w:color="auto"/>
        <w:bottom w:val="none" w:sz="0" w:space="0" w:color="auto"/>
        <w:right w:val="none" w:sz="0" w:space="0" w:color="auto"/>
      </w:divBdr>
    </w:div>
    <w:div w:id="166940849">
      <w:bodyDiv w:val="1"/>
      <w:marLeft w:val="0"/>
      <w:marRight w:val="0"/>
      <w:marTop w:val="0"/>
      <w:marBottom w:val="0"/>
      <w:divBdr>
        <w:top w:val="none" w:sz="0" w:space="0" w:color="auto"/>
        <w:left w:val="none" w:sz="0" w:space="0" w:color="auto"/>
        <w:bottom w:val="none" w:sz="0" w:space="0" w:color="auto"/>
        <w:right w:val="none" w:sz="0" w:space="0" w:color="auto"/>
      </w:divBdr>
    </w:div>
    <w:div w:id="365375334">
      <w:bodyDiv w:val="1"/>
      <w:marLeft w:val="0"/>
      <w:marRight w:val="0"/>
      <w:marTop w:val="0"/>
      <w:marBottom w:val="0"/>
      <w:divBdr>
        <w:top w:val="none" w:sz="0" w:space="0" w:color="auto"/>
        <w:left w:val="none" w:sz="0" w:space="0" w:color="auto"/>
        <w:bottom w:val="none" w:sz="0" w:space="0" w:color="auto"/>
        <w:right w:val="none" w:sz="0" w:space="0" w:color="auto"/>
      </w:divBdr>
    </w:div>
    <w:div w:id="532812068">
      <w:bodyDiv w:val="1"/>
      <w:marLeft w:val="0"/>
      <w:marRight w:val="0"/>
      <w:marTop w:val="0"/>
      <w:marBottom w:val="0"/>
      <w:divBdr>
        <w:top w:val="none" w:sz="0" w:space="0" w:color="auto"/>
        <w:left w:val="none" w:sz="0" w:space="0" w:color="auto"/>
        <w:bottom w:val="none" w:sz="0" w:space="0" w:color="auto"/>
        <w:right w:val="none" w:sz="0" w:space="0" w:color="auto"/>
      </w:divBdr>
      <w:divsChild>
        <w:div w:id="2041081164">
          <w:marLeft w:val="0"/>
          <w:marRight w:val="0"/>
          <w:marTop w:val="0"/>
          <w:marBottom w:val="0"/>
          <w:divBdr>
            <w:top w:val="none" w:sz="0" w:space="0" w:color="auto"/>
            <w:left w:val="none" w:sz="0" w:space="0" w:color="auto"/>
            <w:bottom w:val="single" w:sz="6" w:space="0" w:color="F0F0F0"/>
            <w:right w:val="none" w:sz="0" w:space="0" w:color="auto"/>
          </w:divBdr>
          <w:divsChild>
            <w:div w:id="399207164">
              <w:marLeft w:val="0"/>
              <w:marRight w:val="0"/>
              <w:marTop w:val="0"/>
              <w:marBottom w:val="0"/>
              <w:divBdr>
                <w:top w:val="none" w:sz="0" w:space="0" w:color="auto"/>
                <w:left w:val="none" w:sz="0" w:space="0" w:color="auto"/>
                <w:bottom w:val="none" w:sz="0" w:space="0" w:color="auto"/>
                <w:right w:val="none" w:sz="0" w:space="0" w:color="auto"/>
              </w:divBdr>
              <w:divsChild>
                <w:div w:id="1733383261">
                  <w:marLeft w:val="0"/>
                  <w:marRight w:val="0"/>
                  <w:marTop w:val="0"/>
                  <w:marBottom w:val="0"/>
                  <w:divBdr>
                    <w:top w:val="none" w:sz="0" w:space="0" w:color="auto"/>
                    <w:left w:val="none" w:sz="0" w:space="0" w:color="auto"/>
                    <w:bottom w:val="none" w:sz="0" w:space="0" w:color="auto"/>
                    <w:right w:val="none" w:sz="0" w:space="0" w:color="auto"/>
                  </w:divBdr>
                </w:div>
                <w:div w:id="12850191">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 w:id="806118945">
          <w:marLeft w:val="0"/>
          <w:marRight w:val="0"/>
          <w:marTop w:val="0"/>
          <w:marBottom w:val="0"/>
          <w:divBdr>
            <w:top w:val="none" w:sz="0" w:space="0" w:color="auto"/>
            <w:left w:val="none" w:sz="0" w:space="0" w:color="auto"/>
            <w:bottom w:val="single" w:sz="6" w:space="0" w:color="F0F0F0"/>
            <w:right w:val="none" w:sz="0" w:space="0" w:color="auto"/>
          </w:divBdr>
          <w:divsChild>
            <w:div w:id="645742174">
              <w:marLeft w:val="0"/>
              <w:marRight w:val="0"/>
              <w:marTop w:val="0"/>
              <w:marBottom w:val="0"/>
              <w:divBdr>
                <w:top w:val="none" w:sz="0" w:space="0" w:color="auto"/>
                <w:left w:val="none" w:sz="0" w:space="0" w:color="auto"/>
                <w:bottom w:val="none" w:sz="0" w:space="0" w:color="auto"/>
                <w:right w:val="none" w:sz="0" w:space="0" w:color="auto"/>
              </w:divBdr>
              <w:divsChild>
                <w:div w:id="314146771">
                  <w:marLeft w:val="0"/>
                  <w:marRight w:val="0"/>
                  <w:marTop w:val="0"/>
                  <w:marBottom w:val="0"/>
                  <w:divBdr>
                    <w:top w:val="none" w:sz="0" w:space="0" w:color="auto"/>
                    <w:left w:val="none" w:sz="0" w:space="0" w:color="auto"/>
                    <w:bottom w:val="none" w:sz="0" w:space="0" w:color="auto"/>
                    <w:right w:val="none" w:sz="0" w:space="0" w:color="auto"/>
                  </w:divBdr>
                </w:div>
                <w:div w:id="1723215819">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sChild>
    </w:div>
    <w:div w:id="700324256">
      <w:bodyDiv w:val="1"/>
      <w:marLeft w:val="0"/>
      <w:marRight w:val="0"/>
      <w:marTop w:val="0"/>
      <w:marBottom w:val="0"/>
      <w:divBdr>
        <w:top w:val="none" w:sz="0" w:space="0" w:color="auto"/>
        <w:left w:val="none" w:sz="0" w:space="0" w:color="auto"/>
        <w:bottom w:val="none" w:sz="0" w:space="0" w:color="auto"/>
        <w:right w:val="none" w:sz="0" w:space="0" w:color="auto"/>
      </w:divBdr>
    </w:div>
    <w:div w:id="834103818">
      <w:bodyDiv w:val="1"/>
      <w:marLeft w:val="0"/>
      <w:marRight w:val="0"/>
      <w:marTop w:val="0"/>
      <w:marBottom w:val="0"/>
      <w:divBdr>
        <w:top w:val="none" w:sz="0" w:space="0" w:color="auto"/>
        <w:left w:val="none" w:sz="0" w:space="0" w:color="auto"/>
        <w:bottom w:val="none" w:sz="0" w:space="0" w:color="auto"/>
        <w:right w:val="none" w:sz="0" w:space="0" w:color="auto"/>
      </w:divBdr>
    </w:div>
    <w:div w:id="955256361">
      <w:bodyDiv w:val="1"/>
      <w:marLeft w:val="0"/>
      <w:marRight w:val="0"/>
      <w:marTop w:val="0"/>
      <w:marBottom w:val="0"/>
      <w:divBdr>
        <w:top w:val="none" w:sz="0" w:space="0" w:color="auto"/>
        <w:left w:val="none" w:sz="0" w:space="0" w:color="auto"/>
        <w:bottom w:val="none" w:sz="0" w:space="0" w:color="auto"/>
        <w:right w:val="none" w:sz="0" w:space="0" w:color="auto"/>
      </w:divBdr>
    </w:div>
    <w:div w:id="1063868580">
      <w:bodyDiv w:val="1"/>
      <w:marLeft w:val="0"/>
      <w:marRight w:val="0"/>
      <w:marTop w:val="0"/>
      <w:marBottom w:val="0"/>
      <w:divBdr>
        <w:top w:val="none" w:sz="0" w:space="0" w:color="auto"/>
        <w:left w:val="none" w:sz="0" w:space="0" w:color="auto"/>
        <w:bottom w:val="none" w:sz="0" w:space="0" w:color="auto"/>
        <w:right w:val="none" w:sz="0" w:space="0" w:color="auto"/>
      </w:divBdr>
    </w:div>
    <w:div w:id="1219630767">
      <w:bodyDiv w:val="1"/>
      <w:marLeft w:val="0"/>
      <w:marRight w:val="0"/>
      <w:marTop w:val="0"/>
      <w:marBottom w:val="0"/>
      <w:divBdr>
        <w:top w:val="none" w:sz="0" w:space="0" w:color="auto"/>
        <w:left w:val="none" w:sz="0" w:space="0" w:color="auto"/>
        <w:bottom w:val="none" w:sz="0" w:space="0" w:color="auto"/>
        <w:right w:val="none" w:sz="0" w:space="0" w:color="auto"/>
      </w:divBdr>
    </w:div>
    <w:div w:id="1378551815">
      <w:bodyDiv w:val="1"/>
      <w:marLeft w:val="0"/>
      <w:marRight w:val="0"/>
      <w:marTop w:val="0"/>
      <w:marBottom w:val="0"/>
      <w:divBdr>
        <w:top w:val="none" w:sz="0" w:space="0" w:color="auto"/>
        <w:left w:val="none" w:sz="0" w:space="0" w:color="auto"/>
        <w:bottom w:val="none" w:sz="0" w:space="0" w:color="auto"/>
        <w:right w:val="none" w:sz="0" w:space="0" w:color="auto"/>
      </w:divBdr>
    </w:div>
    <w:div w:id="1438595830">
      <w:bodyDiv w:val="1"/>
      <w:marLeft w:val="0"/>
      <w:marRight w:val="0"/>
      <w:marTop w:val="0"/>
      <w:marBottom w:val="0"/>
      <w:divBdr>
        <w:top w:val="none" w:sz="0" w:space="0" w:color="auto"/>
        <w:left w:val="none" w:sz="0" w:space="0" w:color="auto"/>
        <w:bottom w:val="none" w:sz="0" w:space="0" w:color="auto"/>
        <w:right w:val="none" w:sz="0" w:space="0" w:color="auto"/>
      </w:divBdr>
    </w:div>
    <w:div w:id="1707026873">
      <w:bodyDiv w:val="1"/>
      <w:marLeft w:val="0"/>
      <w:marRight w:val="0"/>
      <w:marTop w:val="0"/>
      <w:marBottom w:val="0"/>
      <w:divBdr>
        <w:top w:val="none" w:sz="0" w:space="0" w:color="auto"/>
        <w:left w:val="none" w:sz="0" w:space="0" w:color="auto"/>
        <w:bottom w:val="none" w:sz="0" w:space="0" w:color="auto"/>
        <w:right w:val="none" w:sz="0" w:space="0" w:color="auto"/>
      </w:divBdr>
    </w:div>
    <w:div w:id="1790514830">
      <w:bodyDiv w:val="1"/>
      <w:marLeft w:val="0"/>
      <w:marRight w:val="0"/>
      <w:marTop w:val="0"/>
      <w:marBottom w:val="0"/>
      <w:divBdr>
        <w:top w:val="none" w:sz="0" w:space="0" w:color="auto"/>
        <w:left w:val="none" w:sz="0" w:space="0" w:color="auto"/>
        <w:bottom w:val="none" w:sz="0" w:space="0" w:color="auto"/>
        <w:right w:val="none" w:sz="0" w:space="0" w:color="auto"/>
      </w:divBdr>
    </w:div>
    <w:div w:id="196164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7BDC1-85C7-124F-8C67-229863052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1449</Words>
  <Characters>8261</Characters>
  <Application>Microsoft Office Word</Application>
  <DocSecurity>0</DocSecurity>
  <Lines>68</Lines>
  <Paragraphs>19</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Nešpor</dc:creator>
  <cp:keywords/>
  <dc:description/>
  <cp:lastModifiedBy>Jan Nešpor</cp:lastModifiedBy>
  <cp:revision>3</cp:revision>
  <dcterms:created xsi:type="dcterms:W3CDTF">2019-11-14T16:27:00Z</dcterms:created>
  <dcterms:modified xsi:type="dcterms:W3CDTF">2019-11-14T16:39:00Z</dcterms:modified>
</cp:coreProperties>
</file>