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15594" w14:textId="160FDC8A" w:rsidR="00205E3F" w:rsidRPr="00FE3674" w:rsidRDefault="00205E3F" w:rsidP="009E107D">
      <w:pPr>
        <w:pStyle w:val="WW-Zkladntext2"/>
        <w:spacing w:before="600" w:after="600"/>
        <w:jc w:val="center"/>
        <w:rPr>
          <w:rFonts w:ascii="Times New Roman" w:hAnsi="Times New Roman"/>
          <w:b w:val="0"/>
          <w:spacing w:val="40"/>
          <w:szCs w:val="24"/>
        </w:rPr>
      </w:pPr>
      <w:r w:rsidRPr="00FE3674">
        <w:rPr>
          <w:rFonts w:ascii="Times New Roman" w:hAnsi="Times New Roman"/>
          <w:b w:val="0"/>
          <w:spacing w:val="40"/>
          <w:szCs w:val="24"/>
        </w:rPr>
        <w:t>Návrh</w:t>
      </w:r>
    </w:p>
    <w:p w14:paraId="5C6CD0ED" w14:textId="77777777" w:rsidR="00205E3F" w:rsidRPr="00FE3674" w:rsidRDefault="00205E3F" w:rsidP="00205E3F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 w:rsidRPr="00FE3674">
        <w:rPr>
          <w:rFonts w:ascii="Times New Roman" w:hAnsi="Times New Roman"/>
          <w:b/>
          <w:szCs w:val="24"/>
        </w:rPr>
        <w:t>ZÁKON</w:t>
      </w:r>
    </w:p>
    <w:p w14:paraId="5597FCD9" w14:textId="77777777" w:rsidR="00205E3F" w:rsidRPr="00FE3674" w:rsidRDefault="00205E3F" w:rsidP="00205E3F">
      <w:pPr>
        <w:spacing w:line="360" w:lineRule="auto"/>
        <w:jc w:val="center"/>
        <w:rPr>
          <w:rFonts w:ascii="Times New Roman" w:hAnsi="Times New Roman"/>
          <w:szCs w:val="24"/>
        </w:rPr>
      </w:pPr>
      <w:r w:rsidRPr="00FE3674">
        <w:rPr>
          <w:rFonts w:ascii="Times New Roman" w:hAnsi="Times New Roman"/>
          <w:szCs w:val="24"/>
        </w:rPr>
        <w:t>ze dne</w:t>
      </w:r>
      <w:r w:rsidR="00650FBD">
        <w:rPr>
          <w:rFonts w:ascii="Times New Roman" w:hAnsi="Times New Roman"/>
          <w:bCs/>
          <w:szCs w:val="24"/>
        </w:rPr>
        <w:tab/>
      </w:r>
      <w:r w:rsidR="00650FBD">
        <w:rPr>
          <w:rFonts w:ascii="Times New Roman" w:hAnsi="Times New Roman"/>
          <w:bCs/>
          <w:szCs w:val="24"/>
        </w:rPr>
        <w:tab/>
        <w:t>2019</w:t>
      </w:r>
      <w:r w:rsidRPr="00FE3674">
        <w:rPr>
          <w:rFonts w:ascii="Times New Roman" w:hAnsi="Times New Roman"/>
          <w:szCs w:val="24"/>
        </w:rPr>
        <w:t>,</w:t>
      </w:r>
    </w:p>
    <w:p w14:paraId="42CBE820" w14:textId="77777777" w:rsidR="00205E3F" w:rsidRPr="00FE3674" w:rsidRDefault="00205E3F" w:rsidP="00205E3F">
      <w:pPr>
        <w:spacing w:after="2040" w:line="360" w:lineRule="auto"/>
        <w:jc w:val="center"/>
        <w:rPr>
          <w:rFonts w:ascii="Times New Roman" w:hAnsi="Times New Roman"/>
          <w:b/>
          <w:szCs w:val="24"/>
        </w:rPr>
      </w:pPr>
      <w:r w:rsidRPr="00FE3674">
        <w:rPr>
          <w:rFonts w:ascii="Times New Roman" w:hAnsi="Times New Roman"/>
          <w:b/>
          <w:szCs w:val="24"/>
        </w:rPr>
        <w:t>kterým se mění zákon č. 458/2000 Sb., o podmínkách podnikání a o výkonu státní správy v energetických odvětvích a o změně některých zákonů (energetický zákon</w:t>
      </w:r>
      <w:r w:rsidR="00E54D61">
        <w:rPr>
          <w:rFonts w:ascii="Times New Roman" w:hAnsi="Times New Roman"/>
          <w:b/>
          <w:szCs w:val="24"/>
        </w:rPr>
        <w:t>), ve</w:t>
      </w:r>
      <w:r w:rsidR="00CA639D">
        <w:rPr>
          <w:rFonts w:ascii="Times New Roman" w:hAnsi="Times New Roman"/>
          <w:b/>
          <w:szCs w:val="24"/>
        </w:rPr>
        <w:t> </w:t>
      </w:r>
      <w:r w:rsidR="00E54D61">
        <w:rPr>
          <w:rFonts w:ascii="Times New Roman" w:hAnsi="Times New Roman"/>
          <w:b/>
          <w:szCs w:val="24"/>
        </w:rPr>
        <w:t xml:space="preserve">znění </w:t>
      </w:r>
      <w:r w:rsidR="00E54D61" w:rsidRPr="00E14FCA">
        <w:rPr>
          <w:rFonts w:ascii="Times New Roman" w:hAnsi="Times New Roman"/>
          <w:b/>
          <w:szCs w:val="24"/>
        </w:rPr>
        <w:t>pozdějších</w:t>
      </w:r>
      <w:r w:rsidR="00E54D61">
        <w:rPr>
          <w:rFonts w:ascii="Times New Roman" w:hAnsi="Times New Roman"/>
          <w:b/>
          <w:szCs w:val="24"/>
        </w:rPr>
        <w:t xml:space="preserve"> předpisů</w:t>
      </w:r>
    </w:p>
    <w:p w14:paraId="2394DE8E" w14:textId="77777777" w:rsidR="00205E3F" w:rsidRPr="00FE3674" w:rsidRDefault="00205E3F" w:rsidP="00205E3F">
      <w:pPr>
        <w:spacing w:after="840" w:line="276" w:lineRule="auto"/>
        <w:rPr>
          <w:rFonts w:ascii="Times New Roman" w:hAnsi="Times New Roman"/>
          <w:szCs w:val="24"/>
        </w:rPr>
      </w:pPr>
      <w:r w:rsidRPr="00FE3674">
        <w:rPr>
          <w:rFonts w:ascii="Times New Roman" w:hAnsi="Times New Roman"/>
          <w:szCs w:val="24"/>
        </w:rPr>
        <w:t xml:space="preserve">Parlament se usnesl na tomto zákoně České republiky: </w:t>
      </w:r>
    </w:p>
    <w:p w14:paraId="212AB9A4" w14:textId="77777777" w:rsidR="00205E3F" w:rsidRPr="00FE3674" w:rsidRDefault="00205E3F" w:rsidP="00205E3F">
      <w:pPr>
        <w:spacing w:before="240" w:after="240" w:line="36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Čl. I</w:t>
      </w:r>
    </w:p>
    <w:p w14:paraId="7F208A10" w14:textId="77777777" w:rsidR="00205E3F" w:rsidRPr="00FE3674" w:rsidRDefault="00205E3F" w:rsidP="00205E3F">
      <w:pPr>
        <w:spacing w:before="240" w:after="240" w:line="360" w:lineRule="auto"/>
        <w:jc w:val="both"/>
        <w:rPr>
          <w:rFonts w:ascii="Times New Roman" w:hAnsi="Times New Roman"/>
          <w:szCs w:val="24"/>
        </w:rPr>
      </w:pPr>
      <w:r w:rsidRPr="00FE3674">
        <w:rPr>
          <w:rFonts w:ascii="Times New Roman" w:hAnsi="Times New Roman"/>
          <w:szCs w:val="24"/>
        </w:rPr>
        <w:t xml:space="preserve">Zákon č. 458/2000 Sb., o podmínkách podnikání a o výkonu státní správy v energetických odvětvích a o změně některých zákonů (energetický zákon), ve znění zákona č. 151/2002 Sb., zákona č. 262/2002 Sb., zákona č. 278/2003 Sb., zákona č. 356/2003 Sb., zákona č. 670/2004 Sb., zákona č. 186/2006 Sb., zákona č. 342/2006 Sb., zákona č. 296/2007 Sb., zákona </w:t>
      </w:r>
      <w:r w:rsidRPr="00FE3674">
        <w:rPr>
          <w:rFonts w:ascii="Times New Roman" w:hAnsi="Times New Roman"/>
          <w:szCs w:val="24"/>
        </w:rPr>
        <w:br/>
        <w:t>č. 124/2008 Sb., zákona č. 158/2009 Sb., zákona č. 223/2009 Sb., zákona č. 227/2009 Sb., zákona č. 281/2009 Sb., zákona č. 155/2010 Sb., zákona č. 211/2011 Sb., zákona č. 299/2011 Sb., zákona č. 420/2011 Sb., zákona č. 165/2012 Sb., zákona č. 350/2012 Sb., zákona č. 90/2014 Sb., zákona č. 250/2014 Sb., zákona č. 104/2015 Sb., zákona č. 131/2015 Sb., zákona 152/2017 Sb., zákona 183/2017 Sb. a zákona 225/2017 Sb.</w:t>
      </w:r>
      <w:r>
        <w:rPr>
          <w:rFonts w:ascii="Times New Roman" w:hAnsi="Times New Roman"/>
          <w:szCs w:val="24"/>
        </w:rPr>
        <w:t>,</w:t>
      </w:r>
      <w:r w:rsidRPr="00FE3674">
        <w:rPr>
          <w:rFonts w:ascii="Times New Roman" w:hAnsi="Times New Roman"/>
          <w:szCs w:val="24"/>
        </w:rPr>
        <w:t xml:space="preserve"> se mění takto:</w:t>
      </w:r>
    </w:p>
    <w:p w14:paraId="1E5D7E94" w14:textId="77777777" w:rsidR="008F391E" w:rsidRDefault="008C0558" w:rsidP="00117D2C">
      <w:pPr>
        <w:pStyle w:val="Odstavecseseznamem"/>
        <w:numPr>
          <w:ilvl w:val="0"/>
          <w:numId w:val="37"/>
        </w:numPr>
        <w:snapToGrid w:val="0"/>
        <w:spacing w:after="240" w:line="360" w:lineRule="auto"/>
        <w:ind w:left="357" w:hanging="357"/>
        <w:contextualSpacing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 § 11a se vkládá nový § 11b, který </w:t>
      </w:r>
      <w:r w:rsidR="008F391E">
        <w:rPr>
          <w:rFonts w:ascii="Times New Roman" w:hAnsi="Times New Roman"/>
          <w:szCs w:val="24"/>
        </w:rPr>
        <w:t>včetně nadpisu a poznám</w:t>
      </w:r>
      <w:r w:rsidR="00CA639D">
        <w:rPr>
          <w:rFonts w:ascii="Times New Roman" w:hAnsi="Times New Roman"/>
          <w:szCs w:val="24"/>
        </w:rPr>
        <w:t>ek</w:t>
      </w:r>
      <w:r w:rsidR="008F391E">
        <w:rPr>
          <w:rFonts w:ascii="Times New Roman" w:hAnsi="Times New Roman"/>
          <w:szCs w:val="24"/>
        </w:rPr>
        <w:t xml:space="preserve"> pod čarou č. </w:t>
      </w:r>
      <w:r w:rsidR="00CA639D">
        <w:rPr>
          <w:rFonts w:ascii="Times New Roman" w:hAnsi="Times New Roman"/>
          <w:szCs w:val="24"/>
        </w:rPr>
        <w:t>7 a 8</w:t>
      </w:r>
      <w:r w:rsidR="00D203D2">
        <w:rPr>
          <w:rFonts w:ascii="Times New Roman" w:hAnsi="Times New Roman"/>
          <w:szCs w:val="24"/>
        </w:rPr>
        <w:t xml:space="preserve"> </w:t>
      </w:r>
      <w:r w:rsidR="008F391E">
        <w:rPr>
          <w:rFonts w:ascii="Times New Roman" w:hAnsi="Times New Roman"/>
          <w:szCs w:val="24"/>
        </w:rPr>
        <w:t xml:space="preserve">zní: </w:t>
      </w:r>
    </w:p>
    <w:p w14:paraId="5932F85A" w14:textId="77777777" w:rsidR="009E107D" w:rsidRDefault="009E107D" w:rsidP="0095608B">
      <w:pPr>
        <w:pStyle w:val="Odstavecseseznamem"/>
        <w:snapToGrid w:val="0"/>
        <w:spacing w:before="240" w:line="360" w:lineRule="auto"/>
        <w:ind w:left="357"/>
        <w:contextualSpacing w:val="0"/>
        <w:jc w:val="center"/>
        <w:rPr>
          <w:rFonts w:ascii="Times New Roman" w:hAnsi="Times New Roman"/>
          <w:szCs w:val="24"/>
        </w:rPr>
      </w:pPr>
    </w:p>
    <w:p w14:paraId="11594F80" w14:textId="77777777" w:rsidR="009E107D" w:rsidRDefault="009E107D" w:rsidP="0095608B">
      <w:pPr>
        <w:pStyle w:val="Odstavecseseznamem"/>
        <w:snapToGrid w:val="0"/>
        <w:spacing w:before="240" w:line="360" w:lineRule="auto"/>
        <w:ind w:left="357"/>
        <w:contextualSpacing w:val="0"/>
        <w:jc w:val="center"/>
        <w:rPr>
          <w:rFonts w:ascii="Times New Roman" w:hAnsi="Times New Roman"/>
          <w:szCs w:val="24"/>
        </w:rPr>
      </w:pPr>
    </w:p>
    <w:p w14:paraId="333CCE5C" w14:textId="77777777" w:rsidR="009E107D" w:rsidRDefault="009E107D" w:rsidP="0095608B">
      <w:pPr>
        <w:pStyle w:val="Odstavecseseznamem"/>
        <w:snapToGrid w:val="0"/>
        <w:spacing w:before="240" w:line="360" w:lineRule="auto"/>
        <w:ind w:left="357"/>
        <w:contextualSpacing w:val="0"/>
        <w:jc w:val="center"/>
        <w:rPr>
          <w:rFonts w:ascii="Times New Roman" w:hAnsi="Times New Roman"/>
          <w:szCs w:val="24"/>
        </w:rPr>
      </w:pPr>
    </w:p>
    <w:p w14:paraId="03CDA380" w14:textId="2A4BA670" w:rsidR="0095608B" w:rsidRDefault="008C0558" w:rsidP="0095608B">
      <w:pPr>
        <w:pStyle w:val="Odstavecseseznamem"/>
        <w:snapToGrid w:val="0"/>
        <w:spacing w:before="240" w:line="360" w:lineRule="auto"/>
        <w:ind w:left="357"/>
        <w:contextualSpacing w:val="0"/>
        <w:jc w:val="center"/>
        <w:rPr>
          <w:rFonts w:ascii="Times New Roman" w:hAnsi="Times New Roman"/>
          <w:szCs w:val="24"/>
        </w:rPr>
      </w:pPr>
      <w:bookmarkStart w:id="0" w:name="_GoBack"/>
      <w:bookmarkEnd w:id="0"/>
      <w:r w:rsidRPr="00FE3674">
        <w:rPr>
          <w:rFonts w:ascii="Times New Roman" w:hAnsi="Times New Roman"/>
          <w:szCs w:val="24"/>
        </w:rPr>
        <w:lastRenderedPageBreak/>
        <w:t>„§ 1</w:t>
      </w:r>
      <w:r w:rsidR="008F391E">
        <w:rPr>
          <w:rFonts w:ascii="Times New Roman" w:hAnsi="Times New Roman"/>
          <w:szCs w:val="24"/>
        </w:rPr>
        <w:t>1</w:t>
      </w:r>
      <w:r w:rsidRPr="00FE3674">
        <w:rPr>
          <w:rFonts w:ascii="Times New Roman" w:hAnsi="Times New Roman"/>
          <w:szCs w:val="24"/>
        </w:rPr>
        <w:t>b</w:t>
      </w:r>
    </w:p>
    <w:p w14:paraId="03060DAA" w14:textId="77777777" w:rsidR="008C0558" w:rsidRPr="0095608B" w:rsidRDefault="0095608B" w:rsidP="0095608B">
      <w:pPr>
        <w:pStyle w:val="Odstavecseseznamem"/>
        <w:snapToGrid w:val="0"/>
        <w:spacing w:line="360" w:lineRule="auto"/>
        <w:ind w:left="357"/>
        <w:contextualSpacing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Regulace nařízením obce</w:t>
      </w:r>
    </w:p>
    <w:p w14:paraId="1A46F406" w14:textId="77777777" w:rsidR="001A36BC" w:rsidRDefault="00CF7F4B" w:rsidP="00C9107B">
      <w:pPr>
        <w:spacing w:before="240" w:after="240" w:line="360" w:lineRule="auto"/>
        <w:jc w:val="both"/>
        <w:rPr>
          <w:rFonts w:ascii="Times New Roman" w:hAnsi="Times New Roman"/>
          <w:szCs w:val="24"/>
        </w:rPr>
      </w:pPr>
      <w:r w:rsidRPr="00D203D2">
        <w:rPr>
          <w:rFonts w:ascii="Times New Roman" w:hAnsi="Times New Roman"/>
          <w:szCs w:val="24"/>
        </w:rPr>
        <w:t>Obec může nařízením obce</w:t>
      </w:r>
      <w:r w:rsidR="00CA639D">
        <w:rPr>
          <w:rFonts w:ascii="Times New Roman" w:hAnsi="Times New Roman"/>
          <w:szCs w:val="24"/>
          <w:vertAlign w:val="superscript"/>
        </w:rPr>
        <w:t>7</w:t>
      </w:r>
      <w:r w:rsidRPr="00D203D2">
        <w:rPr>
          <w:rFonts w:ascii="Times New Roman" w:hAnsi="Times New Roman"/>
          <w:szCs w:val="24"/>
        </w:rPr>
        <w:t xml:space="preserve"> stanovit, že některé formy prodeje zboží nebo poskytování služeb prováděné mimo </w:t>
      </w:r>
      <w:r w:rsidR="00735631" w:rsidRPr="00D203D2">
        <w:rPr>
          <w:rFonts w:ascii="Times New Roman" w:hAnsi="Times New Roman"/>
          <w:szCs w:val="24"/>
        </w:rPr>
        <w:t>obchodní prostory držitele licence</w:t>
      </w:r>
      <w:r w:rsidR="00D203D2" w:rsidRPr="00D203D2">
        <w:rPr>
          <w:rFonts w:ascii="Times New Roman" w:hAnsi="Times New Roman"/>
          <w:szCs w:val="24"/>
        </w:rPr>
        <w:t xml:space="preserve"> při výkonu licencované činnosti dle tohoto zákona</w:t>
      </w:r>
      <w:r w:rsidR="00735631" w:rsidRPr="00D203D2">
        <w:rPr>
          <w:rFonts w:ascii="Times New Roman" w:hAnsi="Times New Roman"/>
          <w:szCs w:val="24"/>
        </w:rPr>
        <w:t xml:space="preserve">, </w:t>
      </w:r>
      <w:r w:rsidRPr="00D203D2">
        <w:rPr>
          <w:rFonts w:ascii="Times New Roman" w:hAnsi="Times New Roman"/>
          <w:szCs w:val="24"/>
        </w:rPr>
        <w:t>jsou v obci nebo v její části zakázány.</w:t>
      </w:r>
      <w:r w:rsidR="0095608B">
        <w:rPr>
          <w:rFonts w:ascii="Times New Roman" w:hAnsi="Times New Roman"/>
          <w:szCs w:val="24"/>
        </w:rPr>
        <w:t>“</w:t>
      </w:r>
    </w:p>
    <w:p w14:paraId="2F0C45AD" w14:textId="77777777" w:rsidR="00C9107B" w:rsidRPr="00CA639D" w:rsidRDefault="00C9107B" w:rsidP="00C9107B">
      <w:pPr>
        <w:spacing w:before="240" w:after="240" w:line="360" w:lineRule="auto"/>
        <w:jc w:val="both"/>
        <w:rPr>
          <w:rFonts w:ascii="Times New Roman" w:hAnsi="Times New Roman"/>
          <w:szCs w:val="24"/>
        </w:rPr>
      </w:pPr>
      <w:r w:rsidRPr="00CA639D">
        <w:rPr>
          <w:rFonts w:ascii="Times New Roman" w:hAnsi="Times New Roman"/>
          <w:szCs w:val="24"/>
        </w:rPr>
        <w:t>__________</w:t>
      </w:r>
    </w:p>
    <w:p w14:paraId="04D9D0DF" w14:textId="77777777" w:rsidR="00C9107B" w:rsidRPr="00CA639D" w:rsidRDefault="00CA639D" w:rsidP="00793469">
      <w:pPr>
        <w:snapToGrid w:val="0"/>
        <w:jc w:val="both"/>
        <w:rPr>
          <w:rFonts w:ascii="Times New Roman" w:hAnsi="Times New Roman"/>
          <w:sz w:val="22"/>
          <w:szCs w:val="24"/>
        </w:rPr>
      </w:pPr>
      <w:r w:rsidRPr="00CA639D">
        <w:rPr>
          <w:rFonts w:ascii="Times New Roman" w:hAnsi="Times New Roman"/>
          <w:sz w:val="22"/>
          <w:szCs w:val="24"/>
          <w:vertAlign w:val="superscript"/>
        </w:rPr>
        <w:t>7</w:t>
      </w:r>
      <w:r w:rsidR="00C9107B" w:rsidRPr="00CA639D">
        <w:rPr>
          <w:rFonts w:ascii="Times New Roman" w:hAnsi="Times New Roman"/>
          <w:sz w:val="22"/>
          <w:szCs w:val="24"/>
          <w:vertAlign w:val="superscript"/>
        </w:rPr>
        <w:t>)</w:t>
      </w:r>
      <w:r w:rsidR="00C9107B" w:rsidRPr="00CA639D">
        <w:rPr>
          <w:rFonts w:ascii="Times New Roman" w:hAnsi="Times New Roman"/>
          <w:sz w:val="22"/>
          <w:szCs w:val="24"/>
        </w:rPr>
        <w:t xml:space="preserve"> </w:t>
      </w:r>
      <w:r w:rsidR="001A36BC" w:rsidRPr="00CA639D">
        <w:rPr>
          <w:rFonts w:ascii="Times New Roman" w:hAnsi="Times New Roman"/>
          <w:sz w:val="22"/>
          <w:szCs w:val="24"/>
        </w:rPr>
        <w:t>§ 11 odst. 1 zákona č. 128/2000 Sb., o obcích (obecní zřízení), ve znění pozdějších předpisů.</w:t>
      </w:r>
    </w:p>
    <w:p w14:paraId="332EB861" w14:textId="77777777" w:rsidR="00793469" w:rsidRPr="00CA639D" w:rsidRDefault="00CA639D" w:rsidP="00793469">
      <w:pPr>
        <w:snapToGrid w:val="0"/>
        <w:jc w:val="both"/>
        <w:rPr>
          <w:rFonts w:ascii="Times New Roman" w:hAnsi="Times New Roman"/>
          <w:sz w:val="22"/>
          <w:szCs w:val="24"/>
          <w:highlight w:val="yellow"/>
          <w:vertAlign w:val="superscript"/>
        </w:rPr>
      </w:pPr>
      <w:r w:rsidRPr="00CA639D">
        <w:rPr>
          <w:rFonts w:ascii="Times New Roman" w:hAnsi="Times New Roman"/>
          <w:sz w:val="22"/>
          <w:szCs w:val="24"/>
          <w:vertAlign w:val="superscript"/>
        </w:rPr>
        <w:t>8</w:t>
      </w:r>
      <w:r w:rsidR="00793469" w:rsidRPr="00CA639D">
        <w:rPr>
          <w:rFonts w:ascii="Times New Roman" w:hAnsi="Times New Roman"/>
          <w:sz w:val="22"/>
          <w:szCs w:val="24"/>
          <w:vertAlign w:val="superscript"/>
        </w:rPr>
        <w:t xml:space="preserve">) </w:t>
      </w:r>
      <w:r w:rsidR="00793469" w:rsidRPr="00CA639D">
        <w:rPr>
          <w:rFonts w:ascii="Times New Roman" w:hAnsi="Times New Roman"/>
          <w:sz w:val="22"/>
          <w:szCs w:val="24"/>
        </w:rPr>
        <w:t>Zákon č. 455/1991 Sb., o živnostenském podnikání (živnostenský zákon), ve znění pozdějších předpisů.</w:t>
      </w:r>
    </w:p>
    <w:p w14:paraId="22643203" w14:textId="77777777" w:rsidR="005E0D99" w:rsidRDefault="005E0D99" w:rsidP="00205E3F">
      <w:pPr>
        <w:spacing w:after="360" w:line="276" w:lineRule="auto"/>
        <w:jc w:val="center"/>
        <w:rPr>
          <w:rFonts w:ascii="Times New Roman" w:hAnsi="Times New Roman"/>
          <w:szCs w:val="24"/>
        </w:rPr>
      </w:pPr>
    </w:p>
    <w:p w14:paraId="78DF6F95" w14:textId="77777777" w:rsidR="00205E3F" w:rsidRPr="005E0D99" w:rsidRDefault="00205E3F" w:rsidP="00205E3F">
      <w:pPr>
        <w:spacing w:after="360" w:line="276" w:lineRule="auto"/>
        <w:jc w:val="center"/>
        <w:rPr>
          <w:rFonts w:ascii="Times New Roman" w:hAnsi="Times New Roman"/>
          <w:szCs w:val="24"/>
        </w:rPr>
      </w:pPr>
      <w:r w:rsidRPr="005E0D99">
        <w:rPr>
          <w:rFonts w:ascii="Times New Roman" w:hAnsi="Times New Roman"/>
          <w:szCs w:val="24"/>
        </w:rPr>
        <w:t xml:space="preserve">Čl. </w:t>
      </w:r>
      <w:r w:rsidR="00465CC0" w:rsidRPr="005E0D99">
        <w:rPr>
          <w:rFonts w:ascii="Times New Roman" w:hAnsi="Times New Roman"/>
          <w:szCs w:val="24"/>
        </w:rPr>
        <w:t>II</w:t>
      </w:r>
    </w:p>
    <w:p w14:paraId="2EC8A6CF" w14:textId="77777777" w:rsidR="00205E3F" w:rsidRPr="005E0D99" w:rsidRDefault="005854D1" w:rsidP="00205E3F">
      <w:pPr>
        <w:spacing w:after="360" w:line="276" w:lineRule="auto"/>
        <w:jc w:val="center"/>
        <w:rPr>
          <w:rFonts w:ascii="Times New Roman" w:hAnsi="Times New Roman"/>
          <w:b/>
          <w:szCs w:val="24"/>
        </w:rPr>
      </w:pPr>
      <w:r w:rsidRPr="005E0D99">
        <w:rPr>
          <w:rFonts w:ascii="Times New Roman" w:hAnsi="Times New Roman"/>
          <w:b/>
          <w:szCs w:val="24"/>
        </w:rPr>
        <w:t>Účinnost</w:t>
      </w:r>
    </w:p>
    <w:p w14:paraId="62B41A74" w14:textId="77777777" w:rsidR="00512392" w:rsidRDefault="00205E3F" w:rsidP="001454D7">
      <w:pPr>
        <w:spacing w:after="360" w:line="276" w:lineRule="auto"/>
        <w:jc w:val="both"/>
        <w:rPr>
          <w:rFonts w:ascii="Times New Roman" w:hAnsi="Times New Roman"/>
          <w:szCs w:val="24"/>
        </w:rPr>
      </w:pPr>
      <w:r w:rsidRPr="005E0D99">
        <w:rPr>
          <w:rFonts w:ascii="Times New Roman" w:hAnsi="Times New Roman"/>
          <w:szCs w:val="24"/>
        </w:rPr>
        <w:t>Tento zákon nabývá účinnosti dnem 1. ledna 2020.</w:t>
      </w:r>
    </w:p>
    <w:p w14:paraId="3267CA61" w14:textId="77777777" w:rsidR="00512392" w:rsidRDefault="00512392">
      <w:pPr>
        <w:suppressAutoHyphens w:val="0"/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52CBB6D7" w14:textId="77777777" w:rsidR="00512392" w:rsidRPr="00982A88" w:rsidRDefault="00512392" w:rsidP="00512392">
      <w:pPr>
        <w:jc w:val="center"/>
        <w:rPr>
          <w:b/>
          <w:bCs/>
          <w:sz w:val="28"/>
          <w:szCs w:val="28"/>
        </w:rPr>
      </w:pPr>
      <w:r w:rsidRPr="00982A88">
        <w:rPr>
          <w:rFonts w:ascii="Times New Roman" w:hAnsi="Times New Roman"/>
          <w:b/>
          <w:bCs/>
          <w:sz w:val="28"/>
          <w:szCs w:val="28"/>
        </w:rPr>
        <w:lastRenderedPageBreak/>
        <w:t>Důvodová zpráva</w:t>
      </w:r>
    </w:p>
    <w:p w14:paraId="6C323A82" w14:textId="77777777" w:rsidR="00512392" w:rsidRDefault="00512392" w:rsidP="00512392">
      <w:pPr>
        <w:tabs>
          <w:tab w:val="left" w:pos="540"/>
        </w:tabs>
        <w:jc w:val="center"/>
        <w:rPr>
          <w:rFonts w:ascii="Times New Roman" w:hAnsi="Times New Roman"/>
          <w:b/>
          <w:szCs w:val="24"/>
          <w:lang w:eastAsia="cs-CZ"/>
        </w:rPr>
      </w:pPr>
    </w:p>
    <w:p w14:paraId="5DFB7659" w14:textId="77777777" w:rsidR="00512392" w:rsidRPr="00982A88" w:rsidRDefault="00512392" w:rsidP="00512392">
      <w:pPr>
        <w:pStyle w:val="Odstavecseseznamem"/>
        <w:numPr>
          <w:ilvl w:val="0"/>
          <w:numId w:val="43"/>
        </w:numPr>
        <w:tabs>
          <w:tab w:val="left" w:pos="540"/>
        </w:tabs>
        <w:suppressAutoHyphens w:val="0"/>
        <w:rPr>
          <w:rFonts w:ascii="Times New Roman" w:hAnsi="Times New Roman"/>
          <w:b/>
          <w:sz w:val="26"/>
          <w:szCs w:val="26"/>
          <w:lang w:eastAsia="cs-CZ"/>
        </w:rPr>
      </w:pPr>
      <w:r w:rsidRPr="00982A88">
        <w:rPr>
          <w:rFonts w:ascii="Times New Roman" w:hAnsi="Times New Roman"/>
          <w:b/>
          <w:sz w:val="26"/>
          <w:szCs w:val="26"/>
          <w:lang w:eastAsia="cs-CZ"/>
        </w:rPr>
        <w:t>Obecná část</w:t>
      </w:r>
    </w:p>
    <w:p w14:paraId="12F82E8B" w14:textId="77777777" w:rsidR="00512392" w:rsidRDefault="00512392" w:rsidP="00512392">
      <w:pPr>
        <w:tabs>
          <w:tab w:val="left" w:pos="540"/>
        </w:tabs>
        <w:jc w:val="center"/>
        <w:rPr>
          <w:rFonts w:ascii="Times New Roman" w:hAnsi="Times New Roman"/>
          <w:b/>
          <w:szCs w:val="24"/>
          <w:lang w:eastAsia="cs-CZ"/>
        </w:rPr>
      </w:pPr>
    </w:p>
    <w:p w14:paraId="561E47C9" w14:textId="77777777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DB5988">
        <w:rPr>
          <w:rFonts w:ascii="Times New Roman" w:hAnsi="Times New Roman"/>
          <w:b/>
          <w:szCs w:val="24"/>
          <w:lang w:eastAsia="cs-CZ"/>
        </w:rPr>
        <w:t>Zhodnocení platného právního stavu</w:t>
      </w:r>
      <w:r>
        <w:rPr>
          <w:rFonts w:ascii="Times New Roman" w:hAnsi="Times New Roman"/>
          <w:b/>
          <w:szCs w:val="24"/>
          <w:lang w:eastAsia="cs-CZ"/>
        </w:rPr>
        <w:t xml:space="preserve"> a vysvětlení nezbytnosti </w:t>
      </w:r>
      <w:r w:rsidRPr="00CD6202">
        <w:rPr>
          <w:rFonts w:ascii="Times New Roman" w:hAnsi="Times New Roman"/>
          <w:b/>
          <w:szCs w:val="24"/>
          <w:lang w:eastAsia="cs-CZ"/>
        </w:rPr>
        <w:t>navrhované právní úpravy</w:t>
      </w:r>
    </w:p>
    <w:p w14:paraId="62B4DA2F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ab/>
      </w:r>
    </w:p>
    <w:p w14:paraId="4F233A0E" w14:textId="77777777" w:rsidR="00512392" w:rsidRDefault="000D5AD5" w:rsidP="00DF1AB7">
      <w:pPr>
        <w:tabs>
          <w:tab w:val="left" w:pos="540"/>
        </w:tabs>
        <w:snapToGrid w:val="0"/>
        <w:spacing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eastAsia="cs-CZ"/>
        </w:rPr>
        <w:t xml:space="preserve">Podle současné právní úpravy je </w:t>
      </w:r>
      <w:r w:rsidR="00507720">
        <w:rPr>
          <w:rFonts w:ascii="Times New Roman" w:hAnsi="Times New Roman"/>
          <w:szCs w:val="24"/>
          <w:lang w:eastAsia="cs-CZ"/>
        </w:rPr>
        <w:t xml:space="preserve">obcím umožněno, aby ve smyslu ustanovení </w:t>
      </w:r>
      <w:r w:rsidR="00507720" w:rsidRPr="001A36BC">
        <w:rPr>
          <w:rFonts w:ascii="Times New Roman" w:hAnsi="Times New Roman"/>
          <w:szCs w:val="24"/>
        </w:rPr>
        <w:t>§ 11 odst. 1 zákona č. 128/2000 Sb., o obcích (obecní zřízení), ve znění pozdějších předpisů</w:t>
      </w:r>
      <w:r w:rsidR="00432DAF">
        <w:rPr>
          <w:rFonts w:ascii="Times New Roman" w:hAnsi="Times New Roman"/>
          <w:szCs w:val="24"/>
        </w:rPr>
        <w:t>,</w:t>
      </w:r>
      <w:r w:rsidR="00507720">
        <w:rPr>
          <w:rFonts w:ascii="Times New Roman" w:hAnsi="Times New Roman"/>
          <w:szCs w:val="24"/>
        </w:rPr>
        <w:t xml:space="preserve"> vydávaly na základě zákona a v jeho mezích nařízení obce, jsou-li k tomu zákonem zmocněny.  </w:t>
      </w:r>
    </w:p>
    <w:p w14:paraId="15770407" w14:textId="77777777" w:rsidR="00067D0A" w:rsidRPr="00067D0A" w:rsidRDefault="00F926B1" w:rsidP="00DF1AB7">
      <w:pPr>
        <w:tabs>
          <w:tab w:val="left" w:pos="540"/>
        </w:tabs>
        <w:snapToGrid w:val="0"/>
        <w:spacing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Takové zákonné zmocnění je obsaženo např. v zákoně č. </w:t>
      </w:r>
      <w:r w:rsidRPr="00F926B1">
        <w:rPr>
          <w:rFonts w:ascii="Times New Roman" w:hAnsi="Times New Roman"/>
          <w:szCs w:val="24"/>
        </w:rPr>
        <w:t>455/1991 Sb</w:t>
      </w:r>
      <w:r>
        <w:rPr>
          <w:rFonts w:ascii="Times New Roman" w:hAnsi="Times New Roman"/>
          <w:szCs w:val="24"/>
        </w:rPr>
        <w:t xml:space="preserve">., </w:t>
      </w:r>
      <w:r w:rsidRPr="00F926B1">
        <w:rPr>
          <w:rFonts w:ascii="Times New Roman" w:hAnsi="Times New Roman"/>
          <w:szCs w:val="24"/>
        </w:rPr>
        <w:t>o živnostenském podnikání (živnostenský zákon)</w:t>
      </w:r>
      <w:r>
        <w:rPr>
          <w:rFonts w:ascii="Times New Roman" w:hAnsi="Times New Roman"/>
          <w:szCs w:val="24"/>
        </w:rPr>
        <w:t xml:space="preserve">, který v ustanovení § 18 zmocňuje obce k vydání </w:t>
      </w:r>
      <w:r w:rsidR="002212A4">
        <w:rPr>
          <w:rFonts w:ascii="Times New Roman" w:hAnsi="Times New Roman"/>
          <w:szCs w:val="24"/>
        </w:rPr>
        <w:t xml:space="preserve">tržního řádu formou nařízení obce, v rámci kterého může obec regulovat prodej zboží a poskytování služeb na území obce. </w:t>
      </w:r>
      <w:r w:rsidR="00067D0A">
        <w:rPr>
          <w:rFonts w:ascii="Times New Roman" w:hAnsi="Times New Roman"/>
          <w:szCs w:val="24"/>
        </w:rPr>
        <w:t>Ustanovení § 18 odst. 4 živnostenského zákona pak výslovně uvádí, že o</w:t>
      </w:r>
      <w:r w:rsidR="00067D0A" w:rsidRPr="00067D0A">
        <w:rPr>
          <w:rFonts w:ascii="Times New Roman" w:hAnsi="Times New Roman"/>
          <w:szCs w:val="24"/>
        </w:rPr>
        <w:t>bec může nařízením obce</w:t>
      </w:r>
      <w:r w:rsidR="00067D0A">
        <w:rPr>
          <w:rFonts w:ascii="Times New Roman" w:hAnsi="Times New Roman"/>
          <w:szCs w:val="24"/>
        </w:rPr>
        <w:t xml:space="preserve"> </w:t>
      </w:r>
      <w:r w:rsidR="00067D0A" w:rsidRPr="00067D0A">
        <w:rPr>
          <w:rFonts w:ascii="Times New Roman" w:hAnsi="Times New Roman"/>
          <w:szCs w:val="24"/>
        </w:rPr>
        <w:t xml:space="preserve">některé formy prodeje zboží nebo poskytování služeb prováděné mimo provozovnu </w:t>
      </w:r>
      <w:r w:rsidR="00067D0A">
        <w:rPr>
          <w:rFonts w:ascii="Times New Roman" w:hAnsi="Times New Roman"/>
          <w:szCs w:val="24"/>
        </w:rPr>
        <w:t>zakázat</w:t>
      </w:r>
      <w:r w:rsidR="00067D0A" w:rsidRPr="00067D0A">
        <w:rPr>
          <w:rFonts w:ascii="Times New Roman" w:hAnsi="Times New Roman"/>
          <w:szCs w:val="24"/>
        </w:rPr>
        <w:t>.</w:t>
      </w:r>
      <w:r w:rsidR="00067D0A">
        <w:rPr>
          <w:rFonts w:ascii="Times New Roman" w:hAnsi="Times New Roman"/>
          <w:szCs w:val="24"/>
        </w:rPr>
        <w:t xml:space="preserve"> </w:t>
      </w:r>
    </w:p>
    <w:p w14:paraId="11E24B53" w14:textId="77777777" w:rsidR="00340128" w:rsidRDefault="006641F8" w:rsidP="00DF1AB7">
      <w:pPr>
        <w:tabs>
          <w:tab w:val="left" w:pos="540"/>
        </w:tabs>
        <w:snapToGrid w:val="0"/>
        <w:spacing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 současné době </w:t>
      </w:r>
      <w:r w:rsidR="00D60CBB">
        <w:rPr>
          <w:rFonts w:ascii="Times New Roman" w:hAnsi="Times New Roman"/>
          <w:szCs w:val="24"/>
        </w:rPr>
        <w:t xml:space="preserve">dochází k situacím, kdy obce v rámci vydaných tržních řádů ve smyslu ustanovení § 18 živnostenského zákona </w:t>
      </w:r>
      <w:r w:rsidR="00DE7742">
        <w:rPr>
          <w:rFonts w:ascii="Times New Roman" w:hAnsi="Times New Roman"/>
          <w:szCs w:val="24"/>
        </w:rPr>
        <w:t xml:space="preserve">zakazují též podomní prodej v rámci podnikání v energetických odvětvích (zejména obchod s elektřinou a plynem). </w:t>
      </w:r>
      <w:r w:rsidR="006E48B2">
        <w:rPr>
          <w:rFonts w:ascii="Times New Roman" w:hAnsi="Times New Roman"/>
          <w:szCs w:val="24"/>
        </w:rPr>
        <w:t>Obce tak činí i přesto, že</w:t>
      </w:r>
      <w:r w:rsidR="009B0F4F">
        <w:rPr>
          <w:rFonts w:ascii="Times New Roman" w:hAnsi="Times New Roman"/>
          <w:szCs w:val="24"/>
        </w:rPr>
        <w:t xml:space="preserve"> </w:t>
      </w:r>
      <w:r w:rsidR="009B0F4F" w:rsidRPr="009B0F4F">
        <w:rPr>
          <w:rFonts w:ascii="Times New Roman" w:hAnsi="Times New Roman"/>
          <w:bCs/>
          <w:lang w:eastAsia="cs-CZ"/>
        </w:rPr>
        <w:t>výroba elektřiny, výroba plynu, přenos elektřiny, přeprava plynu, distribuce elektřiny, distribuce plynu, uskladňování plynu, obchod s elektřinou, obchod s plynem, výroba tepelné energie a rozvod tepelné energie, které podléhají licenci podle zvláštního právního předpisu</w:t>
      </w:r>
      <w:r w:rsidR="00432DAF">
        <w:rPr>
          <w:rFonts w:ascii="Times New Roman" w:hAnsi="Times New Roman"/>
          <w:bCs/>
          <w:lang w:eastAsia="cs-CZ"/>
        </w:rPr>
        <w:t>,</w:t>
      </w:r>
      <w:r w:rsidR="009B0F4F" w:rsidRPr="00E01D5F">
        <w:rPr>
          <w:rFonts w:ascii="Times New Roman" w:hAnsi="Times New Roman"/>
          <w:bCs/>
          <w:lang w:eastAsia="cs-CZ"/>
        </w:rPr>
        <w:t xml:space="preserve"> </w:t>
      </w:r>
      <w:r w:rsidR="009B0F4F">
        <w:rPr>
          <w:rFonts w:ascii="Times New Roman" w:hAnsi="Times New Roman"/>
          <w:szCs w:val="24"/>
        </w:rPr>
        <w:t xml:space="preserve">nejsou dle ustanovení § 3 </w:t>
      </w:r>
      <w:r w:rsidR="00340128">
        <w:rPr>
          <w:rFonts w:ascii="Times New Roman" w:hAnsi="Times New Roman"/>
          <w:szCs w:val="24"/>
        </w:rPr>
        <w:t xml:space="preserve">odst. 3 písm. d) živnostenského zákona živností, tudíž se na ně nevztahuje živnostenský zákon. </w:t>
      </w:r>
    </w:p>
    <w:p w14:paraId="31706D45" w14:textId="77777777" w:rsidR="00CF73C6" w:rsidRDefault="006E48B2" w:rsidP="00DF1AB7">
      <w:pPr>
        <w:spacing w:after="60" w:line="276" w:lineRule="auto"/>
        <w:jc w:val="both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Tato praxe </w:t>
      </w:r>
      <w:r w:rsidR="00CF73C6">
        <w:rPr>
          <w:rFonts w:ascii="Times New Roman" w:hAnsi="Times New Roman"/>
          <w:szCs w:val="24"/>
        </w:rPr>
        <w:t>byla doposud</w:t>
      </w:r>
      <w:r>
        <w:rPr>
          <w:rFonts w:ascii="Times New Roman" w:hAnsi="Times New Roman"/>
          <w:szCs w:val="24"/>
        </w:rPr>
        <w:t xml:space="preserve"> podpořena </w:t>
      </w:r>
      <w:r>
        <w:rPr>
          <w:rFonts w:ascii="Times New Roman" w:hAnsi="Times New Roman"/>
          <w:bCs/>
          <w:lang w:eastAsia="cs-CZ"/>
        </w:rPr>
        <w:t xml:space="preserve">komentářovou literaturou k živnostenskému zákonu </w:t>
      </w:r>
      <w:r w:rsidRPr="00E01D5F">
        <w:rPr>
          <w:rFonts w:ascii="Times New Roman" w:hAnsi="Times New Roman"/>
        </w:rPr>
        <w:t>(Hrozinková, E., Urban, V. Živnostenský zákon a předpisy související: s komentářem. 13. Vydání. Praha: Linde, 2013, 328 s.)</w:t>
      </w:r>
      <w:r w:rsidR="00340128">
        <w:rPr>
          <w:rFonts w:ascii="Times New Roman" w:hAnsi="Times New Roman"/>
        </w:rPr>
        <w:t xml:space="preserve">, která uvádí, že </w:t>
      </w:r>
      <w:r w:rsidR="00340128" w:rsidRPr="00E01D5F">
        <w:rPr>
          <w:rFonts w:ascii="Times New Roman" w:hAnsi="Times New Roman"/>
          <w:i/>
        </w:rPr>
        <w:t>„</w:t>
      </w:r>
      <w:r w:rsidR="00E54129">
        <w:rPr>
          <w:rFonts w:ascii="Times New Roman" w:hAnsi="Times New Roman"/>
          <w:i/>
        </w:rPr>
        <w:t>u</w:t>
      </w:r>
      <w:r w:rsidR="00340128" w:rsidRPr="00E01D5F">
        <w:rPr>
          <w:rFonts w:ascii="Times New Roman" w:hAnsi="Times New Roman"/>
          <w:i/>
        </w:rPr>
        <w:t xml:space="preserve">stanovení § 18 živnostenského zákona nezůstává co do předmětu omezeno na podnikání upravené živnostenským zákonem (§ 19 až § 27 živnostenského zákona); jeho účelem je vytvoření předpokladů pro obecně závazné úpravy určitého způsobu prodeje zboží a poskytování služeb. Na tržišti může být tudíž provozována - pokud tomu nebrání zvláštní předpis - i činnost z působnosti živnostenského zákona vyloučená, </w:t>
      </w:r>
      <w:r w:rsidR="00E54129">
        <w:rPr>
          <w:rFonts w:ascii="Times New Roman" w:hAnsi="Times New Roman"/>
          <w:i/>
        </w:rPr>
        <w:t>….</w:t>
      </w:r>
      <w:r w:rsidR="00340128" w:rsidRPr="00E01D5F">
        <w:rPr>
          <w:rFonts w:ascii="Times New Roman" w:hAnsi="Times New Roman"/>
          <w:i/>
        </w:rPr>
        <w:t>“</w:t>
      </w:r>
      <w:r w:rsidR="00E54129">
        <w:rPr>
          <w:rFonts w:ascii="Times New Roman" w:hAnsi="Times New Roman"/>
        </w:rPr>
        <w:t xml:space="preserve"> </w:t>
      </w:r>
    </w:p>
    <w:p w14:paraId="411CB9CC" w14:textId="77777777" w:rsidR="00D60CBB" w:rsidRPr="00C953C6" w:rsidRDefault="00E54129" w:rsidP="00DF1AB7">
      <w:pPr>
        <w:spacing w:after="60" w:line="276" w:lineRule="auto"/>
        <w:jc w:val="both"/>
        <w:textAlignment w:val="center"/>
        <w:rPr>
          <w:rFonts w:ascii="Times New Roman" w:hAnsi="Times New Roman"/>
          <w:i/>
        </w:rPr>
      </w:pPr>
      <w:r>
        <w:rPr>
          <w:rFonts w:ascii="Times New Roman" w:hAnsi="Times New Roman"/>
        </w:rPr>
        <w:t>V rozporu s</w:t>
      </w:r>
      <w:r w:rsidR="00FA6F67">
        <w:rPr>
          <w:rFonts w:ascii="Times New Roman" w:hAnsi="Times New Roman"/>
        </w:rPr>
        <w:t> </w:t>
      </w:r>
      <w:r>
        <w:rPr>
          <w:rFonts w:ascii="Times New Roman" w:hAnsi="Times New Roman"/>
        </w:rPr>
        <w:t>t</w:t>
      </w:r>
      <w:r w:rsidR="00FA6F67">
        <w:rPr>
          <w:rFonts w:ascii="Times New Roman" w:hAnsi="Times New Roman"/>
        </w:rPr>
        <w:t xml:space="preserve">outo komentářovou literaturou je však závazný názor </w:t>
      </w:r>
      <w:r w:rsidR="00FA6F67" w:rsidRPr="00347D82">
        <w:rPr>
          <w:rFonts w:ascii="Times New Roman" w:hAnsi="Times New Roman"/>
        </w:rPr>
        <w:t>Nejvyššího správního soudu</w:t>
      </w:r>
      <w:r w:rsidR="00FA6F67">
        <w:rPr>
          <w:rFonts w:ascii="Times New Roman" w:hAnsi="Times New Roman"/>
        </w:rPr>
        <w:t>,</w:t>
      </w:r>
      <w:r w:rsidR="00D60CBB">
        <w:rPr>
          <w:rStyle w:val="Znakapoznpodarou"/>
          <w:rFonts w:ascii="Times New Roman" w:hAnsi="Times New Roman"/>
          <w:bCs/>
          <w:lang w:eastAsia="cs-CZ"/>
        </w:rPr>
        <w:footnoteReference w:id="1"/>
      </w:r>
      <w:r w:rsidR="00D60CBB">
        <w:rPr>
          <w:rFonts w:ascii="Times New Roman" w:hAnsi="Times New Roman"/>
          <w:bCs/>
          <w:lang w:eastAsia="cs-CZ"/>
        </w:rPr>
        <w:t xml:space="preserve"> </w:t>
      </w:r>
      <w:r w:rsidR="00432DAF">
        <w:rPr>
          <w:rFonts w:ascii="Times New Roman" w:hAnsi="Times New Roman"/>
          <w:bCs/>
          <w:lang w:eastAsia="cs-CZ"/>
        </w:rPr>
        <w:t xml:space="preserve">který </w:t>
      </w:r>
      <w:r w:rsidR="00D60CBB">
        <w:rPr>
          <w:rFonts w:ascii="Times New Roman" w:hAnsi="Times New Roman"/>
          <w:bCs/>
          <w:lang w:eastAsia="cs-CZ"/>
        </w:rPr>
        <w:t xml:space="preserve">na konci roku 2017 judikoval, že tržní řád nemůže upravovat </w:t>
      </w:r>
      <w:r w:rsidR="00D60CBB" w:rsidRPr="00F2228A">
        <w:rPr>
          <w:rFonts w:ascii="Times New Roman" w:hAnsi="Times New Roman"/>
          <w:bCs/>
          <w:lang w:eastAsia="cs-CZ"/>
        </w:rPr>
        <w:t>činnosti vyjmenované v</w:t>
      </w:r>
      <w:r w:rsidR="00CF73C6">
        <w:rPr>
          <w:rFonts w:ascii="Times New Roman" w:hAnsi="Times New Roman"/>
          <w:bCs/>
          <w:lang w:eastAsia="cs-CZ"/>
        </w:rPr>
        <w:t> </w:t>
      </w:r>
      <w:r w:rsidR="00D60CBB" w:rsidRPr="00F2228A">
        <w:rPr>
          <w:rFonts w:ascii="Times New Roman" w:hAnsi="Times New Roman"/>
          <w:bCs/>
          <w:lang w:eastAsia="cs-CZ"/>
        </w:rPr>
        <w:t>§</w:t>
      </w:r>
      <w:r w:rsidR="00CF73C6">
        <w:rPr>
          <w:rFonts w:ascii="Times New Roman" w:hAnsi="Times New Roman"/>
          <w:bCs/>
          <w:lang w:eastAsia="cs-CZ"/>
        </w:rPr>
        <w:t> </w:t>
      </w:r>
      <w:r w:rsidR="00D60CBB" w:rsidRPr="00F2228A">
        <w:rPr>
          <w:rFonts w:ascii="Times New Roman" w:hAnsi="Times New Roman"/>
          <w:bCs/>
          <w:lang w:eastAsia="cs-CZ"/>
        </w:rPr>
        <w:t xml:space="preserve">3 </w:t>
      </w:r>
      <w:r w:rsidR="00C953C6">
        <w:rPr>
          <w:rFonts w:ascii="Times New Roman" w:hAnsi="Times New Roman"/>
          <w:bCs/>
          <w:lang w:eastAsia="cs-CZ"/>
        </w:rPr>
        <w:t>živnostenského zákona</w:t>
      </w:r>
      <w:r w:rsidR="00D60CBB" w:rsidRPr="00F2228A">
        <w:rPr>
          <w:rFonts w:ascii="Times New Roman" w:hAnsi="Times New Roman"/>
          <w:bCs/>
          <w:lang w:eastAsia="cs-CZ"/>
        </w:rPr>
        <w:t>, které nejsou živnost</w:t>
      </w:r>
      <w:r w:rsidR="00D60CBB">
        <w:rPr>
          <w:rFonts w:ascii="Times New Roman" w:hAnsi="Times New Roman"/>
          <w:bCs/>
          <w:lang w:eastAsia="cs-CZ"/>
        </w:rPr>
        <w:t>í, čímž vznikla situace, kdy není možné podomní prodej efektivně regulovat.</w:t>
      </w:r>
    </w:p>
    <w:p w14:paraId="061096C3" w14:textId="77777777" w:rsidR="00507720" w:rsidRDefault="00727766" w:rsidP="00DF1AB7">
      <w:pPr>
        <w:tabs>
          <w:tab w:val="left" w:pos="540"/>
        </w:tabs>
        <w:snapToGrid w:val="0"/>
        <w:spacing w:after="120" w:line="276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S ohledem na rozpor aktuální praxe obcí s platnou právní úpravou </w:t>
      </w:r>
      <w:r w:rsidR="006A4804">
        <w:rPr>
          <w:rFonts w:ascii="Times New Roman" w:hAnsi="Times New Roman"/>
          <w:szCs w:val="24"/>
          <w:lang w:eastAsia="cs-CZ"/>
        </w:rPr>
        <w:t xml:space="preserve">a zejména s ohledem na </w:t>
      </w:r>
      <w:r w:rsidR="006A4804" w:rsidRPr="006A4804">
        <w:rPr>
          <w:rFonts w:ascii="Times New Roman" w:hAnsi="Times New Roman"/>
          <w:szCs w:val="24"/>
          <w:lang w:eastAsia="cs-CZ"/>
        </w:rPr>
        <w:t xml:space="preserve">reakce na situaci na trhu s energiemi </w:t>
      </w:r>
      <w:r>
        <w:rPr>
          <w:rFonts w:ascii="Times New Roman" w:hAnsi="Times New Roman"/>
          <w:szCs w:val="24"/>
          <w:lang w:eastAsia="cs-CZ"/>
        </w:rPr>
        <w:t xml:space="preserve">je nezbytné zakotvit </w:t>
      </w:r>
      <w:r w:rsidR="006A4804">
        <w:rPr>
          <w:rFonts w:ascii="Times New Roman" w:hAnsi="Times New Roman"/>
          <w:szCs w:val="24"/>
          <w:lang w:eastAsia="cs-CZ"/>
        </w:rPr>
        <w:t>zákonné zmocnění obcí k</w:t>
      </w:r>
      <w:r w:rsidR="00CF73C6">
        <w:rPr>
          <w:rFonts w:ascii="Times New Roman" w:hAnsi="Times New Roman"/>
          <w:szCs w:val="24"/>
          <w:lang w:eastAsia="cs-CZ"/>
        </w:rPr>
        <w:t> vydávání nařízení obce, kterými by bylo možné</w:t>
      </w:r>
      <w:r w:rsidR="006B6297">
        <w:rPr>
          <w:rFonts w:ascii="Times New Roman" w:hAnsi="Times New Roman"/>
          <w:szCs w:val="24"/>
          <w:lang w:eastAsia="cs-CZ"/>
        </w:rPr>
        <w:t xml:space="preserve"> </w:t>
      </w:r>
      <w:r w:rsidR="006B6297" w:rsidRPr="00D203D2">
        <w:rPr>
          <w:rFonts w:ascii="Times New Roman" w:hAnsi="Times New Roman"/>
          <w:szCs w:val="24"/>
        </w:rPr>
        <w:t xml:space="preserve">některé formy prodeje zboží nebo poskytování služeb </w:t>
      </w:r>
      <w:r w:rsidR="006B6297" w:rsidRPr="00D203D2">
        <w:rPr>
          <w:rFonts w:ascii="Times New Roman" w:hAnsi="Times New Roman"/>
          <w:szCs w:val="24"/>
        </w:rPr>
        <w:lastRenderedPageBreak/>
        <w:t>prováděné mimo obchodní prostory držitele licence při výkonu licencované činnosti</w:t>
      </w:r>
      <w:r w:rsidR="00CF73C6">
        <w:rPr>
          <w:rFonts w:ascii="Times New Roman" w:hAnsi="Times New Roman"/>
          <w:szCs w:val="24"/>
          <w:lang w:eastAsia="cs-CZ"/>
        </w:rPr>
        <w:t xml:space="preserve"> </w:t>
      </w:r>
      <w:r w:rsidR="00CF73C6">
        <w:rPr>
          <w:rFonts w:ascii="Times New Roman" w:hAnsi="Times New Roman"/>
          <w:szCs w:val="24"/>
        </w:rPr>
        <w:t>na území obce</w:t>
      </w:r>
      <w:r w:rsidR="006B6297" w:rsidRPr="006B6297">
        <w:rPr>
          <w:rFonts w:ascii="Times New Roman" w:hAnsi="Times New Roman"/>
          <w:szCs w:val="24"/>
          <w:lang w:eastAsia="cs-CZ"/>
        </w:rPr>
        <w:t xml:space="preserve"> </w:t>
      </w:r>
      <w:r w:rsidR="006B6297">
        <w:rPr>
          <w:rFonts w:ascii="Times New Roman" w:hAnsi="Times New Roman"/>
          <w:szCs w:val="24"/>
          <w:lang w:eastAsia="cs-CZ"/>
        </w:rPr>
        <w:t>r</w:t>
      </w:r>
      <w:r w:rsidR="006B6297">
        <w:rPr>
          <w:rFonts w:ascii="Times New Roman" w:hAnsi="Times New Roman"/>
          <w:szCs w:val="24"/>
        </w:rPr>
        <w:t>egulovat</w:t>
      </w:r>
      <w:r w:rsidR="00CF73C6">
        <w:rPr>
          <w:rFonts w:ascii="Times New Roman" w:hAnsi="Times New Roman"/>
          <w:szCs w:val="24"/>
        </w:rPr>
        <w:t>.</w:t>
      </w:r>
    </w:p>
    <w:p w14:paraId="45746D8A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ab/>
      </w:r>
    </w:p>
    <w:p w14:paraId="1E9B118A" w14:textId="77777777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>Vysvětlení principů</w:t>
      </w:r>
      <w:r w:rsidRPr="00CD6202">
        <w:rPr>
          <w:rFonts w:ascii="Times New Roman" w:hAnsi="Times New Roman"/>
          <w:b/>
          <w:szCs w:val="24"/>
          <w:lang w:eastAsia="cs-CZ"/>
        </w:rPr>
        <w:t xml:space="preserve"> navrhované</w:t>
      </w:r>
      <w:r>
        <w:rPr>
          <w:rFonts w:ascii="Times New Roman" w:hAnsi="Times New Roman"/>
          <w:b/>
          <w:szCs w:val="24"/>
          <w:lang w:eastAsia="cs-CZ"/>
        </w:rPr>
        <w:t xml:space="preserve"> právní úpravy</w:t>
      </w:r>
      <w:r w:rsidRPr="00CD6202">
        <w:rPr>
          <w:rFonts w:ascii="Times New Roman" w:hAnsi="Times New Roman"/>
          <w:b/>
          <w:szCs w:val="24"/>
          <w:lang w:eastAsia="cs-CZ"/>
        </w:rPr>
        <w:t xml:space="preserve"> </w:t>
      </w:r>
    </w:p>
    <w:p w14:paraId="3DFC9CC5" w14:textId="77777777" w:rsidR="00512392" w:rsidRDefault="00512392" w:rsidP="00DF1AB7">
      <w:pPr>
        <w:tabs>
          <w:tab w:val="left" w:pos="540"/>
        </w:tabs>
        <w:spacing w:line="276" w:lineRule="auto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ab/>
      </w:r>
    </w:p>
    <w:p w14:paraId="1F170FE7" w14:textId="77777777" w:rsidR="00512392" w:rsidRDefault="00512392" w:rsidP="005F1203">
      <w:pPr>
        <w:tabs>
          <w:tab w:val="left" w:pos="540"/>
        </w:tabs>
        <w:spacing w:line="276" w:lineRule="auto"/>
        <w:jc w:val="both"/>
        <w:rPr>
          <w:rFonts w:ascii="Times New Roman" w:hAnsi="Times New Roman"/>
          <w:szCs w:val="24"/>
          <w:lang w:eastAsia="cs-CZ"/>
        </w:rPr>
      </w:pPr>
      <w:r w:rsidRPr="004C7F86">
        <w:rPr>
          <w:rFonts w:ascii="Times New Roman" w:hAnsi="Times New Roman"/>
          <w:szCs w:val="24"/>
          <w:lang w:eastAsia="cs-CZ"/>
        </w:rPr>
        <w:t xml:space="preserve">Navrhovaná právní úprava </w:t>
      </w:r>
      <w:r w:rsidR="00DF1AB7">
        <w:rPr>
          <w:rFonts w:ascii="Times New Roman" w:hAnsi="Times New Roman"/>
          <w:szCs w:val="24"/>
          <w:lang w:eastAsia="cs-CZ"/>
        </w:rPr>
        <w:t>reaguje na aktuální situaci, kdy není možné ze strany obcí efektivně regulovat podomní prodej energií</w:t>
      </w:r>
      <w:r w:rsidR="00A04027">
        <w:rPr>
          <w:rFonts w:ascii="Times New Roman" w:hAnsi="Times New Roman"/>
          <w:szCs w:val="24"/>
          <w:lang w:eastAsia="cs-CZ"/>
        </w:rPr>
        <w:t xml:space="preserve"> ve smyslu energetického zákona. </w:t>
      </w:r>
      <w:r w:rsidR="00860EF0">
        <w:rPr>
          <w:rFonts w:ascii="Times New Roman" w:hAnsi="Times New Roman"/>
          <w:szCs w:val="24"/>
          <w:lang w:eastAsia="cs-CZ"/>
        </w:rPr>
        <w:t>Principem navrhované právní úpravy je zakotvení zákonného zmocnění obc</w:t>
      </w:r>
      <w:r w:rsidR="00980320">
        <w:rPr>
          <w:rFonts w:ascii="Times New Roman" w:hAnsi="Times New Roman"/>
          <w:szCs w:val="24"/>
          <w:lang w:eastAsia="cs-CZ"/>
        </w:rPr>
        <w:t>e</w:t>
      </w:r>
      <w:r w:rsidR="00860EF0">
        <w:rPr>
          <w:rFonts w:ascii="Times New Roman" w:hAnsi="Times New Roman"/>
          <w:szCs w:val="24"/>
          <w:lang w:eastAsia="cs-CZ"/>
        </w:rPr>
        <w:t xml:space="preserve"> vydávat </w:t>
      </w:r>
      <w:r w:rsidR="00860EF0" w:rsidRPr="00860EF0">
        <w:rPr>
          <w:rFonts w:ascii="Times New Roman" w:hAnsi="Times New Roman"/>
          <w:szCs w:val="24"/>
          <w:lang w:eastAsia="cs-CZ"/>
        </w:rPr>
        <w:t>nařízení obce</w:t>
      </w:r>
      <w:r w:rsidR="00860EF0">
        <w:rPr>
          <w:rFonts w:ascii="Times New Roman" w:hAnsi="Times New Roman"/>
          <w:szCs w:val="24"/>
          <w:lang w:eastAsia="cs-CZ"/>
        </w:rPr>
        <w:t xml:space="preserve">, </w:t>
      </w:r>
      <w:r w:rsidR="00980320">
        <w:rPr>
          <w:rFonts w:ascii="Times New Roman" w:hAnsi="Times New Roman"/>
          <w:szCs w:val="24"/>
          <w:lang w:eastAsia="cs-CZ"/>
        </w:rPr>
        <w:t xml:space="preserve">kterým je možné </w:t>
      </w:r>
      <w:r w:rsidR="00860EF0" w:rsidRPr="00860EF0">
        <w:rPr>
          <w:rFonts w:ascii="Times New Roman" w:hAnsi="Times New Roman"/>
          <w:szCs w:val="24"/>
          <w:lang w:eastAsia="cs-CZ"/>
        </w:rPr>
        <w:t xml:space="preserve">stanovit, že některé formy prodeje zboží nebo poskytování služeb prováděné mimo obchodní prostory držitele licence při výkonu licencované činnosti dle </w:t>
      </w:r>
      <w:r w:rsidR="00980320">
        <w:rPr>
          <w:rFonts w:ascii="Times New Roman" w:hAnsi="Times New Roman"/>
          <w:szCs w:val="24"/>
          <w:lang w:eastAsia="cs-CZ"/>
        </w:rPr>
        <w:t xml:space="preserve">energetického </w:t>
      </w:r>
      <w:r w:rsidR="00860EF0" w:rsidRPr="00860EF0">
        <w:rPr>
          <w:rFonts w:ascii="Times New Roman" w:hAnsi="Times New Roman"/>
          <w:szCs w:val="24"/>
          <w:lang w:eastAsia="cs-CZ"/>
        </w:rPr>
        <w:t>zákona, jsou v obci nebo v její části zakázány</w:t>
      </w:r>
      <w:r w:rsidR="00FA30F0">
        <w:rPr>
          <w:rFonts w:ascii="Times New Roman" w:hAnsi="Times New Roman"/>
          <w:szCs w:val="24"/>
          <w:lang w:eastAsia="cs-CZ"/>
        </w:rPr>
        <w:t>, a to přímo do energetického zákona</w:t>
      </w:r>
      <w:r w:rsidR="00860EF0" w:rsidRPr="00860EF0">
        <w:rPr>
          <w:rFonts w:ascii="Times New Roman" w:hAnsi="Times New Roman"/>
          <w:szCs w:val="24"/>
          <w:lang w:eastAsia="cs-CZ"/>
        </w:rPr>
        <w:t>.</w:t>
      </w:r>
      <w:r w:rsidR="00980320">
        <w:rPr>
          <w:rFonts w:ascii="Times New Roman" w:hAnsi="Times New Roman"/>
          <w:szCs w:val="24"/>
          <w:lang w:eastAsia="cs-CZ"/>
        </w:rPr>
        <w:t xml:space="preserve"> V současné době tak obce činí prostřednictvím tržních řádů vydaných dle ustanovení § 18 živnostenského zákona, což j</w:t>
      </w:r>
      <w:r w:rsidR="00FA30F0">
        <w:rPr>
          <w:rFonts w:ascii="Times New Roman" w:hAnsi="Times New Roman"/>
          <w:szCs w:val="24"/>
          <w:lang w:eastAsia="cs-CZ"/>
        </w:rPr>
        <w:t>de</w:t>
      </w:r>
      <w:r w:rsidR="00980320">
        <w:rPr>
          <w:rFonts w:ascii="Times New Roman" w:hAnsi="Times New Roman"/>
          <w:szCs w:val="24"/>
          <w:lang w:eastAsia="cs-CZ"/>
        </w:rPr>
        <w:t xml:space="preserve"> dle stávající judikatury Nejvyššího správního soudu </w:t>
      </w:r>
      <w:r w:rsidR="00FA30F0">
        <w:rPr>
          <w:rFonts w:ascii="Times New Roman" w:hAnsi="Times New Roman"/>
          <w:szCs w:val="24"/>
          <w:lang w:eastAsia="cs-CZ"/>
        </w:rPr>
        <w:t>proti zákonné úpravě</w:t>
      </w:r>
      <w:r w:rsidR="00FE7FCA">
        <w:rPr>
          <w:rFonts w:ascii="Times New Roman" w:hAnsi="Times New Roman"/>
          <w:szCs w:val="24"/>
          <w:lang w:eastAsia="cs-CZ"/>
        </w:rPr>
        <w:t xml:space="preserve">, neboť ustanovení </w:t>
      </w:r>
      <w:r w:rsidR="00FE7FCA">
        <w:rPr>
          <w:rFonts w:ascii="Times New Roman" w:hAnsi="Times New Roman"/>
          <w:szCs w:val="24"/>
        </w:rPr>
        <w:t xml:space="preserve">§ 3 odst. 3 písm. d) živnostenského zákona stanoví, že </w:t>
      </w:r>
      <w:r w:rsidR="00FE7FCA" w:rsidRPr="009B0F4F">
        <w:rPr>
          <w:rFonts w:ascii="Times New Roman" w:hAnsi="Times New Roman"/>
          <w:bCs/>
          <w:lang w:eastAsia="cs-CZ"/>
        </w:rPr>
        <w:t>výroba elektřiny, výroba plynu, přenos elektřiny, přeprava plynu, distribuce elektřiny, distribuce plynu, uskladňování plynu, obchod s elektřinou, obchod s plynem, výroba tepelné energie a rozvod tepelné energie, které podléhají licenci podle zvláštního právního předpisu</w:t>
      </w:r>
      <w:r w:rsidR="00432DAF">
        <w:rPr>
          <w:rFonts w:ascii="Times New Roman" w:hAnsi="Times New Roman"/>
          <w:bCs/>
          <w:lang w:eastAsia="cs-CZ"/>
        </w:rPr>
        <w:t>,</w:t>
      </w:r>
      <w:r w:rsidR="00FE7FCA" w:rsidRPr="00E01D5F">
        <w:rPr>
          <w:rFonts w:ascii="Times New Roman" w:hAnsi="Times New Roman"/>
          <w:bCs/>
          <w:lang w:eastAsia="cs-CZ"/>
        </w:rPr>
        <w:t xml:space="preserve"> </w:t>
      </w:r>
      <w:r w:rsidR="00FE7FCA">
        <w:rPr>
          <w:rFonts w:ascii="Times New Roman" w:hAnsi="Times New Roman"/>
          <w:szCs w:val="24"/>
        </w:rPr>
        <w:t>nejsou živností.</w:t>
      </w:r>
    </w:p>
    <w:p w14:paraId="52C9DEB1" w14:textId="77777777" w:rsidR="00512392" w:rsidRPr="004C7F86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25711AF9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7F2480CB" w14:textId="77777777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F711EF">
        <w:rPr>
          <w:rFonts w:ascii="Times New Roman" w:hAnsi="Times New Roman"/>
          <w:b/>
          <w:szCs w:val="24"/>
          <w:lang w:eastAsia="cs-CZ"/>
        </w:rPr>
        <w:t>Zhodnocení souladu navrhované právní úpravy s </w:t>
      </w:r>
      <w:r>
        <w:rPr>
          <w:rFonts w:ascii="Times New Roman" w:hAnsi="Times New Roman"/>
          <w:b/>
          <w:szCs w:val="24"/>
          <w:lang w:eastAsia="cs-CZ"/>
        </w:rPr>
        <w:t>ú</w:t>
      </w:r>
      <w:r w:rsidRPr="00F711EF">
        <w:rPr>
          <w:rFonts w:ascii="Times New Roman" w:hAnsi="Times New Roman"/>
          <w:b/>
          <w:szCs w:val="24"/>
          <w:lang w:eastAsia="cs-CZ"/>
        </w:rPr>
        <w:t>stavním pořádkem České republiky a mezinárodními smlouvami podle čl. 10 Ústavy Č</w:t>
      </w:r>
      <w:r>
        <w:rPr>
          <w:rFonts w:ascii="Times New Roman" w:hAnsi="Times New Roman"/>
          <w:b/>
          <w:szCs w:val="24"/>
          <w:lang w:eastAsia="cs-CZ"/>
        </w:rPr>
        <w:t>eské republiky</w:t>
      </w:r>
    </w:p>
    <w:p w14:paraId="366DF0BF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32B992C0" w14:textId="77777777" w:rsidR="00FE7FCA" w:rsidRDefault="00FB7547" w:rsidP="00DF1AB7">
      <w:pPr>
        <w:tabs>
          <w:tab w:val="left" w:pos="540"/>
        </w:tabs>
        <w:snapToGrid w:val="0"/>
        <w:spacing w:after="120" w:line="276" w:lineRule="auto"/>
        <w:jc w:val="both"/>
        <w:rPr>
          <w:rFonts w:ascii="Times New Roman" w:hAnsi="Times New Roman"/>
          <w:szCs w:val="24"/>
          <w:lang w:eastAsia="cs-CZ"/>
        </w:rPr>
      </w:pPr>
      <w:r w:rsidRPr="00FB7547">
        <w:rPr>
          <w:rFonts w:ascii="Times New Roman" w:hAnsi="Times New Roman"/>
          <w:szCs w:val="24"/>
          <w:lang w:eastAsia="cs-CZ"/>
        </w:rPr>
        <w:t xml:space="preserve">Navrhovaná právní úprava je v souladu s ústavním pořádkem České republiky, zejména s čl. 26 Listiny základních práv a svobod přijaté ústavním zákonem č. 2/1993 Sb., jímž je zakotveno právo na svobodnou volbu povolání a přípravu k němu, právo podnikat a provozovat jinou hospodářskou činnost a právo získávat prostředky pro své životní potřeby prací. Čl. 26 odst. 2 Listiny výslovně připouští možnost stanovení podmínek a omezení pro výkon určitých povolání nebo činností zákonem. Rozsah podmínek a omezení je dán čl. 4 odst. 4 Listiny, podle kterého při používání ustanovení o mezích základních práv a svobod musí být šetřeno jejich podstaty a smyslu. </w:t>
      </w:r>
      <w:r w:rsidR="006641F8">
        <w:rPr>
          <w:rFonts w:ascii="Times New Roman" w:hAnsi="Times New Roman"/>
          <w:szCs w:val="24"/>
          <w:lang w:eastAsia="cs-CZ"/>
        </w:rPr>
        <w:t xml:space="preserve">Z konstantní judikatury Ústavního soudu též vyplývá, že </w:t>
      </w:r>
      <w:r w:rsidR="006641F8" w:rsidRPr="006641F8">
        <w:rPr>
          <w:rFonts w:ascii="Times New Roman" w:hAnsi="Times New Roman"/>
          <w:szCs w:val="24"/>
          <w:lang w:eastAsia="cs-CZ"/>
        </w:rPr>
        <w:t>čl. 26 Listiny chrání právo na podnikání jako takové, nikoliv jeho realizaci určitou konkrétní formou</w:t>
      </w:r>
      <w:r w:rsidR="006641F8">
        <w:rPr>
          <w:rFonts w:ascii="Times New Roman" w:hAnsi="Times New Roman"/>
          <w:szCs w:val="24"/>
          <w:lang w:eastAsia="cs-CZ"/>
        </w:rPr>
        <w:t>.</w:t>
      </w:r>
      <w:r w:rsidR="006641F8" w:rsidRPr="006641F8">
        <w:rPr>
          <w:rFonts w:ascii="Times New Roman" w:hAnsi="Times New Roman"/>
          <w:szCs w:val="24"/>
          <w:lang w:eastAsia="cs-CZ"/>
        </w:rPr>
        <w:t xml:space="preserve"> </w:t>
      </w:r>
    </w:p>
    <w:p w14:paraId="143F8E8B" w14:textId="77777777" w:rsidR="00512392" w:rsidRDefault="00FB7547" w:rsidP="00DF1AB7">
      <w:pPr>
        <w:tabs>
          <w:tab w:val="left" w:pos="540"/>
        </w:tabs>
        <w:snapToGrid w:val="0"/>
        <w:spacing w:after="120" w:line="276" w:lineRule="auto"/>
        <w:jc w:val="both"/>
        <w:rPr>
          <w:rFonts w:ascii="Times New Roman" w:hAnsi="Times New Roman"/>
          <w:szCs w:val="24"/>
          <w:lang w:eastAsia="cs-CZ"/>
        </w:rPr>
      </w:pPr>
      <w:r w:rsidRPr="00FB7547">
        <w:rPr>
          <w:rFonts w:ascii="Times New Roman" w:hAnsi="Times New Roman"/>
          <w:szCs w:val="24"/>
          <w:lang w:eastAsia="cs-CZ"/>
        </w:rPr>
        <w:t>Navrhovaná právní úprava splňuje požadavky testu proporcionality, neboť přijatá opatření jsou vhodná k dosažení právní úpravou sledovaného účelu a mohou vést k zákonem sledovanému cíli.</w:t>
      </w:r>
      <w:r w:rsidR="00512392">
        <w:rPr>
          <w:rFonts w:ascii="Times New Roman" w:hAnsi="Times New Roman"/>
          <w:szCs w:val="24"/>
          <w:lang w:eastAsia="cs-CZ"/>
        </w:rPr>
        <w:tab/>
        <w:t xml:space="preserve"> </w:t>
      </w:r>
    </w:p>
    <w:p w14:paraId="654C2636" w14:textId="77777777" w:rsidR="00AD764D" w:rsidRDefault="00AD764D" w:rsidP="00DF1AB7">
      <w:pPr>
        <w:tabs>
          <w:tab w:val="left" w:pos="540"/>
        </w:tabs>
        <w:spacing w:line="276" w:lineRule="auto"/>
        <w:jc w:val="both"/>
        <w:rPr>
          <w:rFonts w:ascii="Times New Roman" w:hAnsi="Times New Roman"/>
          <w:szCs w:val="24"/>
          <w:lang w:eastAsia="cs-CZ"/>
        </w:rPr>
      </w:pPr>
      <w:r w:rsidRPr="00AD764D">
        <w:rPr>
          <w:rFonts w:ascii="Times New Roman" w:hAnsi="Times New Roman"/>
          <w:szCs w:val="24"/>
          <w:lang w:eastAsia="cs-CZ"/>
        </w:rPr>
        <w:t>Navrhovaná právní úprava není v rozporu se zněním mezinárodních smluv, jimiž je Česká republika vázána, ať již se jedná o smlouvy dvoustranné, nebo mnohostranné</w:t>
      </w:r>
      <w:r>
        <w:rPr>
          <w:rFonts w:ascii="Times New Roman" w:hAnsi="Times New Roman"/>
          <w:szCs w:val="24"/>
          <w:lang w:eastAsia="cs-CZ"/>
        </w:rPr>
        <w:t>.</w:t>
      </w:r>
    </w:p>
    <w:p w14:paraId="3562DCE7" w14:textId="77777777" w:rsidR="00AD764D" w:rsidRDefault="00AD764D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2CC16A5A" w14:textId="77777777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>Předpokládaný hospodářský a finanční dosah navrhované právní úpravy na státní rozpočet a rozpočty krajů a obcí</w:t>
      </w:r>
    </w:p>
    <w:p w14:paraId="1319CFC5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0448092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Navrhovaná právní úprava </w:t>
      </w:r>
      <w:r w:rsidR="00AD764D">
        <w:rPr>
          <w:rFonts w:ascii="Times New Roman" w:hAnsi="Times New Roman"/>
          <w:szCs w:val="24"/>
          <w:lang w:eastAsia="cs-CZ"/>
        </w:rPr>
        <w:t>ne</w:t>
      </w:r>
      <w:r>
        <w:rPr>
          <w:rFonts w:ascii="Times New Roman" w:hAnsi="Times New Roman"/>
          <w:szCs w:val="24"/>
          <w:lang w:eastAsia="cs-CZ"/>
        </w:rPr>
        <w:t xml:space="preserve">bude mít vliv na státní rozpočet a rozpočty obcí a krajů. </w:t>
      </w:r>
    </w:p>
    <w:p w14:paraId="3F05503C" w14:textId="77777777" w:rsidR="00512392" w:rsidRDefault="00512392" w:rsidP="00512392">
      <w:pPr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br w:type="page"/>
      </w:r>
    </w:p>
    <w:p w14:paraId="49E3D68D" w14:textId="77777777" w:rsidR="00512392" w:rsidRPr="00982A88" w:rsidRDefault="00512392" w:rsidP="00512392">
      <w:pPr>
        <w:pStyle w:val="Odstavecseseznamem"/>
        <w:numPr>
          <w:ilvl w:val="0"/>
          <w:numId w:val="43"/>
        </w:numPr>
        <w:tabs>
          <w:tab w:val="left" w:pos="540"/>
        </w:tabs>
        <w:suppressAutoHyphens w:val="0"/>
        <w:ind w:left="426"/>
        <w:rPr>
          <w:rFonts w:ascii="Times New Roman" w:hAnsi="Times New Roman"/>
          <w:b/>
          <w:sz w:val="26"/>
          <w:szCs w:val="26"/>
          <w:lang w:eastAsia="cs-CZ"/>
        </w:rPr>
      </w:pPr>
      <w:r w:rsidRPr="00982A88">
        <w:rPr>
          <w:rFonts w:ascii="Times New Roman" w:hAnsi="Times New Roman"/>
          <w:b/>
          <w:sz w:val="26"/>
          <w:szCs w:val="26"/>
          <w:lang w:eastAsia="cs-CZ"/>
        </w:rPr>
        <w:lastRenderedPageBreak/>
        <w:t>Zvláštní část</w:t>
      </w:r>
    </w:p>
    <w:p w14:paraId="44AAC75F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6AF73C8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73F9AB8D" w14:textId="77777777" w:rsidR="00FB7547" w:rsidRPr="00352C0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352C07">
        <w:rPr>
          <w:rFonts w:ascii="Times New Roman" w:hAnsi="Times New Roman"/>
          <w:b/>
          <w:szCs w:val="24"/>
          <w:u w:val="single"/>
          <w:lang w:eastAsia="cs-CZ"/>
        </w:rPr>
        <w:t xml:space="preserve">K Čl. I </w:t>
      </w:r>
    </w:p>
    <w:p w14:paraId="4C372FA4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7C2B844F" w14:textId="77777777" w:rsidR="00FB7547" w:rsidRPr="00352C0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352C07">
        <w:rPr>
          <w:rFonts w:ascii="Times New Roman" w:hAnsi="Times New Roman"/>
          <w:b/>
          <w:szCs w:val="24"/>
          <w:u w:val="single"/>
          <w:lang w:eastAsia="cs-CZ"/>
        </w:rPr>
        <w:t>K bodu 1</w:t>
      </w:r>
      <w:r w:rsidR="005F1203">
        <w:rPr>
          <w:rFonts w:ascii="Times New Roman" w:hAnsi="Times New Roman"/>
          <w:b/>
          <w:szCs w:val="24"/>
          <w:u w:val="single"/>
          <w:lang w:eastAsia="cs-CZ"/>
        </w:rPr>
        <w:t xml:space="preserve"> (k § 11b)</w:t>
      </w:r>
    </w:p>
    <w:p w14:paraId="2C7FD3D2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3EEDE25A" w14:textId="77777777" w:rsidR="00FB7547" w:rsidRDefault="00FB7547" w:rsidP="00617C47">
      <w:pPr>
        <w:tabs>
          <w:tab w:val="left" w:pos="540"/>
        </w:tabs>
        <w:snapToGrid w:val="0"/>
        <w:spacing w:after="120" w:line="276" w:lineRule="auto"/>
        <w:jc w:val="both"/>
        <w:rPr>
          <w:rFonts w:ascii="Times New Roman" w:hAnsi="Times New Roman"/>
          <w:szCs w:val="24"/>
          <w:lang w:eastAsia="cs-CZ"/>
        </w:rPr>
      </w:pPr>
      <w:r w:rsidRPr="00352C07">
        <w:rPr>
          <w:rFonts w:ascii="Times New Roman" w:hAnsi="Times New Roman"/>
          <w:szCs w:val="24"/>
          <w:lang w:eastAsia="cs-CZ"/>
        </w:rPr>
        <w:t>Jedná se o</w:t>
      </w:r>
      <w:r w:rsidR="005F1203">
        <w:rPr>
          <w:rFonts w:ascii="Times New Roman" w:hAnsi="Times New Roman"/>
          <w:szCs w:val="24"/>
          <w:lang w:eastAsia="cs-CZ"/>
        </w:rPr>
        <w:t xml:space="preserve"> zakomponování nového § 11b, který </w:t>
      </w:r>
      <w:r w:rsidR="0018595D">
        <w:rPr>
          <w:rFonts w:ascii="Times New Roman" w:hAnsi="Times New Roman"/>
          <w:szCs w:val="24"/>
          <w:lang w:eastAsia="cs-CZ"/>
        </w:rPr>
        <w:t xml:space="preserve">logicky </w:t>
      </w:r>
      <w:r w:rsidR="005F1203">
        <w:rPr>
          <w:rFonts w:ascii="Times New Roman" w:hAnsi="Times New Roman"/>
          <w:szCs w:val="24"/>
          <w:lang w:eastAsia="cs-CZ"/>
        </w:rPr>
        <w:t>navazuje na § 11a</w:t>
      </w:r>
      <w:r w:rsidR="007B082F">
        <w:rPr>
          <w:rFonts w:ascii="Times New Roman" w:hAnsi="Times New Roman"/>
          <w:szCs w:val="24"/>
          <w:lang w:eastAsia="cs-CZ"/>
        </w:rPr>
        <w:t xml:space="preserve"> </w:t>
      </w:r>
      <w:r w:rsidR="007B082F" w:rsidRPr="007B082F">
        <w:rPr>
          <w:rFonts w:ascii="Times New Roman" w:hAnsi="Times New Roman"/>
          <w:szCs w:val="24"/>
          <w:lang w:eastAsia="cs-CZ"/>
        </w:rPr>
        <w:t>Opatření na ochranu zákazníka</w:t>
      </w:r>
      <w:r w:rsidR="007B082F">
        <w:rPr>
          <w:rFonts w:ascii="Times New Roman" w:hAnsi="Times New Roman"/>
          <w:szCs w:val="24"/>
          <w:lang w:eastAsia="cs-CZ"/>
        </w:rPr>
        <w:t xml:space="preserve">, </w:t>
      </w:r>
      <w:r w:rsidR="007B082F" w:rsidRPr="007B082F">
        <w:rPr>
          <w:rFonts w:ascii="Times New Roman" w:hAnsi="Times New Roman"/>
          <w:szCs w:val="24"/>
          <w:lang w:eastAsia="cs-CZ"/>
        </w:rPr>
        <w:t>představují</w:t>
      </w:r>
      <w:r w:rsidR="007B082F">
        <w:rPr>
          <w:rFonts w:ascii="Times New Roman" w:hAnsi="Times New Roman"/>
          <w:szCs w:val="24"/>
          <w:lang w:eastAsia="cs-CZ"/>
        </w:rPr>
        <w:t>cího</w:t>
      </w:r>
      <w:r w:rsidR="007B082F" w:rsidRPr="007B082F">
        <w:rPr>
          <w:rFonts w:ascii="Times New Roman" w:hAnsi="Times New Roman"/>
          <w:szCs w:val="24"/>
          <w:lang w:eastAsia="cs-CZ"/>
        </w:rPr>
        <w:t xml:space="preserve"> transpozici čl. 3 odst. 7 směrnice č. 2009/72/EU a čl. 3 odst. 3 směrnice č. 209/73/EU.</w:t>
      </w:r>
    </w:p>
    <w:p w14:paraId="47115FFA" w14:textId="77777777" w:rsidR="00921E5F" w:rsidRDefault="007B082F" w:rsidP="00617C47">
      <w:pPr>
        <w:tabs>
          <w:tab w:val="left" w:pos="540"/>
        </w:tabs>
        <w:snapToGrid w:val="0"/>
        <w:spacing w:after="120" w:line="276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Nový § 11b </w:t>
      </w:r>
      <w:r w:rsidR="00AA2754">
        <w:rPr>
          <w:rFonts w:ascii="Times New Roman" w:hAnsi="Times New Roman"/>
          <w:szCs w:val="24"/>
          <w:lang w:eastAsia="cs-CZ"/>
        </w:rPr>
        <w:t xml:space="preserve">je reakcí </w:t>
      </w:r>
      <w:r w:rsidR="00AA2754" w:rsidRPr="00AA2754">
        <w:rPr>
          <w:rFonts w:ascii="Times New Roman" w:hAnsi="Times New Roman"/>
          <w:szCs w:val="24"/>
          <w:lang w:eastAsia="cs-CZ"/>
        </w:rPr>
        <w:t>na situaci na trhu s</w:t>
      </w:r>
      <w:r w:rsidR="00AA2754">
        <w:rPr>
          <w:rFonts w:ascii="Times New Roman" w:hAnsi="Times New Roman"/>
          <w:szCs w:val="24"/>
          <w:lang w:eastAsia="cs-CZ"/>
        </w:rPr>
        <w:t> </w:t>
      </w:r>
      <w:r w:rsidR="00AA2754" w:rsidRPr="00AA2754">
        <w:rPr>
          <w:rFonts w:ascii="Times New Roman" w:hAnsi="Times New Roman"/>
          <w:szCs w:val="24"/>
          <w:lang w:eastAsia="cs-CZ"/>
        </w:rPr>
        <w:t>energiemi</w:t>
      </w:r>
      <w:r w:rsidR="00AA2754">
        <w:rPr>
          <w:rFonts w:ascii="Times New Roman" w:hAnsi="Times New Roman"/>
          <w:szCs w:val="24"/>
          <w:lang w:eastAsia="cs-CZ"/>
        </w:rPr>
        <w:t xml:space="preserve">, zejména na problematický podomní prodej energií. </w:t>
      </w:r>
      <w:r w:rsidR="00921E5F">
        <w:rPr>
          <w:rFonts w:ascii="Times New Roman" w:hAnsi="Times New Roman"/>
          <w:szCs w:val="24"/>
          <w:lang w:eastAsia="cs-CZ"/>
        </w:rPr>
        <w:t>Ustanovení § 11b je zakotv</w:t>
      </w:r>
      <w:r w:rsidR="00F97CB3">
        <w:rPr>
          <w:rFonts w:ascii="Times New Roman" w:hAnsi="Times New Roman"/>
          <w:szCs w:val="24"/>
          <w:lang w:eastAsia="cs-CZ"/>
        </w:rPr>
        <w:t xml:space="preserve">uje </w:t>
      </w:r>
      <w:r w:rsidR="00921E5F">
        <w:rPr>
          <w:rFonts w:ascii="Times New Roman" w:hAnsi="Times New Roman"/>
          <w:szCs w:val="24"/>
          <w:lang w:eastAsia="cs-CZ"/>
        </w:rPr>
        <w:t xml:space="preserve">zákonné zmocnění obce vydávat </w:t>
      </w:r>
      <w:r w:rsidR="00921E5F" w:rsidRPr="00860EF0">
        <w:rPr>
          <w:rFonts w:ascii="Times New Roman" w:hAnsi="Times New Roman"/>
          <w:szCs w:val="24"/>
          <w:lang w:eastAsia="cs-CZ"/>
        </w:rPr>
        <w:t>nařízení obce</w:t>
      </w:r>
      <w:r w:rsidR="00921E5F">
        <w:rPr>
          <w:rFonts w:ascii="Times New Roman" w:hAnsi="Times New Roman"/>
          <w:szCs w:val="24"/>
          <w:lang w:eastAsia="cs-CZ"/>
        </w:rPr>
        <w:t xml:space="preserve">, kterým je možné </w:t>
      </w:r>
      <w:r w:rsidR="00921E5F" w:rsidRPr="00860EF0">
        <w:rPr>
          <w:rFonts w:ascii="Times New Roman" w:hAnsi="Times New Roman"/>
          <w:szCs w:val="24"/>
          <w:lang w:eastAsia="cs-CZ"/>
        </w:rPr>
        <w:t xml:space="preserve">stanovit, že některé formy prodeje zboží nebo poskytování služeb prováděné mimo obchodní prostory držitele licence při výkonu licencované činnosti dle </w:t>
      </w:r>
      <w:r w:rsidR="00921E5F">
        <w:rPr>
          <w:rFonts w:ascii="Times New Roman" w:hAnsi="Times New Roman"/>
          <w:szCs w:val="24"/>
          <w:lang w:eastAsia="cs-CZ"/>
        </w:rPr>
        <w:t xml:space="preserve">energetického </w:t>
      </w:r>
      <w:r w:rsidR="00921E5F" w:rsidRPr="00860EF0">
        <w:rPr>
          <w:rFonts w:ascii="Times New Roman" w:hAnsi="Times New Roman"/>
          <w:szCs w:val="24"/>
          <w:lang w:eastAsia="cs-CZ"/>
        </w:rPr>
        <w:t>zákona, jsou v obci nebo v její části zakázány</w:t>
      </w:r>
      <w:r w:rsidR="00F97CB3">
        <w:rPr>
          <w:rFonts w:ascii="Times New Roman" w:hAnsi="Times New Roman"/>
          <w:szCs w:val="24"/>
          <w:lang w:eastAsia="cs-CZ"/>
        </w:rPr>
        <w:t>.</w:t>
      </w:r>
    </w:p>
    <w:p w14:paraId="009BC607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7308A39A" w14:textId="77777777" w:rsidR="00FB7547" w:rsidRPr="001B56DD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  <w:r w:rsidRPr="001B56DD">
        <w:rPr>
          <w:rFonts w:ascii="Times New Roman" w:hAnsi="Times New Roman"/>
          <w:b/>
          <w:szCs w:val="24"/>
          <w:lang w:eastAsia="cs-CZ"/>
        </w:rPr>
        <w:t>K čl. II</w:t>
      </w:r>
    </w:p>
    <w:p w14:paraId="2D793978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u w:val="single"/>
          <w:lang w:eastAsia="cs-CZ"/>
        </w:rPr>
      </w:pPr>
    </w:p>
    <w:p w14:paraId="1E9E6C9D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572FF9">
        <w:rPr>
          <w:rFonts w:ascii="Times New Roman" w:hAnsi="Times New Roman"/>
          <w:szCs w:val="24"/>
          <w:lang w:eastAsia="cs-CZ"/>
        </w:rPr>
        <w:t>Účinnost zákona se navrhuje dnem</w:t>
      </w:r>
      <w:r>
        <w:rPr>
          <w:rFonts w:ascii="Times New Roman" w:hAnsi="Times New Roman"/>
          <w:szCs w:val="24"/>
          <w:lang w:eastAsia="cs-CZ"/>
        </w:rPr>
        <w:t xml:space="preserve"> 1. ledna 2020.</w:t>
      </w:r>
    </w:p>
    <w:p w14:paraId="3EB98978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EDB908A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7844F710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08C7279D" w14:textId="7BF8E982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V Praze dne </w:t>
      </w:r>
      <w:r w:rsidR="00E14FCA">
        <w:rPr>
          <w:rFonts w:ascii="Times New Roman" w:hAnsi="Times New Roman"/>
          <w:szCs w:val="24"/>
          <w:lang w:eastAsia="cs-CZ"/>
        </w:rPr>
        <w:t xml:space="preserve">18. listopadu </w:t>
      </w:r>
      <w:r>
        <w:rPr>
          <w:rFonts w:ascii="Times New Roman" w:hAnsi="Times New Roman"/>
          <w:szCs w:val="24"/>
          <w:lang w:eastAsia="cs-CZ"/>
        </w:rPr>
        <w:t>2019</w:t>
      </w:r>
    </w:p>
    <w:p w14:paraId="5B475CD1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5BC0B343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0AA9FC6A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364537A4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510D10">
        <w:rPr>
          <w:rFonts w:ascii="Times New Roman" w:hAnsi="Times New Roman"/>
          <w:b/>
          <w:szCs w:val="24"/>
          <w:lang w:eastAsia="cs-CZ"/>
        </w:rPr>
        <w:t>Předkladatelé:</w:t>
      </w:r>
      <w:r>
        <w:rPr>
          <w:rFonts w:ascii="Times New Roman" w:hAnsi="Times New Roman"/>
          <w:b/>
          <w:szCs w:val="24"/>
          <w:lang w:eastAsia="cs-CZ"/>
        </w:rPr>
        <w:tab/>
      </w:r>
      <w:r>
        <w:rPr>
          <w:rFonts w:ascii="Times New Roman" w:hAnsi="Times New Roman"/>
          <w:szCs w:val="24"/>
          <w:lang w:eastAsia="cs-CZ"/>
        </w:rPr>
        <w:t xml:space="preserve"> </w:t>
      </w:r>
    </w:p>
    <w:p w14:paraId="18744CD9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40B4D223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73EE501E" w14:textId="3625DB8F" w:rsidR="00713948" w:rsidRDefault="00E14FCA" w:rsidP="00E14FCA">
      <w:pPr>
        <w:spacing w:before="120"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Vít Rakušan</w:t>
      </w:r>
    </w:p>
    <w:p w14:paraId="6564D643" w14:textId="7753D36B" w:rsidR="00E14FCA" w:rsidRDefault="00E14FCA" w:rsidP="00E14FCA">
      <w:pPr>
        <w:spacing w:before="120"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Jan Farský </w:t>
      </w:r>
    </w:p>
    <w:p w14:paraId="65E29985" w14:textId="5D25D12B" w:rsidR="00E14FCA" w:rsidRDefault="00E14FCA" w:rsidP="00E14FCA">
      <w:pPr>
        <w:spacing w:before="120"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Petr Gazdík</w:t>
      </w:r>
    </w:p>
    <w:p w14:paraId="0ED63910" w14:textId="7C76DF34" w:rsidR="00E14FCA" w:rsidRDefault="00E14FCA" w:rsidP="00E14FCA">
      <w:pPr>
        <w:spacing w:before="120"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Věra Kovářová </w:t>
      </w:r>
    </w:p>
    <w:p w14:paraId="775DD5E2" w14:textId="155387CA" w:rsidR="00E14FCA" w:rsidRDefault="00E14FCA" w:rsidP="00E14FCA">
      <w:pPr>
        <w:spacing w:before="120"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Jana </w:t>
      </w:r>
      <w:proofErr w:type="spellStart"/>
      <w:r>
        <w:rPr>
          <w:rFonts w:ascii="Times New Roman" w:hAnsi="Times New Roman"/>
          <w:szCs w:val="24"/>
        </w:rPr>
        <w:t>Krutáková</w:t>
      </w:r>
      <w:proofErr w:type="spellEnd"/>
      <w:r>
        <w:rPr>
          <w:rFonts w:ascii="Times New Roman" w:hAnsi="Times New Roman"/>
          <w:szCs w:val="24"/>
        </w:rPr>
        <w:t xml:space="preserve"> </w:t>
      </w:r>
    </w:p>
    <w:p w14:paraId="408D01B0" w14:textId="5012D026" w:rsidR="00E14FCA" w:rsidRPr="001454D7" w:rsidRDefault="00E14FCA" w:rsidP="00E14FCA">
      <w:pPr>
        <w:spacing w:before="120"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Petr Pávek </w:t>
      </w:r>
    </w:p>
    <w:sectPr w:rsidR="00E14FCA" w:rsidRPr="001454D7" w:rsidSect="00B829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1FCC6" w14:textId="77777777" w:rsidR="00BD24C5" w:rsidRDefault="00BD24C5">
      <w:r>
        <w:separator/>
      </w:r>
    </w:p>
    <w:p w14:paraId="19CB20C2" w14:textId="77777777" w:rsidR="00BD24C5" w:rsidRDefault="00BD24C5"/>
  </w:endnote>
  <w:endnote w:type="continuationSeparator" w:id="0">
    <w:p w14:paraId="4461ABAF" w14:textId="77777777" w:rsidR="00BD24C5" w:rsidRDefault="00BD24C5">
      <w:r>
        <w:continuationSeparator/>
      </w:r>
    </w:p>
    <w:p w14:paraId="72042500" w14:textId="77777777" w:rsidR="00BD24C5" w:rsidRDefault="00BD24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C4710" w14:textId="310A8611" w:rsidR="007A18E2" w:rsidRDefault="007A18E2">
    <w:pPr>
      <w:pStyle w:val="Zpat"/>
      <w:jc w:val="center"/>
    </w:pPr>
  </w:p>
  <w:p w14:paraId="0BEEF992" w14:textId="77777777" w:rsidR="007A18E2" w:rsidRDefault="007A18E2">
    <w:pPr>
      <w:pStyle w:val="Zpat"/>
    </w:pPr>
  </w:p>
  <w:p w14:paraId="2FFF76D7" w14:textId="77777777" w:rsidR="00A21219" w:rsidRDefault="00A212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8B5CE" w14:textId="77777777" w:rsidR="00BD24C5" w:rsidRDefault="00BD24C5">
      <w:r>
        <w:separator/>
      </w:r>
    </w:p>
    <w:p w14:paraId="36A38C68" w14:textId="77777777" w:rsidR="00BD24C5" w:rsidRDefault="00BD24C5"/>
  </w:footnote>
  <w:footnote w:type="continuationSeparator" w:id="0">
    <w:p w14:paraId="46DA375F" w14:textId="77777777" w:rsidR="00BD24C5" w:rsidRDefault="00BD24C5">
      <w:r>
        <w:continuationSeparator/>
      </w:r>
    </w:p>
    <w:p w14:paraId="3C8B16AC" w14:textId="77777777" w:rsidR="00BD24C5" w:rsidRDefault="00BD24C5"/>
  </w:footnote>
  <w:footnote w:id="1">
    <w:p w14:paraId="7DD87AA1" w14:textId="77777777" w:rsidR="00D60CBB" w:rsidRPr="00347D82" w:rsidRDefault="00D60CBB" w:rsidP="00D60CBB">
      <w:pPr>
        <w:pStyle w:val="Textpoznpodarou"/>
        <w:rPr>
          <w:rFonts w:ascii="Times New Roman" w:hAnsi="Times New Roman"/>
        </w:rPr>
      </w:pPr>
      <w:r w:rsidRPr="00347D82">
        <w:rPr>
          <w:rStyle w:val="Znakapoznpodarou"/>
          <w:rFonts w:ascii="Times New Roman" w:eastAsiaTheme="majorEastAsia" w:hAnsi="Times New Roman"/>
        </w:rPr>
        <w:footnoteRef/>
      </w:r>
      <w:r w:rsidRPr="00347D82">
        <w:rPr>
          <w:rFonts w:ascii="Times New Roman" w:hAnsi="Times New Roman"/>
        </w:rPr>
        <w:t xml:space="preserve"> Rozsudek Nejvyššího správního soudu ze dne 3. 8. 2017, čj. 9 As 174/2016-23 (dále jen „rozsudek“).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7DE77F8"/>
    <w:multiLevelType w:val="hybridMultilevel"/>
    <w:tmpl w:val="4D4A86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110755"/>
    <w:multiLevelType w:val="hybridMultilevel"/>
    <w:tmpl w:val="F6C6CCF6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30316F8"/>
    <w:multiLevelType w:val="multilevel"/>
    <w:tmpl w:val="3320A8B2"/>
    <w:numStyleLink w:val="VariantaB-odrky"/>
  </w:abstractNum>
  <w:abstractNum w:abstractNumId="16" w15:restartNumberingAfterBreak="0">
    <w:nsid w:val="13FB2F1F"/>
    <w:multiLevelType w:val="multilevel"/>
    <w:tmpl w:val="E8BAE50A"/>
    <w:numStyleLink w:val="VariantaA-odrky"/>
  </w:abstractNum>
  <w:abstractNum w:abstractNumId="17" w15:restartNumberingAfterBreak="0">
    <w:nsid w:val="15587B24"/>
    <w:multiLevelType w:val="multilevel"/>
    <w:tmpl w:val="E8BAE50A"/>
    <w:numStyleLink w:val="VariantaA-odrky"/>
  </w:abstractNum>
  <w:abstractNum w:abstractNumId="18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9" w15:restartNumberingAfterBreak="0">
    <w:nsid w:val="191872DA"/>
    <w:multiLevelType w:val="multilevel"/>
    <w:tmpl w:val="E8A48D7C"/>
    <w:numStyleLink w:val="VariantaA-sla"/>
  </w:abstractNum>
  <w:abstractNum w:abstractNumId="20" w15:restartNumberingAfterBreak="0">
    <w:nsid w:val="19987FCF"/>
    <w:multiLevelType w:val="multilevel"/>
    <w:tmpl w:val="0D8ABE32"/>
    <w:numStyleLink w:val="VariantaB-sla"/>
  </w:abstractNum>
  <w:abstractNum w:abstractNumId="21" w15:restartNumberingAfterBreak="0">
    <w:nsid w:val="1B0135BD"/>
    <w:multiLevelType w:val="hybridMultilevel"/>
    <w:tmpl w:val="A1A0F618"/>
    <w:lvl w:ilvl="0" w:tplc="99A4D0A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1809E0"/>
    <w:multiLevelType w:val="hybridMultilevel"/>
    <w:tmpl w:val="AA4E035C"/>
    <w:lvl w:ilvl="0" w:tplc="3BA816B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3068A6"/>
    <w:multiLevelType w:val="multilevel"/>
    <w:tmpl w:val="3320A8B2"/>
    <w:numStyleLink w:val="VariantaB-odrky"/>
  </w:abstractNum>
  <w:abstractNum w:abstractNumId="24" w15:restartNumberingAfterBreak="0">
    <w:nsid w:val="1D464EC2"/>
    <w:multiLevelType w:val="multilevel"/>
    <w:tmpl w:val="E8BAE50A"/>
    <w:numStyleLink w:val="VariantaA-odrky"/>
  </w:abstractNum>
  <w:abstractNum w:abstractNumId="25" w15:restartNumberingAfterBreak="0">
    <w:nsid w:val="1EAB39CE"/>
    <w:multiLevelType w:val="multilevel"/>
    <w:tmpl w:val="E8BAE50A"/>
    <w:numStyleLink w:val="VariantaA-odrky"/>
  </w:abstractNum>
  <w:abstractNum w:abstractNumId="26" w15:restartNumberingAfterBreak="0">
    <w:nsid w:val="289A5EA2"/>
    <w:multiLevelType w:val="multilevel"/>
    <w:tmpl w:val="E8BAE50A"/>
    <w:numStyleLink w:val="VariantaA-odrky"/>
  </w:abstractNum>
  <w:abstractNum w:abstractNumId="27" w15:restartNumberingAfterBreak="0">
    <w:nsid w:val="28AB573E"/>
    <w:multiLevelType w:val="multilevel"/>
    <w:tmpl w:val="3320A8B2"/>
    <w:numStyleLink w:val="VariantaB-odrky"/>
  </w:abstractNum>
  <w:abstractNum w:abstractNumId="28" w15:restartNumberingAfterBreak="0">
    <w:nsid w:val="2A5F2D39"/>
    <w:multiLevelType w:val="multilevel"/>
    <w:tmpl w:val="E8BAE50A"/>
    <w:numStyleLink w:val="VariantaA-odrky"/>
  </w:abstractNum>
  <w:abstractNum w:abstractNumId="29" w15:restartNumberingAfterBreak="0">
    <w:nsid w:val="2DBB2CE6"/>
    <w:multiLevelType w:val="multilevel"/>
    <w:tmpl w:val="E8BAE50A"/>
    <w:numStyleLink w:val="VariantaA-odrky"/>
  </w:abstractNum>
  <w:abstractNum w:abstractNumId="30" w15:restartNumberingAfterBreak="0">
    <w:nsid w:val="355131EF"/>
    <w:multiLevelType w:val="multilevel"/>
    <w:tmpl w:val="E8A48D7C"/>
    <w:numStyleLink w:val="VariantaA-sla"/>
  </w:abstractNum>
  <w:abstractNum w:abstractNumId="31" w15:restartNumberingAfterBreak="0">
    <w:nsid w:val="404F57BB"/>
    <w:multiLevelType w:val="hybridMultilevel"/>
    <w:tmpl w:val="5FF246AC"/>
    <w:lvl w:ilvl="0" w:tplc="0390F5CE">
      <w:start w:val="1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306389"/>
    <w:multiLevelType w:val="multilevel"/>
    <w:tmpl w:val="E8BAE50A"/>
    <w:numStyleLink w:val="VariantaA-odrky"/>
  </w:abstractNum>
  <w:abstractNum w:abstractNumId="33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3290926"/>
    <w:multiLevelType w:val="multilevel"/>
    <w:tmpl w:val="E8BAE50A"/>
    <w:numStyleLink w:val="VariantaA-odrky"/>
  </w:abstractNum>
  <w:abstractNum w:abstractNumId="35" w15:restartNumberingAfterBreak="0">
    <w:nsid w:val="533902EA"/>
    <w:multiLevelType w:val="multilevel"/>
    <w:tmpl w:val="E8BAE50A"/>
    <w:numStyleLink w:val="VariantaA-odrky"/>
  </w:abstractNum>
  <w:abstractNum w:abstractNumId="36" w15:restartNumberingAfterBreak="0">
    <w:nsid w:val="571C11E2"/>
    <w:multiLevelType w:val="multilevel"/>
    <w:tmpl w:val="E8A48D7C"/>
    <w:numStyleLink w:val="VariantaA-sla"/>
  </w:abstractNum>
  <w:abstractNum w:abstractNumId="37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8" w15:restartNumberingAfterBreak="0">
    <w:nsid w:val="5AF35F43"/>
    <w:multiLevelType w:val="multilevel"/>
    <w:tmpl w:val="0D8ABE32"/>
    <w:numStyleLink w:val="VariantaB-sla"/>
  </w:abstractNum>
  <w:abstractNum w:abstractNumId="39" w15:restartNumberingAfterBreak="0">
    <w:nsid w:val="627902E2"/>
    <w:multiLevelType w:val="hybridMultilevel"/>
    <w:tmpl w:val="5B8A0F20"/>
    <w:lvl w:ilvl="0" w:tplc="0BC6F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CD07F4B"/>
    <w:multiLevelType w:val="hybridMultilevel"/>
    <w:tmpl w:val="0DCEDCAE"/>
    <w:lvl w:ilvl="0" w:tplc="909C14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37"/>
  </w:num>
  <w:num w:numId="3">
    <w:abstractNumId w:val="23"/>
  </w:num>
  <w:num w:numId="4">
    <w:abstractNumId w:val="16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3"/>
  </w:num>
  <w:num w:numId="7">
    <w:abstractNumId w:val="7"/>
  </w:num>
  <w:num w:numId="8">
    <w:abstractNumId w:val="36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5"/>
  </w:num>
  <w:num w:numId="14">
    <w:abstractNumId w:val="4"/>
  </w:num>
  <w:num w:numId="15">
    <w:abstractNumId w:val="3"/>
  </w:num>
  <w:num w:numId="16">
    <w:abstractNumId w:val="33"/>
  </w:num>
  <w:num w:numId="17">
    <w:abstractNumId w:val="24"/>
  </w:num>
  <w:num w:numId="18">
    <w:abstractNumId w:val="6"/>
  </w:num>
  <w:num w:numId="19">
    <w:abstractNumId w:val="14"/>
  </w:num>
  <w:num w:numId="20">
    <w:abstractNumId w:val="8"/>
  </w:num>
  <w:num w:numId="21">
    <w:abstractNumId w:val="30"/>
  </w:num>
  <w:num w:numId="22">
    <w:abstractNumId w:val="10"/>
  </w:num>
  <w:num w:numId="23">
    <w:abstractNumId w:val="25"/>
  </w:num>
  <w:num w:numId="24">
    <w:abstractNumId w:val="12"/>
  </w:num>
  <w:num w:numId="25">
    <w:abstractNumId w:val="17"/>
  </w:num>
  <w:num w:numId="26">
    <w:abstractNumId w:val="32"/>
  </w:num>
  <w:num w:numId="27">
    <w:abstractNumId w:val="29"/>
  </w:num>
  <w:num w:numId="28">
    <w:abstractNumId w:val="28"/>
  </w:num>
  <w:num w:numId="29">
    <w:abstractNumId w:val="20"/>
  </w:num>
  <w:num w:numId="30">
    <w:abstractNumId w:val="34"/>
  </w:num>
  <w:num w:numId="31">
    <w:abstractNumId w:val="38"/>
  </w:num>
  <w:num w:numId="32">
    <w:abstractNumId w:val="26"/>
  </w:num>
  <w:num w:numId="33">
    <w:abstractNumId w:val="19"/>
  </w:num>
  <w:num w:numId="34">
    <w:abstractNumId w:val="9"/>
  </w:num>
  <w:num w:numId="35">
    <w:abstractNumId w:val="27"/>
  </w:num>
  <w:num w:numId="36">
    <w:abstractNumId w:val="15"/>
  </w:num>
  <w:num w:numId="37">
    <w:abstractNumId w:val="13"/>
  </w:num>
  <w:num w:numId="38">
    <w:abstractNumId w:val="39"/>
  </w:num>
  <w:num w:numId="39">
    <w:abstractNumId w:val="31"/>
  </w:num>
  <w:num w:numId="40">
    <w:abstractNumId w:val="22"/>
  </w:num>
  <w:num w:numId="41">
    <w:abstractNumId w:val="21"/>
  </w:num>
  <w:num w:numId="42">
    <w:abstractNumId w:val="40"/>
  </w:num>
  <w:num w:numId="4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E3F"/>
    <w:rsid w:val="00015306"/>
    <w:rsid w:val="00024A3C"/>
    <w:rsid w:val="0002674B"/>
    <w:rsid w:val="00036BC5"/>
    <w:rsid w:val="0004162E"/>
    <w:rsid w:val="0004786B"/>
    <w:rsid w:val="00063405"/>
    <w:rsid w:val="0006628F"/>
    <w:rsid w:val="00067230"/>
    <w:rsid w:val="00067D0A"/>
    <w:rsid w:val="00076635"/>
    <w:rsid w:val="000809B9"/>
    <w:rsid w:val="00087146"/>
    <w:rsid w:val="00090B40"/>
    <w:rsid w:val="00095A0A"/>
    <w:rsid w:val="000A282A"/>
    <w:rsid w:val="000B1B3D"/>
    <w:rsid w:val="000C4CAF"/>
    <w:rsid w:val="000D5AD5"/>
    <w:rsid w:val="00117D2C"/>
    <w:rsid w:val="0012008C"/>
    <w:rsid w:val="001209F7"/>
    <w:rsid w:val="00121485"/>
    <w:rsid w:val="001454D7"/>
    <w:rsid w:val="00155EC2"/>
    <w:rsid w:val="00165A06"/>
    <w:rsid w:val="00172E08"/>
    <w:rsid w:val="0018043E"/>
    <w:rsid w:val="0018051B"/>
    <w:rsid w:val="0018595D"/>
    <w:rsid w:val="00190B43"/>
    <w:rsid w:val="001A36BC"/>
    <w:rsid w:val="001B1E4A"/>
    <w:rsid w:val="001D27C0"/>
    <w:rsid w:val="001D3490"/>
    <w:rsid w:val="001E1B1D"/>
    <w:rsid w:val="001E74C3"/>
    <w:rsid w:val="001F6937"/>
    <w:rsid w:val="00200DEC"/>
    <w:rsid w:val="00205E3F"/>
    <w:rsid w:val="00215A4A"/>
    <w:rsid w:val="00220DE3"/>
    <w:rsid w:val="002212A4"/>
    <w:rsid w:val="00235D2B"/>
    <w:rsid w:val="00235DF5"/>
    <w:rsid w:val="002406FE"/>
    <w:rsid w:val="002436C3"/>
    <w:rsid w:val="002456CE"/>
    <w:rsid w:val="002464C3"/>
    <w:rsid w:val="0025290D"/>
    <w:rsid w:val="00254A23"/>
    <w:rsid w:val="00260372"/>
    <w:rsid w:val="00262DAF"/>
    <w:rsid w:val="00267D6F"/>
    <w:rsid w:val="00285AED"/>
    <w:rsid w:val="002A5A06"/>
    <w:rsid w:val="002D3584"/>
    <w:rsid w:val="002E2442"/>
    <w:rsid w:val="002E2802"/>
    <w:rsid w:val="002F0E8C"/>
    <w:rsid w:val="0030501E"/>
    <w:rsid w:val="00310FA0"/>
    <w:rsid w:val="00317778"/>
    <w:rsid w:val="00320481"/>
    <w:rsid w:val="00322E01"/>
    <w:rsid w:val="003250CB"/>
    <w:rsid w:val="00332B15"/>
    <w:rsid w:val="003362EA"/>
    <w:rsid w:val="00340128"/>
    <w:rsid w:val="00345F01"/>
    <w:rsid w:val="0034628B"/>
    <w:rsid w:val="00363201"/>
    <w:rsid w:val="0038309C"/>
    <w:rsid w:val="00385FCE"/>
    <w:rsid w:val="0039063C"/>
    <w:rsid w:val="00392565"/>
    <w:rsid w:val="003A043D"/>
    <w:rsid w:val="003A46A8"/>
    <w:rsid w:val="003A4735"/>
    <w:rsid w:val="003A51AA"/>
    <w:rsid w:val="003B565A"/>
    <w:rsid w:val="003D00A1"/>
    <w:rsid w:val="003D0677"/>
    <w:rsid w:val="003F141C"/>
    <w:rsid w:val="0041427F"/>
    <w:rsid w:val="00432DAF"/>
    <w:rsid w:val="004508E8"/>
    <w:rsid w:val="004509E5"/>
    <w:rsid w:val="0045136A"/>
    <w:rsid w:val="00453829"/>
    <w:rsid w:val="00463A13"/>
    <w:rsid w:val="00465CC0"/>
    <w:rsid w:val="0047441C"/>
    <w:rsid w:val="0048504A"/>
    <w:rsid w:val="00486FB9"/>
    <w:rsid w:val="00490939"/>
    <w:rsid w:val="004A6FDB"/>
    <w:rsid w:val="004C212A"/>
    <w:rsid w:val="004E1F56"/>
    <w:rsid w:val="004E224C"/>
    <w:rsid w:val="004F12C6"/>
    <w:rsid w:val="00500232"/>
    <w:rsid w:val="00504668"/>
    <w:rsid w:val="00507720"/>
    <w:rsid w:val="00512392"/>
    <w:rsid w:val="005455E1"/>
    <w:rsid w:val="005502BD"/>
    <w:rsid w:val="00555F35"/>
    <w:rsid w:val="00556787"/>
    <w:rsid w:val="00557643"/>
    <w:rsid w:val="00557BD0"/>
    <w:rsid w:val="005652DC"/>
    <w:rsid w:val="00573BFE"/>
    <w:rsid w:val="00581F91"/>
    <w:rsid w:val="005832F0"/>
    <w:rsid w:val="005854D1"/>
    <w:rsid w:val="005C2560"/>
    <w:rsid w:val="005D0F23"/>
    <w:rsid w:val="005E0D99"/>
    <w:rsid w:val="005F0589"/>
    <w:rsid w:val="005F1203"/>
    <w:rsid w:val="005F7585"/>
    <w:rsid w:val="00605759"/>
    <w:rsid w:val="0060650B"/>
    <w:rsid w:val="00617C47"/>
    <w:rsid w:val="00650C6C"/>
    <w:rsid w:val="00650FBD"/>
    <w:rsid w:val="00651AE2"/>
    <w:rsid w:val="00652FE6"/>
    <w:rsid w:val="00662BA9"/>
    <w:rsid w:val="006641F8"/>
    <w:rsid w:val="00667898"/>
    <w:rsid w:val="006A4804"/>
    <w:rsid w:val="006B6297"/>
    <w:rsid w:val="006D04EF"/>
    <w:rsid w:val="006D7ECE"/>
    <w:rsid w:val="006E2FB0"/>
    <w:rsid w:val="006E38D4"/>
    <w:rsid w:val="006E48B2"/>
    <w:rsid w:val="007102D2"/>
    <w:rsid w:val="00713948"/>
    <w:rsid w:val="00713EED"/>
    <w:rsid w:val="007211AE"/>
    <w:rsid w:val="00727766"/>
    <w:rsid w:val="00735631"/>
    <w:rsid w:val="00753A27"/>
    <w:rsid w:val="0079342A"/>
    <w:rsid w:val="00793469"/>
    <w:rsid w:val="007A18E2"/>
    <w:rsid w:val="007B082F"/>
    <w:rsid w:val="007B4949"/>
    <w:rsid w:val="007F0BC6"/>
    <w:rsid w:val="00816725"/>
    <w:rsid w:val="00824755"/>
    <w:rsid w:val="00826BA1"/>
    <w:rsid w:val="00831374"/>
    <w:rsid w:val="00857580"/>
    <w:rsid w:val="00860EF0"/>
    <w:rsid w:val="00861ABF"/>
    <w:rsid w:val="00865125"/>
    <w:rsid w:val="00865238"/>
    <w:rsid w:val="008667BF"/>
    <w:rsid w:val="00892072"/>
    <w:rsid w:val="0089451C"/>
    <w:rsid w:val="00895645"/>
    <w:rsid w:val="008C0558"/>
    <w:rsid w:val="008C3782"/>
    <w:rsid w:val="008D4A32"/>
    <w:rsid w:val="008D593A"/>
    <w:rsid w:val="008E7760"/>
    <w:rsid w:val="008F391E"/>
    <w:rsid w:val="00901DDC"/>
    <w:rsid w:val="009040E8"/>
    <w:rsid w:val="00915C41"/>
    <w:rsid w:val="00921E5F"/>
    <w:rsid w:val="00922001"/>
    <w:rsid w:val="00922C17"/>
    <w:rsid w:val="0092673F"/>
    <w:rsid w:val="00937043"/>
    <w:rsid w:val="0094193B"/>
    <w:rsid w:val="00942DDD"/>
    <w:rsid w:val="00950B03"/>
    <w:rsid w:val="009516A8"/>
    <w:rsid w:val="0095608B"/>
    <w:rsid w:val="00957C0D"/>
    <w:rsid w:val="00967C45"/>
    <w:rsid w:val="0097705C"/>
    <w:rsid w:val="00980320"/>
    <w:rsid w:val="00991F65"/>
    <w:rsid w:val="00993017"/>
    <w:rsid w:val="009B0F4F"/>
    <w:rsid w:val="009B5F2F"/>
    <w:rsid w:val="009E107D"/>
    <w:rsid w:val="009F393D"/>
    <w:rsid w:val="009F7F46"/>
    <w:rsid w:val="00A000BF"/>
    <w:rsid w:val="00A04027"/>
    <w:rsid w:val="00A0587E"/>
    <w:rsid w:val="00A05D74"/>
    <w:rsid w:val="00A21219"/>
    <w:rsid w:val="00A275BC"/>
    <w:rsid w:val="00A464B4"/>
    <w:rsid w:val="00A57FCB"/>
    <w:rsid w:val="00A63D6B"/>
    <w:rsid w:val="00A72D58"/>
    <w:rsid w:val="00A84B52"/>
    <w:rsid w:val="00A8660F"/>
    <w:rsid w:val="00A95C48"/>
    <w:rsid w:val="00AA0022"/>
    <w:rsid w:val="00AA2754"/>
    <w:rsid w:val="00AA7056"/>
    <w:rsid w:val="00AB31C6"/>
    <w:rsid w:val="00AB523B"/>
    <w:rsid w:val="00AC0852"/>
    <w:rsid w:val="00AC4BA3"/>
    <w:rsid w:val="00AD1213"/>
    <w:rsid w:val="00AD3E11"/>
    <w:rsid w:val="00AD764D"/>
    <w:rsid w:val="00AD7E40"/>
    <w:rsid w:val="00B1477A"/>
    <w:rsid w:val="00B20993"/>
    <w:rsid w:val="00B22233"/>
    <w:rsid w:val="00B266CA"/>
    <w:rsid w:val="00B42E96"/>
    <w:rsid w:val="00B50BA2"/>
    <w:rsid w:val="00B50EE6"/>
    <w:rsid w:val="00B52185"/>
    <w:rsid w:val="00B53A67"/>
    <w:rsid w:val="00B63082"/>
    <w:rsid w:val="00B82996"/>
    <w:rsid w:val="00B85B7D"/>
    <w:rsid w:val="00B9753A"/>
    <w:rsid w:val="00BA3915"/>
    <w:rsid w:val="00BB479C"/>
    <w:rsid w:val="00BB7B04"/>
    <w:rsid w:val="00BC4720"/>
    <w:rsid w:val="00BD24C5"/>
    <w:rsid w:val="00BD75A2"/>
    <w:rsid w:val="00C2017A"/>
    <w:rsid w:val="00C2026B"/>
    <w:rsid w:val="00C20470"/>
    <w:rsid w:val="00C3412B"/>
    <w:rsid w:val="00C3414E"/>
    <w:rsid w:val="00C34B2F"/>
    <w:rsid w:val="00C4641B"/>
    <w:rsid w:val="00C6690E"/>
    <w:rsid w:val="00C703C5"/>
    <w:rsid w:val="00C8040F"/>
    <w:rsid w:val="00C805F2"/>
    <w:rsid w:val="00C9107B"/>
    <w:rsid w:val="00C953C6"/>
    <w:rsid w:val="00C95A3C"/>
    <w:rsid w:val="00CA639D"/>
    <w:rsid w:val="00CB05D8"/>
    <w:rsid w:val="00CC5E40"/>
    <w:rsid w:val="00CF3B4C"/>
    <w:rsid w:val="00CF73C6"/>
    <w:rsid w:val="00CF7F4B"/>
    <w:rsid w:val="00D1569F"/>
    <w:rsid w:val="00D201A9"/>
    <w:rsid w:val="00D203D2"/>
    <w:rsid w:val="00D20B1E"/>
    <w:rsid w:val="00D22462"/>
    <w:rsid w:val="00D230AC"/>
    <w:rsid w:val="00D23BDA"/>
    <w:rsid w:val="00D32489"/>
    <w:rsid w:val="00D3256C"/>
    <w:rsid w:val="00D3349E"/>
    <w:rsid w:val="00D360A8"/>
    <w:rsid w:val="00D47A3C"/>
    <w:rsid w:val="00D60CBB"/>
    <w:rsid w:val="00D73CB8"/>
    <w:rsid w:val="00DA7591"/>
    <w:rsid w:val="00DB0301"/>
    <w:rsid w:val="00DC1C9B"/>
    <w:rsid w:val="00DD3E30"/>
    <w:rsid w:val="00DE7742"/>
    <w:rsid w:val="00DF1AB7"/>
    <w:rsid w:val="00DF2B31"/>
    <w:rsid w:val="00DF424B"/>
    <w:rsid w:val="00DF534E"/>
    <w:rsid w:val="00E106A6"/>
    <w:rsid w:val="00E14FCA"/>
    <w:rsid w:val="00E32798"/>
    <w:rsid w:val="00E37E33"/>
    <w:rsid w:val="00E51C91"/>
    <w:rsid w:val="00E54129"/>
    <w:rsid w:val="00E54D61"/>
    <w:rsid w:val="00E56CC6"/>
    <w:rsid w:val="00E667C1"/>
    <w:rsid w:val="00E81C47"/>
    <w:rsid w:val="00E8784B"/>
    <w:rsid w:val="00EC3F88"/>
    <w:rsid w:val="00ED36D8"/>
    <w:rsid w:val="00EE1D8D"/>
    <w:rsid w:val="00EE6BD7"/>
    <w:rsid w:val="00F05DA9"/>
    <w:rsid w:val="00F0689D"/>
    <w:rsid w:val="00F31D4C"/>
    <w:rsid w:val="00F31F1E"/>
    <w:rsid w:val="00F3431B"/>
    <w:rsid w:val="00F660F5"/>
    <w:rsid w:val="00F926B1"/>
    <w:rsid w:val="00F96E02"/>
    <w:rsid w:val="00F97CB3"/>
    <w:rsid w:val="00FA30F0"/>
    <w:rsid w:val="00FA6F67"/>
    <w:rsid w:val="00FB01B5"/>
    <w:rsid w:val="00FB7547"/>
    <w:rsid w:val="00FD07FB"/>
    <w:rsid w:val="00FE7FCA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7F49"/>
  <w15:docId w15:val="{E9555E00-701C-4E68-9CDE-9E3993B5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E3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customStyle="1" w:styleId="WW-Zkladntext2">
    <w:name w:val="WW-Základní text 2"/>
    <w:basedOn w:val="Normln"/>
    <w:rsid w:val="00205E3F"/>
    <w:pPr>
      <w:spacing w:line="360" w:lineRule="auto"/>
      <w:jc w:val="both"/>
    </w:pPr>
    <w:rPr>
      <w:b/>
    </w:rPr>
  </w:style>
  <w:style w:type="paragraph" w:styleId="Zpat">
    <w:name w:val="footer"/>
    <w:basedOn w:val="Normln"/>
    <w:link w:val="ZpatChar"/>
    <w:uiPriority w:val="99"/>
    <w:unhideWhenUsed/>
    <w:rsid w:val="00205E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5E3F"/>
    <w:rPr>
      <w:rFonts w:ascii="Arial" w:eastAsia="Times New Roman" w:hAnsi="Arial" w:cs="Times New Roman"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7A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A3C"/>
    <w:rPr>
      <w:rFonts w:ascii="Segoe UI" w:eastAsia="Times New Roman" w:hAnsi="Segoe UI" w:cs="Segoe UI"/>
      <w:sz w:val="18"/>
      <w:szCs w:val="1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61A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1ABF"/>
    <w:rPr>
      <w:rFonts w:ascii="Arial" w:eastAsia="Times New Roman" w:hAnsi="Arial" w:cs="Times New Roman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7F4B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7F4B"/>
    <w:rPr>
      <w:rFonts w:ascii="Arial" w:eastAsia="Times New Roman" w:hAnsi="Arial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F7F4B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D764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E14FCA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9726D-49E5-40CB-BC39-B72E678B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1158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Vajda</dc:creator>
  <cp:keywords/>
  <dc:description/>
  <cp:lastModifiedBy>UrbanovaB</cp:lastModifiedBy>
  <cp:revision>4</cp:revision>
  <cp:lastPrinted>2019-11-18T14:24:00Z</cp:lastPrinted>
  <dcterms:created xsi:type="dcterms:W3CDTF">2019-07-08T21:40:00Z</dcterms:created>
  <dcterms:modified xsi:type="dcterms:W3CDTF">2019-11-18T14:24:00Z</dcterms:modified>
  <cp:category/>
</cp:coreProperties>
</file>