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853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17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 xml:space="preserve">k návrhu </w:t>
      </w:r>
      <w:r w:rsidRPr="00891F5F">
        <w:t xml:space="preserve">zákona, </w:t>
      </w:r>
      <w:r w:rsidRPr="00C21C49">
        <w:t>kterým se mění zákon č. 266/1994 Sb., o dráhách, ve znění pozdějších předpisů, a další související zákony /sněmovní tisk 326/7/</w:t>
      </w:r>
      <w:r>
        <w:t xml:space="preserve"> –</w:t>
      </w:r>
      <w:r w:rsidRPr="0049425F">
        <w:t xml:space="preserve"> vrácen</w:t>
      </w:r>
      <w:r>
        <w:t>ému</w:t>
      </w:r>
      <w:r w:rsidRPr="0049425F">
        <w:t xml:space="preserve"> Senátem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C21C49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 </w:t>
      </w:r>
      <w:r w:rsidRPr="00891F5F">
        <w:rPr>
          <w:rFonts w:ascii="Times New Roman" w:hAnsi="Times New Roman"/>
          <w:sz w:val="24"/>
        </w:rPr>
        <w:t xml:space="preserve">zákona, </w:t>
      </w:r>
      <w:r w:rsidRPr="00C21C49">
        <w:rPr>
          <w:rFonts w:ascii="Times New Roman" w:hAnsi="Times New Roman"/>
          <w:sz w:val="24"/>
        </w:rPr>
        <w:t>kterým se mění zákon č. 266/1994 Sb., o dráhách, ve znění pozdějších předpisů, a další související zákony</w:t>
      </w:r>
      <w:r>
        <w:rPr>
          <w:rFonts w:ascii="Times New Roman" w:hAnsi="Times New Roman"/>
          <w:sz w:val="24"/>
        </w:rPr>
        <w:t>, ve znění, ve kterém byl postoupen Senátu, podle sněmovního tisku 326/7.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191740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91740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9174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077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69</cp:revision>
  <cp:lastPrinted>2019-12-18T13:59:00Z</cp:lastPrinted>
  <dcterms:created xsi:type="dcterms:W3CDTF">2018-02-27T08:08:00Z</dcterms:created>
  <dcterms:modified xsi:type="dcterms:W3CDTF">2019-12-18T13:59:00Z</dcterms:modified>
</cp:coreProperties>
</file>