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76675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0317B" w:rsidP="000E730C">
      <w:pPr>
        <w:pStyle w:val="PS-slousnesen"/>
      </w:pPr>
      <w:r>
        <w:t>82</w:t>
      </w:r>
      <w:r w:rsidR="002B2FCF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317B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50317B">
        <w:t>29</w:t>
      </w:r>
      <w:r>
        <w:t xml:space="preserve">. </w:t>
      </w:r>
      <w:r w:rsidR="0050317B">
        <w:t>listopadu</w:t>
      </w:r>
      <w:r>
        <w:t xml:space="preserve"> 201</w:t>
      </w:r>
      <w:r w:rsidR="00976675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D76A0">
        <w:t xml:space="preserve"> vládnímu </w:t>
      </w:r>
      <w:r w:rsidR="000B5055">
        <w:t>návrh</w:t>
      </w:r>
      <w:r w:rsidR="004B3D00">
        <w:t>u</w:t>
      </w:r>
      <w:r w:rsidR="00E51AF6">
        <w:t xml:space="preserve"> </w:t>
      </w:r>
      <w:r w:rsidR="007D76A0" w:rsidRPr="007D76A0">
        <w:t xml:space="preserve">zákona, </w:t>
      </w:r>
      <w:r w:rsidR="002B2FCF" w:rsidRPr="002B2FCF">
        <w:t>kterým se mění některé zákony v souvislosti s implementací daňových předpisů Evropské unie a v oblasti zamezení dvojímu zdanění /sněmovní tisk 572/</w:t>
      </w:r>
      <w:r w:rsidR="0050317B">
        <w:t xml:space="preserve"> –</w:t>
      </w:r>
      <w:r w:rsidR="002B2FCF">
        <w:t> </w:t>
      </w:r>
      <w:r w:rsidR="007D76A0">
        <w:t>prvé</w:t>
      </w:r>
      <w:r w:rsidR="0050317B" w:rsidRPr="0050317B">
        <w:t xml:space="preserve"> čtení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D76A0">
        <w:rPr>
          <w:rFonts w:ascii="Times New Roman" w:hAnsi="Times New Roman"/>
          <w:spacing w:val="-3"/>
          <w:sz w:val="24"/>
          <w:szCs w:val="24"/>
        </w:rPr>
        <w:t xml:space="preserve">rozpočtovému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954A5C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954A5C" w:rsidP="00E1210A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2FCF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317B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D76A0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4A5C"/>
    <w:rsid w:val="00962349"/>
    <w:rsid w:val="0097667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00704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D0C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2019-12-03T16:18:00Z</cp:lastPrinted>
  <dcterms:created xsi:type="dcterms:W3CDTF">2019-11-29T08:37:00Z</dcterms:created>
  <dcterms:modified xsi:type="dcterms:W3CDTF">2019-12-03T16:18:00Z</dcterms:modified>
</cp:coreProperties>
</file>