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0F9" w:rsidRPr="005A6304" w:rsidRDefault="00C110F9" w:rsidP="00FE27E8">
      <w:pPr>
        <w:jc w:val="right"/>
        <w:rPr>
          <w:rFonts w:ascii="Arial" w:hAnsi="Arial" w:cs="Arial"/>
          <w:b/>
          <w:spacing w:val="20"/>
          <w:position w:val="6"/>
          <w:sz w:val="22"/>
          <w:szCs w:val="22"/>
        </w:rPr>
      </w:pPr>
    </w:p>
    <w:p w:rsidR="002A672E" w:rsidRPr="00ED4EBD" w:rsidRDefault="0040404C" w:rsidP="006858E5">
      <w:pPr>
        <w:jc w:val="center"/>
        <w:rPr>
          <w:rFonts w:ascii="Arial" w:hAnsi="Arial" w:cs="Arial"/>
          <w:b/>
          <w:sz w:val="22"/>
          <w:szCs w:val="22"/>
        </w:rPr>
      </w:pPr>
      <w:r w:rsidRPr="00ED4EBD">
        <w:rPr>
          <w:rFonts w:ascii="Arial" w:hAnsi="Arial" w:cs="Arial"/>
          <w:b/>
          <w:sz w:val="22"/>
          <w:szCs w:val="22"/>
        </w:rPr>
        <w:t>PŘEDKLÁDACÍ ZPRÁVA</w:t>
      </w:r>
    </w:p>
    <w:p w:rsidR="00C110F9" w:rsidRPr="00ED4EBD" w:rsidRDefault="00C110F9" w:rsidP="007F16DF">
      <w:pPr>
        <w:rPr>
          <w:rFonts w:ascii="Arial" w:hAnsi="Arial" w:cs="Arial"/>
          <w:sz w:val="22"/>
          <w:szCs w:val="22"/>
        </w:rPr>
      </w:pPr>
    </w:p>
    <w:p w:rsidR="002440BD" w:rsidRPr="00ED4EBD" w:rsidRDefault="002440BD" w:rsidP="007F16DF">
      <w:pPr>
        <w:rPr>
          <w:rFonts w:ascii="Arial" w:hAnsi="Arial" w:cs="Arial"/>
          <w:sz w:val="22"/>
          <w:szCs w:val="22"/>
        </w:rPr>
      </w:pPr>
    </w:p>
    <w:p w:rsidR="0019200C" w:rsidRPr="00281CA6" w:rsidRDefault="0019200C" w:rsidP="0019200C">
      <w:pPr>
        <w:pStyle w:val="Normlnweb"/>
        <w:spacing w:before="120" w:after="120"/>
        <w:ind w:left="0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281CA6">
        <w:rPr>
          <w:rFonts w:ascii="Arial" w:hAnsi="Arial" w:cs="Arial"/>
          <w:b/>
          <w:color w:val="auto"/>
          <w:sz w:val="22"/>
          <w:szCs w:val="22"/>
          <w:u w:val="single"/>
        </w:rPr>
        <w:t>1. Úvod</w:t>
      </w:r>
    </w:p>
    <w:p w:rsidR="0019200C" w:rsidRPr="0019200C" w:rsidRDefault="0019200C" w:rsidP="0019200C">
      <w:pPr>
        <w:pStyle w:val="Normlnweb"/>
        <w:spacing w:before="120" w:after="120"/>
        <w:ind w:firstLine="678"/>
        <w:jc w:val="both"/>
        <w:rPr>
          <w:rFonts w:ascii="Arial" w:hAnsi="Arial" w:cs="Arial"/>
          <w:color w:val="auto"/>
          <w:sz w:val="22"/>
          <w:szCs w:val="22"/>
        </w:rPr>
      </w:pPr>
      <w:r w:rsidRPr="0019200C">
        <w:rPr>
          <w:rFonts w:ascii="Arial" w:hAnsi="Arial" w:cs="Arial"/>
          <w:color w:val="auto"/>
          <w:sz w:val="22"/>
          <w:szCs w:val="22"/>
        </w:rPr>
        <w:t xml:space="preserve">Rada guvernérů Mezinárodní investiční banky (dále „MIB“, „banka“) schválila dne 4. prosince 2018 přesun sídla této instituce z Moskvy do Budapešti. Delegace České republiky v rámci jednání vystupovala v souladu se schválenou Směrnicí pro jednání o změně sídla Mezinárodní investiční banky.    </w:t>
      </w:r>
    </w:p>
    <w:p w:rsidR="0019200C" w:rsidRPr="0019200C" w:rsidRDefault="0019200C" w:rsidP="0019200C">
      <w:pPr>
        <w:spacing w:before="120" w:after="120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19200C">
        <w:rPr>
          <w:rFonts w:ascii="Arial" w:hAnsi="Arial" w:cs="Arial"/>
          <w:sz w:val="22"/>
          <w:szCs w:val="22"/>
        </w:rPr>
        <w:t xml:space="preserve">Návrh na přesun sídla poprvé oficiálně přednesl dne 18. září 2018 předseda vlády Maďarska V. </w:t>
      </w:r>
      <w:proofErr w:type="spellStart"/>
      <w:r w:rsidRPr="0019200C">
        <w:rPr>
          <w:rFonts w:ascii="Arial" w:hAnsi="Arial" w:cs="Arial"/>
          <w:sz w:val="22"/>
          <w:szCs w:val="22"/>
        </w:rPr>
        <w:t>Orbán</w:t>
      </w:r>
      <w:proofErr w:type="spellEnd"/>
      <w:r w:rsidRPr="0019200C">
        <w:rPr>
          <w:rFonts w:ascii="Arial" w:hAnsi="Arial" w:cs="Arial"/>
          <w:sz w:val="22"/>
          <w:szCs w:val="22"/>
        </w:rPr>
        <w:t xml:space="preserve"> při jednání s prezidentem Ruské federace V. </w:t>
      </w:r>
      <w:proofErr w:type="spellStart"/>
      <w:r w:rsidRPr="0019200C">
        <w:rPr>
          <w:rFonts w:ascii="Arial" w:hAnsi="Arial" w:cs="Arial"/>
          <w:sz w:val="22"/>
          <w:szCs w:val="22"/>
        </w:rPr>
        <w:t>Putinem</w:t>
      </w:r>
      <w:proofErr w:type="spellEnd"/>
      <w:r w:rsidRPr="0019200C">
        <w:rPr>
          <w:rFonts w:ascii="Arial" w:hAnsi="Arial" w:cs="Arial"/>
          <w:sz w:val="22"/>
          <w:szCs w:val="22"/>
        </w:rPr>
        <w:t xml:space="preserve">. </w:t>
      </w:r>
      <w:r w:rsidRPr="0019200C">
        <w:rPr>
          <w:rFonts w:ascii="Arial" w:hAnsi="Arial" w:cs="Arial"/>
          <w:bCs/>
          <w:sz w:val="22"/>
          <w:szCs w:val="22"/>
        </w:rPr>
        <w:t xml:space="preserve">Maďarská strana potvrdila, že bance a jejím představitelům poskytne plnohodnotné výsady a imunity a že bude plně nápomocna ve všech technických, právních i logistických otázkách spojených s přesunem sídla do Budapešti. </w:t>
      </w:r>
    </w:p>
    <w:p w:rsidR="0019200C" w:rsidRPr="0019200C" w:rsidRDefault="0019200C" w:rsidP="0019200C">
      <w:pPr>
        <w:spacing w:before="120" w:after="120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19200C">
        <w:rPr>
          <w:rFonts w:ascii="Arial" w:hAnsi="Arial" w:cs="Arial"/>
          <w:sz w:val="22"/>
          <w:szCs w:val="22"/>
        </w:rPr>
        <w:t xml:space="preserve">Hlavním argumentem pro přesun je potřebný impuls pro další rozvoj operací MIB, který povede ke zlepšení ratingu i snížení ceny zdrojů. </w:t>
      </w:r>
      <w:r w:rsidRPr="0019200C">
        <w:rPr>
          <w:rFonts w:ascii="Arial" w:hAnsi="Arial" w:cs="Arial"/>
          <w:bCs/>
          <w:sz w:val="22"/>
          <w:szCs w:val="22"/>
        </w:rPr>
        <w:t xml:space="preserve">V souvislosti s dynamickým rozvojem banky v posledních letech se začaly stále více projevovat negativa umístění hlavního sídla v Moskvě v Ruské federaci. Přístup a působení na evropských trzích je často omezen chápáním MIB jako „ruské banky“, což je dáno především historickými konotacemi </w:t>
      </w:r>
      <w:proofErr w:type="gramStart"/>
      <w:r w:rsidRPr="0019200C">
        <w:rPr>
          <w:rFonts w:ascii="Arial" w:hAnsi="Arial" w:cs="Arial"/>
          <w:bCs/>
          <w:sz w:val="22"/>
          <w:szCs w:val="22"/>
        </w:rPr>
        <w:t>vzniku     a působením</w:t>
      </w:r>
      <w:proofErr w:type="gramEnd"/>
      <w:r w:rsidRPr="0019200C">
        <w:rPr>
          <w:rFonts w:ascii="Arial" w:hAnsi="Arial" w:cs="Arial"/>
          <w:bCs/>
          <w:sz w:val="22"/>
          <w:szCs w:val="22"/>
        </w:rPr>
        <w:t xml:space="preserve"> MIB. Zároveň, i přesto, že je MIB jako mezinárodní organizace výslovně vyjmuta ze sankcí Rady Evropské unie vůči Ruské federaci (preambule odst. 5, Nařízení Rady EU č. 833/2014 ze dne 31. července 2014), jsou její operace do určité míry sankcemi ovlivněny, jelikož většina partnerů MIB je z ruského trhu, ke kterému má díky svému sídlu v Moskvě nejblíže.</w:t>
      </w:r>
    </w:p>
    <w:p w:rsidR="0019200C" w:rsidRPr="0019200C" w:rsidRDefault="0019200C" w:rsidP="0019200C">
      <w:pPr>
        <w:spacing w:before="120" w:after="120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19200C">
        <w:rPr>
          <w:rFonts w:ascii="Arial" w:hAnsi="Arial" w:cs="Arial"/>
          <w:bCs/>
          <w:sz w:val="22"/>
          <w:szCs w:val="22"/>
        </w:rPr>
        <w:t>Přesunutí sídla MIB umožní získat „evropský status“, tj. MIB bude nově při spolupráci s partnerskými bankami a institucemi spadat do oblasti střední a východní Evropy a nikoliv do regionu Ruské federace. Navýšení podílu evropských expertů a přenos evropského bankovního know-how přispěje k prohloubení znalostí o evropských trzích a bezprostřednímu kontaktu s potenciálními klienty, což ve výsledku povede k dalšímu navyšování podílu evropských zemí v úvěrovém portfoliu.</w:t>
      </w:r>
    </w:p>
    <w:p w:rsidR="0019200C" w:rsidRDefault="0019200C" w:rsidP="0019200C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9200C">
        <w:rPr>
          <w:rFonts w:ascii="Arial" w:hAnsi="Arial" w:cs="Arial"/>
          <w:bCs/>
          <w:sz w:val="22"/>
          <w:szCs w:val="22"/>
        </w:rPr>
        <w:t xml:space="preserve">Pozitivní vliv bude mít evropské sídlo instituce na přístup investorů (investiční fondy, penzijní fondy) a ratingových agentur k bance, což v konečném důsledku zvýší možnosti získávání zdrojů financovaní aktivních operací banky a v konečném důsledku zlepší její finanční stabilitu. </w:t>
      </w:r>
      <w:r w:rsidRPr="0019200C">
        <w:rPr>
          <w:rFonts w:ascii="Arial" w:hAnsi="Arial" w:cs="Arial"/>
          <w:sz w:val="22"/>
          <w:szCs w:val="22"/>
        </w:rPr>
        <w:t xml:space="preserve">         </w:t>
      </w:r>
    </w:p>
    <w:p w:rsidR="0019200C" w:rsidRPr="0019200C" w:rsidRDefault="0019200C" w:rsidP="0019200C">
      <w:pPr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19200C" w:rsidRDefault="0019200C" w:rsidP="0019200C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9200C">
        <w:rPr>
          <w:rFonts w:ascii="Arial" w:hAnsi="Arial" w:cs="Arial"/>
          <w:b/>
          <w:sz w:val="22"/>
          <w:szCs w:val="22"/>
          <w:u w:val="single"/>
        </w:rPr>
        <w:t>2. Účel materiálu</w:t>
      </w:r>
    </w:p>
    <w:p w:rsidR="0019200C" w:rsidRPr="0019200C" w:rsidRDefault="0019200C" w:rsidP="0019200C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19200C" w:rsidRPr="003E4026" w:rsidRDefault="0019200C" w:rsidP="004B32FF">
      <w:pPr>
        <w:pStyle w:val="Normlnweb"/>
        <w:spacing w:before="120" w:after="120"/>
        <w:ind w:firstLine="678"/>
        <w:jc w:val="both"/>
        <w:rPr>
          <w:rFonts w:ascii="Arial" w:hAnsi="Arial" w:cs="Arial"/>
          <w:sz w:val="22"/>
          <w:szCs w:val="22"/>
        </w:rPr>
      </w:pPr>
      <w:r w:rsidRPr="003E4026">
        <w:rPr>
          <w:rFonts w:ascii="Arial" w:hAnsi="Arial" w:cs="Arial"/>
          <w:color w:val="auto"/>
          <w:sz w:val="22"/>
          <w:szCs w:val="22"/>
        </w:rPr>
        <w:t>Účelem předkládaného materiálu je ratifikace změny Dohody o zřízení MIB v části uvádějící sídlo této instituce</w:t>
      </w:r>
      <w:r w:rsidR="00D90464" w:rsidRPr="003E4026">
        <w:rPr>
          <w:rFonts w:ascii="Arial" w:hAnsi="Arial" w:cs="Arial"/>
          <w:color w:val="auto"/>
          <w:sz w:val="22"/>
          <w:szCs w:val="22"/>
        </w:rPr>
        <w:t xml:space="preserve">, s níž </w:t>
      </w:r>
      <w:r w:rsidR="00E3311A">
        <w:rPr>
          <w:rFonts w:ascii="Arial" w:hAnsi="Arial" w:cs="Arial"/>
          <w:color w:val="auto"/>
          <w:sz w:val="22"/>
          <w:szCs w:val="22"/>
        </w:rPr>
        <w:t>vyjádřila</w:t>
      </w:r>
      <w:r w:rsidR="004B32FF" w:rsidRPr="004B32FF">
        <w:rPr>
          <w:rFonts w:ascii="Arial" w:hAnsi="Arial" w:cs="Arial"/>
          <w:color w:val="auto"/>
          <w:sz w:val="22"/>
          <w:szCs w:val="22"/>
        </w:rPr>
        <w:t xml:space="preserve"> </w:t>
      </w:r>
      <w:r w:rsidR="004B32FF" w:rsidRPr="003E4026">
        <w:rPr>
          <w:rFonts w:ascii="Arial" w:hAnsi="Arial" w:cs="Arial"/>
          <w:color w:val="auto"/>
          <w:sz w:val="22"/>
          <w:szCs w:val="22"/>
        </w:rPr>
        <w:t>vláda souhlas</w:t>
      </w:r>
      <w:r w:rsidR="00D90464" w:rsidRPr="003E4026">
        <w:rPr>
          <w:rFonts w:ascii="Arial" w:hAnsi="Arial" w:cs="Arial"/>
          <w:color w:val="auto"/>
          <w:sz w:val="22"/>
          <w:szCs w:val="22"/>
        </w:rPr>
        <w:t xml:space="preserve"> dne 29. 4. 2019</w:t>
      </w:r>
      <w:r w:rsidR="00C8199B" w:rsidRPr="003E4026">
        <w:rPr>
          <w:rFonts w:ascii="Arial" w:hAnsi="Arial" w:cs="Arial"/>
          <w:color w:val="auto"/>
          <w:sz w:val="22"/>
          <w:szCs w:val="22"/>
        </w:rPr>
        <w:t xml:space="preserve"> usnesením č. 296</w:t>
      </w:r>
      <w:r w:rsidR="00D90464" w:rsidRPr="003E4026">
        <w:rPr>
          <w:rFonts w:ascii="Arial" w:hAnsi="Arial" w:cs="Arial"/>
          <w:color w:val="auto"/>
          <w:sz w:val="22"/>
          <w:szCs w:val="22"/>
        </w:rPr>
        <w:t>. Vláda zároveň souhlasila</w:t>
      </w:r>
      <w:r w:rsidR="00C8199B" w:rsidRPr="003E4026">
        <w:rPr>
          <w:rFonts w:ascii="Arial" w:hAnsi="Arial" w:cs="Arial"/>
          <w:color w:val="auto"/>
          <w:sz w:val="22"/>
          <w:szCs w:val="22"/>
        </w:rPr>
        <w:t xml:space="preserve"> </w:t>
      </w:r>
      <w:r w:rsidRPr="003E4026">
        <w:rPr>
          <w:rFonts w:ascii="Arial" w:hAnsi="Arial" w:cs="Arial"/>
          <w:color w:val="auto"/>
          <w:sz w:val="22"/>
          <w:szCs w:val="22"/>
        </w:rPr>
        <w:t xml:space="preserve">s prozatímním prováděním této změny tak, </w:t>
      </w:r>
      <w:r w:rsidR="003E4026" w:rsidRPr="003E4026">
        <w:rPr>
          <w:rFonts w:ascii="Arial" w:hAnsi="Arial" w:cs="Arial"/>
          <w:color w:val="auto"/>
          <w:sz w:val="22"/>
          <w:szCs w:val="22"/>
        </w:rPr>
        <w:t>aby po vstupu v platnost hostitelské dohody uzavřené mezi Maďarskem a MIB</w:t>
      </w:r>
      <w:r w:rsidR="003E4026" w:rsidRPr="003E4026">
        <w:rPr>
          <w:rStyle w:val="Znakapoznpodarou"/>
          <w:rFonts w:ascii="Arial" w:hAnsi="Arial" w:cs="Arial"/>
          <w:color w:val="auto"/>
          <w:sz w:val="22"/>
          <w:szCs w:val="22"/>
        </w:rPr>
        <w:footnoteReference w:id="1"/>
      </w:r>
      <w:r w:rsidR="003E4026" w:rsidRPr="003E4026">
        <w:rPr>
          <w:rFonts w:ascii="Arial" w:hAnsi="Arial" w:cs="Arial"/>
          <w:color w:val="auto"/>
          <w:sz w:val="22"/>
          <w:szCs w:val="22"/>
        </w:rPr>
        <w:t xml:space="preserve"> mohla banka oficiálně přesunout své sídlo a začít svou činnost z Budapešti bez nutnosti čekat na potvrzení ratifikace změny statutárních dokumentů</w:t>
      </w:r>
      <w:r w:rsidR="004F1791">
        <w:rPr>
          <w:rFonts w:ascii="Arial" w:hAnsi="Arial" w:cs="Arial"/>
          <w:color w:val="auto"/>
          <w:sz w:val="22"/>
          <w:szCs w:val="22"/>
        </w:rPr>
        <w:t xml:space="preserve"> všemi členskými státy</w:t>
      </w:r>
      <w:r w:rsidR="003E4026" w:rsidRPr="003E4026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19200C" w:rsidRDefault="0019200C" w:rsidP="0019200C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E4026">
        <w:rPr>
          <w:rFonts w:ascii="Arial" w:hAnsi="Arial" w:cs="Arial"/>
          <w:sz w:val="22"/>
          <w:szCs w:val="22"/>
        </w:rPr>
        <w:t xml:space="preserve">Sídlo MIB je oficiálně uvedeno v platných statutárních </w:t>
      </w:r>
      <w:r w:rsidRPr="0019200C">
        <w:rPr>
          <w:rFonts w:ascii="Arial" w:hAnsi="Arial" w:cs="Arial"/>
          <w:sz w:val="22"/>
          <w:szCs w:val="22"/>
        </w:rPr>
        <w:t>dokumentech této instituce, konkrétně v čl. 2 Stanov Mezinárodní investiční banky, které jsou nedílnou součástí Dohody o zřízení MIB</w:t>
      </w:r>
      <w:r w:rsidR="00F600DC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Pr="0019200C">
        <w:rPr>
          <w:rFonts w:ascii="Arial" w:hAnsi="Arial" w:cs="Arial"/>
          <w:sz w:val="22"/>
          <w:szCs w:val="22"/>
        </w:rPr>
        <w:t xml:space="preserve">. Jako sídlo MIB je v současnosti uvedena Moskva, Ruská federace. </w:t>
      </w:r>
    </w:p>
    <w:p w:rsidR="0019200C" w:rsidRPr="0019200C" w:rsidRDefault="0019200C" w:rsidP="0019200C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19200C" w:rsidRDefault="0019200C" w:rsidP="0019200C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9200C">
        <w:rPr>
          <w:rFonts w:ascii="Arial" w:hAnsi="Arial" w:cs="Arial"/>
          <w:sz w:val="22"/>
          <w:szCs w:val="22"/>
        </w:rPr>
        <w:t>Změna Stanov MIB znamená změnu Dohody o zřízení MIB</w:t>
      </w:r>
      <w:r w:rsidR="00EC7E2B">
        <w:rPr>
          <w:rFonts w:ascii="Arial" w:hAnsi="Arial" w:cs="Arial"/>
          <w:sz w:val="22"/>
          <w:szCs w:val="22"/>
        </w:rPr>
        <w:t>, tedy změnu mezinárodní smlouvy prezidentské kategorie</w:t>
      </w:r>
      <w:r w:rsidRPr="0019200C">
        <w:rPr>
          <w:rFonts w:ascii="Arial" w:hAnsi="Arial" w:cs="Arial"/>
          <w:sz w:val="22"/>
          <w:szCs w:val="22"/>
        </w:rPr>
        <w:t>, a jako taková musí být učiněna v souladu s vnitrostátními procedurami každého členského státu. V případě České republiky se jedná o ratifikační proces (viz b. 6 Změna Dohody o zřízení MIB). Podmínkou pro změnu sídla MIB bylo jednomyslné rozhodnutí Rady guvernérů MIB, které bylo učiněno v rámci 1/110. zasedání Rady guvernérů (dříve bankovní rady) MIB a jako takové je zaneseno v Protokolu z předmětného jednání.</w:t>
      </w:r>
    </w:p>
    <w:p w:rsidR="0019200C" w:rsidRPr="0019200C" w:rsidRDefault="0019200C" w:rsidP="0019200C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2232C8" w:rsidRDefault="002232C8" w:rsidP="002232C8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232C8">
        <w:rPr>
          <w:rFonts w:ascii="Arial" w:hAnsi="Arial" w:cs="Arial"/>
          <w:b/>
          <w:sz w:val="22"/>
          <w:szCs w:val="22"/>
          <w:u w:val="single"/>
        </w:rPr>
        <w:t xml:space="preserve">3. Obsah materiálu </w:t>
      </w:r>
    </w:p>
    <w:p w:rsidR="002232C8" w:rsidRPr="002232C8" w:rsidRDefault="002232C8" w:rsidP="002232C8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232C8" w:rsidRDefault="002232C8" w:rsidP="002232C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232C8">
        <w:rPr>
          <w:rFonts w:ascii="Arial" w:hAnsi="Arial" w:cs="Arial"/>
          <w:sz w:val="22"/>
          <w:szCs w:val="22"/>
        </w:rPr>
        <w:t>Obsahem materiál</w:t>
      </w:r>
      <w:r>
        <w:rPr>
          <w:rFonts w:ascii="Arial" w:hAnsi="Arial" w:cs="Arial"/>
          <w:sz w:val="22"/>
          <w:szCs w:val="22"/>
        </w:rPr>
        <w:t>u</w:t>
      </w:r>
      <w:r w:rsidRPr="002232C8">
        <w:rPr>
          <w:rFonts w:ascii="Arial" w:hAnsi="Arial" w:cs="Arial"/>
          <w:sz w:val="22"/>
          <w:szCs w:val="22"/>
        </w:rPr>
        <w:t xml:space="preserve"> je znění uvedené změny přijaté Radou guvernérů MIB v odst. 6 článku 2 Stanov MIB.</w:t>
      </w:r>
    </w:p>
    <w:p w:rsidR="002232C8" w:rsidRPr="002232C8" w:rsidRDefault="002232C8" w:rsidP="002232C8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2232C8" w:rsidRDefault="002232C8" w:rsidP="002232C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232C8">
        <w:rPr>
          <w:rFonts w:ascii="Arial" w:hAnsi="Arial" w:cs="Arial"/>
          <w:sz w:val="22"/>
          <w:szCs w:val="22"/>
        </w:rPr>
        <w:t>Nově tento odstavec zní: „Banka má své sídlo v Budapešti v Maďarsku.“</w:t>
      </w:r>
    </w:p>
    <w:p w:rsidR="002232C8" w:rsidRPr="002232C8" w:rsidRDefault="002232C8" w:rsidP="002232C8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2232C8" w:rsidRDefault="002232C8" w:rsidP="002232C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232C8">
        <w:rPr>
          <w:rFonts w:ascii="Arial" w:hAnsi="Arial" w:cs="Arial"/>
          <w:sz w:val="22"/>
          <w:szCs w:val="22"/>
        </w:rPr>
        <w:t>Materiál také obsahuje znění rozhodnutí Rady guvernérů, ve kterém se hovoří o prozatímním provádění předmětné změny před vstupem v platnost po naplnění potřebných vnitrostátních procedur v každé členské zemi MIB za podmínky, že s tím vláda ČR vysloví souhlas.</w:t>
      </w:r>
      <w:r w:rsidR="0019200C" w:rsidRPr="0019200C">
        <w:rPr>
          <w:rFonts w:ascii="Arial" w:hAnsi="Arial" w:cs="Arial"/>
          <w:sz w:val="22"/>
          <w:szCs w:val="22"/>
        </w:rPr>
        <w:t xml:space="preserve">         </w:t>
      </w:r>
    </w:p>
    <w:p w:rsidR="002232C8" w:rsidRDefault="002232C8" w:rsidP="002232C8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2232C8" w:rsidRPr="002232C8" w:rsidRDefault="002232C8" w:rsidP="003E4026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232C8">
        <w:rPr>
          <w:rFonts w:ascii="Arial" w:hAnsi="Arial" w:cs="Arial"/>
          <w:b/>
          <w:sz w:val="22"/>
          <w:szCs w:val="22"/>
          <w:u w:val="single"/>
        </w:rPr>
        <w:t>4. Změna Dohody o zřízení MIB</w:t>
      </w:r>
    </w:p>
    <w:p w:rsidR="002232C8" w:rsidRDefault="002232C8" w:rsidP="002232C8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2232C8" w:rsidRDefault="002232C8" w:rsidP="002232C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232C8">
        <w:rPr>
          <w:rFonts w:ascii="Arial" w:hAnsi="Arial" w:cs="Arial"/>
          <w:sz w:val="22"/>
          <w:szCs w:val="22"/>
        </w:rPr>
        <w:t xml:space="preserve">Sjednání předmětné změny je v souladu se zahraničně politickými zájmy České republiky, neboť s sebou přinese zásadní změnu ve vnímání této banky („evropská banka“ místo „ruská banka“) a k obměně zaměstnanců a navýšení podílu evropských expertů se zkušenostmi z bankovních sektorů států EU. Se sídlem v Evropě se banka navíc stane atraktivnější pro potenciální nové akcionáře z řad zemí EU. Přesunutím sídla do Budapešti se MIB může v blízké budoucnosti stát regionálně významnou mezinárodní bankou. Status MIB jako evropské banky a navýšení spolupráce s evropskými partnery podpoří kvalitní rating banky, čímž dojde ke zlevnění zdrojů financování MIB a v důsledku také ke zlepšení konkurenceschopnosti služeb MIB i v České republice. </w:t>
      </w:r>
    </w:p>
    <w:p w:rsidR="002232C8" w:rsidRPr="002232C8" w:rsidRDefault="002232C8" w:rsidP="002232C8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2232C8" w:rsidRPr="002232C8" w:rsidRDefault="002232C8" w:rsidP="002232C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232C8">
        <w:rPr>
          <w:rFonts w:ascii="Arial" w:hAnsi="Arial" w:cs="Arial"/>
          <w:sz w:val="22"/>
          <w:szCs w:val="22"/>
        </w:rPr>
        <w:t>Změna Stanov, jež jsou nedílnou součástí Dohody o založení MIB, podléhá podle čl. 49 písm. c), d), e) Ústavy České republiky ratifikaci, neboť se jedná o změnu mezinárodní smlouvy prezidentské kategorie, k jejíž ratifikaci prezidentem republiky je zapotřebí souhlasu obou komor Parlamentu.</w:t>
      </w:r>
    </w:p>
    <w:p w:rsidR="002232C8" w:rsidRDefault="002232C8" w:rsidP="002232C8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2232C8" w:rsidRPr="002232C8" w:rsidRDefault="002232C8" w:rsidP="002232C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232C8">
        <w:rPr>
          <w:rFonts w:ascii="Arial" w:hAnsi="Arial" w:cs="Arial"/>
          <w:sz w:val="22"/>
          <w:szCs w:val="22"/>
        </w:rPr>
        <w:t xml:space="preserve">Předmětná změna je v souladu s ústavním pořádkem a ostatními součástmi právního řádu České republiky, se závazky vyplývajícími z členství České republiky v Evropské unii, se závazky převzatými v rámci jiných platných mezinárodních smluv a s obecně uznávanými zásadami mezinárodního práva. </w:t>
      </w:r>
    </w:p>
    <w:p w:rsidR="002232C8" w:rsidRDefault="002232C8" w:rsidP="002232C8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2232C8" w:rsidRPr="002232C8" w:rsidRDefault="002232C8" w:rsidP="002232C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232C8">
        <w:rPr>
          <w:rFonts w:ascii="Arial" w:hAnsi="Arial" w:cs="Arial"/>
          <w:sz w:val="22"/>
          <w:szCs w:val="22"/>
        </w:rPr>
        <w:t xml:space="preserve">Materiál nemá přímý dopad na podnikatelské prostředí (předpokládá se pozitivní dopad s ohledem na působení MIB na českém trhu) a z hlediska rovnosti žen a mužů je indiferentní. </w:t>
      </w:r>
    </w:p>
    <w:p w:rsidR="002232C8" w:rsidRDefault="002232C8" w:rsidP="002232C8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2232C8" w:rsidRPr="002232C8" w:rsidRDefault="002232C8" w:rsidP="002232C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232C8">
        <w:rPr>
          <w:rFonts w:ascii="Arial" w:hAnsi="Arial" w:cs="Arial"/>
          <w:sz w:val="22"/>
          <w:szCs w:val="22"/>
        </w:rPr>
        <w:t xml:space="preserve">Sjednání předmětné změny nebude mít dopad na státní rozpočet. </w:t>
      </w:r>
    </w:p>
    <w:p w:rsidR="002232C8" w:rsidRDefault="002232C8" w:rsidP="002232C8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2232C8" w:rsidRPr="002232C8" w:rsidRDefault="002232C8" w:rsidP="002232C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232C8">
        <w:rPr>
          <w:rFonts w:ascii="Arial" w:hAnsi="Arial" w:cs="Arial"/>
          <w:sz w:val="22"/>
          <w:szCs w:val="22"/>
        </w:rPr>
        <w:t>Změna bude podléhat ratifikaci Parlamentem ČR a prezidentem.</w:t>
      </w:r>
    </w:p>
    <w:p w:rsidR="002232C8" w:rsidRDefault="002232C8" w:rsidP="002232C8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2232C8" w:rsidRPr="002232C8" w:rsidRDefault="002232C8" w:rsidP="002232C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232C8">
        <w:rPr>
          <w:rFonts w:ascii="Arial" w:hAnsi="Arial" w:cs="Arial"/>
          <w:sz w:val="22"/>
          <w:szCs w:val="22"/>
        </w:rPr>
        <w:t>Provádění pozměněné Dohody o zřízení MIB a jejích Stanov bude v působnosti Ministerstva financí.</w:t>
      </w:r>
    </w:p>
    <w:p w:rsidR="002232C8" w:rsidRDefault="002232C8" w:rsidP="002232C8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85300A" w:rsidRDefault="009E5047" w:rsidP="009E504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ab/>
      </w:r>
      <w:r w:rsidR="006F1042" w:rsidRPr="006F1042">
        <w:rPr>
          <w:rFonts w:ascii="Arial" w:hAnsi="Arial" w:cs="Arial"/>
          <w:i/>
          <w:sz w:val="22"/>
          <w:szCs w:val="22"/>
        </w:rPr>
        <w:t>Usnesením č. 296 souhlasila vláda dne 29. 4. 2019 se změnou čl. 2 odst. 6</w:t>
      </w:r>
      <w:r w:rsidRPr="006F1042">
        <w:rPr>
          <w:rFonts w:ascii="Arial" w:hAnsi="Arial" w:cs="Arial"/>
          <w:i/>
          <w:sz w:val="22"/>
          <w:szCs w:val="22"/>
        </w:rPr>
        <w:t xml:space="preserve"> Stanov Mezinárodní investiční banky, </w:t>
      </w:r>
      <w:r w:rsidR="006F1042" w:rsidRPr="006F1042">
        <w:rPr>
          <w:rFonts w:ascii="Arial" w:hAnsi="Arial" w:cs="Arial"/>
          <w:i/>
          <w:sz w:val="22"/>
          <w:szCs w:val="22"/>
        </w:rPr>
        <w:t>které jsou nedílnou součástí Dohody o zřízení Mezinárodní investiční banky</w:t>
      </w:r>
      <w:r w:rsidR="00920550">
        <w:rPr>
          <w:rFonts w:ascii="Arial" w:hAnsi="Arial" w:cs="Arial"/>
          <w:i/>
          <w:sz w:val="22"/>
          <w:szCs w:val="22"/>
        </w:rPr>
        <w:t xml:space="preserve"> a zároveň s prozatímním prováděním předmětné změny do její plnohodnotné ratifikace všemi členskými státy MIB.</w:t>
      </w:r>
      <w:r w:rsidR="0085300A" w:rsidRPr="006F1042">
        <w:rPr>
          <w:rFonts w:ascii="Arial" w:hAnsi="Arial" w:cs="Arial"/>
          <w:i/>
          <w:sz w:val="22"/>
          <w:szCs w:val="22"/>
        </w:rPr>
        <w:tab/>
      </w:r>
    </w:p>
    <w:p w:rsidR="003E4026" w:rsidRPr="00FB6D8B" w:rsidRDefault="003E4026" w:rsidP="003E4026">
      <w:pPr>
        <w:pStyle w:val="Zkladntextodsazen"/>
        <w:spacing w:before="120" w:after="120"/>
        <w:ind w:left="0"/>
        <w:jc w:val="both"/>
        <w:rPr>
          <w:rFonts w:ascii="Arial" w:hAnsi="Arial" w:cs="Arial"/>
          <w:b/>
          <w:sz w:val="22"/>
          <w:szCs w:val="22"/>
          <w:u w:val="single"/>
          <w:lang w:val="cs-CZ"/>
        </w:rPr>
      </w:pPr>
      <w:r w:rsidRPr="00FB6D8B">
        <w:rPr>
          <w:rFonts w:ascii="Arial" w:hAnsi="Arial" w:cs="Arial"/>
          <w:b/>
          <w:sz w:val="22"/>
          <w:szCs w:val="22"/>
          <w:u w:val="single"/>
          <w:lang w:val="cs-CZ"/>
        </w:rPr>
        <w:t>5. Informace o Mezinárodní investiční bance</w:t>
      </w:r>
    </w:p>
    <w:p w:rsidR="003E4026" w:rsidRPr="00FB6D8B" w:rsidRDefault="003E4026" w:rsidP="003E4026">
      <w:pPr>
        <w:spacing w:before="120" w:after="120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FB6D8B">
        <w:rPr>
          <w:rFonts w:ascii="Arial" w:hAnsi="Arial" w:cs="Arial"/>
          <w:bCs/>
          <w:sz w:val="22"/>
          <w:szCs w:val="22"/>
        </w:rPr>
        <w:t>MIB byla založena vládami členských států RVHP v roce 1970. Akcionáři je  9 států – Ruská federace, Česká republika, Maďarsko</w:t>
      </w:r>
      <w:r w:rsidRPr="00FB6D8B">
        <w:rPr>
          <w:rFonts w:ascii="Arial" w:hAnsi="Arial" w:cs="Arial"/>
          <w:bCs/>
          <w:sz w:val="22"/>
          <w:szCs w:val="22"/>
          <w:vertAlign w:val="superscript"/>
        </w:rPr>
        <w:footnoteReference w:id="3"/>
      </w:r>
      <w:r w:rsidRPr="00FB6D8B">
        <w:rPr>
          <w:rFonts w:ascii="Arial" w:hAnsi="Arial" w:cs="Arial"/>
          <w:bCs/>
          <w:sz w:val="22"/>
          <w:szCs w:val="22"/>
        </w:rPr>
        <w:t xml:space="preserve">, Bulharsko, Rumunsko, Slovensko, Kuba, Mongolsko a Vietnam. Základní kapitál MIB činí 2 mld. EUR, z čehož je nyní splaceno  319 mil. EUR (16%). </w:t>
      </w:r>
    </w:p>
    <w:p w:rsidR="003E4026" w:rsidRPr="00FB6D8B" w:rsidRDefault="003E4026" w:rsidP="003E4026">
      <w:pPr>
        <w:spacing w:before="120" w:after="120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FB6D8B">
        <w:rPr>
          <w:rFonts w:ascii="Arial" w:hAnsi="Arial" w:cs="Arial"/>
          <w:bCs/>
          <w:sz w:val="22"/>
          <w:szCs w:val="22"/>
        </w:rPr>
        <w:t xml:space="preserve">Cílem úvěrové politiky je podpora středně velkých podniků přímými úvěry, velkých podniků pomocí syndikovaného financování a zaměření na exportní financování. MIB také od roku 2015 poskytuje portfolio služeb </w:t>
      </w:r>
      <w:proofErr w:type="spellStart"/>
      <w:r w:rsidRPr="00FB6D8B">
        <w:rPr>
          <w:rFonts w:ascii="Arial" w:hAnsi="Arial" w:cs="Arial"/>
          <w:bCs/>
          <w:sz w:val="22"/>
          <w:szCs w:val="22"/>
        </w:rPr>
        <w:t>trade</w:t>
      </w:r>
      <w:proofErr w:type="spellEnd"/>
      <w:r w:rsidRPr="00FB6D8B">
        <w:rPr>
          <w:rFonts w:ascii="Arial" w:hAnsi="Arial" w:cs="Arial"/>
          <w:bCs/>
          <w:sz w:val="22"/>
          <w:szCs w:val="22"/>
        </w:rPr>
        <w:t xml:space="preserve"> finance. </w:t>
      </w:r>
    </w:p>
    <w:p w:rsidR="003E4026" w:rsidRPr="00FB6D8B" w:rsidRDefault="003E4026" w:rsidP="003E4026">
      <w:pPr>
        <w:spacing w:before="120" w:after="120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FB6D8B">
        <w:rPr>
          <w:rFonts w:ascii="Arial" w:hAnsi="Arial" w:cs="Arial"/>
          <w:bCs/>
          <w:sz w:val="22"/>
          <w:szCs w:val="22"/>
        </w:rPr>
        <w:t xml:space="preserve">MIB od roku 2012 prošla výrazným ozdravěním a nyní již stabilně působí na trzích všech členských zemí. Dynamický vývoj je vidět v nárůstu aktiv, stabilizaci úvěrového portfolia i stabilní výší kapitálu. Postupně se snižuje podíl operací v Ruské federaci a naopak se navyšují operace v zemích EU (EU 50% </w:t>
      </w:r>
      <w:proofErr w:type="spellStart"/>
      <w:r w:rsidRPr="00FB6D8B">
        <w:rPr>
          <w:rFonts w:ascii="Arial" w:hAnsi="Arial" w:cs="Arial"/>
          <w:bCs/>
          <w:sz w:val="22"/>
          <w:szCs w:val="22"/>
        </w:rPr>
        <w:t>vs</w:t>
      </w:r>
      <w:proofErr w:type="spellEnd"/>
      <w:r w:rsidRPr="00FB6D8B">
        <w:rPr>
          <w:rFonts w:ascii="Arial" w:hAnsi="Arial" w:cs="Arial"/>
          <w:bCs/>
          <w:sz w:val="22"/>
          <w:szCs w:val="22"/>
        </w:rPr>
        <w:t xml:space="preserve"> RF 17%), stejně tak jako podíl na kapitálu (RF 47,04%, země EU 49,07%). Přesun sídla do Budapešti by tento trend mohl ještě posílit.  </w:t>
      </w:r>
    </w:p>
    <w:p w:rsidR="003E4026" w:rsidRPr="00FB6D8B" w:rsidRDefault="003E4026" w:rsidP="003E4026">
      <w:pPr>
        <w:spacing w:before="120" w:after="120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FB6D8B">
        <w:rPr>
          <w:rFonts w:ascii="Arial" w:hAnsi="Arial" w:cs="Arial"/>
          <w:bCs/>
          <w:sz w:val="22"/>
          <w:szCs w:val="22"/>
        </w:rPr>
        <w:t xml:space="preserve">V současné době MIB disponuje následujícími mezinárodními ratingy: </w:t>
      </w:r>
      <w:proofErr w:type="spellStart"/>
      <w:r w:rsidRPr="00FB6D8B">
        <w:rPr>
          <w:rFonts w:ascii="Arial" w:hAnsi="Arial" w:cs="Arial"/>
          <w:bCs/>
          <w:sz w:val="22"/>
          <w:szCs w:val="22"/>
        </w:rPr>
        <w:t>Fitch</w:t>
      </w:r>
      <w:proofErr w:type="spellEnd"/>
      <w:r w:rsidRPr="00FB6D8B">
        <w:rPr>
          <w:rFonts w:ascii="Arial" w:hAnsi="Arial" w:cs="Arial"/>
          <w:bCs/>
          <w:sz w:val="22"/>
          <w:szCs w:val="22"/>
        </w:rPr>
        <w:t xml:space="preserve"> BBB+, </w:t>
      </w:r>
      <w:proofErr w:type="spellStart"/>
      <w:r w:rsidRPr="00FB6D8B">
        <w:rPr>
          <w:rFonts w:ascii="Arial" w:hAnsi="Arial" w:cs="Arial"/>
          <w:bCs/>
          <w:sz w:val="22"/>
          <w:szCs w:val="22"/>
        </w:rPr>
        <w:t>Moody´s</w:t>
      </w:r>
      <w:proofErr w:type="spellEnd"/>
      <w:r w:rsidRPr="00FB6D8B">
        <w:rPr>
          <w:rFonts w:ascii="Arial" w:hAnsi="Arial" w:cs="Arial"/>
          <w:bCs/>
          <w:sz w:val="22"/>
          <w:szCs w:val="22"/>
        </w:rPr>
        <w:t xml:space="preserve"> A3, S&amp;P </w:t>
      </w:r>
      <w:r w:rsidR="003929D9">
        <w:rPr>
          <w:rFonts w:ascii="Arial" w:hAnsi="Arial" w:cs="Arial"/>
          <w:bCs/>
          <w:sz w:val="22"/>
          <w:szCs w:val="22"/>
        </w:rPr>
        <w:t>A-</w:t>
      </w:r>
      <w:r w:rsidRPr="00FB6D8B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FB6D8B">
        <w:rPr>
          <w:rFonts w:ascii="Arial" w:hAnsi="Arial" w:cs="Arial"/>
          <w:bCs/>
          <w:sz w:val="22"/>
          <w:szCs w:val="22"/>
        </w:rPr>
        <w:t>Dagong</w:t>
      </w:r>
      <w:proofErr w:type="spellEnd"/>
      <w:r w:rsidRPr="00FB6D8B">
        <w:rPr>
          <w:rFonts w:ascii="Arial" w:hAnsi="Arial" w:cs="Arial"/>
          <w:bCs/>
          <w:sz w:val="22"/>
          <w:szCs w:val="22"/>
        </w:rPr>
        <w:t xml:space="preserve"> (Čína) A. Ty by se po přesunu sídla do Maďarska a získání „evropské adresy“ mohly ještě zvýšit. Tím by došlo i ke zlevnění zdrojů financování MIB, což by v důsledku znamenalo větší konkurenceschopnost služeb MIB i v České republice.</w:t>
      </w:r>
    </w:p>
    <w:p w:rsidR="002F1990" w:rsidRPr="002F1990" w:rsidRDefault="003E4026" w:rsidP="002F1990">
      <w:pPr>
        <w:spacing w:before="120" w:after="120"/>
        <w:jc w:val="center"/>
        <w:rPr>
          <w:rFonts w:ascii="Arial" w:hAnsi="Arial" w:cs="Arial"/>
          <w:i/>
          <w:sz w:val="22"/>
          <w:szCs w:val="22"/>
        </w:rPr>
      </w:pPr>
      <w:r w:rsidRPr="00FB6D8B">
        <w:rPr>
          <w:rFonts w:ascii="Arial" w:hAnsi="Arial" w:cs="Arial"/>
          <w:i/>
          <w:sz w:val="22"/>
          <w:szCs w:val="22"/>
        </w:rPr>
        <w:t xml:space="preserve">Aktuální stav kapitálu (k </w:t>
      </w:r>
      <w:r w:rsidR="004C5021">
        <w:rPr>
          <w:rFonts w:ascii="Arial" w:hAnsi="Arial" w:cs="Arial"/>
          <w:i/>
          <w:sz w:val="22"/>
          <w:szCs w:val="22"/>
        </w:rPr>
        <w:t>28.3.</w:t>
      </w:r>
      <w:r w:rsidR="00FB6D8B">
        <w:rPr>
          <w:rFonts w:ascii="Arial" w:hAnsi="Arial" w:cs="Arial"/>
          <w:i/>
          <w:sz w:val="22"/>
          <w:szCs w:val="22"/>
        </w:rPr>
        <w:t xml:space="preserve"> </w:t>
      </w:r>
      <w:r w:rsidRPr="00FB6D8B">
        <w:rPr>
          <w:rFonts w:ascii="Arial" w:hAnsi="Arial" w:cs="Arial"/>
          <w:i/>
          <w:sz w:val="22"/>
          <w:szCs w:val="22"/>
        </w:rPr>
        <w:t>2018)</w:t>
      </w:r>
      <w:r w:rsidR="004C5021">
        <w:fldChar w:fldCharType="begin"/>
      </w:r>
      <w:r w:rsidR="004C5021">
        <w:instrText xml:space="preserve"> LINK </w:instrText>
      </w:r>
      <w:r w:rsidR="002F1990">
        <w:instrText xml:space="preserve">Excel.Sheet.8 "C:\\Users\\14015\\Documents\\Ruské banky\\PODÍLY STÁTŮ.xls" List1!R21C1:R33C5 </w:instrText>
      </w:r>
      <w:r w:rsidR="004C5021">
        <w:instrText xml:space="preserve">\a \f 4 \h  \* MERGEFORMAT </w:instrText>
      </w:r>
      <w:r w:rsidR="004C5021">
        <w:fldChar w:fldCharType="separate"/>
      </w:r>
    </w:p>
    <w:tbl>
      <w:tblPr>
        <w:tblW w:w="7841" w:type="dxa"/>
        <w:jc w:val="center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8"/>
        <w:gridCol w:w="1186"/>
        <w:gridCol w:w="474"/>
        <w:gridCol w:w="1475"/>
        <w:gridCol w:w="463"/>
        <w:gridCol w:w="969"/>
        <w:gridCol w:w="846"/>
        <w:gridCol w:w="260"/>
      </w:tblGrid>
      <w:tr w:rsidR="002F1990" w:rsidRPr="002F1990" w:rsidTr="002F1990">
        <w:trPr>
          <w:gridAfter w:val="1"/>
          <w:divId w:val="1626157669"/>
          <w:wAfter w:w="260" w:type="dxa"/>
          <w:trHeight w:val="330"/>
          <w:jc w:val="center"/>
        </w:trPr>
        <w:tc>
          <w:tcPr>
            <w:tcW w:w="335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99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ind w:left="-637" w:firstLine="637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základní kapitál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splacený kapitál</w:t>
            </w:r>
          </w:p>
        </w:tc>
      </w:tr>
      <w:tr w:rsidR="002F1990" w:rsidRPr="002F1990" w:rsidTr="002F1990">
        <w:trPr>
          <w:divId w:val="1626157669"/>
          <w:trHeight w:val="270"/>
          <w:jc w:val="center"/>
        </w:trPr>
        <w:tc>
          <w:tcPr>
            <w:tcW w:w="2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2F19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stát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2F19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mil. EUR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2F19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% </w:t>
            </w:r>
          </w:p>
        </w:tc>
        <w:tc>
          <w:tcPr>
            <w:tcW w:w="1432" w:type="dxa"/>
            <w:gridSpan w:val="2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2F19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mil. EUR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2F19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% </w:t>
            </w:r>
          </w:p>
        </w:tc>
      </w:tr>
      <w:tr w:rsidR="002F1990" w:rsidRPr="002F1990" w:rsidTr="002F1990">
        <w:trPr>
          <w:divId w:val="1626157669"/>
          <w:trHeight w:val="270"/>
          <w:jc w:val="center"/>
        </w:trPr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Ruská federace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580,7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29,04%</w:t>
            </w:r>
          </w:p>
        </w:tc>
        <w:tc>
          <w:tcPr>
            <w:tcW w:w="143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 xml:space="preserve">150,03   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45,52%</w:t>
            </w:r>
          </w:p>
        </w:tc>
      </w:tr>
      <w:tr w:rsidR="002F1990" w:rsidRPr="002F1990" w:rsidTr="002F1990">
        <w:trPr>
          <w:divId w:val="1626157669"/>
          <w:trHeight w:val="255"/>
          <w:jc w:val="center"/>
        </w:trPr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Bulharsko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123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6,15%</w:t>
            </w:r>
          </w:p>
        </w:tc>
        <w:tc>
          <w:tcPr>
            <w:tcW w:w="143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 xml:space="preserve">42,20   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12,80%</w:t>
            </w:r>
          </w:p>
        </w:tc>
      </w:tr>
      <w:tr w:rsidR="002F1990" w:rsidRPr="002F1990" w:rsidTr="002F1990">
        <w:trPr>
          <w:divId w:val="1626157669"/>
          <w:trHeight w:val="255"/>
          <w:jc w:val="center"/>
        </w:trPr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Maďarsko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121,4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6,07%</w:t>
            </w:r>
          </w:p>
        </w:tc>
        <w:tc>
          <w:tcPr>
            <w:tcW w:w="143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 xml:space="preserve">40,00   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12,14%</w:t>
            </w:r>
          </w:p>
        </w:tc>
      </w:tr>
      <w:tr w:rsidR="002F1990" w:rsidRPr="002F1990" w:rsidTr="002F1990">
        <w:trPr>
          <w:divId w:val="1626157669"/>
          <w:trHeight w:val="255"/>
          <w:jc w:val="center"/>
        </w:trPr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Česká republika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125,6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6,28%</w:t>
            </w:r>
          </w:p>
        </w:tc>
        <w:tc>
          <w:tcPr>
            <w:tcW w:w="143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 xml:space="preserve">37,37   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11,34%</w:t>
            </w:r>
          </w:p>
        </w:tc>
      </w:tr>
      <w:tr w:rsidR="002F1990" w:rsidRPr="002F1990" w:rsidTr="002F1990">
        <w:trPr>
          <w:divId w:val="1626157669"/>
          <w:trHeight w:val="255"/>
          <w:jc w:val="center"/>
        </w:trPr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Rumunsko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76,7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3,84%</w:t>
            </w:r>
          </w:p>
        </w:tc>
        <w:tc>
          <w:tcPr>
            <w:tcW w:w="143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 xml:space="preserve">26,10   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7,92%</w:t>
            </w:r>
          </w:p>
        </w:tc>
      </w:tr>
      <w:tr w:rsidR="002F1990" w:rsidRPr="002F1990" w:rsidTr="002F1990">
        <w:trPr>
          <w:divId w:val="1626157669"/>
          <w:trHeight w:val="255"/>
          <w:jc w:val="center"/>
        </w:trPr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Slovensko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62,8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3,14%</w:t>
            </w:r>
          </w:p>
        </w:tc>
        <w:tc>
          <w:tcPr>
            <w:tcW w:w="143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 xml:space="preserve">21,48   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6,52%</w:t>
            </w:r>
          </w:p>
        </w:tc>
      </w:tr>
      <w:tr w:rsidR="002F1990" w:rsidRPr="002F1990" w:rsidTr="002F1990">
        <w:trPr>
          <w:divId w:val="1626157669"/>
          <w:trHeight w:val="255"/>
          <w:jc w:val="center"/>
        </w:trPr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Kuba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23,4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1,2%</w:t>
            </w:r>
          </w:p>
        </w:tc>
        <w:tc>
          <w:tcPr>
            <w:tcW w:w="143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 xml:space="preserve">5,36   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1,63%</w:t>
            </w:r>
          </w:p>
        </w:tc>
      </w:tr>
      <w:tr w:rsidR="002F1990" w:rsidRPr="002F1990" w:rsidTr="002F1990">
        <w:trPr>
          <w:divId w:val="1626157669"/>
          <w:trHeight w:val="255"/>
          <w:jc w:val="center"/>
        </w:trPr>
        <w:tc>
          <w:tcPr>
            <w:tcW w:w="21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Vietnam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4,7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0,24%</w:t>
            </w:r>
          </w:p>
        </w:tc>
        <w:tc>
          <w:tcPr>
            <w:tcW w:w="143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 xml:space="preserve">3,67   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ind w:left="-665" w:firstLine="665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1,11%</w:t>
            </w:r>
          </w:p>
        </w:tc>
      </w:tr>
      <w:tr w:rsidR="002F1990" w:rsidRPr="002F1990" w:rsidTr="002F1990">
        <w:trPr>
          <w:divId w:val="1626157669"/>
          <w:trHeight w:val="270"/>
          <w:jc w:val="center"/>
        </w:trPr>
        <w:tc>
          <w:tcPr>
            <w:tcW w:w="2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Mongolsko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6,2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0,31%</w:t>
            </w:r>
          </w:p>
        </w:tc>
        <w:tc>
          <w:tcPr>
            <w:tcW w:w="143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 xml:space="preserve">3,39   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2F1990">
              <w:rPr>
                <w:rFonts w:ascii="Arial" w:hAnsi="Arial" w:cs="Arial"/>
                <w:i/>
                <w:iCs/>
                <w:sz w:val="22"/>
                <w:szCs w:val="22"/>
              </w:rPr>
              <w:t>1,03%</w:t>
            </w:r>
          </w:p>
        </w:tc>
      </w:tr>
      <w:tr w:rsidR="002F1990" w:rsidRPr="002F1990" w:rsidTr="002F1990">
        <w:trPr>
          <w:divId w:val="1626157669"/>
          <w:trHeight w:val="270"/>
          <w:jc w:val="center"/>
        </w:trPr>
        <w:tc>
          <w:tcPr>
            <w:tcW w:w="21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1990">
              <w:rPr>
                <w:rFonts w:ascii="Arial" w:hAnsi="Arial" w:cs="Arial"/>
                <w:sz w:val="22"/>
                <w:szCs w:val="22"/>
              </w:rPr>
              <w:t>nerozdělená kvóta</w:t>
            </w:r>
          </w:p>
        </w:tc>
        <w:tc>
          <w:tcPr>
            <w:tcW w:w="16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2F1990">
              <w:rPr>
                <w:rFonts w:ascii="Arial" w:hAnsi="Arial" w:cs="Arial"/>
                <w:i/>
                <w:iCs/>
                <w:sz w:val="22"/>
                <w:szCs w:val="22"/>
              </w:rPr>
              <w:t>875,5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2F1990">
              <w:rPr>
                <w:rFonts w:ascii="Arial" w:hAnsi="Arial" w:cs="Arial"/>
                <w:i/>
                <w:iCs/>
                <w:sz w:val="22"/>
                <w:szCs w:val="22"/>
              </w:rPr>
              <w:t>43,78%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2F1990">
              <w:rPr>
                <w:rFonts w:ascii="Arial" w:hAnsi="Arial" w:cs="Arial"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2F1990">
              <w:rPr>
                <w:rFonts w:ascii="Arial" w:hAnsi="Arial" w:cs="Arial"/>
                <w:i/>
                <w:iCs/>
                <w:sz w:val="22"/>
                <w:szCs w:val="22"/>
              </w:rPr>
              <w:t>0,00%</w:t>
            </w:r>
          </w:p>
        </w:tc>
      </w:tr>
      <w:tr w:rsidR="002F1990" w:rsidRPr="002F1990" w:rsidTr="002F1990">
        <w:trPr>
          <w:divId w:val="1626157669"/>
          <w:trHeight w:val="270"/>
          <w:jc w:val="center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990">
              <w:rPr>
                <w:rFonts w:ascii="Arial" w:hAnsi="Arial" w:cs="Arial"/>
                <w:b/>
                <w:bCs/>
                <w:sz w:val="22"/>
                <w:szCs w:val="22"/>
              </w:rPr>
              <w:t>CELKEM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990">
              <w:rPr>
                <w:rFonts w:ascii="Arial" w:hAnsi="Arial" w:cs="Arial"/>
                <w:b/>
                <w:bCs/>
                <w:sz w:val="22"/>
                <w:szCs w:val="22"/>
              </w:rPr>
              <w:t>2000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990">
              <w:rPr>
                <w:rFonts w:ascii="Arial" w:hAnsi="Arial" w:cs="Arial"/>
                <w:b/>
                <w:bCs/>
                <w:sz w:val="22"/>
                <w:szCs w:val="22"/>
              </w:rPr>
              <w:t>100%</w:t>
            </w:r>
          </w:p>
        </w:tc>
        <w:tc>
          <w:tcPr>
            <w:tcW w:w="1432" w:type="dxa"/>
            <w:gridSpan w:val="2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990">
              <w:rPr>
                <w:rFonts w:ascii="Arial" w:hAnsi="Arial" w:cs="Arial"/>
                <w:b/>
                <w:bCs/>
                <w:sz w:val="22"/>
                <w:szCs w:val="22"/>
              </w:rPr>
              <w:t>329,6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1990" w:rsidRPr="002F1990" w:rsidRDefault="002F1990" w:rsidP="002F1990">
            <w:pPr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990">
              <w:rPr>
                <w:rFonts w:ascii="Arial" w:hAnsi="Arial" w:cs="Arial"/>
                <w:b/>
                <w:bCs/>
                <w:sz w:val="22"/>
                <w:szCs w:val="22"/>
              </w:rPr>
              <w:t>100,00%</w:t>
            </w:r>
          </w:p>
        </w:tc>
      </w:tr>
    </w:tbl>
    <w:p w:rsidR="003E4026" w:rsidRPr="00FB6D8B" w:rsidRDefault="004C5021" w:rsidP="004C5021">
      <w:pPr>
        <w:spacing w:before="120" w:after="12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fldChar w:fldCharType="end"/>
      </w:r>
    </w:p>
    <w:p w:rsidR="003E4026" w:rsidRPr="00FB6D8B" w:rsidRDefault="003E4026" w:rsidP="003E4026">
      <w:pPr>
        <w:jc w:val="center"/>
        <w:rPr>
          <w:rFonts w:ascii="Arial" w:hAnsi="Arial" w:cs="Arial"/>
          <w:i/>
          <w:sz w:val="22"/>
          <w:szCs w:val="22"/>
        </w:rPr>
      </w:pPr>
      <w:r w:rsidRPr="00FB6D8B">
        <w:rPr>
          <w:rFonts w:ascii="Arial" w:hAnsi="Arial" w:cs="Arial"/>
          <w:i/>
          <w:sz w:val="22"/>
          <w:szCs w:val="22"/>
        </w:rPr>
        <w:t>Finanční ukazatele (v mil. EUR) k 31.</w:t>
      </w:r>
      <w:r w:rsidR="00FB6D8B">
        <w:rPr>
          <w:rFonts w:ascii="Arial" w:hAnsi="Arial" w:cs="Arial"/>
          <w:i/>
          <w:sz w:val="22"/>
          <w:szCs w:val="22"/>
        </w:rPr>
        <w:t xml:space="preserve"> </w:t>
      </w:r>
      <w:r w:rsidRPr="00FB6D8B">
        <w:rPr>
          <w:rFonts w:ascii="Arial" w:hAnsi="Arial" w:cs="Arial"/>
          <w:i/>
          <w:sz w:val="22"/>
          <w:szCs w:val="22"/>
        </w:rPr>
        <w:t>12.</w:t>
      </w:r>
      <w:r w:rsidR="00FB6D8B">
        <w:rPr>
          <w:rFonts w:ascii="Arial" w:hAnsi="Arial" w:cs="Arial"/>
          <w:i/>
          <w:sz w:val="22"/>
          <w:szCs w:val="22"/>
        </w:rPr>
        <w:t xml:space="preserve"> </w:t>
      </w:r>
      <w:r w:rsidRPr="00FB6D8B">
        <w:rPr>
          <w:rFonts w:ascii="Arial" w:hAnsi="Arial" w:cs="Arial"/>
          <w:i/>
          <w:sz w:val="22"/>
          <w:szCs w:val="22"/>
        </w:rPr>
        <w:t>2018</w:t>
      </w:r>
    </w:p>
    <w:tbl>
      <w:tblPr>
        <w:tblW w:w="0" w:type="auto"/>
        <w:jc w:val="center"/>
        <w:shd w:val="clear" w:color="auto" w:fill="D9D9D9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659"/>
        <w:gridCol w:w="26"/>
        <w:gridCol w:w="571"/>
        <w:gridCol w:w="571"/>
        <w:gridCol w:w="691"/>
        <w:gridCol w:w="691"/>
        <w:gridCol w:w="691"/>
        <w:gridCol w:w="691"/>
      </w:tblGrid>
      <w:tr w:rsidR="003E4026" w:rsidRPr="00FB6D8B" w:rsidTr="00F70BE8">
        <w:trPr>
          <w:trHeight w:val="339"/>
          <w:jc w:val="center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BFB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E4026" w:rsidRPr="00FB6D8B" w:rsidRDefault="003E4026" w:rsidP="00F70B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b/>
                <w:bCs/>
                <w:sz w:val="22"/>
                <w:szCs w:val="22"/>
              </w:rPr>
              <w:t>(v mil. EUR)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BFBF"/>
          </w:tcPr>
          <w:p w:rsidR="003E4026" w:rsidRPr="00FB6D8B" w:rsidRDefault="003E4026" w:rsidP="00F70BE8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BFBF"/>
            <w:vAlign w:val="center"/>
          </w:tcPr>
          <w:p w:rsidR="003E4026" w:rsidRPr="00FB6D8B" w:rsidRDefault="003E4026" w:rsidP="00F70BE8">
            <w:pPr>
              <w:jc w:val="both"/>
              <w:rPr>
                <w:rFonts w:ascii="Arial" w:hAnsi="Arial" w:cs="Arial"/>
                <w:b/>
                <w:i/>
                <w:color w:val="000000"/>
                <w:kern w:val="24"/>
                <w:sz w:val="22"/>
                <w:szCs w:val="22"/>
              </w:rPr>
            </w:pPr>
            <w:r w:rsidRPr="00FB6D8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2018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BFBF"/>
            <w:vAlign w:val="center"/>
          </w:tcPr>
          <w:p w:rsidR="003E4026" w:rsidRPr="00FB6D8B" w:rsidRDefault="003E4026" w:rsidP="00F70B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2017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BFB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E4026" w:rsidRPr="00FB6D8B" w:rsidRDefault="003E4026" w:rsidP="00F70BE8">
            <w:pPr>
              <w:ind w:left="-118" w:firstLine="11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b/>
                <w:bCs/>
                <w:sz w:val="22"/>
                <w:szCs w:val="22"/>
              </w:rPr>
              <w:t>2016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BFB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E4026" w:rsidRPr="00FB6D8B" w:rsidRDefault="003E4026" w:rsidP="00F70B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b/>
                <w:bCs/>
                <w:sz w:val="22"/>
                <w:szCs w:val="22"/>
              </w:rPr>
              <w:t>2015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BFB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E4026" w:rsidRPr="00FB6D8B" w:rsidRDefault="003E4026" w:rsidP="00F70B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b/>
                <w:bCs/>
                <w:sz w:val="22"/>
                <w:szCs w:val="22"/>
              </w:rPr>
              <w:t>2014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BFB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E4026" w:rsidRPr="00FB6D8B" w:rsidRDefault="003E4026" w:rsidP="00F70B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b/>
                <w:bCs/>
                <w:sz w:val="22"/>
                <w:szCs w:val="22"/>
              </w:rPr>
              <w:t>2013</w:t>
            </w:r>
          </w:p>
        </w:tc>
      </w:tr>
      <w:tr w:rsidR="003E4026" w:rsidRPr="00FB6D8B" w:rsidTr="00F70BE8">
        <w:trPr>
          <w:trHeight w:val="171"/>
          <w:jc w:val="center"/>
        </w:trPr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E4026" w:rsidRPr="00FB6D8B" w:rsidRDefault="003E4026" w:rsidP="00F70B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b/>
                <w:bCs/>
                <w:sz w:val="22"/>
                <w:szCs w:val="22"/>
              </w:rPr>
              <w:t>Aktiva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</w:tcPr>
          <w:p w:rsidR="003E4026" w:rsidRPr="00FB6D8B" w:rsidRDefault="003E4026" w:rsidP="00F70B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1 194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1 096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881,4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809,4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611,5</w:t>
            </w:r>
          </w:p>
        </w:tc>
        <w:tc>
          <w:tcPr>
            <w:tcW w:w="0" w:type="auto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411,1</w:t>
            </w:r>
          </w:p>
        </w:tc>
      </w:tr>
      <w:tr w:rsidR="003E4026" w:rsidRPr="00FB6D8B" w:rsidTr="00F70BE8">
        <w:trPr>
          <w:trHeight w:val="217"/>
          <w:jc w:val="center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E4026" w:rsidRPr="00FB6D8B" w:rsidRDefault="003E4026" w:rsidP="00F70B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Úvěrové portfolio </w:t>
            </w:r>
            <w:r w:rsidRPr="00FB6D8B">
              <w:rPr>
                <w:rFonts w:ascii="Arial" w:hAnsi="Arial" w:cs="Arial"/>
                <w:bCs/>
                <w:i/>
                <w:sz w:val="22"/>
                <w:szCs w:val="22"/>
              </w:rPr>
              <w:t>(netto)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</w:tcPr>
          <w:p w:rsidR="003E4026" w:rsidRPr="00FB6D8B" w:rsidRDefault="003E4026" w:rsidP="00F70B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753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664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363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306,3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240,3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96,4</w:t>
            </w:r>
          </w:p>
        </w:tc>
      </w:tr>
      <w:tr w:rsidR="003E4026" w:rsidRPr="00FB6D8B" w:rsidTr="00F70BE8">
        <w:trPr>
          <w:trHeight w:val="251"/>
          <w:jc w:val="center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E4026" w:rsidRPr="00FB6D8B" w:rsidRDefault="003E4026" w:rsidP="00F70B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B6D8B">
              <w:rPr>
                <w:rFonts w:ascii="Arial" w:hAnsi="Arial" w:cs="Arial"/>
                <w:b/>
                <w:bCs/>
                <w:sz w:val="22"/>
                <w:szCs w:val="22"/>
              </w:rPr>
              <w:t>Equity</w:t>
            </w:r>
            <w:proofErr w:type="spellEnd"/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</w:tcPr>
          <w:p w:rsidR="003E4026" w:rsidRPr="00FB6D8B" w:rsidRDefault="003E4026" w:rsidP="00F70B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375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395,6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390,2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397,7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389,4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352,4</w:t>
            </w:r>
          </w:p>
        </w:tc>
      </w:tr>
      <w:tr w:rsidR="003E4026" w:rsidRPr="00FB6D8B" w:rsidTr="00F70BE8">
        <w:trPr>
          <w:trHeight w:val="285"/>
          <w:jc w:val="center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E4026" w:rsidRPr="00FB6D8B" w:rsidRDefault="003E4026" w:rsidP="00F70B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b/>
                <w:bCs/>
                <w:sz w:val="22"/>
                <w:szCs w:val="22"/>
              </w:rPr>
              <w:t>Čistý zisk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</w:tcPr>
          <w:p w:rsidR="003E4026" w:rsidRPr="00FB6D8B" w:rsidRDefault="003E4026" w:rsidP="00F70B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5,1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1,1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2,1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4,8</w:t>
            </w:r>
          </w:p>
        </w:tc>
      </w:tr>
      <w:tr w:rsidR="003E4026" w:rsidRPr="00FB6D8B" w:rsidTr="00F70BE8">
        <w:trPr>
          <w:trHeight w:val="353"/>
          <w:jc w:val="center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E4026" w:rsidRPr="00FB6D8B" w:rsidRDefault="003E4026" w:rsidP="00F70B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B6D8B">
              <w:rPr>
                <w:rFonts w:ascii="Arial" w:hAnsi="Arial" w:cs="Arial"/>
                <w:b/>
                <w:bCs/>
                <w:sz w:val="22"/>
                <w:szCs w:val="22"/>
              </w:rPr>
              <w:t>NPLs</w:t>
            </w:r>
            <w:proofErr w:type="spellEnd"/>
            <w:r w:rsidRPr="00FB6D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</w:tcPr>
          <w:p w:rsidR="003E4026" w:rsidRPr="00FB6D8B" w:rsidRDefault="003E4026" w:rsidP="00F70B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1,9%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4,5%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3,9%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3,3%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3,4%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:rsidR="003E4026" w:rsidRPr="00FB6D8B" w:rsidRDefault="003E4026" w:rsidP="00F7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6D8B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:rsidR="00AE739B" w:rsidRDefault="003E4026" w:rsidP="00AE739B">
      <w:pPr>
        <w:spacing w:before="120" w:after="120"/>
        <w:rPr>
          <w:rFonts w:ascii="Arial" w:hAnsi="Arial" w:cs="Arial"/>
          <w:sz w:val="22"/>
          <w:szCs w:val="22"/>
        </w:rPr>
      </w:pPr>
      <w:r w:rsidRPr="00FB6D8B">
        <w:rPr>
          <w:rFonts w:ascii="Arial" w:hAnsi="Arial" w:cs="Arial"/>
          <w:sz w:val="22"/>
          <w:szCs w:val="22"/>
        </w:rPr>
        <w:tab/>
      </w:r>
    </w:p>
    <w:p w:rsidR="00AE739B" w:rsidRPr="00AE739B" w:rsidRDefault="00AE739B" w:rsidP="00AE739B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AE739B">
        <w:rPr>
          <w:rFonts w:ascii="Arial" w:hAnsi="Arial" w:cs="Arial"/>
          <w:sz w:val="22"/>
          <w:szCs w:val="22"/>
        </w:rPr>
        <w:lastRenderedPageBreak/>
        <w:t xml:space="preserve">V Praze dne </w:t>
      </w:r>
      <w:r w:rsidR="00210B96">
        <w:rPr>
          <w:rFonts w:ascii="Arial" w:hAnsi="Arial" w:cs="Arial"/>
          <w:sz w:val="22"/>
          <w:szCs w:val="22"/>
        </w:rPr>
        <w:t>11.</w:t>
      </w:r>
      <w:r>
        <w:rPr>
          <w:rFonts w:ascii="Arial" w:hAnsi="Arial" w:cs="Arial"/>
          <w:sz w:val="22"/>
          <w:szCs w:val="22"/>
        </w:rPr>
        <w:t xml:space="preserve"> června 2019</w:t>
      </w:r>
    </w:p>
    <w:p w:rsidR="00AE739B" w:rsidRDefault="00AE739B" w:rsidP="00AE739B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AE739B">
        <w:rPr>
          <w:rFonts w:ascii="Arial" w:hAnsi="Arial" w:cs="Arial"/>
          <w:sz w:val="22"/>
          <w:szCs w:val="22"/>
        </w:rPr>
        <w:t>Předseda vlády:</w:t>
      </w:r>
    </w:p>
    <w:p w:rsidR="00210B96" w:rsidRPr="00AE739B" w:rsidRDefault="00210B96" w:rsidP="00AE739B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Ing. Andrej </w:t>
      </w:r>
      <w:proofErr w:type="spellStart"/>
      <w:r>
        <w:rPr>
          <w:rFonts w:ascii="Arial" w:hAnsi="Arial" w:cs="Arial"/>
          <w:sz w:val="22"/>
          <w:szCs w:val="22"/>
        </w:rPr>
        <w:t>Babiš</w:t>
      </w:r>
      <w:bookmarkStart w:id="0" w:name="_GoBack"/>
      <w:bookmarkEnd w:id="0"/>
      <w:proofErr w:type="spellEnd"/>
      <w:r>
        <w:rPr>
          <w:rFonts w:ascii="Arial" w:hAnsi="Arial" w:cs="Arial"/>
          <w:sz w:val="22"/>
          <w:szCs w:val="22"/>
        </w:rPr>
        <w:t xml:space="preserve"> v. r.</w:t>
      </w:r>
    </w:p>
    <w:p w:rsidR="003E4026" w:rsidRPr="004C5021" w:rsidRDefault="003E4026" w:rsidP="004C5021">
      <w:pPr>
        <w:spacing w:before="120" w:after="120"/>
        <w:rPr>
          <w:rFonts w:ascii="Arial" w:hAnsi="Arial" w:cs="Arial"/>
          <w:sz w:val="22"/>
          <w:szCs w:val="22"/>
        </w:rPr>
      </w:pPr>
    </w:p>
    <w:sectPr w:rsidR="003E4026" w:rsidRPr="004C5021">
      <w:footerReference w:type="default" r:id="rId8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264" w:rsidRDefault="00EE1264">
      <w:r>
        <w:separator/>
      </w:r>
    </w:p>
  </w:endnote>
  <w:endnote w:type="continuationSeparator" w:id="0">
    <w:p w:rsidR="00EE1264" w:rsidRDefault="00EE1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DCD" w:rsidRPr="00C110F9" w:rsidRDefault="00517DCD" w:rsidP="00C110F9">
    <w:pPr>
      <w:pStyle w:val="Zpat"/>
      <w:jc w:val="center"/>
      <w:rPr>
        <w:sz w:val="20"/>
        <w:szCs w:val="20"/>
      </w:rPr>
    </w:pPr>
    <w:r w:rsidRPr="00C110F9">
      <w:rPr>
        <w:sz w:val="20"/>
        <w:szCs w:val="20"/>
      </w:rPr>
      <w:t xml:space="preserve">- </w:t>
    </w:r>
    <w:r w:rsidRPr="00C110F9">
      <w:rPr>
        <w:sz w:val="20"/>
        <w:szCs w:val="20"/>
      </w:rPr>
      <w:fldChar w:fldCharType="begin"/>
    </w:r>
    <w:r w:rsidRPr="00C110F9">
      <w:rPr>
        <w:sz w:val="20"/>
        <w:szCs w:val="20"/>
      </w:rPr>
      <w:instrText xml:space="preserve"> PAGE </w:instrText>
    </w:r>
    <w:r w:rsidRPr="00C110F9">
      <w:rPr>
        <w:sz w:val="20"/>
        <w:szCs w:val="20"/>
      </w:rPr>
      <w:fldChar w:fldCharType="separate"/>
    </w:r>
    <w:r w:rsidR="006848E5">
      <w:rPr>
        <w:noProof/>
        <w:sz w:val="20"/>
        <w:szCs w:val="20"/>
      </w:rPr>
      <w:t>1</w:t>
    </w:r>
    <w:r w:rsidRPr="00C110F9">
      <w:rPr>
        <w:sz w:val="20"/>
        <w:szCs w:val="20"/>
      </w:rPr>
      <w:fldChar w:fldCharType="end"/>
    </w:r>
    <w:r w:rsidRPr="00C110F9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264" w:rsidRDefault="00EE1264">
      <w:r>
        <w:separator/>
      </w:r>
    </w:p>
  </w:footnote>
  <w:footnote w:type="continuationSeparator" w:id="0">
    <w:p w:rsidR="00EE1264" w:rsidRDefault="00EE1264">
      <w:r>
        <w:continuationSeparator/>
      </w:r>
    </w:p>
  </w:footnote>
  <w:footnote w:id="1">
    <w:p w:rsidR="003E4026" w:rsidRDefault="003E4026" w:rsidP="003E4026">
      <w:pPr>
        <w:pStyle w:val="Textpoznpodarou"/>
      </w:pPr>
      <w:r>
        <w:rPr>
          <w:rStyle w:val="Znakapoznpodarou"/>
        </w:rPr>
        <w:footnoteRef/>
      </w:r>
      <w:r>
        <w:t xml:space="preserve"> Hostitelská dohoda mezi Maďarskem a MIB byla podepsána dne 5. února 2019 v Budapešti. Nyní bude probíhat její ratifikace Parlamentem Maďarska.</w:t>
      </w:r>
    </w:p>
  </w:footnote>
  <w:footnote w:id="2">
    <w:p w:rsidR="00F600DC" w:rsidRDefault="00F600DC">
      <w:pPr>
        <w:pStyle w:val="Textpoznpodarou"/>
      </w:pPr>
      <w:r>
        <w:rPr>
          <w:rStyle w:val="Znakapoznpodarou"/>
        </w:rPr>
        <w:footnoteRef/>
      </w:r>
      <w:r>
        <w:t xml:space="preserve"> K</w:t>
      </w:r>
      <w:r w:rsidRPr="00F600DC">
        <w:t>onsolidované znění Dohody bylo publikováno ve Sbírce mezinárodních smluv č. 48 / 2018 (částka 32)</w:t>
      </w:r>
      <w:r>
        <w:t xml:space="preserve"> 9. listopadu 2018.</w:t>
      </w:r>
    </w:p>
  </w:footnote>
  <w:footnote w:id="3">
    <w:p w:rsidR="003E4026" w:rsidRPr="009A7188" w:rsidRDefault="003E4026" w:rsidP="003E4026">
      <w:pPr>
        <w:pStyle w:val="Textpoznpodarou"/>
      </w:pPr>
      <w:r w:rsidRPr="00681A29">
        <w:rPr>
          <w:rStyle w:val="Znakapoznpodarou"/>
        </w:rPr>
        <w:footnoteRef/>
      </w:r>
      <w:r w:rsidRPr="009A7188">
        <w:t xml:space="preserve"> K obnovení členství Maďarska v MIB, které původně vystoupilo v 90. letech, došlo v květnu 2015.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0B"/>
    <w:rsid w:val="000033C7"/>
    <w:rsid w:val="00011F97"/>
    <w:rsid w:val="000353F8"/>
    <w:rsid w:val="000368B3"/>
    <w:rsid w:val="000C6DE7"/>
    <w:rsid w:val="000E0B3C"/>
    <w:rsid w:val="001369E1"/>
    <w:rsid w:val="00145EF3"/>
    <w:rsid w:val="0017769F"/>
    <w:rsid w:val="0019200C"/>
    <w:rsid w:val="00193610"/>
    <w:rsid w:val="001E0BBF"/>
    <w:rsid w:val="00210B96"/>
    <w:rsid w:val="00216D41"/>
    <w:rsid w:val="002232C8"/>
    <w:rsid w:val="002331DE"/>
    <w:rsid w:val="002440BD"/>
    <w:rsid w:val="002A672E"/>
    <w:rsid w:val="002B6C17"/>
    <w:rsid w:val="002F1990"/>
    <w:rsid w:val="003130CC"/>
    <w:rsid w:val="00342072"/>
    <w:rsid w:val="00361DDC"/>
    <w:rsid w:val="00371422"/>
    <w:rsid w:val="003929D9"/>
    <w:rsid w:val="003A59AF"/>
    <w:rsid w:val="003E4026"/>
    <w:rsid w:val="003F0CA0"/>
    <w:rsid w:val="003F4534"/>
    <w:rsid w:val="0040404C"/>
    <w:rsid w:val="00406C16"/>
    <w:rsid w:val="00421876"/>
    <w:rsid w:val="00422CA2"/>
    <w:rsid w:val="004B32FF"/>
    <w:rsid w:val="004C5021"/>
    <w:rsid w:val="004F1791"/>
    <w:rsid w:val="00517DCD"/>
    <w:rsid w:val="005476CA"/>
    <w:rsid w:val="00560822"/>
    <w:rsid w:val="0056661A"/>
    <w:rsid w:val="00574B2B"/>
    <w:rsid w:val="00580921"/>
    <w:rsid w:val="005A23BF"/>
    <w:rsid w:val="005A6304"/>
    <w:rsid w:val="0067375E"/>
    <w:rsid w:val="006764C1"/>
    <w:rsid w:val="006848E5"/>
    <w:rsid w:val="006858E5"/>
    <w:rsid w:val="00696458"/>
    <w:rsid w:val="006D0316"/>
    <w:rsid w:val="006E70BC"/>
    <w:rsid w:val="006F1042"/>
    <w:rsid w:val="00732705"/>
    <w:rsid w:val="0078606D"/>
    <w:rsid w:val="007A0E35"/>
    <w:rsid w:val="007F16DF"/>
    <w:rsid w:val="007F19E6"/>
    <w:rsid w:val="00804CE1"/>
    <w:rsid w:val="00810F26"/>
    <w:rsid w:val="0085300A"/>
    <w:rsid w:val="008B303C"/>
    <w:rsid w:val="008C1953"/>
    <w:rsid w:val="008F6257"/>
    <w:rsid w:val="00920550"/>
    <w:rsid w:val="00942359"/>
    <w:rsid w:val="00990E91"/>
    <w:rsid w:val="009E5047"/>
    <w:rsid w:val="009F4360"/>
    <w:rsid w:val="00A0291F"/>
    <w:rsid w:val="00A21197"/>
    <w:rsid w:val="00A810E3"/>
    <w:rsid w:val="00A8681C"/>
    <w:rsid w:val="00A90BF6"/>
    <w:rsid w:val="00AB5907"/>
    <w:rsid w:val="00AC4CBB"/>
    <w:rsid w:val="00AE739B"/>
    <w:rsid w:val="00B52072"/>
    <w:rsid w:val="00C066CA"/>
    <w:rsid w:val="00C110F9"/>
    <w:rsid w:val="00C8199B"/>
    <w:rsid w:val="00C9742C"/>
    <w:rsid w:val="00CB4C0B"/>
    <w:rsid w:val="00CE46C7"/>
    <w:rsid w:val="00D8204E"/>
    <w:rsid w:val="00D90464"/>
    <w:rsid w:val="00D9250E"/>
    <w:rsid w:val="00DA3CB5"/>
    <w:rsid w:val="00DA45D9"/>
    <w:rsid w:val="00E0734D"/>
    <w:rsid w:val="00E3311A"/>
    <w:rsid w:val="00E553A4"/>
    <w:rsid w:val="00EB11BC"/>
    <w:rsid w:val="00EC7E2B"/>
    <w:rsid w:val="00ED4EBD"/>
    <w:rsid w:val="00EE1264"/>
    <w:rsid w:val="00F600DC"/>
    <w:rsid w:val="00FB6D8B"/>
    <w:rsid w:val="00FD45EB"/>
    <w:rsid w:val="00F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rsid w:val="0019200C"/>
    <w:pPr>
      <w:spacing w:before="75" w:after="90"/>
      <w:ind w:left="30"/>
    </w:pPr>
    <w:rPr>
      <w:color w:val="444444"/>
    </w:rPr>
  </w:style>
  <w:style w:type="paragraph" w:styleId="Textpoznpodarou">
    <w:name w:val="footnote text"/>
    <w:basedOn w:val="Normln"/>
    <w:link w:val="TextpoznpodarouChar"/>
    <w:uiPriority w:val="99"/>
    <w:unhideWhenUsed/>
    <w:rsid w:val="003E402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E4026"/>
    <w:rPr>
      <w:rFonts w:ascii="Calibri" w:eastAsia="Calibri" w:hAnsi="Calibri"/>
      <w:lang w:eastAsia="en-US"/>
    </w:rPr>
  </w:style>
  <w:style w:type="character" w:styleId="Znakapoznpodarou">
    <w:name w:val="footnote reference"/>
    <w:aliases w:val="text pozn. pod čarou,Footnote symbol,BVI fnr,Footnote call,SUPERS,Footnote Reference Superscript,(Footnote Reference),Footnote reference number,note TESI,EN Footnote Reference,Voetnootverwijzing,Times 10 Point,Exposant 3 Point,R"/>
    <w:uiPriority w:val="99"/>
    <w:unhideWhenUsed/>
    <w:rsid w:val="003E4026"/>
    <w:rPr>
      <w:vertAlign w:val="superscript"/>
    </w:rPr>
  </w:style>
  <w:style w:type="paragraph" w:styleId="Zkladntextodsazen">
    <w:name w:val="Body Text Indent"/>
    <w:basedOn w:val="Normln"/>
    <w:link w:val="ZkladntextodsazenChar"/>
    <w:rsid w:val="003E4026"/>
    <w:pPr>
      <w:suppressAutoHyphens/>
      <w:ind w:left="851"/>
    </w:pPr>
    <w:rPr>
      <w:spacing w:val="-3"/>
      <w:szCs w:val="20"/>
      <w:lang w:val="fr-FR"/>
    </w:rPr>
  </w:style>
  <w:style w:type="character" w:customStyle="1" w:styleId="ZkladntextodsazenChar">
    <w:name w:val="Základní text odsazený Char"/>
    <w:basedOn w:val="Standardnpsmoodstavce"/>
    <w:link w:val="Zkladntextodsazen"/>
    <w:rsid w:val="003E4026"/>
    <w:rPr>
      <w:spacing w:val="-3"/>
      <w:sz w:val="24"/>
      <w:lang w:val="fr-FR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73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739B"/>
  </w:style>
  <w:style w:type="character" w:styleId="Odkaznakoment">
    <w:name w:val="annotation reference"/>
    <w:basedOn w:val="Standardnpsmoodstavce"/>
    <w:uiPriority w:val="99"/>
    <w:semiHidden/>
    <w:unhideWhenUsed/>
    <w:rsid w:val="00AE739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rsid w:val="0019200C"/>
    <w:pPr>
      <w:spacing w:before="75" w:after="90"/>
      <w:ind w:left="30"/>
    </w:pPr>
    <w:rPr>
      <w:color w:val="444444"/>
    </w:rPr>
  </w:style>
  <w:style w:type="paragraph" w:styleId="Textpoznpodarou">
    <w:name w:val="footnote text"/>
    <w:basedOn w:val="Normln"/>
    <w:link w:val="TextpoznpodarouChar"/>
    <w:uiPriority w:val="99"/>
    <w:unhideWhenUsed/>
    <w:rsid w:val="003E402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E4026"/>
    <w:rPr>
      <w:rFonts w:ascii="Calibri" w:eastAsia="Calibri" w:hAnsi="Calibri"/>
      <w:lang w:eastAsia="en-US"/>
    </w:rPr>
  </w:style>
  <w:style w:type="character" w:styleId="Znakapoznpodarou">
    <w:name w:val="footnote reference"/>
    <w:aliases w:val="text pozn. pod čarou,Footnote symbol,BVI fnr,Footnote call,SUPERS,Footnote Reference Superscript,(Footnote Reference),Footnote reference number,note TESI,EN Footnote Reference,Voetnootverwijzing,Times 10 Point,Exposant 3 Point,R"/>
    <w:uiPriority w:val="99"/>
    <w:unhideWhenUsed/>
    <w:rsid w:val="003E4026"/>
    <w:rPr>
      <w:vertAlign w:val="superscript"/>
    </w:rPr>
  </w:style>
  <w:style w:type="paragraph" w:styleId="Zkladntextodsazen">
    <w:name w:val="Body Text Indent"/>
    <w:basedOn w:val="Normln"/>
    <w:link w:val="ZkladntextodsazenChar"/>
    <w:rsid w:val="003E4026"/>
    <w:pPr>
      <w:suppressAutoHyphens/>
      <w:ind w:left="851"/>
    </w:pPr>
    <w:rPr>
      <w:spacing w:val="-3"/>
      <w:szCs w:val="20"/>
      <w:lang w:val="fr-FR"/>
    </w:rPr>
  </w:style>
  <w:style w:type="character" w:customStyle="1" w:styleId="ZkladntextodsazenChar">
    <w:name w:val="Základní text odsazený Char"/>
    <w:basedOn w:val="Standardnpsmoodstavce"/>
    <w:link w:val="Zkladntextodsazen"/>
    <w:rsid w:val="003E4026"/>
    <w:rPr>
      <w:spacing w:val="-3"/>
      <w:sz w:val="24"/>
      <w:lang w:val="fr-FR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73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739B"/>
  </w:style>
  <w:style w:type="character" w:styleId="Odkaznakoment">
    <w:name w:val="annotation reference"/>
    <w:basedOn w:val="Standardnpsmoodstavce"/>
    <w:uiPriority w:val="99"/>
    <w:semiHidden/>
    <w:unhideWhenUsed/>
    <w:rsid w:val="00AE739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AD0DD-D0C9-43F8-96D0-5A4BADD72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1249</Words>
  <Characters>7155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8388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creator>Kadlecová Pavla Mgr.</dc:creator>
  <cp:lastModifiedBy>Chocholová Zuzana Ing.</cp:lastModifiedBy>
  <cp:revision>4</cp:revision>
  <cp:lastPrinted>2019-06-03T13:33:00Z</cp:lastPrinted>
  <dcterms:created xsi:type="dcterms:W3CDTF">2019-06-06T15:07:00Z</dcterms:created>
  <dcterms:modified xsi:type="dcterms:W3CDTF">2019-06-11T08:53:00Z</dcterms:modified>
</cp:coreProperties>
</file>