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E67" w:rsidRDefault="003C7E67" w:rsidP="005433ED">
      <w:pPr>
        <w:spacing w:after="0"/>
        <w:rPr>
          <w:rFonts w:cs="Garamond"/>
          <w:b/>
          <w:caps/>
          <w:sz w:val="28"/>
          <w:szCs w:val="28"/>
          <w:lang w:eastAsia="cs-CZ"/>
        </w:rPr>
      </w:pPr>
    </w:p>
    <w:p w:rsidR="003C7E67" w:rsidRDefault="003C7E67">
      <w:pPr>
        <w:spacing w:after="0"/>
        <w:jc w:val="center"/>
      </w:pPr>
      <w:r>
        <w:rPr>
          <w:rFonts w:cs="Garamond"/>
          <w:b/>
          <w:caps/>
          <w:sz w:val="28"/>
          <w:szCs w:val="28"/>
          <w:lang w:eastAsia="cs-CZ"/>
        </w:rPr>
        <w:t>ZÁKON</w:t>
      </w:r>
    </w:p>
    <w:p w:rsidR="003C7E67" w:rsidRDefault="003C7E67">
      <w:pPr>
        <w:spacing w:after="0"/>
        <w:jc w:val="center"/>
        <w:rPr>
          <w:rFonts w:cs="Garamond"/>
          <w:b/>
          <w:caps/>
          <w:sz w:val="28"/>
          <w:szCs w:val="28"/>
          <w:lang w:eastAsia="cs-CZ"/>
        </w:rPr>
      </w:pPr>
    </w:p>
    <w:p w:rsidR="003C7E67" w:rsidRDefault="003C7E67">
      <w:pPr>
        <w:spacing w:after="0"/>
        <w:jc w:val="center"/>
      </w:pPr>
      <w:r>
        <w:rPr>
          <w:rFonts w:cs="Garamond"/>
          <w:lang w:eastAsia="cs-CZ"/>
        </w:rPr>
        <w:t>ze dne ……… 2019,</w:t>
      </w:r>
    </w:p>
    <w:p w:rsidR="003C7E67" w:rsidRDefault="003C7E67">
      <w:pPr>
        <w:spacing w:after="0"/>
        <w:jc w:val="center"/>
        <w:rPr>
          <w:rFonts w:cs="Garamond"/>
          <w:b/>
          <w:lang w:eastAsia="cs-CZ"/>
        </w:rPr>
      </w:pPr>
    </w:p>
    <w:p w:rsidR="003C7E67" w:rsidRDefault="003C7E67">
      <w:pPr>
        <w:spacing w:after="0"/>
        <w:jc w:val="center"/>
      </w:pPr>
      <w:r>
        <w:rPr>
          <w:rFonts w:cs="Garamond"/>
          <w:b/>
          <w:lang w:eastAsia="cs-CZ"/>
        </w:rPr>
        <w:t>kterým se mění zákon č. 182/2006 Sb., o úpadku a způsobech jeho řešení (insolvenční zákon), ve znění pozdějších předpisů</w:t>
      </w:r>
    </w:p>
    <w:p w:rsidR="003C7E67" w:rsidRDefault="003C7E67">
      <w:pPr>
        <w:keepNext/>
        <w:keepLines/>
        <w:spacing w:after="0"/>
        <w:jc w:val="center"/>
        <w:rPr>
          <w:rFonts w:cs="Garamond"/>
          <w:szCs w:val="24"/>
          <w:lang w:eastAsia="cs-CZ"/>
        </w:rPr>
      </w:pPr>
    </w:p>
    <w:p w:rsidR="008B70AB" w:rsidRDefault="008B70AB">
      <w:pPr>
        <w:keepNext/>
        <w:keepLines/>
        <w:spacing w:after="0"/>
        <w:jc w:val="center"/>
        <w:rPr>
          <w:rFonts w:cs="Garamond"/>
          <w:szCs w:val="24"/>
          <w:lang w:eastAsia="cs-CZ"/>
        </w:rPr>
      </w:pPr>
    </w:p>
    <w:p w:rsidR="003C7E67" w:rsidRDefault="003C7E67">
      <w:pPr>
        <w:keepNext/>
        <w:keepLines/>
        <w:spacing w:after="0"/>
      </w:pPr>
      <w:r>
        <w:rPr>
          <w:rFonts w:cs="Garamond"/>
          <w:szCs w:val="24"/>
          <w:lang w:eastAsia="cs-CZ"/>
        </w:rPr>
        <w:t>Parlament se usnesl na tomto zákoně České republiky:</w:t>
      </w:r>
    </w:p>
    <w:p w:rsidR="003C7E67" w:rsidRDefault="003C7E67">
      <w:pPr>
        <w:spacing w:after="0"/>
        <w:jc w:val="center"/>
        <w:rPr>
          <w:rFonts w:eastAsia="Times New Roman" w:cs="Garamond"/>
          <w:color w:val="000000"/>
          <w:szCs w:val="24"/>
          <w:lang w:eastAsia="cs-CZ"/>
        </w:rPr>
      </w:pPr>
    </w:p>
    <w:p w:rsidR="003C7E67" w:rsidRDefault="003C7E67">
      <w:pPr>
        <w:jc w:val="center"/>
        <w:rPr>
          <w:rFonts w:eastAsia="Times New Roman" w:cs="Garamond"/>
          <w:color w:val="000000"/>
          <w:szCs w:val="24"/>
          <w:u w:val="words"/>
          <w:lang w:eastAsia="cs-CZ"/>
        </w:rPr>
      </w:pPr>
    </w:p>
    <w:p w:rsidR="008B70AB" w:rsidRDefault="008B70AB">
      <w:pPr>
        <w:jc w:val="center"/>
        <w:rPr>
          <w:rFonts w:eastAsia="Times New Roman" w:cs="Garamond"/>
          <w:color w:val="000000"/>
          <w:szCs w:val="24"/>
          <w:u w:val="words"/>
          <w:lang w:eastAsia="cs-CZ"/>
        </w:rPr>
      </w:pPr>
    </w:p>
    <w:p w:rsidR="003C7E67" w:rsidRDefault="003C7E67">
      <w:pPr>
        <w:jc w:val="center"/>
      </w:pPr>
      <w:r>
        <w:rPr>
          <w:rFonts w:cs="Garamond"/>
          <w:szCs w:val="24"/>
        </w:rPr>
        <w:t>Čl. I</w:t>
      </w:r>
    </w:p>
    <w:p w:rsidR="003C7E67" w:rsidRDefault="003C7E67">
      <w:pPr>
        <w:jc w:val="center"/>
      </w:pPr>
      <w:r>
        <w:rPr>
          <w:rFonts w:eastAsia="Times New Roman" w:cs="Garamond"/>
          <w:b/>
          <w:color w:val="000000"/>
          <w:szCs w:val="24"/>
          <w:lang w:eastAsia="cs-CZ"/>
        </w:rPr>
        <w:t>Změna insolvenčního zákona</w:t>
      </w:r>
    </w:p>
    <w:p w:rsidR="003C7E67" w:rsidRDefault="003C7E67">
      <w:pPr>
        <w:spacing w:after="200"/>
        <w:rPr>
          <w:rFonts w:cs="Garamond"/>
          <w:szCs w:val="24"/>
        </w:rPr>
      </w:pPr>
      <w:r>
        <w:rPr>
          <w:rFonts w:cs="Garamond"/>
          <w:szCs w:val="24"/>
        </w:rPr>
        <w:t xml:space="preserve">V § 412a </w:t>
      </w:r>
      <w:r w:rsidR="0009559B">
        <w:rPr>
          <w:rFonts w:cs="Garamond"/>
          <w:szCs w:val="24"/>
        </w:rPr>
        <w:t>zákona č. 182/2006 Sb., o úpadku a způsobech jeho řešení (insolvenčního zákona)</w:t>
      </w:r>
      <w:r w:rsidR="008E34EA">
        <w:rPr>
          <w:rFonts w:cs="Garamond"/>
          <w:szCs w:val="24"/>
        </w:rPr>
        <w:t>, ve znění zákona č. 31/2019 Sb.</w:t>
      </w:r>
      <w:r w:rsidR="0009559B">
        <w:rPr>
          <w:rFonts w:cs="Garamond"/>
          <w:szCs w:val="24"/>
        </w:rPr>
        <w:t xml:space="preserve">, </w:t>
      </w:r>
      <w:r>
        <w:rPr>
          <w:rFonts w:cs="Garamond"/>
          <w:szCs w:val="24"/>
        </w:rPr>
        <w:t>se za odstavec 5 doplňuje nový odstavec 6, který zní:</w:t>
      </w:r>
    </w:p>
    <w:p w:rsidR="009D2C9D" w:rsidRDefault="009D2C9D" w:rsidP="009D2C9D">
      <w:pPr>
        <w:spacing w:after="200"/>
        <w:rPr>
          <w:rFonts w:cs="Garamond"/>
        </w:rPr>
      </w:pPr>
      <w:r>
        <w:rPr>
          <w:rFonts w:cs="Garamond"/>
        </w:rPr>
        <w:t>„(6) Pokud pohledávk</w:t>
      </w:r>
      <w:r w:rsidR="008566C8">
        <w:rPr>
          <w:rFonts w:cs="Garamond"/>
        </w:rPr>
        <w:t>y</w:t>
      </w:r>
      <w:r>
        <w:rPr>
          <w:rFonts w:cs="Garamond"/>
        </w:rPr>
        <w:t xml:space="preserve"> nezajištěných věřitelů vznikly </w:t>
      </w:r>
      <w:r w:rsidR="008566C8">
        <w:rPr>
          <w:rFonts w:cs="Garamond"/>
        </w:rPr>
        <w:t xml:space="preserve">alespoň ze dvou třetin jejich výše </w:t>
      </w:r>
      <w:r>
        <w:rPr>
          <w:rFonts w:cs="Garamond"/>
        </w:rPr>
        <w:t>před dosažením 18 let věku dlužníka, je oddlužení plněním splátkového kalendáře se zpeněžením majetkové podstaty splněno, jestliže nebylo zrušeno po dobu 3 let od schválení oddlužení.</w:t>
      </w:r>
      <w:r w:rsidR="008566C8">
        <w:rPr>
          <w:rFonts w:cs="Garamond"/>
        </w:rPr>
        <w:t xml:space="preserve"> </w:t>
      </w:r>
      <w:r>
        <w:rPr>
          <w:rFonts w:cs="Garamond"/>
        </w:rPr>
        <w:t xml:space="preserve">Za pohledávku vzniklou před dosažením 18 let věku dlužníka se </w:t>
      </w:r>
      <w:r w:rsidR="008566C8">
        <w:rPr>
          <w:rFonts w:cs="Garamond"/>
        </w:rPr>
        <w:t xml:space="preserve">dále </w:t>
      </w:r>
      <w:r>
        <w:rPr>
          <w:rFonts w:cs="Garamond"/>
        </w:rPr>
        <w:t>považuje příslušenství takové pohledávky</w:t>
      </w:r>
      <w:r w:rsidR="008B4157">
        <w:rPr>
          <w:rFonts w:cs="Garamond"/>
        </w:rPr>
        <w:t>, smluvní pokuta vzniklá na základě stejné smlouvy jako taková pohledávka</w:t>
      </w:r>
      <w:r>
        <w:rPr>
          <w:rFonts w:cs="Garamond"/>
        </w:rPr>
        <w:t xml:space="preserve"> a pohledávka, která vznikla na základě smlouvy uzavřené při podnikatelské činnosti věřitele před </w:t>
      </w:r>
      <w:r w:rsidR="008C33B2">
        <w:rPr>
          <w:rFonts w:cs="Garamond"/>
        </w:rPr>
        <w:t>uplynutím 3 let od dosažení 18</w:t>
      </w:r>
      <w:r>
        <w:rPr>
          <w:rFonts w:cs="Garamond"/>
        </w:rPr>
        <w:t xml:space="preserve"> let věku dlužníka, jestliže obdržené plnění dlužník alespoň z</w:t>
      </w:r>
      <w:r w:rsidR="008C33B2">
        <w:rPr>
          <w:rFonts w:cs="Garamond"/>
        </w:rPr>
        <w:t>e dvou třetin jeho výše</w:t>
      </w:r>
      <w:r>
        <w:rPr>
          <w:rFonts w:cs="Garamond"/>
        </w:rPr>
        <w:t xml:space="preserve"> využil k úhradě </w:t>
      </w:r>
      <w:r w:rsidR="008566C8">
        <w:rPr>
          <w:rFonts w:cs="Garamond"/>
        </w:rPr>
        <w:t>pohledávk</w:t>
      </w:r>
      <w:r w:rsidR="0087204F">
        <w:rPr>
          <w:rFonts w:cs="Garamond"/>
        </w:rPr>
        <w:t>y</w:t>
      </w:r>
      <w:r w:rsidR="008566C8">
        <w:rPr>
          <w:rFonts w:cs="Garamond"/>
        </w:rPr>
        <w:t xml:space="preserve"> podle věty první</w:t>
      </w:r>
      <w:r>
        <w:rPr>
          <w:rFonts w:cs="Garamond"/>
        </w:rPr>
        <w:t>.“.</w:t>
      </w:r>
    </w:p>
    <w:p w:rsidR="003C7E67" w:rsidRDefault="003C7E67">
      <w:pPr>
        <w:spacing w:after="200"/>
        <w:rPr>
          <w:rFonts w:cs="Garamond"/>
        </w:rPr>
      </w:pPr>
    </w:p>
    <w:p w:rsidR="003C7E67" w:rsidRDefault="003C7E67">
      <w:pPr>
        <w:spacing w:after="200"/>
        <w:jc w:val="center"/>
      </w:pPr>
      <w:r>
        <w:rPr>
          <w:rFonts w:cs="Garamond"/>
        </w:rPr>
        <w:t>Čl. II</w:t>
      </w:r>
    </w:p>
    <w:p w:rsidR="003C7E67" w:rsidRDefault="003C7E67">
      <w:pPr>
        <w:spacing w:after="200"/>
        <w:jc w:val="center"/>
      </w:pPr>
      <w:r>
        <w:rPr>
          <w:rFonts w:cs="Garamond"/>
          <w:b/>
        </w:rPr>
        <w:t>Přechodné ustanovení</w:t>
      </w:r>
    </w:p>
    <w:p w:rsidR="003C7E67" w:rsidRDefault="003F17B7">
      <w:pPr>
        <w:spacing w:after="200"/>
        <w:rPr>
          <w:rFonts w:cs="Garamond"/>
        </w:rPr>
      </w:pPr>
      <w:r>
        <w:rPr>
          <w:rFonts w:cs="Garamond"/>
        </w:rPr>
        <w:t>V insolvenčních řízeních, která byla zahájena a v nichž bylo vydáno rozhodnutí o úpadku dlužníka po 31. květnu 2019, se ode dne nabytí účinnosti tohoto zákona postupuje podle zákona č. 182/2006 Sb. ve znění účinném po dni nabytí účinnosti tohoto zákona.</w:t>
      </w:r>
    </w:p>
    <w:p w:rsidR="008E34EA" w:rsidRDefault="008E34EA">
      <w:pPr>
        <w:spacing w:after="200"/>
        <w:rPr>
          <w:rFonts w:cs="Garamond"/>
        </w:rPr>
      </w:pPr>
    </w:p>
    <w:p w:rsidR="003C7E67" w:rsidRDefault="003C7E67">
      <w:pPr>
        <w:keepNext/>
        <w:spacing w:before="240" w:after="120"/>
        <w:jc w:val="center"/>
      </w:pPr>
      <w:r>
        <w:rPr>
          <w:rFonts w:cs="Garamond"/>
          <w:szCs w:val="24"/>
        </w:rPr>
        <w:t>Čl. III</w:t>
      </w:r>
    </w:p>
    <w:p w:rsidR="003C7E67" w:rsidRDefault="003C7E67">
      <w:pPr>
        <w:keepNext/>
        <w:spacing w:before="240" w:after="120"/>
        <w:jc w:val="center"/>
      </w:pPr>
      <w:r>
        <w:rPr>
          <w:rFonts w:cs="Garamond"/>
          <w:b/>
          <w:szCs w:val="24"/>
        </w:rPr>
        <w:t>Účinnost</w:t>
      </w:r>
    </w:p>
    <w:p w:rsidR="003C7E67" w:rsidRDefault="003C7E67">
      <w:pPr>
        <w:spacing w:before="240" w:after="200"/>
      </w:pPr>
      <w:r>
        <w:rPr>
          <w:rFonts w:eastAsia="Times New Roman" w:cs="Garamond"/>
          <w:szCs w:val="24"/>
          <w:lang w:eastAsia="cs-CZ"/>
        </w:rPr>
        <w:t>Tento zákon nabývá účinnosti prvním dnem kalendářního měsíce následujícího po jeho vyhlášení.</w:t>
      </w:r>
    </w:p>
    <w:p w:rsidR="003C7E67" w:rsidRDefault="003C7E67">
      <w:pPr>
        <w:spacing w:after="0"/>
        <w:rPr>
          <w:rFonts w:eastAsia="Times New Roman" w:cs="Garamond"/>
          <w:szCs w:val="24"/>
          <w:lang w:eastAsia="cs-CZ"/>
        </w:rPr>
      </w:pPr>
    </w:p>
    <w:p w:rsidR="003C7E67" w:rsidRDefault="003C7E67">
      <w:pPr>
        <w:spacing w:after="0"/>
        <w:rPr>
          <w:rFonts w:eastAsia="Times New Roman" w:cs="Garamond"/>
          <w:szCs w:val="24"/>
          <w:lang w:eastAsia="cs-CZ"/>
        </w:rPr>
      </w:pPr>
    </w:p>
    <w:p w:rsidR="008B70AB" w:rsidRDefault="008B70AB">
      <w:pPr>
        <w:spacing w:after="0"/>
        <w:rPr>
          <w:rFonts w:eastAsia="Times New Roman" w:cs="Garamond"/>
          <w:szCs w:val="24"/>
          <w:lang w:eastAsia="cs-CZ"/>
        </w:rPr>
      </w:pPr>
    </w:p>
    <w:p w:rsidR="003C7E67" w:rsidRDefault="003C7E67">
      <w:pPr>
        <w:spacing w:after="0"/>
        <w:rPr>
          <w:rFonts w:eastAsia="Times New Roman" w:cs="Garamond"/>
          <w:b/>
          <w:sz w:val="28"/>
          <w:szCs w:val="32"/>
          <w:lang w:eastAsia="cs-CZ" w:bidi="en-US"/>
        </w:rPr>
      </w:pPr>
    </w:p>
    <w:p w:rsidR="003C7E67" w:rsidRDefault="003C7E67">
      <w:pPr>
        <w:spacing w:before="60" w:after="180" w:line="360" w:lineRule="auto"/>
        <w:jc w:val="center"/>
        <w:rPr>
          <w:rFonts w:eastAsia="Times New Roman" w:cs="Garamond"/>
          <w:b/>
          <w:spacing w:val="60"/>
          <w:kern w:val="2"/>
          <w:sz w:val="28"/>
          <w:szCs w:val="32"/>
          <w:lang w:bidi="en-US"/>
        </w:rPr>
      </w:pPr>
      <w:r>
        <w:rPr>
          <w:rFonts w:eastAsia="Times New Roman" w:cs="Garamond"/>
          <w:b/>
          <w:spacing w:val="60"/>
          <w:kern w:val="2"/>
          <w:sz w:val="28"/>
          <w:szCs w:val="32"/>
          <w:lang w:bidi="en-US"/>
        </w:rPr>
        <w:lastRenderedPageBreak/>
        <w:t>Důvodová zpráva</w:t>
      </w:r>
    </w:p>
    <w:p w:rsidR="00914EC1" w:rsidRPr="00914EC1" w:rsidRDefault="00914EC1" w:rsidP="00914EC1">
      <w:r>
        <w:t xml:space="preserve">V souladu s § 90 odst. 2 zákona o jednacím řádu Poslanecké sněmovny se navrhuje, aby s tímto návrhem zákona Poslanecká sněmovna vyslovila souhlas již v prvém čtení. Takový postup je odůvodněn dlouhodobě nevyhovující a nevyřešenou situací tzv. dětských dlužníků a naléhavostí jejího adresného postižení právě v době, kdy se má širšímu okruhu dlužníků umožnit, aby se vymanili z dluhové pasti. Tzv. dětští dlužníci se nacházejí na samém počátku ekonomicky aktivního života a je kruciální, aby do něj vstupovali za takových podmínek, které je od ekonomické aktivity nebudou odrazovat a které jim umožní v dohledné době a za přijatelných podmínek vyřešit historickou dluhovou zátěž, která je nepostihla o jejich vlastní vůli. Je namístě, aby tato úprava byla přijata a nabyla účinnosti v co nejtěsnější souvislosti s tzv. oddlužovací novelou insolvenčního zákona, která umožňuje využít privilegovaného (kratšího a jednoduššího) režimu oddlužení skupinám dlužníků, u nichž rovněž existuje výrazný sociální zájem na jejich </w:t>
      </w:r>
      <w:proofErr w:type="spellStart"/>
      <w:r>
        <w:t>odbřemenění</w:t>
      </w:r>
      <w:proofErr w:type="spellEnd"/>
      <w:r>
        <w:t xml:space="preserve"> od dluhové zátěže – seniorům a osobám invalidním. </w:t>
      </w:r>
    </w:p>
    <w:p w:rsidR="00FD3F90" w:rsidRDefault="00FD3F90" w:rsidP="00FD3F90">
      <w:pPr>
        <w:spacing w:after="120"/>
        <w:jc w:val="center"/>
        <w:rPr>
          <w:b/>
          <w:sz w:val="28"/>
          <w:szCs w:val="28"/>
          <w:lang w:bidi="en-US"/>
        </w:rPr>
      </w:pPr>
      <w:r w:rsidRPr="00FD3F90">
        <w:rPr>
          <w:b/>
          <w:sz w:val="28"/>
          <w:szCs w:val="28"/>
          <w:lang w:bidi="en-US"/>
        </w:rPr>
        <w:t>Obecná část</w:t>
      </w:r>
    </w:p>
    <w:p w:rsidR="00FD3F90" w:rsidRPr="00FD3F90" w:rsidRDefault="00FD3F90" w:rsidP="00FD3F90">
      <w:pPr>
        <w:rPr>
          <w:b/>
        </w:rPr>
      </w:pPr>
      <w:r w:rsidRPr="00FD3F90">
        <w:rPr>
          <w:b/>
        </w:rPr>
        <w:t>a) Zhodnocení platného právního stavu</w:t>
      </w:r>
    </w:p>
    <w:p w:rsidR="00FD3F90" w:rsidRDefault="00FD3F90" w:rsidP="00FD3F90">
      <w:r>
        <w:t>Možnost oddlužení excesivně zadlužených osob obsahuje zákon č. 182/2006 Sb., o úpadku a způsobech jeho řešení (insolvenční zákon), který však neumožňuje zohlednit fakt, že tzv. dětští dlužníci zpravidla svou zadluženost nezavinili, příp. se na jejím zavinění pouze částečně podíleli, a stejně tak neumožňuje zohlednit mimořádný zájem na oddlužení těchto osob na počátku jejich ekonomické aktivity.</w:t>
      </w:r>
    </w:p>
    <w:p w:rsidR="00FD3F90" w:rsidRPr="00FD3F90" w:rsidRDefault="00FD3F90" w:rsidP="00FD3F90">
      <w:pPr>
        <w:rPr>
          <w:b/>
        </w:rPr>
      </w:pPr>
      <w:r w:rsidRPr="00FD3F90">
        <w:rPr>
          <w:b/>
        </w:rPr>
        <w:t>b) Odůvodnění hlavních principů navrhované právní úpravy</w:t>
      </w:r>
    </w:p>
    <w:p w:rsidR="003C7E67" w:rsidRDefault="003C7E67">
      <w:r>
        <w:t>Navrhovaná právní úprava reflektuje skutečnost, že součástí p</w:t>
      </w:r>
      <w:r w:rsidR="006B3CD8">
        <w:t>roblému zadlužení populace je i </w:t>
      </w:r>
      <w:r>
        <w:t>nezamýšlený dopad na tzv. dětské dlužníky, což jsou nezletilí nebo ti, kdo nedávno nabyli zletilosti a nesou si z doby, kdy byli nezletilí, dluhy, k jejichž vzniku zpravidla nijak nepřispěli a z jejichž vzniku neměli žádnou výhodu. Uvedené dluhy ve svém rozsahu zpravidla nemají žádné reálné ekonomické opodstatnění.</w:t>
      </w:r>
    </w:p>
    <w:p w:rsidR="003C7E67" w:rsidRDefault="003C7E67">
      <w:r>
        <w:t xml:space="preserve">Ti, kdo jsou dluhy obtíženi, mají tak zpravidla velmi komplikovaný přechod do samostatného života, ve kterém mají buďto dále studovat, nebo již pracovat. Toto břímě, které jim brání v tom si nalézt normální zaměstnání (kvůli exekucím), je navíc často spojené s tím, že tyto osoby nemají kde bydlet. Tlak na odchod do šedé (v lepším případě) nebo černé (v horším případě) ekonomiky se tak zvyšuje. </w:t>
      </w:r>
    </w:p>
    <w:p w:rsidR="003C7E67" w:rsidRDefault="003C7E67">
      <w:r>
        <w:t>Ten, kdo je zatížen dluhy, za které subjektivně nenese žádno</w:t>
      </w:r>
      <w:r w:rsidR="006B3CD8">
        <w:t xml:space="preserve">u odpovědnost a jejichž vznik </w:t>
      </w:r>
      <w:r>
        <w:t xml:space="preserve">pro něj </w:t>
      </w:r>
      <w:r w:rsidR="006B3CD8">
        <w:t>v </w:t>
      </w:r>
      <w:r>
        <w:t>minulosti nepředstavoval subjektivně vníman</w:t>
      </w:r>
      <w:r w:rsidR="006B3CD8">
        <w:t>ý</w:t>
      </w:r>
      <w:r>
        <w:t xml:space="preserve"> benefit, obvykle vnímá takové dluhy jako nespravedlivé, a jeho ochota dodržovat pravidla nastavená právním řádem tak zásadně klesá.</w:t>
      </w:r>
    </w:p>
    <w:p w:rsidR="003C7E67" w:rsidRDefault="003C7E67">
      <w:r>
        <w:t>S ohledem na ústavněprávní limity se jeví jako nepřijatelné, aby tyto dluhy byly jednostranně bez dalšího zrušeny bez náhrady v plné výši, protože takový krok by se rovnal faktickému vyvlastnění.</w:t>
      </w:r>
    </w:p>
    <w:p w:rsidR="003C7E67" w:rsidRDefault="003C7E67">
      <w:r>
        <w:t>Jeví se naopak jako možné podřadit režim takových dluhů zvýhodněnému režimu oddlužení, protože v takovém případě nejsou zájmy věřitelů omezeny více než v jiném srovnatelném případě, který představuje § 4</w:t>
      </w:r>
      <w:r w:rsidR="006B3CD8">
        <w:t>1</w:t>
      </w:r>
      <w:r>
        <w:t xml:space="preserve">2a odst. 4 </w:t>
      </w:r>
      <w:r w:rsidR="006B3CD8">
        <w:t>insolvenčního</w:t>
      </w:r>
      <w:r>
        <w:t xml:space="preserve"> zákona. Ten, kdo je takovými dluhy zatížen, má pak možnost v relativně krátkém období tří let se těchto dluhů zbavit, pokud současně bude plnit podmínky oddlužení.</w:t>
      </w:r>
    </w:p>
    <w:p w:rsidR="00FD3F90" w:rsidRPr="00FD3F90" w:rsidRDefault="00FD3F90">
      <w:pPr>
        <w:rPr>
          <w:b/>
        </w:rPr>
      </w:pPr>
      <w:r w:rsidRPr="00FD3F90">
        <w:rPr>
          <w:b/>
        </w:rPr>
        <w:lastRenderedPageBreak/>
        <w:t>c) Nezbytnost navrhované právní úpravy</w:t>
      </w:r>
    </w:p>
    <w:p w:rsidR="00FD3F90" w:rsidRDefault="00FD3F90">
      <w:r>
        <w:t>Navrhovaná právní úprava je nezbytná, neboť představuje jediný efektivní a přiměřeně rychlý způsob řešení vysokého zadlužení tzv. dětských dlužníků, s kterým jsou spojeny významné celospolečenské náklady.</w:t>
      </w:r>
    </w:p>
    <w:p w:rsidR="00FD3F90" w:rsidRPr="00FD3F90" w:rsidRDefault="00FD3F90">
      <w:pPr>
        <w:rPr>
          <w:b/>
        </w:rPr>
      </w:pPr>
      <w:r w:rsidRPr="00FD3F90">
        <w:rPr>
          <w:b/>
        </w:rPr>
        <w:t>d) Zhodnocení souladu navrhované právní úpravy s ústavním pořádkem ČR</w:t>
      </w:r>
    </w:p>
    <w:p w:rsidR="00FD3F90" w:rsidRDefault="00FD3F90">
      <w:r>
        <w:t>Navrhovaná právní úprava nezavádí nový způsob zásahu do ústavně zaručených práv, pouze rozšiřuje okruh osob, kterým má být dostupný privilegovaný režim oddlužení. Navrhovanou právní úpravou může být dílčím způsobem zasaženo do práva</w:t>
      </w:r>
      <w:r w:rsidRPr="00FD3F90">
        <w:t xml:space="preserve"> na ochranu vlastnického práva </w:t>
      </w:r>
      <w:r>
        <w:t>po</w:t>
      </w:r>
      <w:r w:rsidRPr="00FD3F90">
        <w:t>dle čl. 11 Listiny</w:t>
      </w:r>
      <w:r>
        <w:t xml:space="preserve"> základních práv a svobod</w:t>
      </w:r>
      <w:r w:rsidRPr="00FD3F90">
        <w:t xml:space="preserve">. Toto právo je v insolvenčním řízení však omezeno již z charakteru tohoto typu řízení, když jsou práva věřitelů uspokojována postupně, poměrně a zpravidla jen zčásti. Navrhovaná úprava přináší </w:t>
      </w:r>
      <w:r>
        <w:t>dosažitelnější oddlužení</w:t>
      </w:r>
      <w:r w:rsidRPr="00FD3F90">
        <w:t xml:space="preserve"> pro</w:t>
      </w:r>
      <w:r>
        <w:t xml:space="preserve"> tzv. dětské</w:t>
      </w:r>
      <w:r w:rsidRPr="00FD3F90">
        <w:t xml:space="preserve"> dlužníky, méně příznivá může být z povahy věci pro věřitele. Nicméně</w:t>
      </w:r>
      <w:r w:rsidR="002561C6">
        <w:t xml:space="preserve"> příslušná</w:t>
      </w:r>
      <w:r w:rsidRPr="00FD3F90">
        <w:t xml:space="preserve"> omezení nejsou stanovena na základě libovůle či svévole, nýbrž jsou jimi sledovány sociální a hospodářské dopady na jednotlivce a společnost.</w:t>
      </w:r>
      <w:r w:rsidR="002561C6">
        <w:t xml:space="preserve"> S prvky libovůle pak nebyl proveden ani výběr a vymezení privilegované skupiny dlužníků, i zde je sledován významný sociální a hospodářský dopad.</w:t>
      </w:r>
    </w:p>
    <w:p w:rsidR="002561C6" w:rsidRDefault="002561C6">
      <w:r>
        <w:t>Mezinárodní smlouvy nebo právní předpisy Evropské unie nejsou návrhem dotčeny ani s nimi není návrh v rozporu.</w:t>
      </w:r>
    </w:p>
    <w:p w:rsidR="002561C6" w:rsidRDefault="002561C6">
      <w:pPr>
        <w:rPr>
          <w:b/>
        </w:rPr>
      </w:pPr>
      <w:r w:rsidRPr="002561C6">
        <w:rPr>
          <w:b/>
        </w:rPr>
        <w:t xml:space="preserve">e) Předpokládaný hospodářský a finanční dosah navrhované </w:t>
      </w:r>
      <w:r>
        <w:rPr>
          <w:b/>
        </w:rPr>
        <w:t xml:space="preserve">právní </w:t>
      </w:r>
      <w:r w:rsidRPr="002561C6">
        <w:rPr>
          <w:b/>
        </w:rPr>
        <w:t>úpravy, zejména nároky na státní rozpočet, rozpočty krajů a obcí</w:t>
      </w:r>
    </w:p>
    <w:p w:rsidR="002561C6" w:rsidRDefault="002561C6">
      <w:r w:rsidRPr="002561C6">
        <w:t>Navrhovaná právní úprava</w:t>
      </w:r>
      <w:r>
        <w:t xml:space="preserve"> nepřináší žádné dodatečné nároky na státní rozpočet. Rozpočty obcí mohou být dílčím způsobem dotčeny možností oddlužení tzv. dětských dlužníků v privilegovaném režimu, především co do dlužných úhrad komunálních poplatků. Při relevantní možnosti oddlužení však lze očekávat, že významná část tzv. dětských dlužníků realizuje alespoň částečnou úhradu svých dluhů vůči obcím, zatímco bez této možnosti by část z nich mohla přejít do šedé ekonomiky a před svými věřiteli bez vidiny reálného splacení dluhů skrývat svoje příjmy a svůj majetek.</w:t>
      </w:r>
    </w:p>
    <w:p w:rsidR="002561C6" w:rsidRDefault="002561C6">
      <w:r>
        <w:t xml:space="preserve">Navrhovaná právní úprava naopak bude mít významné sociální a hospodářské dopady na tzv. dětské dlužníky, kteří nebudou vytlačováni do šedé ekonomiky, naopak budou podporováni k ekonomické aktivitě, která přetrvá i po skončení oddlužení. Možností oddlužit se bude taky významně zjednodušen přechod k samostatnému životu těm mladým lidem, kteří neměli dobré rodinné zázemí. Souhrnem těchto okolností dojde k významnému snížení rizika sociálního vyloučení a úprava bude mít pozitivní dopad rovněž do prevence </w:t>
      </w:r>
      <w:r w:rsidR="00F668DD">
        <w:t>kriminální činnosti.</w:t>
      </w:r>
    </w:p>
    <w:p w:rsidR="00914EC1" w:rsidRPr="00914EC1" w:rsidRDefault="00914EC1" w:rsidP="00914EC1">
      <w:pPr>
        <w:jc w:val="center"/>
        <w:rPr>
          <w:b/>
          <w:sz w:val="28"/>
        </w:rPr>
      </w:pPr>
      <w:r w:rsidRPr="00914EC1">
        <w:rPr>
          <w:b/>
          <w:sz w:val="28"/>
        </w:rPr>
        <w:t>Zvláštní část</w:t>
      </w:r>
    </w:p>
    <w:p w:rsidR="00914EC1" w:rsidRPr="00914EC1" w:rsidRDefault="00914EC1">
      <w:pPr>
        <w:rPr>
          <w:b/>
        </w:rPr>
      </w:pPr>
      <w:r w:rsidRPr="00914EC1">
        <w:rPr>
          <w:b/>
        </w:rPr>
        <w:t>K čl. I</w:t>
      </w:r>
    </w:p>
    <w:p w:rsidR="006B3CD8" w:rsidRDefault="003C7E67">
      <w:r>
        <w:t xml:space="preserve">Navrhovaná úprava podmiňuje privilegovaný způsob oddlužení tím, že alespoň </w:t>
      </w:r>
      <w:r w:rsidR="006B3CD8">
        <w:t xml:space="preserve">dvě třetiny </w:t>
      </w:r>
      <w:r>
        <w:t xml:space="preserve">(souhrnné) </w:t>
      </w:r>
      <w:r w:rsidR="006B3CD8">
        <w:t>výše pohledávek nezajištěných věřitelů</w:t>
      </w:r>
      <w:r>
        <w:t xml:space="preserve"> budou spadat svým vznikem do období před dovršením 18</w:t>
      </w:r>
      <w:r w:rsidR="006B3CD8">
        <w:t>.</w:t>
      </w:r>
      <w:r>
        <w:t xml:space="preserve"> roku věku</w:t>
      </w:r>
      <w:r w:rsidR="006B3CD8">
        <w:t xml:space="preserve"> dlužníka</w:t>
      </w:r>
      <w:r>
        <w:t xml:space="preserve">. Jakkoliv se takové pravidlo může zdát příliš benevolentní, nelze opomíjet skutečnost, </w:t>
      </w:r>
      <w:r w:rsidR="006B3CD8">
        <w:t xml:space="preserve">že tzv. dětští dlužníci velice často vstupují do (právní) dospělosti v dosti obtížné situaci, často z dětského domova nebo ze sociálně problematické rodiny, často bez prostředků, z nichž by mohli například financovat svoje bydlení nebo náklady spojené s obstaráním zaměstnání (nejrůznější výpisy, opisy, potvrzení, cestovné). Pokud by mělo být privilegované oddlužení odepřeno každému dlužníku, kterému po 18. narozeninách vznikl nějaký dluh (bez ohledu na jeho výši a důvod), bylo by </w:t>
      </w:r>
      <w:r>
        <w:t>nesnadné</w:t>
      </w:r>
      <w:r w:rsidR="006B3CD8">
        <w:t xml:space="preserve"> dosáhnout účelu navrhované změny.</w:t>
      </w:r>
    </w:p>
    <w:p w:rsidR="00DF3890" w:rsidRDefault="003C7E67">
      <w:r>
        <w:lastRenderedPageBreak/>
        <w:t xml:space="preserve">Je obtížné chtít po čerstvě dospělém, jehož finanční kompetence nemusí být nejlepší, aby řešil svou situaci ihned po dosažení zletilosti, popřípadě aby se vůbec nezadlužil. Z těchto důvodů se </w:t>
      </w:r>
      <w:r w:rsidR="00DF3890">
        <w:t>stanoví, že přístupu k rychlejšímu a snazšímu oddlužení může využít každý dlužník, u něhož dvě třetiny výše dluhů (kvalifikovaná většina) vznikl</w:t>
      </w:r>
      <w:r>
        <w:t>y</w:t>
      </w:r>
      <w:r w:rsidR="00DF3890">
        <w:t xml:space="preserve"> před 18. rokem života.</w:t>
      </w:r>
    </w:p>
    <w:p w:rsidR="003C7E67" w:rsidRDefault="00DF3890" w:rsidP="00CB3549">
      <w:r>
        <w:t>Právní fikcí se dále mezi dluhy vzniklé před 18. rokem věku dlužníka zařazuje veškeré příslušenství těchto dluhů, i když mohlo přirůst až po dosažení této hranice. Dále je třeba mít na zřeteli, že mnozí, kdo dosáhnou zletilosti, se snaží o řešení svého předchozího zadlužení tím, že si berou nové půjčky, kterými hradí staré dluhy, mnohdy vzniklé bez jejich vůle. Reálně se tedy nové dluhy jeví jako vzniklé v dospělosti, ale fakticky jde pouze o restrukturovanou zátěž z doby nezletilosti. Proto i takové dluhy je třeba považovat za dluhy vzniklé před dosažením 18. roku, lze-li po věřiteli spravedlivě požadovat, aby strpěl intenzitu takového zásahu – tedy v případech, že pohledávka vznikla ze svobodné vůle věřitele (na základě smlouvy jako dvoustranného právního jednání) a při jeho podnikatelské činnosti. Z hlediska legitimity je zároveň třeba, aby dlužník získané plnění skutečně použil k uhrazení starších dluhů</w:t>
      </w:r>
      <w:r w:rsidR="003C7E67">
        <w:t xml:space="preserve"> (výhradně dluhů </w:t>
      </w:r>
      <w:r w:rsidR="00187054">
        <w:t xml:space="preserve">před 18. rokem života </w:t>
      </w:r>
      <w:r w:rsidR="003C7E67">
        <w:t>vzniklých reálně, nikoliv fikcí)</w:t>
      </w:r>
      <w:r>
        <w:t xml:space="preserve">, a to ve stejném rozsahu, v němž je považováno za přijatelné, aby využil privilegovaného režimu oddlužení – tedy v případě dvoutřetinového </w:t>
      </w:r>
      <w:r w:rsidR="00187054">
        <w:t>podílu</w:t>
      </w:r>
      <w:r>
        <w:t xml:space="preserve">. Dlužník by zároveň měl včas projevit vůli svou dluhovou situaci řešit, proto se jako poslední podmínka stanoví, že tyto dluhy vznikly v době tříletého období od </w:t>
      </w:r>
      <w:r w:rsidR="00CB3549">
        <w:t>dosažení 18 let věku dlužníka, po niž se mu přiznává zvýšená ochrana.</w:t>
      </w:r>
    </w:p>
    <w:p w:rsidR="00914EC1" w:rsidRPr="00914EC1" w:rsidRDefault="00914EC1" w:rsidP="00CB3549">
      <w:pPr>
        <w:rPr>
          <w:b/>
        </w:rPr>
      </w:pPr>
      <w:r w:rsidRPr="00914EC1">
        <w:rPr>
          <w:b/>
        </w:rPr>
        <w:t>K čl. II</w:t>
      </w:r>
      <w:r>
        <w:rPr>
          <w:b/>
        </w:rPr>
        <w:t xml:space="preserve"> a III</w:t>
      </w:r>
    </w:p>
    <w:p w:rsidR="003C7E67" w:rsidRDefault="003C7E67">
      <w:r>
        <w:t xml:space="preserve">Novela zákona současně předpokládá, že se možnost </w:t>
      </w:r>
      <w:r w:rsidR="00CB3549">
        <w:t>splnit</w:t>
      </w:r>
      <w:r>
        <w:t xml:space="preserve"> oddlužení </w:t>
      </w:r>
      <w:r w:rsidR="00CB3549">
        <w:t xml:space="preserve">za mírnějších podmínek </w:t>
      </w:r>
      <w:r>
        <w:t xml:space="preserve">vztáhne i na ty, </w:t>
      </w:r>
      <w:r w:rsidR="00CB3549">
        <w:t>u nichž bylo o úpadku (zpravidla společně s povolením oddlužení) rozhodnuto</w:t>
      </w:r>
      <w:r>
        <w:t xml:space="preserve"> před účinností tohoto zákona, ale po účinnosti tzv. </w:t>
      </w:r>
      <w:r w:rsidR="00CB3549">
        <w:t>oddlužovací</w:t>
      </w:r>
      <w:r>
        <w:t xml:space="preserve"> novely</w:t>
      </w:r>
      <w:r w:rsidR="00CB3549">
        <w:t xml:space="preserve"> insolvenčního zákona (zákon č. 31/2019 Sb.)</w:t>
      </w:r>
      <w:r>
        <w:t xml:space="preserve"> přijaté na počátku tohoto roku (2019).</w:t>
      </w:r>
      <w:r w:rsidR="00914EC1">
        <w:t xml:space="preserve"> Navrhuje se zároveň, aby navrhovaná novela nabyla účinnosti v co nejužší souvislosti s účinností zákona č. 31/2019 Sb.</w:t>
      </w:r>
    </w:p>
    <w:p w:rsidR="002848F5" w:rsidRDefault="002848F5"/>
    <w:p w:rsidR="009B0FF9" w:rsidRDefault="009B0FF9" w:rsidP="009B0FF9">
      <w:r>
        <w:t>V Praze dne 23. května 2019</w:t>
      </w:r>
    </w:p>
    <w:p w:rsidR="009B0FF9" w:rsidRDefault="009B0FF9" w:rsidP="009B0FF9"/>
    <w:p w:rsidR="009B0FF9" w:rsidRDefault="009B0FF9" w:rsidP="009B0FF9">
      <w:pPr>
        <w:spacing w:after="0" w:line="360" w:lineRule="auto"/>
      </w:pPr>
      <w:r>
        <w:t xml:space="preserve">Kateřina Valachová, </w:t>
      </w:r>
      <w:proofErr w:type="gramStart"/>
      <w:r>
        <w:t>v.r.</w:t>
      </w:r>
      <w:proofErr w:type="gramEnd"/>
    </w:p>
    <w:p w:rsidR="009B0FF9" w:rsidRDefault="009B0FF9" w:rsidP="009B0FF9">
      <w:pPr>
        <w:spacing w:after="0" w:line="360" w:lineRule="auto"/>
      </w:pPr>
      <w:r>
        <w:t xml:space="preserve">Patrik </w:t>
      </w:r>
      <w:proofErr w:type="spellStart"/>
      <w:r>
        <w:t>Nacher</w:t>
      </w:r>
      <w:proofErr w:type="spellEnd"/>
      <w:r>
        <w:t xml:space="preserve">, </w:t>
      </w:r>
      <w:proofErr w:type="gramStart"/>
      <w:r>
        <w:t>v.r.</w:t>
      </w:r>
      <w:proofErr w:type="gramEnd"/>
    </w:p>
    <w:p w:rsidR="009B0FF9" w:rsidRDefault="009B0FF9" w:rsidP="009B0FF9">
      <w:pPr>
        <w:spacing w:after="0" w:line="360" w:lineRule="auto"/>
      </w:pPr>
      <w:r>
        <w:t xml:space="preserve">Alena Gajdůšková, </w:t>
      </w:r>
      <w:proofErr w:type="gramStart"/>
      <w:r>
        <w:t>v.r.</w:t>
      </w:r>
      <w:proofErr w:type="gramEnd"/>
    </w:p>
    <w:p w:rsidR="009B0FF9" w:rsidRDefault="009B0FF9" w:rsidP="009B0FF9">
      <w:pPr>
        <w:spacing w:after="0" w:line="360" w:lineRule="auto"/>
      </w:pPr>
      <w:r>
        <w:t xml:space="preserve">Marek </w:t>
      </w:r>
      <w:r>
        <w:tab/>
        <w:t xml:space="preserve">Benda, </w:t>
      </w:r>
      <w:proofErr w:type="gramStart"/>
      <w:r>
        <w:t>v.r.</w:t>
      </w:r>
      <w:proofErr w:type="gramEnd"/>
    </w:p>
    <w:p w:rsidR="009B0FF9" w:rsidRDefault="009B0FF9" w:rsidP="009B0FF9">
      <w:pPr>
        <w:spacing w:after="0" w:line="360" w:lineRule="auto"/>
      </w:pPr>
      <w:r>
        <w:t xml:space="preserve">Lukáš </w:t>
      </w:r>
      <w:proofErr w:type="spellStart"/>
      <w:r>
        <w:t>Kolářík</w:t>
      </w:r>
      <w:proofErr w:type="spellEnd"/>
      <w:r>
        <w:t xml:space="preserve">, </w:t>
      </w:r>
      <w:proofErr w:type="gramStart"/>
      <w:r>
        <w:t>v.r.</w:t>
      </w:r>
      <w:proofErr w:type="gramEnd"/>
    </w:p>
    <w:p w:rsidR="009B0FF9" w:rsidRDefault="009B0FF9" w:rsidP="009B0FF9">
      <w:pPr>
        <w:spacing w:after="0" w:line="360" w:lineRule="auto"/>
      </w:pPr>
      <w:r>
        <w:t xml:space="preserve">Jan Chvojka, </w:t>
      </w:r>
      <w:proofErr w:type="gramStart"/>
      <w:r>
        <w:t>v.r.</w:t>
      </w:r>
      <w:proofErr w:type="gramEnd"/>
    </w:p>
    <w:p w:rsidR="009B0FF9" w:rsidRDefault="009B0FF9" w:rsidP="009B0FF9">
      <w:pPr>
        <w:spacing w:after="0" w:line="360" w:lineRule="auto"/>
      </w:pPr>
      <w:r>
        <w:t xml:space="preserve">Taťána Malá, </w:t>
      </w:r>
      <w:proofErr w:type="gramStart"/>
      <w:r>
        <w:t>v.r.</w:t>
      </w:r>
      <w:proofErr w:type="gramEnd"/>
    </w:p>
    <w:p w:rsidR="009B0FF9" w:rsidRDefault="009B0FF9" w:rsidP="009B0FF9">
      <w:pPr>
        <w:spacing w:after="0" w:line="360" w:lineRule="auto"/>
      </w:pPr>
      <w:r>
        <w:t xml:space="preserve">Marek Výborný, </w:t>
      </w:r>
      <w:proofErr w:type="gramStart"/>
      <w:r>
        <w:t>v.r.</w:t>
      </w:r>
      <w:proofErr w:type="gramEnd"/>
    </w:p>
    <w:p w:rsidR="009B0FF9" w:rsidRDefault="009B0FF9" w:rsidP="009B0FF9">
      <w:pPr>
        <w:spacing w:after="0" w:line="360" w:lineRule="auto"/>
      </w:pPr>
      <w:r>
        <w:t xml:space="preserve">Stanislav Grospič, </w:t>
      </w:r>
      <w:proofErr w:type="gramStart"/>
      <w:r>
        <w:t>v.r.</w:t>
      </w:r>
      <w:proofErr w:type="gramEnd"/>
    </w:p>
    <w:p w:rsidR="009B0FF9" w:rsidRDefault="009B0FF9" w:rsidP="009B0FF9">
      <w:pPr>
        <w:spacing w:after="0" w:line="360" w:lineRule="auto"/>
      </w:pPr>
      <w:r>
        <w:t xml:space="preserve">Jan Farský, </w:t>
      </w:r>
      <w:proofErr w:type="gramStart"/>
      <w:r>
        <w:t>v.r.</w:t>
      </w:r>
      <w:proofErr w:type="gramEnd"/>
    </w:p>
    <w:p w:rsidR="009B0FF9" w:rsidRDefault="009B0FF9" w:rsidP="009B0FF9">
      <w:pPr>
        <w:spacing w:after="0" w:line="360" w:lineRule="auto"/>
      </w:pPr>
      <w:r>
        <w:t xml:space="preserve">Radim Fiala, </w:t>
      </w:r>
      <w:proofErr w:type="gramStart"/>
      <w:r>
        <w:t>v.r.</w:t>
      </w:r>
      <w:proofErr w:type="gramEnd"/>
    </w:p>
    <w:p w:rsidR="009B0FF9" w:rsidRDefault="009B0FF9" w:rsidP="00C62861">
      <w:pPr>
        <w:spacing w:after="0" w:line="360" w:lineRule="auto"/>
      </w:pPr>
      <w:r>
        <w:t xml:space="preserve">Dominik </w:t>
      </w:r>
      <w:proofErr w:type="spellStart"/>
      <w:r>
        <w:t>Feri</w:t>
      </w:r>
      <w:proofErr w:type="spellEnd"/>
      <w:r>
        <w:t xml:space="preserve">, </w:t>
      </w:r>
      <w:proofErr w:type="gramStart"/>
      <w:r>
        <w:t>v.r.</w:t>
      </w:r>
      <w:bookmarkStart w:id="0" w:name="_GoBack"/>
      <w:bookmarkEnd w:id="0"/>
      <w:proofErr w:type="gramEnd"/>
    </w:p>
    <w:sectPr w:rsidR="009B0FF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1C6" w:rsidRDefault="002561C6">
      <w:pPr>
        <w:spacing w:after="0"/>
      </w:pPr>
      <w:r>
        <w:separator/>
      </w:r>
    </w:p>
  </w:endnote>
  <w:endnote w:type="continuationSeparator" w:id="0">
    <w:p w:rsidR="002561C6" w:rsidRDefault="002561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Source Han Sans CN">
    <w:charset w:val="01"/>
    <w:family w:val="auto"/>
    <w:pitch w:val="variable"/>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1C6" w:rsidRDefault="002561C6" w:rsidP="0029080C">
    <w:pPr>
      <w:pStyle w:val="Zpat"/>
      <w:spacing w:after="0"/>
      <w:jc w:val="center"/>
    </w:pPr>
    <w:r>
      <w:fldChar w:fldCharType="begin"/>
    </w:r>
    <w:r>
      <w:instrText xml:space="preserve"> PAGE </w:instrText>
    </w:r>
    <w:r>
      <w:fldChar w:fldCharType="separate"/>
    </w:r>
    <w:r w:rsidR="00C62861">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1C6" w:rsidRDefault="002561C6">
      <w:pPr>
        <w:spacing w:after="0"/>
      </w:pPr>
      <w:r>
        <w:separator/>
      </w:r>
    </w:p>
  </w:footnote>
  <w:footnote w:type="continuationSeparator" w:id="0">
    <w:p w:rsidR="002561C6" w:rsidRDefault="002561C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2"/>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decimal"/>
      <w:pStyle w:val="Nadpis4"/>
      <w:lvlText w:val="%4"/>
      <w:lvlJc w:val="left"/>
      <w:pPr>
        <w:tabs>
          <w:tab w:val="num" w:pos="0"/>
        </w:tabs>
        <w:ind w:left="864" w:hanging="864"/>
      </w:pPr>
      <w:rPr>
        <w:b/>
        <w:i w:val="0"/>
        <w:sz w:val="24"/>
      </w:rPr>
    </w:lvl>
    <w:lvl w:ilvl="4">
      <w:start w:val="1"/>
      <w:numFmt w:val="decimal"/>
      <w:pStyle w:val="Nadpis5"/>
      <w:lvlText w:val="%4.%5"/>
      <w:lvlJc w:val="left"/>
      <w:pPr>
        <w:tabs>
          <w:tab w:val="num" w:pos="0"/>
        </w:tabs>
        <w:ind w:left="1008" w:hanging="1008"/>
      </w:pPr>
    </w:lvl>
    <w:lvl w:ilvl="5">
      <w:start w:val="1"/>
      <w:numFmt w:val="decimal"/>
      <w:pStyle w:val="Nadpis6"/>
      <w:lvlText w:val="%4.%5.%6"/>
      <w:lvlJc w:val="left"/>
      <w:pPr>
        <w:tabs>
          <w:tab w:val="num" w:pos="0"/>
        </w:tabs>
        <w:ind w:left="1152" w:hanging="1152"/>
      </w:pPr>
    </w:lvl>
    <w:lvl w:ilvl="6">
      <w:start w:val="1"/>
      <w:numFmt w:val="decimal"/>
      <w:pStyle w:val="Nadpis7"/>
      <w:lvlText w:val="%4.%5.%6.%7"/>
      <w:lvlJc w:val="left"/>
      <w:pPr>
        <w:tabs>
          <w:tab w:val="num" w:pos="0"/>
        </w:tabs>
        <w:ind w:left="1296" w:hanging="1296"/>
      </w:pPr>
    </w:lvl>
    <w:lvl w:ilvl="7">
      <w:start w:val="1"/>
      <w:numFmt w:val="decimal"/>
      <w:pStyle w:val="Nadpis8"/>
      <w:lvlText w:val="%4.%5.%6.%7.%8"/>
      <w:lvlJc w:val="left"/>
      <w:pPr>
        <w:tabs>
          <w:tab w:val="num" w:pos="0"/>
        </w:tabs>
        <w:ind w:left="1440" w:hanging="1440"/>
      </w:pPr>
    </w:lvl>
    <w:lvl w:ilvl="8">
      <w:start w:val="1"/>
      <w:numFmt w:val="decimal"/>
      <w:pStyle w:val="Nadpis9"/>
      <w:lvlText w:val="%4.%5.%6.%7.%8.%9"/>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9B"/>
    <w:rsid w:val="000762ED"/>
    <w:rsid w:val="0009559B"/>
    <w:rsid w:val="00187054"/>
    <w:rsid w:val="00223A5E"/>
    <w:rsid w:val="002561C6"/>
    <w:rsid w:val="002848F5"/>
    <w:rsid w:val="0029080C"/>
    <w:rsid w:val="00303190"/>
    <w:rsid w:val="003C7E67"/>
    <w:rsid w:val="003F17B7"/>
    <w:rsid w:val="00403E26"/>
    <w:rsid w:val="00517D18"/>
    <w:rsid w:val="005433ED"/>
    <w:rsid w:val="006B3CD8"/>
    <w:rsid w:val="007A110E"/>
    <w:rsid w:val="008566C8"/>
    <w:rsid w:val="0087204F"/>
    <w:rsid w:val="008B4157"/>
    <w:rsid w:val="008B70AB"/>
    <w:rsid w:val="008C33B2"/>
    <w:rsid w:val="008E34EA"/>
    <w:rsid w:val="008E4D7F"/>
    <w:rsid w:val="00914EC1"/>
    <w:rsid w:val="009B0FF9"/>
    <w:rsid w:val="009B650B"/>
    <w:rsid w:val="009D2C9D"/>
    <w:rsid w:val="00B53950"/>
    <w:rsid w:val="00C62861"/>
    <w:rsid w:val="00CB3549"/>
    <w:rsid w:val="00CF38B7"/>
    <w:rsid w:val="00DF3890"/>
    <w:rsid w:val="00F55A05"/>
    <w:rsid w:val="00F668DD"/>
    <w:rsid w:val="00FD3F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DB4D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40"/>
      <w:jc w:val="both"/>
    </w:pPr>
    <w:rPr>
      <w:rFonts w:ascii="Garamond" w:eastAsia="Calibri" w:hAnsi="Garamond"/>
      <w:sz w:val="24"/>
      <w:szCs w:val="22"/>
      <w:lang w:eastAsia="en-US"/>
    </w:rPr>
  </w:style>
  <w:style w:type="paragraph" w:styleId="Nadpis1">
    <w:name w:val="heading 1"/>
    <w:basedOn w:val="Normln"/>
    <w:next w:val="Nadpis2"/>
    <w:qFormat/>
    <w:pPr>
      <w:keepNext/>
      <w:spacing w:before="120" w:line="360" w:lineRule="auto"/>
      <w:ind w:firstLine="567"/>
      <w:outlineLvl w:val="0"/>
    </w:pPr>
    <w:rPr>
      <w:rFonts w:eastAsia="Times New Roman"/>
      <w:b/>
      <w:bCs/>
      <w:caps/>
      <w:kern w:val="2"/>
      <w:szCs w:val="28"/>
    </w:rPr>
  </w:style>
  <w:style w:type="paragraph" w:styleId="Nadpis2">
    <w:name w:val="heading 2"/>
    <w:basedOn w:val="Nadpis1"/>
    <w:next w:val="Zkladntext"/>
    <w:qFormat/>
    <w:pPr>
      <w:numPr>
        <w:numId w:val="1"/>
      </w:numPr>
      <w:spacing w:before="0" w:after="120"/>
      <w:outlineLvl w:val="1"/>
    </w:pPr>
    <w:rPr>
      <w:i/>
      <w:caps w:val="0"/>
      <w:szCs w:val="24"/>
    </w:rPr>
  </w:style>
  <w:style w:type="paragraph" w:styleId="Nadpis3">
    <w:name w:val="heading 3"/>
    <w:basedOn w:val="Normln"/>
    <w:next w:val="Normln"/>
    <w:qFormat/>
    <w:pPr>
      <w:keepNext/>
      <w:spacing w:after="120" w:line="360" w:lineRule="auto"/>
      <w:outlineLvl w:val="2"/>
    </w:pPr>
    <w:rPr>
      <w:rFonts w:eastAsia="Times New Roman"/>
      <w:b/>
      <w:bCs/>
      <w:iCs/>
      <w:szCs w:val="24"/>
    </w:rPr>
  </w:style>
  <w:style w:type="paragraph" w:styleId="Nadpis4">
    <w:name w:val="heading 4"/>
    <w:basedOn w:val="Normln"/>
    <w:next w:val="Normln"/>
    <w:qFormat/>
    <w:pPr>
      <w:keepNext/>
      <w:numPr>
        <w:ilvl w:val="3"/>
        <w:numId w:val="1"/>
      </w:numPr>
      <w:spacing w:before="240" w:after="60" w:line="360" w:lineRule="auto"/>
      <w:outlineLvl w:val="3"/>
    </w:pPr>
    <w:rPr>
      <w:rFonts w:eastAsia="Times New Roman"/>
      <w:sz w:val="28"/>
      <w:szCs w:val="28"/>
    </w:rPr>
  </w:style>
  <w:style w:type="paragraph" w:styleId="Nadpis5">
    <w:name w:val="heading 5"/>
    <w:basedOn w:val="Normln"/>
    <w:next w:val="Normln"/>
    <w:qFormat/>
    <w:pPr>
      <w:numPr>
        <w:ilvl w:val="4"/>
        <w:numId w:val="1"/>
      </w:numPr>
      <w:spacing w:before="240" w:after="60" w:line="360" w:lineRule="auto"/>
      <w:outlineLvl w:val="4"/>
    </w:pPr>
    <w:rPr>
      <w:rFonts w:eastAsia="Times New Roman"/>
      <w:i/>
      <w:iCs/>
      <w:sz w:val="26"/>
      <w:szCs w:val="26"/>
    </w:rPr>
  </w:style>
  <w:style w:type="paragraph" w:styleId="Nadpis6">
    <w:name w:val="heading 6"/>
    <w:basedOn w:val="Normln"/>
    <w:next w:val="Normln"/>
    <w:qFormat/>
    <w:pPr>
      <w:numPr>
        <w:ilvl w:val="5"/>
        <w:numId w:val="1"/>
      </w:numPr>
      <w:spacing w:before="240" w:after="60" w:line="360" w:lineRule="auto"/>
      <w:outlineLvl w:val="5"/>
    </w:pPr>
    <w:rPr>
      <w:rFonts w:eastAsia="Times New Roman"/>
    </w:rPr>
  </w:style>
  <w:style w:type="paragraph" w:styleId="Nadpis7">
    <w:name w:val="heading 7"/>
    <w:basedOn w:val="Normln"/>
    <w:next w:val="Normln"/>
    <w:qFormat/>
    <w:pPr>
      <w:numPr>
        <w:ilvl w:val="6"/>
        <w:numId w:val="1"/>
      </w:numPr>
      <w:spacing w:before="240" w:after="60" w:line="360" w:lineRule="auto"/>
      <w:outlineLvl w:val="6"/>
    </w:pPr>
    <w:rPr>
      <w:rFonts w:eastAsia="Times New Roman"/>
      <w:szCs w:val="24"/>
    </w:rPr>
  </w:style>
  <w:style w:type="paragraph" w:styleId="Nadpis8">
    <w:name w:val="heading 8"/>
    <w:basedOn w:val="Normln"/>
    <w:next w:val="Normln"/>
    <w:qFormat/>
    <w:pPr>
      <w:numPr>
        <w:ilvl w:val="7"/>
        <w:numId w:val="1"/>
      </w:numPr>
      <w:spacing w:before="240" w:after="60" w:line="360" w:lineRule="auto"/>
      <w:outlineLvl w:val="7"/>
    </w:pPr>
    <w:rPr>
      <w:rFonts w:eastAsia="Times New Roman"/>
      <w:i/>
      <w:iCs/>
      <w:szCs w:val="24"/>
    </w:rPr>
  </w:style>
  <w:style w:type="paragraph" w:styleId="Nadpis9">
    <w:name w:val="heading 9"/>
    <w:basedOn w:val="Normln"/>
    <w:next w:val="Normln"/>
    <w:qFormat/>
    <w:pPr>
      <w:numPr>
        <w:ilvl w:val="8"/>
        <w:numId w:val="1"/>
      </w:numPr>
      <w:spacing w:before="240" w:after="60" w:line="360" w:lineRule="auto"/>
      <w:outlineLvl w:val="8"/>
    </w:pPr>
    <w:rPr>
      <w:rFonts w:ascii="Cambria" w:eastAsia="Times New Roman" w:hAnsi="Cambria" w:cs="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rPr>
      <w:b/>
      <w:i w:val="0"/>
      <w:sz w:val="24"/>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Standardnpsmoodstavce1">
    <w:name w:val="Standardní písmo odstavce1"/>
  </w:style>
  <w:style w:type="character" w:customStyle="1" w:styleId="ZhlavChar">
    <w:name w:val="Záhlaví Char"/>
    <w:rPr>
      <w:rFonts w:ascii="Times New Roman" w:hAnsi="Times New Roman" w:cs="Times New Roman"/>
      <w:sz w:val="24"/>
      <w:szCs w:val="22"/>
      <w:lang w:eastAsia="en-US"/>
    </w:rPr>
  </w:style>
  <w:style w:type="character" w:customStyle="1" w:styleId="ZpatChar">
    <w:name w:val="Zápatí Char"/>
    <w:rPr>
      <w:rFonts w:ascii="Times New Roman" w:hAnsi="Times New Roman" w:cs="Times New Roman"/>
      <w:sz w:val="24"/>
      <w:szCs w:val="22"/>
      <w:lang w:eastAsia="en-US"/>
    </w:rPr>
  </w:style>
  <w:style w:type="character" w:customStyle="1" w:styleId="Odkaznakoment1">
    <w:name w:val="Odkaz na komentář1"/>
    <w:rPr>
      <w:sz w:val="16"/>
      <w:szCs w:val="16"/>
    </w:rPr>
  </w:style>
  <w:style w:type="character" w:customStyle="1" w:styleId="TextkomenteChar">
    <w:name w:val="Text komentáře Char"/>
    <w:rPr>
      <w:rFonts w:ascii="Cambria" w:hAnsi="Cambria" w:cs="Cambria"/>
      <w:lang w:eastAsia="en-US"/>
    </w:rPr>
  </w:style>
  <w:style w:type="character" w:customStyle="1" w:styleId="TextbublinyChar">
    <w:name w:val="Text bubliny Char"/>
    <w:rPr>
      <w:rFonts w:ascii="Tahoma" w:hAnsi="Tahoma" w:cs="Tahoma"/>
      <w:sz w:val="16"/>
      <w:szCs w:val="16"/>
      <w:lang w:eastAsia="en-US"/>
    </w:rPr>
  </w:style>
  <w:style w:type="character" w:customStyle="1" w:styleId="Nadpis1Char">
    <w:name w:val="Nadpis 1 Char"/>
    <w:basedOn w:val="Standardnpsmoodstavce1"/>
    <w:rPr>
      <w:rFonts w:ascii="Times New Roman" w:eastAsia="Times New Roman" w:hAnsi="Times New Roman" w:cs="Times New Roman"/>
      <w:b/>
      <w:bCs/>
      <w:caps/>
      <w:kern w:val="2"/>
      <w:sz w:val="24"/>
      <w:szCs w:val="28"/>
      <w:lang w:eastAsia="en-US"/>
    </w:rPr>
  </w:style>
  <w:style w:type="character" w:customStyle="1" w:styleId="Nadpis2Char">
    <w:name w:val="Nadpis 2 Char"/>
    <w:basedOn w:val="Standardnpsmoodstavce1"/>
    <w:rPr>
      <w:rFonts w:ascii="Times New Roman" w:eastAsia="Times New Roman" w:hAnsi="Times New Roman" w:cs="Times New Roman"/>
      <w:b/>
      <w:bCs/>
      <w:i/>
      <w:kern w:val="2"/>
      <w:sz w:val="24"/>
      <w:szCs w:val="24"/>
      <w:lang w:eastAsia="en-US"/>
    </w:rPr>
  </w:style>
  <w:style w:type="character" w:customStyle="1" w:styleId="Nadpis3Char">
    <w:name w:val="Nadpis 3 Char"/>
    <w:basedOn w:val="Standardnpsmoodstavce1"/>
    <w:rPr>
      <w:rFonts w:ascii="Times New Roman" w:eastAsia="Times New Roman" w:hAnsi="Times New Roman" w:cs="Times New Roman"/>
      <w:b/>
      <w:bCs/>
      <w:iCs/>
      <w:sz w:val="24"/>
      <w:szCs w:val="24"/>
      <w:lang w:eastAsia="en-US"/>
    </w:rPr>
  </w:style>
  <w:style w:type="character" w:customStyle="1" w:styleId="Nadpis4Char">
    <w:name w:val="Nadpis 4 Char"/>
    <w:basedOn w:val="Standardnpsmoodstavce1"/>
    <w:rPr>
      <w:rFonts w:ascii="Times New Roman" w:eastAsia="Times New Roman" w:hAnsi="Times New Roman" w:cs="Times New Roman"/>
      <w:sz w:val="28"/>
      <w:szCs w:val="28"/>
      <w:lang w:eastAsia="en-US"/>
    </w:rPr>
  </w:style>
  <w:style w:type="character" w:customStyle="1" w:styleId="Nadpis5Char">
    <w:name w:val="Nadpis 5 Char"/>
    <w:basedOn w:val="Standardnpsmoodstavce1"/>
    <w:rPr>
      <w:rFonts w:ascii="Times New Roman" w:eastAsia="Times New Roman" w:hAnsi="Times New Roman" w:cs="Times New Roman"/>
      <w:i/>
      <w:iCs/>
      <w:sz w:val="26"/>
      <w:szCs w:val="26"/>
      <w:lang w:eastAsia="en-US"/>
    </w:rPr>
  </w:style>
  <w:style w:type="character" w:customStyle="1" w:styleId="Nadpis6Char">
    <w:name w:val="Nadpis 6 Char"/>
    <w:basedOn w:val="Standardnpsmoodstavce1"/>
    <w:rPr>
      <w:rFonts w:ascii="Times New Roman" w:eastAsia="Times New Roman" w:hAnsi="Times New Roman" w:cs="Times New Roman"/>
      <w:sz w:val="24"/>
      <w:szCs w:val="22"/>
      <w:lang w:eastAsia="en-US"/>
    </w:rPr>
  </w:style>
  <w:style w:type="character" w:customStyle="1" w:styleId="Nadpis7Char">
    <w:name w:val="Nadpis 7 Char"/>
    <w:basedOn w:val="Standardnpsmoodstavce1"/>
    <w:rPr>
      <w:rFonts w:ascii="Times New Roman" w:eastAsia="Times New Roman" w:hAnsi="Times New Roman" w:cs="Times New Roman"/>
      <w:sz w:val="24"/>
      <w:szCs w:val="24"/>
      <w:lang w:eastAsia="en-US"/>
    </w:rPr>
  </w:style>
  <w:style w:type="character" w:customStyle="1" w:styleId="Nadpis8Char">
    <w:name w:val="Nadpis 8 Char"/>
    <w:basedOn w:val="Standardnpsmoodstavce1"/>
    <w:rPr>
      <w:rFonts w:ascii="Times New Roman" w:eastAsia="Times New Roman" w:hAnsi="Times New Roman" w:cs="Times New Roman"/>
      <w:i/>
      <w:iCs/>
      <w:sz w:val="24"/>
      <w:szCs w:val="24"/>
      <w:lang w:eastAsia="en-US"/>
    </w:rPr>
  </w:style>
  <w:style w:type="character" w:customStyle="1" w:styleId="Nadpis9Char">
    <w:name w:val="Nadpis 9 Char"/>
    <w:basedOn w:val="Standardnpsmoodstavce1"/>
    <w:rPr>
      <w:rFonts w:ascii="Cambria" w:eastAsia="Times New Roman" w:hAnsi="Cambria" w:cs="Cambria"/>
      <w:sz w:val="24"/>
      <w:szCs w:val="22"/>
      <w:lang w:eastAsia="en-US"/>
    </w:rPr>
  </w:style>
  <w:style w:type="character" w:customStyle="1" w:styleId="NzevChar">
    <w:name w:val="Název Char"/>
    <w:basedOn w:val="Standardnpsmoodstavce1"/>
    <w:rPr>
      <w:rFonts w:ascii="Times New Roman" w:eastAsia="Times New Roman" w:hAnsi="Times New Roman" w:cs="Times New Roman"/>
      <w:b/>
      <w:spacing w:val="60"/>
      <w:kern w:val="2"/>
      <w:sz w:val="32"/>
      <w:szCs w:val="32"/>
      <w:lang w:eastAsia="en-US"/>
    </w:rPr>
  </w:style>
  <w:style w:type="character" w:customStyle="1" w:styleId="PodtitulChar">
    <w:name w:val="Podtitul Char"/>
    <w:basedOn w:val="Standardnpsmoodstavce1"/>
    <w:rPr>
      <w:rFonts w:ascii="Times New Roman" w:eastAsia="Times New Roman" w:hAnsi="Times New Roman" w:cs="Times New Roman"/>
      <w:b/>
      <w:smallCaps/>
      <w:sz w:val="28"/>
      <w:szCs w:val="24"/>
      <w:lang w:eastAsia="en-US"/>
    </w:rPr>
  </w:style>
  <w:style w:type="character" w:customStyle="1" w:styleId="TextpoznpodarouChar">
    <w:name w:val="Text pozn. pod čarou Char"/>
    <w:rPr>
      <w:lang w:eastAsia="en-US"/>
    </w:rPr>
  </w:style>
  <w:style w:type="character" w:customStyle="1" w:styleId="TextpoznpodarouChar1">
    <w:name w:val="Text pozn. pod čarou Char1"/>
    <w:basedOn w:val="Standardnpsmoodstavce1"/>
    <w:rPr>
      <w:rFonts w:ascii="Times New Roman" w:hAnsi="Times New Roman" w:cs="Times New Roman"/>
      <w:lang w:eastAsia="en-US"/>
    </w:rPr>
  </w:style>
  <w:style w:type="character" w:customStyle="1" w:styleId="Znakypropoznmkupodarou">
    <w:name w:val="Znaky pro poznámku pod čarou"/>
    <w:rPr>
      <w:vertAlign w:val="superscript"/>
    </w:rPr>
  </w:style>
  <w:style w:type="character" w:customStyle="1" w:styleId="FootnoteCharacters">
    <w:name w:val="Footnote Characters"/>
    <w:rPr>
      <w:vertAlign w:val="superscript"/>
    </w:rPr>
  </w:style>
  <w:style w:type="character" w:customStyle="1" w:styleId="PromnnHTML1">
    <w:name w:val="Proměnná HTML1"/>
    <w:rPr>
      <w:i/>
      <w:iCs/>
    </w:rPr>
  </w:style>
  <w:style w:type="character" w:customStyle="1" w:styleId="apple-converted-space">
    <w:name w:val="apple-converted-space"/>
  </w:style>
  <w:style w:type="character" w:styleId="Hypertextovodkaz">
    <w:name w:val="Hyperlink"/>
    <w:rPr>
      <w:color w:val="0000FF"/>
      <w:u w:val="single"/>
    </w:rPr>
  </w:style>
  <w:style w:type="character" w:customStyle="1" w:styleId="PedmtkomenteChar">
    <w:name w:val="Předmět komentáře Char"/>
    <w:basedOn w:val="TextkomenteChar"/>
    <w:rPr>
      <w:rFonts w:ascii="Times New Roman" w:hAnsi="Times New Roman" w:cs="Times New Roman"/>
      <w:b/>
      <w:bCs/>
      <w:lang w:eastAsia="en-US"/>
    </w:rPr>
  </w:style>
  <w:style w:type="character" w:customStyle="1" w:styleId="highlight">
    <w:name w:val="highlight"/>
  </w:style>
  <w:style w:type="character" w:customStyle="1" w:styleId="upd">
    <w:name w:val="upd"/>
  </w:style>
  <w:style w:type="character" w:customStyle="1" w:styleId="Siln1">
    <w:name w:val="Silné1"/>
    <w:rPr>
      <w:b/>
      <w:bCs/>
    </w:rPr>
  </w:style>
  <w:style w:type="character" w:customStyle="1" w:styleId="footnote">
    <w:name w:val="footnote"/>
  </w:style>
  <w:style w:type="character" w:styleId="Zdraznn">
    <w:name w:val="Emphasis"/>
    <w:qFormat/>
    <w:rPr>
      <w:i/>
      <w:iCs/>
    </w:rPr>
  </w:style>
  <w:style w:type="character" w:customStyle="1" w:styleId="st1">
    <w:name w:val="st1"/>
    <w:basedOn w:val="Standardnpsmoodstavce1"/>
  </w:style>
  <w:style w:type="character" w:customStyle="1" w:styleId="ListLabel1">
    <w:name w:val="ListLabel 1"/>
    <w:rPr>
      <w:b/>
    </w:rPr>
  </w:style>
  <w:style w:type="character" w:customStyle="1" w:styleId="ListLabel2">
    <w:name w:val="ListLabel 2"/>
    <w:rPr>
      <w:i w:val="0"/>
    </w:rPr>
  </w:style>
  <w:style w:type="character" w:customStyle="1" w:styleId="ListLabel3">
    <w:name w:val="ListLabel 3"/>
    <w:rPr>
      <w:b/>
      <w:i w:val="0"/>
    </w:rPr>
  </w:style>
  <w:style w:type="character" w:customStyle="1" w:styleId="ListLabel4">
    <w:name w:val="ListLabel 4"/>
    <w:rPr>
      <w:b/>
      <w:i w:val="0"/>
      <w:sz w:val="24"/>
    </w:rPr>
  </w:style>
  <w:style w:type="character" w:customStyle="1" w:styleId="ListLabel5">
    <w:name w:val="ListLabel 5"/>
    <w:rPr>
      <w:b/>
    </w:rPr>
  </w:style>
  <w:style w:type="character" w:customStyle="1" w:styleId="ListLabel6">
    <w:name w:val="ListLabel 6"/>
    <w:rPr>
      <w:rFonts w:eastAsia="Times New Roman" w:cs="Times New Roman"/>
    </w:rPr>
  </w:style>
  <w:style w:type="character" w:customStyle="1" w:styleId="ListLabel7">
    <w:name w:val="ListLabel 7"/>
    <w:rPr>
      <w:b w:val="0"/>
      <w:i w:val="0"/>
    </w:rPr>
  </w:style>
  <w:style w:type="character" w:customStyle="1" w:styleId="ListLabel8">
    <w:name w:val="ListLabel 8"/>
    <w:rPr>
      <w:rFonts w:eastAsia="Calibri" w:cs="Times New Roman"/>
      <w:b/>
    </w:rPr>
  </w:style>
  <w:style w:type="character" w:customStyle="1" w:styleId="ListLabel9">
    <w:name w:val="ListLabel 9"/>
    <w:rPr>
      <w:b w:val="0"/>
      <w:i w:val="0"/>
    </w:rPr>
  </w:style>
  <w:style w:type="character" w:customStyle="1" w:styleId="ListLabel10">
    <w:name w:val="ListLabel 10"/>
    <w:rPr>
      <w:rFonts w:eastAsia="Times New Roman" w:cs="Times New Roman"/>
      <w:b/>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eastAsia="Times New Roman" w:cs="Times New Roman"/>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b/>
      <w:i w:val="0"/>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eastAsia="Calibri" w:cs="Arial"/>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eastAsia="Times New Roman" w:cs="Times New Roman"/>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eastAsia="Calibri" w:cs="Arial"/>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b w:val="0"/>
      <w:sz w:val="24"/>
      <w:szCs w:val="24"/>
    </w:rPr>
  </w:style>
  <w:style w:type="character" w:customStyle="1" w:styleId="ListLabel35">
    <w:name w:val="ListLabel 35"/>
    <w:rPr>
      <w:rFonts w:cs="Courier New"/>
    </w:rPr>
  </w:style>
  <w:style w:type="character" w:customStyle="1" w:styleId="ListLabel36">
    <w:name w:val="ListLabel 36"/>
    <w:rPr>
      <w:rFonts w:cs="Courier New"/>
    </w:rPr>
  </w:style>
  <w:style w:type="character" w:customStyle="1" w:styleId="ListLabel37">
    <w:name w:val="ListLabel 37"/>
    <w:rPr>
      <w:rFonts w:cs="Courier New"/>
    </w:rPr>
  </w:style>
  <w:style w:type="character" w:customStyle="1" w:styleId="ListLabel38">
    <w:name w:val="ListLabel 38"/>
    <w:rPr>
      <w:rFonts w:eastAsia="Times New Roman" w:cs="Times New Roman"/>
    </w:rPr>
  </w:style>
  <w:style w:type="character" w:customStyle="1" w:styleId="ListLabel39">
    <w:name w:val="ListLabel 39"/>
    <w:rPr>
      <w:rFonts w:cs="Courier New"/>
    </w:rPr>
  </w:style>
  <w:style w:type="character" w:customStyle="1" w:styleId="ListLabel40">
    <w:name w:val="ListLabel 40"/>
    <w:rPr>
      <w:rFonts w:cs="Courier New"/>
    </w:rPr>
  </w:style>
  <w:style w:type="character" w:customStyle="1" w:styleId="ListLabel41">
    <w:name w:val="ListLabel 41"/>
    <w:rPr>
      <w:rFonts w:cs="Courier New"/>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ListLabel45">
    <w:name w:val="ListLabel 45"/>
    <w:rPr>
      <w:rFonts w:eastAsia="Times New Roman" w:cs="Times New Roman"/>
    </w:rPr>
  </w:style>
  <w:style w:type="character" w:customStyle="1" w:styleId="ListLabel46">
    <w:name w:val="ListLabel 46"/>
    <w:rPr>
      <w:rFonts w:cs="Courier New"/>
    </w:rPr>
  </w:style>
  <w:style w:type="character" w:customStyle="1" w:styleId="ListLabel47">
    <w:name w:val="ListLabel 47"/>
    <w:rPr>
      <w:rFonts w:cs="Courier New"/>
    </w:rPr>
  </w:style>
  <w:style w:type="character" w:customStyle="1" w:styleId="ListLabel48">
    <w:name w:val="ListLabel 48"/>
    <w:rPr>
      <w:rFonts w:cs="Courier New"/>
    </w:rPr>
  </w:style>
  <w:style w:type="character" w:customStyle="1" w:styleId="ListLabel49">
    <w:name w:val="ListLabel 49"/>
    <w:rPr>
      <w:rFonts w:cs="Courier New"/>
    </w:rPr>
  </w:style>
  <w:style w:type="character" w:customStyle="1" w:styleId="ListLabel50">
    <w:name w:val="ListLabel 50"/>
    <w:rPr>
      <w:rFonts w:cs="Courier New"/>
    </w:rPr>
  </w:style>
  <w:style w:type="character" w:customStyle="1" w:styleId="ListLabel51">
    <w:name w:val="ListLabel 51"/>
    <w:rPr>
      <w:rFonts w:cs="Courier New"/>
    </w:rPr>
  </w:style>
  <w:style w:type="character" w:customStyle="1" w:styleId="ListLabel52">
    <w:name w:val="ListLabel 52"/>
    <w:rPr>
      <w:rFonts w:cs="Courier New"/>
    </w:rPr>
  </w:style>
  <w:style w:type="character" w:customStyle="1" w:styleId="ListLabel53">
    <w:name w:val="ListLabel 53"/>
    <w:rPr>
      <w:rFonts w:cs="Courier New"/>
    </w:rPr>
  </w:style>
  <w:style w:type="character" w:customStyle="1" w:styleId="ListLabel54">
    <w:name w:val="ListLabel 54"/>
    <w:rPr>
      <w:i w:val="0"/>
    </w:rPr>
  </w:style>
  <w:style w:type="character" w:customStyle="1" w:styleId="ListLabel55">
    <w:name w:val="ListLabel 55"/>
    <w:rPr>
      <w:i w:val="0"/>
    </w:rPr>
  </w:style>
  <w:style w:type="character" w:customStyle="1" w:styleId="ListLabel56">
    <w:name w:val="ListLabel 56"/>
    <w:rPr>
      <w:rFonts w:cs="Courier New"/>
    </w:rPr>
  </w:style>
  <w:style w:type="character" w:customStyle="1" w:styleId="ListLabel57">
    <w:name w:val="ListLabel 57"/>
    <w:rPr>
      <w:rFonts w:cs="Courier New"/>
    </w:rPr>
  </w:style>
  <w:style w:type="character" w:customStyle="1" w:styleId="ListLabel58">
    <w:name w:val="ListLabel 58"/>
    <w:rPr>
      <w:rFonts w:cs="Courier New"/>
    </w:rPr>
  </w:style>
  <w:style w:type="character" w:customStyle="1" w:styleId="ListLabel59">
    <w:name w:val="ListLabel 59"/>
    <w:rPr>
      <w:i w:val="0"/>
    </w:rPr>
  </w:style>
  <w:style w:type="character" w:customStyle="1" w:styleId="ListLabel60">
    <w:name w:val="ListLabel 60"/>
    <w:rPr>
      <w:b/>
      <w:i w:val="0"/>
    </w:rPr>
  </w:style>
  <w:style w:type="character" w:customStyle="1" w:styleId="ListLabel61">
    <w:name w:val="ListLabel 61"/>
    <w:rPr>
      <w:b/>
      <w:i w:val="0"/>
      <w:sz w:val="24"/>
    </w:rPr>
  </w:style>
  <w:style w:type="character" w:customStyle="1" w:styleId="ListLabel62">
    <w:name w:val="ListLabel 62"/>
    <w:rPr>
      <w:i w:val="0"/>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Courier New"/>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Courier New"/>
    </w:rPr>
  </w:style>
  <w:style w:type="character" w:customStyle="1" w:styleId="ListLabel73">
    <w:name w:val="ListLabel 73"/>
    <w:rPr>
      <w:rFonts w:cs="Courier New"/>
    </w:rPr>
  </w:style>
  <w:style w:type="character" w:customStyle="1" w:styleId="ListLabel74">
    <w:name w:val="ListLabel 74"/>
    <w:rPr>
      <w:rFonts w:cs="Courier New"/>
    </w:rPr>
  </w:style>
  <w:style w:type="character" w:customStyle="1" w:styleId="ListLabel75">
    <w:name w:val="ListLabel 75"/>
    <w:rPr>
      <w:rFonts w:cs="Courier New"/>
    </w:rPr>
  </w:style>
  <w:style w:type="character" w:customStyle="1" w:styleId="ListLabel76">
    <w:name w:val="ListLabel 76"/>
    <w:rPr>
      <w:rFonts w:cs="Courier New"/>
    </w:rPr>
  </w:style>
  <w:style w:type="character" w:customStyle="1" w:styleId="ListLabel77">
    <w:name w:val="ListLabel 77"/>
    <w:rPr>
      <w:rFonts w:cs="Courier New"/>
    </w:rPr>
  </w:style>
  <w:style w:type="character" w:customStyle="1" w:styleId="ListLabel78">
    <w:name w:val="ListLabel 78"/>
    <w:rPr>
      <w:i w:val="0"/>
    </w:rPr>
  </w:style>
  <w:style w:type="character" w:customStyle="1" w:styleId="ListLabel79">
    <w:name w:val="ListLabel 79"/>
    <w:rPr>
      <w:i w:val="0"/>
    </w:rPr>
  </w:style>
  <w:style w:type="character" w:customStyle="1" w:styleId="ListLabel80">
    <w:name w:val="ListLabel 80"/>
    <w:rPr>
      <w:i w:val="0"/>
    </w:rPr>
  </w:style>
  <w:style w:type="character" w:customStyle="1" w:styleId="ListLabel81">
    <w:name w:val="ListLabel 81"/>
    <w:rPr>
      <w:i w:val="0"/>
    </w:rPr>
  </w:style>
  <w:style w:type="character" w:customStyle="1" w:styleId="ListLabel82">
    <w:name w:val="ListLabel 82"/>
    <w:rPr>
      <w:i w:val="0"/>
    </w:rPr>
  </w:style>
  <w:style w:type="character" w:customStyle="1" w:styleId="ListLabel83">
    <w:name w:val="ListLabel 83"/>
    <w:rPr>
      <w:i w:val="0"/>
    </w:rPr>
  </w:style>
  <w:style w:type="character" w:customStyle="1" w:styleId="ListLabel84">
    <w:name w:val="ListLabel 84"/>
    <w:rPr>
      <w:i w:val="0"/>
    </w:rPr>
  </w:style>
  <w:style w:type="character" w:customStyle="1" w:styleId="ListLabel85">
    <w:name w:val="ListLabel 85"/>
    <w:rPr>
      <w:b/>
      <w:i w:val="0"/>
    </w:rPr>
  </w:style>
  <w:style w:type="character" w:customStyle="1" w:styleId="ListLabel86">
    <w:name w:val="ListLabel 86"/>
    <w:rPr>
      <w:b/>
      <w:i w:val="0"/>
      <w:sz w:val="24"/>
    </w:rPr>
  </w:style>
  <w:style w:type="character" w:customStyle="1" w:styleId="ListLabel87">
    <w:name w:val="ListLabel 87"/>
    <w:rPr>
      <w:i w:val="0"/>
    </w:rPr>
  </w:style>
  <w:style w:type="character" w:customStyle="1" w:styleId="ListLabel88">
    <w:name w:val="ListLabel 88"/>
    <w:rPr>
      <w:b/>
      <w:i w:val="0"/>
    </w:rPr>
  </w:style>
  <w:style w:type="character" w:customStyle="1" w:styleId="ListLabel89">
    <w:name w:val="ListLabel 89"/>
    <w:rPr>
      <w:b/>
      <w:i w:val="0"/>
      <w:sz w:val="24"/>
    </w:rPr>
  </w:style>
  <w:style w:type="character" w:customStyle="1" w:styleId="ListLabel90">
    <w:name w:val="ListLabel 90"/>
    <w:rPr>
      <w:i w:val="0"/>
    </w:rPr>
  </w:style>
  <w:style w:type="character" w:customStyle="1" w:styleId="ListLabel91">
    <w:name w:val="ListLabel 91"/>
    <w:rPr>
      <w:b/>
      <w:i w:val="0"/>
    </w:rPr>
  </w:style>
  <w:style w:type="character" w:customStyle="1" w:styleId="ListLabel92">
    <w:name w:val="ListLabel 92"/>
    <w:rPr>
      <w:b/>
      <w:i w:val="0"/>
      <w:sz w:val="24"/>
    </w:rPr>
  </w:style>
  <w:style w:type="character" w:customStyle="1" w:styleId="ListLabel93">
    <w:name w:val="ListLabel 93"/>
    <w:rPr>
      <w:rFonts w:eastAsia="Calibri" w:cs="Times New Roman"/>
    </w:rPr>
  </w:style>
  <w:style w:type="character" w:customStyle="1" w:styleId="ListLabel94">
    <w:name w:val="ListLabel 94"/>
    <w:rPr>
      <w:rFonts w:cs="Courier New"/>
    </w:rPr>
  </w:style>
  <w:style w:type="character" w:customStyle="1" w:styleId="ListLabel95">
    <w:name w:val="ListLabel 95"/>
    <w:rPr>
      <w:rFonts w:cs="Courier New"/>
    </w:rPr>
  </w:style>
  <w:style w:type="character" w:customStyle="1" w:styleId="ListLabel96">
    <w:name w:val="ListLabel 96"/>
    <w:rPr>
      <w:rFonts w:cs="Courier New"/>
    </w:rPr>
  </w:style>
  <w:style w:type="character" w:customStyle="1" w:styleId="ListLabel97">
    <w:name w:val="ListLabel 97"/>
    <w:rPr>
      <w:rFonts w:eastAsia="Calibri" w:cs="Times New Roman"/>
      <w:b w:val="0"/>
      <w:i w:val="0"/>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WW-Znakypropoznmkupodarou">
    <w:name w:val="WW-Znaky pro poznámku pod čarou"/>
  </w:style>
  <w:style w:type="character" w:customStyle="1" w:styleId="Znakyprovysvtlivky">
    <w:name w:val="Znaky pro vysvětlivky"/>
    <w:rPr>
      <w:vertAlign w:val="superscript"/>
    </w:rPr>
  </w:style>
  <w:style w:type="character" w:customStyle="1" w:styleId="WW-Znakyprovysvtlivky">
    <w:name w:val="WW-Znaky pro vysvětlivky"/>
  </w:style>
  <w:style w:type="paragraph" w:customStyle="1" w:styleId="Nadpis">
    <w:name w:val="Nadpis"/>
    <w:basedOn w:val="Normln"/>
    <w:next w:val="Zkladntext"/>
    <w:pPr>
      <w:keepNext/>
      <w:spacing w:before="240" w:after="120"/>
    </w:pPr>
    <w:rPr>
      <w:rFonts w:ascii="Trebuchet MS" w:eastAsia="Source Han Sans CN" w:hAnsi="Trebuchet M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Textkomente1">
    <w:name w:val="Text komentáře1"/>
    <w:basedOn w:val="Normln"/>
    <w:pPr>
      <w:spacing w:after="0"/>
      <w:ind w:firstLine="567"/>
    </w:pPr>
    <w:rPr>
      <w:rFonts w:ascii="Cambria" w:hAnsi="Cambria" w:cs="Cambria"/>
      <w:sz w:val="20"/>
      <w:szCs w:val="20"/>
    </w:rPr>
  </w:style>
  <w:style w:type="paragraph" w:customStyle="1" w:styleId="Textbubliny1">
    <w:name w:val="Text bubliny1"/>
    <w:basedOn w:val="Normln"/>
    <w:pPr>
      <w:spacing w:after="0"/>
    </w:pPr>
    <w:rPr>
      <w:rFonts w:ascii="Tahoma" w:hAnsi="Tahoma" w:cs="Tahoma"/>
      <w:sz w:val="16"/>
      <w:szCs w:val="16"/>
    </w:rPr>
  </w:style>
  <w:style w:type="paragraph" w:customStyle="1" w:styleId="Revize1">
    <w:name w:val="Revize1"/>
    <w:pPr>
      <w:suppressAutoHyphens/>
    </w:pPr>
    <w:rPr>
      <w:rFonts w:eastAsia="Calibri"/>
      <w:sz w:val="24"/>
      <w:szCs w:val="22"/>
      <w:lang w:eastAsia="en-US"/>
    </w:rPr>
  </w:style>
  <w:style w:type="paragraph" w:customStyle="1" w:styleId="Odstavecseseznamem1">
    <w:name w:val="Odstavec se seznamem1"/>
    <w:basedOn w:val="Normln"/>
    <w:pPr>
      <w:ind w:left="720"/>
      <w:contextualSpacing/>
    </w:pPr>
  </w:style>
  <w:style w:type="paragraph" w:styleId="Nzev">
    <w:name w:val="Title"/>
    <w:basedOn w:val="Normln"/>
    <w:next w:val="Normln"/>
    <w:qFormat/>
    <w:pPr>
      <w:spacing w:before="60" w:after="180" w:line="360" w:lineRule="auto"/>
      <w:jc w:val="center"/>
    </w:pPr>
    <w:rPr>
      <w:rFonts w:eastAsia="Times New Roman"/>
      <w:b/>
      <w:spacing w:val="60"/>
      <w:kern w:val="2"/>
      <w:sz w:val="32"/>
      <w:szCs w:val="32"/>
    </w:rPr>
  </w:style>
  <w:style w:type="paragraph" w:styleId="Podnadpis">
    <w:name w:val="Subtitle"/>
    <w:basedOn w:val="Normln"/>
    <w:next w:val="Normln"/>
    <w:qFormat/>
    <w:pPr>
      <w:spacing w:after="120" w:line="360" w:lineRule="auto"/>
      <w:jc w:val="center"/>
    </w:pPr>
    <w:rPr>
      <w:rFonts w:eastAsia="Times New Roman"/>
      <w:b/>
      <w:smallCaps/>
      <w:sz w:val="28"/>
      <w:szCs w:val="24"/>
    </w:rPr>
  </w:style>
  <w:style w:type="paragraph" w:customStyle="1" w:styleId="Normlntun">
    <w:name w:val="Normální tučný"/>
    <w:basedOn w:val="Normln"/>
    <w:next w:val="Normln"/>
    <w:pPr>
      <w:keepNext/>
      <w:spacing w:after="120" w:line="360" w:lineRule="auto"/>
      <w:ind w:firstLine="425"/>
    </w:pPr>
    <w:rPr>
      <w:rFonts w:eastAsia="Times New Roman"/>
      <w:b/>
      <w:szCs w:val="24"/>
    </w:rPr>
  </w:style>
  <w:style w:type="paragraph" w:customStyle="1" w:styleId="Novelizanbod">
    <w:name w:val="Novelizační bod"/>
    <w:basedOn w:val="Normln"/>
    <w:next w:val="Normln"/>
    <w:pPr>
      <w:keepNext/>
      <w:keepLines/>
      <w:tabs>
        <w:tab w:val="left" w:pos="851"/>
      </w:tabs>
      <w:spacing w:before="480" w:after="120"/>
    </w:pPr>
    <w:rPr>
      <w:szCs w:val="20"/>
      <w:lang w:eastAsia="cs-CZ"/>
    </w:rPr>
  </w:style>
  <w:style w:type="paragraph" w:styleId="Textpoznpodarou">
    <w:name w:val="footnote text"/>
    <w:basedOn w:val="Normln"/>
    <w:pPr>
      <w:spacing w:after="200" w:line="360" w:lineRule="auto"/>
      <w:ind w:firstLine="425"/>
    </w:pPr>
    <w:rPr>
      <w:rFonts w:ascii="Calibri" w:hAnsi="Calibri" w:cs="Calibri"/>
      <w:sz w:val="20"/>
      <w:szCs w:val="20"/>
    </w:rPr>
  </w:style>
  <w:style w:type="paragraph" w:customStyle="1" w:styleId="go">
    <w:name w:val="go"/>
    <w:basedOn w:val="Normln"/>
    <w:pPr>
      <w:spacing w:before="280" w:after="280"/>
      <w:ind w:firstLine="425"/>
    </w:pPr>
    <w:rPr>
      <w:rFonts w:eastAsia="Times New Roman"/>
      <w:szCs w:val="24"/>
      <w:lang w:eastAsia="cs-CZ"/>
    </w:rPr>
  </w:style>
  <w:style w:type="paragraph" w:customStyle="1" w:styleId="MSp-text">
    <w:name w:val="MSp-text"/>
    <w:basedOn w:val="Normln"/>
    <w:pPr>
      <w:tabs>
        <w:tab w:val="left" w:pos="720"/>
      </w:tabs>
      <w:ind w:firstLine="720"/>
    </w:pPr>
    <w:rPr>
      <w:rFonts w:eastAsia="Times New Roman"/>
      <w:szCs w:val="24"/>
    </w:rPr>
  </w:style>
  <w:style w:type="paragraph" w:customStyle="1" w:styleId="Pedmtkomente1">
    <w:name w:val="Předmět komentáře1"/>
    <w:basedOn w:val="Textkomente1"/>
    <w:next w:val="Textkomente1"/>
    <w:pPr>
      <w:spacing w:after="200" w:line="360" w:lineRule="auto"/>
      <w:ind w:firstLine="425"/>
    </w:pPr>
    <w:rPr>
      <w:rFonts w:ascii="Times New Roman" w:hAnsi="Times New Roman" w:cs="Times New Roman"/>
      <w:b/>
      <w:bCs/>
    </w:rPr>
  </w:style>
  <w:style w:type="paragraph" w:customStyle="1" w:styleId="Bezmezer1">
    <w:name w:val="Bez mezer1"/>
    <w:basedOn w:val="Normln"/>
    <w:next w:val="Normln"/>
    <w:pPr>
      <w:spacing w:after="0"/>
      <w:ind w:firstLine="425"/>
    </w:pPr>
  </w:style>
  <w:style w:type="paragraph" w:customStyle="1" w:styleId="center">
    <w:name w:val="center"/>
    <w:basedOn w:val="Normln"/>
    <w:pPr>
      <w:spacing w:before="280" w:after="280"/>
      <w:ind w:firstLine="425"/>
    </w:pPr>
    <w:rPr>
      <w:rFonts w:eastAsia="Times New Roman"/>
      <w:szCs w:val="24"/>
      <w:lang w:eastAsia="cs-CZ"/>
    </w:rPr>
  </w:style>
  <w:style w:type="paragraph" w:customStyle="1" w:styleId="Normlnweb1">
    <w:name w:val="Normální (web)1"/>
    <w:basedOn w:val="Normln"/>
    <w:pPr>
      <w:spacing w:before="280" w:after="280"/>
      <w:ind w:firstLine="425"/>
    </w:pPr>
    <w:rPr>
      <w:rFonts w:eastAsia="Times New Roman"/>
      <w:szCs w:val="24"/>
      <w:lang w:eastAsia="cs-CZ"/>
    </w:rPr>
  </w:style>
  <w:style w:type="paragraph" w:customStyle="1" w:styleId="Default">
    <w:name w:val="Default"/>
    <w:pPr>
      <w:suppressAutoHyphens/>
    </w:pPr>
    <w:rPr>
      <w:rFonts w:eastAsia="Calibri"/>
      <w:color w:val="000000"/>
      <w:sz w:val="24"/>
      <w:szCs w:val="24"/>
    </w:rPr>
  </w:style>
  <w:style w:type="paragraph" w:styleId="Textbubliny">
    <w:name w:val="Balloon Text"/>
    <w:basedOn w:val="Normln"/>
    <w:link w:val="TextbublinyChar1"/>
    <w:uiPriority w:val="99"/>
    <w:semiHidden/>
    <w:unhideWhenUsed/>
    <w:rsid w:val="008B4157"/>
    <w:pPr>
      <w:spacing w:after="0"/>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8B4157"/>
    <w:rPr>
      <w:rFonts w:ascii="Tahoma" w:eastAsia="Calibri" w:hAnsi="Tahoma" w:cs="Tahoma"/>
      <w:sz w:val="16"/>
      <w:szCs w:val="16"/>
      <w:lang w:eastAsia="en-US"/>
    </w:rPr>
  </w:style>
  <w:style w:type="paragraph" w:styleId="Odstavecseseznamem">
    <w:name w:val="List Paragraph"/>
    <w:basedOn w:val="Normln"/>
    <w:uiPriority w:val="34"/>
    <w:qFormat/>
    <w:rsid w:val="00FD3F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9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3901C-7E4A-4FE4-897E-67FA2486B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1547</Words>
  <Characters>9130</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2019-05-27T11:57:00Z</dcterms:created>
  <dcterms:modified xsi:type="dcterms:W3CDTF">2019-05-27T12:04:00Z</dcterms:modified>
</cp:coreProperties>
</file>