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4E3" w:rsidRPr="00BC72FA" w:rsidRDefault="006E04E3" w:rsidP="006E04E3">
      <w:pPr>
        <w:pStyle w:val="Bezmezer"/>
        <w:spacing w:after="120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a jiné návrhy</w:t>
      </w:r>
    </w:p>
    <w:p w:rsidR="007E401F" w:rsidRPr="000D4F05" w:rsidRDefault="006E04E3" w:rsidP="006E04E3">
      <w:pPr>
        <w:pStyle w:val="Bezmezer"/>
        <w:jc w:val="center"/>
        <w:rPr>
          <w:b/>
        </w:rPr>
      </w:pPr>
      <w:r w:rsidRPr="000D4F05">
        <w:rPr>
          <w:b/>
        </w:rPr>
        <w:t xml:space="preserve">k vládnímu návrhu zákona, </w:t>
      </w:r>
      <w:r w:rsidR="000D4F05" w:rsidRPr="000D4F05">
        <w:rPr>
          <w:b/>
        </w:rPr>
        <w:t>kterým se mění zákon č. 361/2003 Sb., o služebním poměru příslušníků bezpečnostních sborů, ve znění pozdějších předpisů</w:t>
      </w:r>
    </w:p>
    <w:p w:rsidR="006E04E3" w:rsidRDefault="006E04E3" w:rsidP="006E04E3">
      <w:pPr>
        <w:pStyle w:val="Bezmezer"/>
        <w:jc w:val="both"/>
      </w:pPr>
    </w:p>
    <w:p w:rsidR="006E04E3" w:rsidRDefault="000D4F05" w:rsidP="006E04E3">
      <w:pPr>
        <w:pStyle w:val="Bezmezer"/>
        <w:spacing w:before="120"/>
        <w:jc w:val="center"/>
      </w:pPr>
      <w:r>
        <w:t>(tisk 41</w:t>
      </w:r>
      <w:r w:rsidR="00370F0C">
        <w:t>0</w:t>
      </w:r>
      <w:r w:rsidR="006E04E3">
        <w:t>)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Bezmezer"/>
        <w:jc w:val="both"/>
      </w:pPr>
      <w:r>
        <w:t>Ve druhém čtení návrhu zákona nebyl podán návrh na zamítnutí.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4AD6" w:rsidRDefault="00294AD6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0D4F05" w:rsidRDefault="000D4F05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0D4F05" w:rsidRPr="00BC72FA" w:rsidRDefault="000D4F05" w:rsidP="00BC72FA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návrhy přednesen</w:t>
      </w:r>
      <w:r w:rsidR="00B702F7">
        <w:rPr>
          <w:b/>
          <w:sz w:val="26"/>
          <w:szCs w:val="26"/>
        </w:rPr>
        <w:t>é ve druhém čtení konaném dne 17</w:t>
      </w:r>
      <w:r w:rsidRPr="00BC72FA">
        <w:rPr>
          <w:b/>
          <w:sz w:val="26"/>
          <w:szCs w:val="26"/>
        </w:rPr>
        <w:t>. dubna 2019</w:t>
      </w:r>
    </w:p>
    <w:p w:rsidR="00BC72FA" w:rsidRDefault="00BC72FA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BC72FA" w:rsidRDefault="00BC72FA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BC72FA" w:rsidRPr="00290DB8" w:rsidRDefault="00290DB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r w:rsidRPr="00290DB8">
        <w:rPr>
          <w:b/>
        </w:rPr>
        <w:t>A. Poslanec Zdeněk Ondráček</w:t>
      </w:r>
    </w:p>
    <w:p w:rsidR="00290DB8" w:rsidRDefault="00290DB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0DB8" w:rsidRDefault="00290DB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>
        <w:t>(SD 2452)</w:t>
      </w:r>
    </w:p>
    <w:p w:rsidR="00290DB8" w:rsidRDefault="00290DB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46349" w:rsidRPr="00A46349" w:rsidRDefault="00FF1AF8" w:rsidP="00A46349">
      <w:pPr>
        <w:tabs>
          <w:tab w:val="left" w:pos="284"/>
        </w:tabs>
        <w:spacing w:after="0" w:line="240" w:lineRule="auto"/>
        <w:jc w:val="both"/>
      </w:pPr>
      <w:r>
        <w:t>(</w:t>
      </w:r>
      <w:r w:rsidR="00A46349" w:rsidRPr="00A46349">
        <w:t>V čl. I nové</w:t>
      </w:r>
      <w:r>
        <w:t xml:space="preserve"> novelizační</w:t>
      </w:r>
      <w:r w:rsidR="00A46349" w:rsidRPr="00A46349">
        <w:t xml:space="preserve"> body</w:t>
      </w:r>
      <w:r>
        <w:t>)</w:t>
      </w:r>
      <w:r w:rsidR="00A46349" w:rsidRPr="00A46349">
        <w:t>:</w:t>
      </w:r>
    </w:p>
    <w:p w:rsidR="00A46349" w:rsidRDefault="00A46349" w:rsidP="00A46349">
      <w:pPr>
        <w:tabs>
          <w:tab w:val="left" w:pos="284"/>
        </w:tabs>
        <w:spacing w:after="0" w:line="240" w:lineRule="auto"/>
        <w:jc w:val="both"/>
        <w:rPr>
          <w:b/>
        </w:rPr>
      </w:pPr>
    </w:p>
    <w:p w:rsidR="00A46349" w:rsidRDefault="00A46349" w:rsidP="00A46349">
      <w:pPr>
        <w:numPr>
          <w:ilvl w:val="0"/>
          <w:numId w:val="17"/>
        </w:numPr>
        <w:spacing w:after="120" w:line="276" w:lineRule="auto"/>
        <w:ind w:left="284" w:hanging="284"/>
        <w:jc w:val="both"/>
      </w:pPr>
      <w:r>
        <w:t>Za § 8 se vkládá nový § 8a, který včetně nadpisu zní:</w:t>
      </w:r>
    </w:p>
    <w:p w:rsidR="00A46349" w:rsidRPr="00AB3F64" w:rsidRDefault="00A46349" w:rsidP="00A46349">
      <w:pPr>
        <w:jc w:val="center"/>
      </w:pPr>
      <w:r>
        <w:t>„</w:t>
      </w:r>
      <w:r w:rsidRPr="00AB3F64">
        <w:t>§ 8a</w:t>
      </w:r>
    </w:p>
    <w:p w:rsidR="00A46349" w:rsidRPr="00AB3F64" w:rsidRDefault="00A46349" w:rsidP="00A46349">
      <w:pPr>
        <w:jc w:val="center"/>
        <w:rPr>
          <w:b/>
        </w:rPr>
      </w:pPr>
      <w:r>
        <w:rPr>
          <w:b/>
        </w:rPr>
        <w:t>Jmenování do v</w:t>
      </w:r>
      <w:r w:rsidRPr="00AB3F64">
        <w:rPr>
          <w:b/>
        </w:rPr>
        <w:t>yšší</w:t>
      </w:r>
      <w:r>
        <w:rPr>
          <w:b/>
        </w:rPr>
        <w:t xml:space="preserve">ho hodnostního </w:t>
      </w:r>
      <w:r w:rsidRPr="00AB3F64">
        <w:rPr>
          <w:b/>
        </w:rPr>
        <w:t>označení</w:t>
      </w:r>
      <w:r>
        <w:rPr>
          <w:b/>
        </w:rPr>
        <w:t xml:space="preserve"> </w:t>
      </w:r>
      <w:r w:rsidRPr="00AB3F64">
        <w:rPr>
          <w:b/>
        </w:rPr>
        <w:t>„in memoriam“ nebo býval</w:t>
      </w:r>
      <w:r>
        <w:rPr>
          <w:b/>
        </w:rPr>
        <w:t>ého</w:t>
      </w:r>
      <w:r w:rsidRPr="00AB3F64">
        <w:rPr>
          <w:b/>
        </w:rPr>
        <w:t xml:space="preserve"> příslušník</w:t>
      </w:r>
      <w:r>
        <w:rPr>
          <w:b/>
        </w:rPr>
        <w:t>a</w:t>
      </w:r>
    </w:p>
    <w:p w:rsidR="00A46349" w:rsidRPr="00AB3F64" w:rsidRDefault="00A46349" w:rsidP="00A46349">
      <w:pPr>
        <w:jc w:val="both"/>
      </w:pPr>
      <w:r>
        <w:tab/>
        <w:t xml:space="preserve">(1) </w:t>
      </w:r>
      <w:r w:rsidRPr="00AB3F64">
        <w:t>Příslušník</w:t>
      </w:r>
      <w:r>
        <w:t>a</w:t>
      </w:r>
      <w:r w:rsidR="00547445">
        <w:t>, který</w:t>
      </w:r>
      <w:r w:rsidRPr="00AB3F64">
        <w:t xml:space="preserve"> zemřel při plnění úkolů bezpeč</w:t>
      </w:r>
      <w:r>
        <w:t>nostního sboru</w:t>
      </w:r>
      <w:r w:rsidR="00547445">
        <w:t>,</w:t>
      </w:r>
      <w:r>
        <w:t xml:space="preserve"> lze jmenovat do vyššího hodnostní</w:t>
      </w:r>
      <w:r w:rsidRPr="00AB3F64">
        <w:t xml:space="preserve"> označení, než náleželo jeho poslední služební hodnosti.</w:t>
      </w:r>
    </w:p>
    <w:p w:rsidR="00A46349" w:rsidRPr="00AB3F64" w:rsidRDefault="00A46349" w:rsidP="00A46349">
      <w:pPr>
        <w:ind w:firstLine="708"/>
        <w:jc w:val="both"/>
      </w:pPr>
      <w:r>
        <w:t xml:space="preserve">(2) </w:t>
      </w:r>
      <w:r w:rsidRPr="00AB3F64">
        <w:t xml:space="preserve">O </w:t>
      </w:r>
      <w:r>
        <w:t>jmenování do v</w:t>
      </w:r>
      <w:r w:rsidRPr="00AB3F64">
        <w:t>yššího</w:t>
      </w:r>
      <w:r>
        <w:t xml:space="preserve"> hodnostního</w:t>
      </w:r>
      <w:r w:rsidRPr="00AB3F64">
        <w:t xml:space="preserve"> označení „in memoriam“ rozhoduje ředitel bezpečnostního sboru na návrh služebního funkcionáře s personální pravomocí.</w:t>
      </w:r>
    </w:p>
    <w:p w:rsidR="00A46349" w:rsidRDefault="00A46349" w:rsidP="00A46349">
      <w:pPr>
        <w:tabs>
          <w:tab w:val="left" w:pos="284"/>
        </w:tabs>
        <w:jc w:val="both"/>
      </w:pPr>
      <w:r>
        <w:tab/>
      </w:r>
      <w:r>
        <w:tab/>
        <w:t>(3) Ř</w:t>
      </w:r>
      <w:r w:rsidRPr="00AB3F64">
        <w:t>editel bezpečnostního sboru může na návrh spolku sdružujícího bývalé p</w:t>
      </w:r>
      <w:r>
        <w:t xml:space="preserve">říslušníky bezpečnostních sborů jmenovat do </w:t>
      </w:r>
      <w:r w:rsidRPr="00AB3F64">
        <w:t>vyšší</w:t>
      </w:r>
      <w:r>
        <w:t>ho</w:t>
      </w:r>
      <w:r w:rsidRPr="00AB3F64">
        <w:t xml:space="preserve"> hodnostní</w:t>
      </w:r>
      <w:r>
        <w:t>ho</w:t>
      </w:r>
      <w:r w:rsidRPr="00AB3F64">
        <w:t xml:space="preserve"> označení i bývalé</w:t>
      </w:r>
      <w:r>
        <w:t xml:space="preserve">ho příslušníka </w:t>
      </w:r>
      <w:r w:rsidRPr="00AB3F64">
        <w:t>bezpečnostního sboru,</w:t>
      </w:r>
      <w:r>
        <w:t xml:space="preserve"> </w:t>
      </w:r>
      <w:r w:rsidRPr="00AB3F64">
        <w:t xml:space="preserve">a to </w:t>
      </w:r>
      <w:r>
        <w:t xml:space="preserve">za podmínek, že nebyl propuštěn ze služebního poměru z důvodů uvedených v § 42 písm. a) až g) a i) až k) a splňuje podmínky bezúhonnosti podle § 14.  </w:t>
      </w:r>
    </w:p>
    <w:p w:rsidR="00A46349" w:rsidRDefault="00547445" w:rsidP="00A46349">
      <w:pPr>
        <w:ind w:firstLine="708"/>
        <w:jc w:val="both"/>
      </w:pPr>
      <w:r>
        <w:t>(4) Vláda ČR</w:t>
      </w:r>
      <w:r w:rsidR="00A46349">
        <w:t xml:space="preserve"> může navrhnout prezidentu republiky jmenování do generálské hodnosti i bývalého příslušníka bezpečnostního sboru, a to za splnění podmínek uvedených v odstavci 3.</w:t>
      </w:r>
    </w:p>
    <w:p w:rsidR="00A46349" w:rsidRDefault="00A46349" w:rsidP="00A46349">
      <w:pPr>
        <w:ind w:firstLine="708"/>
        <w:jc w:val="both"/>
      </w:pPr>
      <w:r>
        <w:t>(5) Při opětovném přijetí bývalého příslušníka do služebního poměru se ke jmenování do vyššího hodnostního označení podle odstavce 3 nepřihlíží.“</w:t>
      </w:r>
      <w:r w:rsidR="00BC135E">
        <w:t>.</w:t>
      </w:r>
      <w:r>
        <w:t xml:space="preserve"> </w:t>
      </w:r>
    </w:p>
    <w:p w:rsidR="00A46349" w:rsidRDefault="00A46349" w:rsidP="00A46349">
      <w:pPr>
        <w:pStyle w:val="Odstavecseseznamem"/>
        <w:spacing w:after="160" w:line="259" w:lineRule="auto"/>
        <w:ind w:left="0"/>
        <w:jc w:val="both"/>
      </w:pPr>
      <w:r>
        <w:t xml:space="preserve">  </w:t>
      </w:r>
    </w:p>
    <w:p w:rsidR="00A46349" w:rsidRDefault="00A46349" w:rsidP="00A46349">
      <w:pPr>
        <w:shd w:val="clear" w:color="auto" w:fill="FFFFFF"/>
        <w:spacing w:after="0" w:line="240" w:lineRule="auto"/>
        <w:jc w:val="both"/>
      </w:pPr>
      <w:r>
        <w:rPr>
          <w:b/>
        </w:rPr>
        <w:t>2</w:t>
      </w:r>
      <w:r w:rsidRPr="00954067">
        <w:rPr>
          <w:b/>
        </w:rPr>
        <w:t>.</w:t>
      </w:r>
      <w:r>
        <w:t xml:space="preserve">  V § 115 odst. 1 se věty druhá až čtvrtá </w:t>
      </w:r>
      <w:r>
        <w:rPr>
          <w:rFonts w:eastAsia="Times New Roman"/>
          <w:color w:val="000000"/>
        </w:rPr>
        <w:t>z</w:t>
      </w:r>
      <w:r>
        <w:t xml:space="preserve">rušují. </w:t>
      </w:r>
    </w:p>
    <w:p w:rsidR="00A46349" w:rsidRDefault="00A46349" w:rsidP="00A46349">
      <w:pPr>
        <w:shd w:val="clear" w:color="auto" w:fill="FFFFFF"/>
        <w:spacing w:after="0" w:line="240" w:lineRule="auto"/>
        <w:jc w:val="both"/>
      </w:pPr>
    </w:p>
    <w:p w:rsidR="00A46349" w:rsidRDefault="00A46349" w:rsidP="00A46349">
      <w:pPr>
        <w:shd w:val="clear" w:color="auto" w:fill="FFFFFF"/>
        <w:spacing w:after="0" w:line="240" w:lineRule="auto"/>
        <w:jc w:val="both"/>
      </w:pPr>
      <w:r>
        <w:rPr>
          <w:b/>
        </w:rPr>
        <w:t>3</w:t>
      </w:r>
      <w:r w:rsidRPr="00954067">
        <w:rPr>
          <w:b/>
        </w:rPr>
        <w:t>.</w:t>
      </w:r>
      <w:r>
        <w:t xml:space="preserve">  V § 115 se odstavec 2 zrušuje</w:t>
      </w:r>
    </w:p>
    <w:p w:rsidR="00A46349" w:rsidRDefault="00A46349" w:rsidP="00A46349">
      <w:pPr>
        <w:shd w:val="clear" w:color="auto" w:fill="FFFFFF"/>
        <w:spacing w:after="0" w:line="240" w:lineRule="auto"/>
        <w:jc w:val="both"/>
      </w:pPr>
    </w:p>
    <w:p w:rsidR="00A46349" w:rsidRDefault="00A46349" w:rsidP="00A46349">
      <w:pPr>
        <w:shd w:val="clear" w:color="auto" w:fill="FFFFFF"/>
        <w:spacing w:after="0" w:line="240" w:lineRule="auto"/>
        <w:jc w:val="both"/>
      </w:pPr>
      <w:r>
        <w:tab/>
        <w:t>Dosavadní odstavec 3 se označuje jako odstavec 2.</w:t>
      </w:r>
    </w:p>
    <w:p w:rsidR="00A46349" w:rsidRDefault="00A46349" w:rsidP="00A46349">
      <w:pPr>
        <w:shd w:val="clear" w:color="auto" w:fill="FFFFFF"/>
        <w:spacing w:after="0" w:line="240" w:lineRule="auto"/>
        <w:jc w:val="both"/>
      </w:pPr>
    </w:p>
    <w:p w:rsidR="00A46349" w:rsidRDefault="00A46349" w:rsidP="00A46349">
      <w:pPr>
        <w:shd w:val="clear" w:color="auto" w:fill="FFFFFF"/>
        <w:spacing w:after="0" w:line="240" w:lineRule="auto"/>
        <w:jc w:val="both"/>
        <w:rPr>
          <w:rFonts w:eastAsia="Times New Roman"/>
        </w:rPr>
      </w:pPr>
      <w:r>
        <w:rPr>
          <w:b/>
        </w:rPr>
        <w:lastRenderedPageBreak/>
        <w:t>4</w:t>
      </w:r>
      <w:r w:rsidRPr="00954067">
        <w:rPr>
          <w:b/>
        </w:rPr>
        <w:t>.</w:t>
      </w:r>
      <w:r>
        <w:t xml:space="preserve">  V § 115 odst. 2 se na konci věty tečka nahrazuje slovy „</w:t>
      </w:r>
      <w:r w:rsidRPr="00AC2D5A">
        <w:rPr>
          <w:rFonts w:eastAsia="Times New Roman"/>
        </w:rPr>
        <w:t>tak, aby byl zachován princip zásluhovosti mezi jednotlivými základními tarify i mezi všemi tarifními stupni</w:t>
      </w:r>
      <w:r>
        <w:rPr>
          <w:rFonts w:eastAsia="Times New Roman"/>
        </w:rPr>
        <w:t xml:space="preserve"> a zaokrouhluje je na desítky korun nahoru</w:t>
      </w:r>
      <w:r w:rsidRPr="00AC2D5A">
        <w:rPr>
          <w:rFonts w:eastAsia="Times New Roman"/>
        </w:rPr>
        <w:t>.</w:t>
      </w:r>
      <w:r>
        <w:rPr>
          <w:rFonts w:eastAsia="Times New Roman"/>
        </w:rPr>
        <w:t>“</w:t>
      </w:r>
      <w:r w:rsidR="00BC135E">
        <w:rPr>
          <w:rFonts w:eastAsia="Times New Roman"/>
        </w:rPr>
        <w:t>.</w:t>
      </w:r>
    </w:p>
    <w:p w:rsidR="00290DB8" w:rsidRDefault="00290DB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C74AE2" w:rsidRDefault="00C74AE2" w:rsidP="00C74AE2">
      <w:pPr>
        <w:pStyle w:val="l4"/>
        <w:jc w:val="both"/>
      </w:pPr>
      <w:r w:rsidRPr="00C74AE2">
        <w:rPr>
          <w:b/>
        </w:rPr>
        <w:t>5</w:t>
      </w:r>
      <w:r>
        <w:t>. V čl. III se slova „</w:t>
      </w:r>
      <w:r w:rsidR="00225155">
        <w:t xml:space="preserve">dnem </w:t>
      </w:r>
      <w:r>
        <w:t>1. července 2019“ nahrazují slovy „dnem</w:t>
      </w:r>
      <w:r w:rsidR="00225155">
        <w:t xml:space="preserve"> jeho</w:t>
      </w:r>
      <w:r>
        <w:t xml:space="preserve"> vyhlášení“.</w:t>
      </w:r>
    </w:p>
    <w:p w:rsidR="00290DB8" w:rsidRPr="00C74AE2" w:rsidRDefault="00290DB8" w:rsidP="00C74AE2">
      <w:pPr>
        <w:pStyle w:val="Bezmezer"/>
      </w:pPr>
    </w:p>
    <w:p w:rsidR="00290DB8" w:rsidRDefault="00290DB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0DB8" w:rsidRPr="00290DB8" w:rsidRDefault="00C74AE2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r>
        <w:rPr>
          <w:b/>
        </w:rPr>
        <w:t>B. Poslanec Pavel Žáček</w:t>
      </w:r>
    </w:p>
    <w:p w:rsidR="00290DB8" w:rsidRDefault="00290DB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0DB8" w:rsidRDefault="00C74AE2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>
        <w:t xml:space="preserve">Přihlašuje se k písemnému pozměňovacímu návrhu poslankyně Jany </w:t>
      </w:r>
      <w:r w:rsidR="00FA7EB5">
        <w:t xml:space="preserve">Černochové </w:t>
      </w:r>
      <w:r w:rsidR="00290DB8">
        <w:t>(SD 2616)</w:t>
      </w:r>
      <w:r w:rsidR="00FA7EB5">
        <w:t>.</w:t>
      </w: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46349" w:rsidRPr="00A46349" w:rsidRDefault="00A46349" w:rsidP="00A46349">
      <w:pPr>
        <w:spacing w:line="276" w:lineRule="auto"/>
      </w:pPr>
      <w:r w:rsidRPr="00A46349">
        <w:rPr>
          <w:b/>
        </w:rPr>
        <w:t>1</w:t>
      </w:r>
      <w:r w:rsidRPr="00A46349">
        <w:t>. V čl. I bodě 3 se v § 48 odst. 1 na konci poslední věty ruší tečka a za slovem „zájmy“ se doplňuje „</w:t>
      </w:r>
      <w:r w:rsidRPr="00A46349">
        <w:rPr>
          <w:color w:val="222222"/>
          <w:shd w:val="clear" w:color="auto" w:fill="FFFFFF"/>
        </w:rPr>
        <w:t>a </w:t>
      </w:r>
      <w:r w:rsidRPr="00A46349">
        <w:rPr>
          <w:bCs/>
          <w:color w:val="222222"/>
          <w:shd w:val="clear" w:color="auto" w:fill="FFFFFF"/>
        </w:rPr>
        <w:t>nesmí od příslušné právnické osoby pobírat odměnu, nestanoví-li zvláštní právní předpis jinak.“</w:t>
      </w:r>
      <w:r w:rsidR="00547445">
        <w:rPr>
          <w:bCs/>
          <w:color w:val="222222"/>
          <w:shd w:val="clear" w:color="auto" w:fill="FFFFFF"/>
        </w:rPr>
        <w:t>.</w:t>
      </w:r>
    </w:p>
    <w:p w:rsidR="00A46349" w:rsidRPr="00A46349" w:rsidRDefault="00A46349" w:rsidP="00A46349">
      <w:pPr>
        <w:spacing w:line="276" w:lineRule="auto"/>
      </w:pPr>
      <w:r w:rsidRPr="00A46349">
        <w:rPr>
          <w:b/>
        </w:rPr>
        <w:t>2</w:t>
      </w:r>
      <w:r w:rsidR="00547445">
        <w:t>. V čl. I bodě 3 v</w:t>
      </w:r>
      <w:r w:rsidRPr="00A46349">
        <w:t xml:space="preserve"> § 48 odstavec 2 zní:</w:t>
      </w:r>
    </w:p>
    <w:p w:rsidR="00A46349" w:rsidRPr="00A46349" w:rsidRDefault="00A46349" w:rsidP="00547445">
      <w:pPr>
        <w:spacing w:line="276" w:lineRule="auto"/>
        <w:ind w:firstLine="708"/>
        <w:jc w:val="both"/>
      </w:pPr>
      <w:r w:rsidRPr="00A46349">
        <w:t>„(2) Příslušník může výjimečně vykonávat výdělečnou činnost pouze s písemným souhlasem služebního funkcionáře, neovlivní-li tato činnost výkon jeho služby nebo jiný důležitý zájem služby. Příslušným služebním funkcionářem je vedoucí organizační části bezpečnostního sboru. K výkonu jiné výdělečné činnosti nelze udělit souhlas, jestliže by tato vedla ke střetu zájmů osobních se zájmy služby a k ohrožení dobré pověsti bezpečnostního sboru.“</w:t>
      </w:r>
      <w:r w:rsidR="00547445">
        <w:t>.</w:t>
      </w:r>
    </w:p>
    <w:p w:rsidR="00A46349" w:rsidRPr="00A46349" w:rsidRDefault="00A46349" w:rsidP="00A46349">
      <w:pPr>
        <w:spacing w:line="276" w:lineRule="auto"/>
      </w:pPr>
      <w:r w:rsidRPr="00A46349">
        <w:rPr>
          <w:b/>
        </w:rPr>
        <w:t>3</w:t>
      </w:r>
      <w:r w:rsidRPr="00A46349">
        <w:t>. V čl. I bodě 3 v § 48 odstavec 3 zní:</w:t>
      </w:r>
    </w:p>
    <w:p w:rsidR="00A46349" w:rsidRPr="00A46349" w:rsidRDefault="00A46349" w:rsidP="00547445">
      <w:pPr>
        <w:spacing w:line="276" w:lineRule="auto"/>
        <w:ind w:firstLine="708"/>
        <w:jc w:val="both"/>
      </w:pPr>
      <w:r w:rsidRPr="00A46349">
        <w:t>„(3) Služební funkcionář může udělený souhlas písemně odvolat. V odvolání souhlasu je služební funkcionář povinen uvést důvody změny svého rozhodnutí. Příslušník je pak povinen bez zbytečného odkladu výdělečnou činnost ukončit způsobem vyplývajícím pro její ukončení z příslušných právních předpisů.“</w:t>
      </w:r>
      <w:r w:rsidR="00547445">
        <w:t>.</w:t>
      </w:r>
    </w:p>
    <w:p w:rsidR="00A46349" w:rsidRPr="00A46349" w:rsidRDefault="00A46349" w:rsidP="00A46349">
      <w:pPr>
        <w:pStyle w:val="l4"/>
        <w:jc w:val="both"/>
      </w:pPr>
      <w:r w:rsidRPr="00A46349">
        <w:rPr>
          <w:b/>
        </w:rPr>
        <w:t>4</w:t>
      </w:r>
      <w:r w:rsidRPr="00A46349">
        <w:t>. V čl. I se za dosavadní bod 3 vkládá nový bod 4, který zní:</w:t>
      </w:r>
    </w:p>
    <w:p w:rsidR="00BC135E" w:rsidRDefault="00A46349" w:rsidP="00A46349">
      <w:pPr>
        <w:pStyle w:val="l4"/>
        <w:jc w:val="both"/>
      </w:pPr>
      <w:r w:rsidRPr="00A46349">
        <w:t xml:space="preserve">„4. V § 171 se na konci písmene i) slovo „a“ nahrazuje čárkou, na konci písmene j) se tečka nahrazuje slovem „a“ a doplňuje se písmeno k), které zní: </w:t>
      </w:r>
    </w:p>
    <w:p w:rsidR="00A46349" w:rsidRPr="00A46349" w:rsidRDefault="00A46349" w:rsidP="00A46349">
      <w:pPr>
        <w:pStyle w:val="l4"/>
        <w:jc w:val="both"/>
      </w:pPr>
      <w:r w:rsidRPr="00A46349">
        <w:t>„k) udělování a odvolávání souhlasu k jiné výdělečné č</w:t>
      </w:r>
      <w:r w:rsidR="007D1745">
        <w:t>innosti podle § 48</w:t>
      </w:r>
      <w:r w:rsidRPr="00A46349">
        <w:t>.“</w:t>
      </w:r>
      <w:r w:rsidR="00BC135E">
        <w:t>.</w:t>
      </w:r>
    </w:p>
    <w:p w:rsidR="00A46349" w:rsidRDefault="00A46349" w:rsidP="00A46349">
      <w:pPr>
        <w:pStyle w:val="l4"/>
        <w:jc w:val="both"/>
      </w:pPr>
      <w:r w:rsidRPr="00A46349">
        <w:t>Dosavadní bod 4 se označí jako bod 5.</w:t>
      </w:r>
    </w:p>
    <w:p w:rsidR="00FF1AF8" w:rsidRDefault="00FF1AF8" w:rsidP="00A46349">
      <w:pPr>
        <w:pStyle w:val="l4"/>
        <w:jc w:val="both"/>
      </w:pPr>
    </w:p>
    <w:p w:rsidR="00FF1AF8" w:rsidRPr="00290DB8" w:rsidRDefault="00FF1AF8" w:rsidP="00FF1AF8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r>
        <w:rPr>
          <w:b/>
        </w:rPr>
        <w:t>C. Poslanec Lukáš Kolářík</w:t>
      </w:r>
    </w:p>
    <w:p w:rsidR="00FF1AF8" w:rsidRDefault="00FF1AF8" w:rsidP="00FF1AF8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FF1AF8" w:rsidRDefault="00FF1AF8" w:rsidP="00FF1AF8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>
        <w:t>(SD 2688)</w:t>
      </w:r>
    </w:p>
    <w:p w:rsidR="00FF1AF8" w:rsidRDefault="00FF1AF8" w:rsidP="00FF1AF8">
      <w:pPr>
        <w:pStyle w:val="Bezmezer"/>
      </w:pPr>
    </w:p>
    <w:p w:rsidR="00FF1AF8" w:rsidRDefault="00FF1AF8" w:rsidP="00FF1AF8">
      <w:pPr>
        <w:jc w:val="both"/>
        <w:rPr>
          <w:rFonts w:eastAsia="Times New Roman"/>
        </w:rPr>
      </w:pPr>
      <w:r>
        <w:rPr>
          <w:rFonts w:eastAsia="Times New Roman"/>
        </w:rPr>
        <w:t>V Čl. I se za bod 3 vkládá nový bod 4, který zní:</w:t>
      </w:r>
    </w:p>
    <w:p w:rsidR="00FF1AF8" w:rsidRDefault="00FF1AF8" w:rsidP="00FF1AF8">
      <w:pPr>
        <w:jc w:val="both"/>
        <w:rPr>
          <w:rFonts w:eastAsia="Times New Roman"/>
        </w:rPr>
      </w:pPr>
      <w:r>
        <w:rPr>
          <w:rFonts w:eastAsia="Times New Roman"/>
        </w:rPr>
        <w:lastRenderedPageBreak/>
        <w:t>„</w:t>
      </w:r>
      <w:r w:rsidR="008447FB">
        <w:rPr>
          <w:rFonts w:eastAsia="Times New Roman"/>
        </w:rPr>
        <w:t xml:space="preserve">4. </w:t>
      </w:r>
      <w:r>
        <w:rPr>
          <w:rFonts w:eastAsia="Times New Roman"/>
        </w:rPr>
        <w:t>V § 60 se na konci odstavce 3 doplňuje věta „Přiměřená doba na jídlo a odpočinek se započítává do služby.“.</w:t>
      </w:r>
    </w:p>
    <w:p w:rsidR="00FF1AF8" w:rsidRDefault="00FF1AF8" w:rsidP="00FF1AF8">
      <w:pPr>
        <w:jc w:val="both"/>
        <w:rPr>
          <w:rFonts w:eastAsia="Times New Roman"/>
        </w:rPr>
      </w:pPr>
      <w:r>
        <w:rPr>
          <w:rFonts w:eastAsia="Times New Roman"/>
        </w:rPr>
        <w:t xml:space="preserve">Dosavadní bod 4 se označuje jako bod 5. </w:t>
      </w:r>
    </w:p>
    <w:p w:rsidR="00FF1AF8" w:rsidRDefault="00FF1AF8" w:rsidP="00A46349">
      <w:pPr>
        <w:pStyle w:val="l4"/>
        <w:jc w:val="both"/>
      </w:pPr>
    </w:p>
    <w:p w:rsidR="00FF1AF8" w:rsidRPr="00290DB8" w:rsidRDefault="00FF1AF8" w:rsidP="00FF1AF8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r>
        <w:rPr>
          <w:b/>
        </w:rPr>
        <w:t>D</w:t>
      </w:r>
      <w:r w:rsidRPr="00290DB8">
        <w:rPr>
          <w:b/>
        </w:rPr>
        <w:t>. Poslan</w:t>
      </w:r>
      <w:r>
        <w:rPr>
          <w:b/>
        </w:rPr>
        <w:t>ec Jan Hamáček</w:t>
      </w:r>
    </w:p>
    <w:p w:rsidR="00FF1AF8" w:rsidRDefault="00FF1AF8" w:rsidP="00FF1AF8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FF1AF8" w:rsidRDefault="00FF1AF8" w:rsidP="00FF1AF8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>
        <w:t>(SD 2677)</w:t>
      </w:r>
    </w:p>
    <w:p w:rsidR="00FF1AF8" w:rsidRDefault="00FF1AF8" w:rsidP="00FF1AF8">
      <w:pPr>
        <w:pStyle w:val="Bezmezer"/>
      </w:pPr>
    </w:p>
    <w:p w:rsidR="00FF1AF8" w:rsidRPr="00FF1AF8" w:rsidRDefault="00FF1AF8" w:rsidP="00FF1AF8">
      <w:pPr>
        <w:spacing w:line="276" w:lineRule="auto"/>
      </w:pPr>
      <w:r w:rsidRPr="00FF1AF8">
        <w:t>(V čl. I nové novelizační body)</w:t>
      </w:r>
    </w:p>
    <w:p w:rsidR="00FF1AF8" w:rsidRPr="00FF1AF8" w:rsidRDefault="00FF1AF8" w:rsidP="00FF1AF8">
      <w:pPr>
        <w:spacing w:line="276" w:lineRule="auto"/>
      </w:pPr>
      <w:r w:rsidRPr="00FF1AF8">
        <w:rPr>
          <w:b/>
        </w:rPr>
        <w:t>1</w:t>
      </w:r>
      <w:r w:rsidRPr="00FF1AF8">
        <w:t>. V § 113 se na konci písmene g) slovo „a“ nahrazuje čárkou.</w:t>
      </w:r>
    </w:p>
    <w:p w:rsidR="00FF1AF8" w:rsidRPr="00FF1AF8" w:rsidRDefault="00FF1AF8" w:rsidP="00FF1AF8">
      <w:pPr>
        <w:spacing w:line="276" w:lineRule="auto"/>
      </w:pPr>
      <w:r w:rsidRPr="00FF1AF8">
        <w:rPr>
          <w:b/>
        </w:rPr>
        <w:t>2</w:t>
      </w:r>
      <w:r w:rsidRPr="00FF1AF8">
        <w:t>. V § 113 se na konci písmene h) tečka nahrazuje slovem „a“ a doplňuje se písmeno i), které zní:</w:t>
      </w:r>
    </w:p>
    <w:p w:rsidR="00FF1AF8" w:rsidRPr="00FF1AF8" w:rsidRDefault="00FF1AF8" w:rsidP="00FF1AF8">
      <w:pPr>
        <w:spacing w:line="276" w:lineRule="auto"/>
        <w:ind w:firstLine="708"/>
      </w:pPr>
      <w:r w:rsidRPr="00FF1AF8">
        <w:t>„i) stabilizační příplatek.“.</w:t>
      </w:r>
    </w:p>
    <w:p w:rsidR="00FF1AF8" w:rsidRPr="00FF1AF8" w:rsidRDefault="00FF1AF8" w:rsidP="00FF1AF8">
      <w:pPr>
        <w:spacing w:after="120" w:line="276" w:lineRule="auto"/>
        <w:rPr>
          <w:rFonts w:eastAsia="Calibri"/>
        </w:rPr>
      </w:pPr>
      <w:r w:rsidRPr="00FF1AF8">
        <w:rPr>
          <w:b/>
        </w:rPr>
        <w:t>3</w:t>
      </w:r>
      <w:r w:rsidRPr="00FF1AF8">
        <w:t xml:space="preserve">. </w:t>
      </w:r>
      <w:r w:rsidRPr="00FF1AF8">
        <w:rPr>
          <w:rFonts w:eastAsia="Calibri"/>
        </w:rPr>
        <w:t>Za § 122 se vkládá nový § 122a, který včetně nadpisu zní:</w:t>
      </w:r>
    </w:p>
    <w:p w:rsidR="00FF1AF8" w:rsidRPr="00FF1AF8" w:rsidRDefault="00FF1AF8" w:rsidP="00FF1AF8">
      <w:pPr>
        <w:spacing w:after="200" w:line="276" w:lineRule="auto"/>
        <w:ind w:firstLine="708"/>
        <w:jc w:val="center"/>
        <w:rPr>
          <w:rFonts w:eastAsia="Calibri"/>
        </w:rPr>
      </w:pPr>
      <w:r w:rsidRPr="00FF1AF8">
        <w:rPr>
          <w:rFonts w:eastAsia="Calibri"/>
        </w:rPr>
        <w:t>„§ 122a</w:t>
      </w:r>
    </w:p>
    <w:p w:rsidR="00FF1AF8" w:rsidRPr="00FF1AF8" w:rsidRDefault="00FF1AF8" w:rsidP="00FF1AF8">
      <w:pPr>
        <w:spacing w:after="200" w:line="276" w:lineRule="auto"/>
        <w:ind w:firstLine="708"/>
        <w:jc w:val="center"/>
        <w:rPr>
          <w:rFonts w:eastAsia="Calibri"/>
          <w:b/>
        </w:rPr>
      </w:pPr>
      <w:r w:rsidRPr="00FF1AF8">
        <w:rPr>
          <w:rFonts w:eastAsia="Calibri"/>
          <w:b/>
        </w:rPr>
        <w:t>Stabilizační příplatek</w:t>
      </w:r>
    </w:p>
    <w:p w:rsidR="00FF1AF8" w:rsidRPr="00FF1AF8" w:rsidRDefault="00FF1AF8" w:rsidP="00FF1AF8">
      <w:pPr>
        <w:spacing w:after="200"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 xml:space="preserve">(1) Ředitel bezpečnostního sboru může služebním předpisem stanovit, že příslušníkům lze přiznat stabilizační příplatek. </w:t>
      </w:r>
    </w:p>
    <w:p w:rsidR="00FF1AF8" w:rsidRPr="00FF1AF8" w:rsidRDefault="00FF1AF8" w:rsidP="00FF1AF8">
      <w:pPr>
        <w:spacing w:after="200"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>(2) Ve služebním předpise stanoví ředitel bezpečnostního sboru konkrétní výši a dobu vyplácení stabilizačního příplatku.</w:t>
      </w:r>
    </w:p>
    <w:p w:rsidR="00FF1AF8" w:rsidRPr="00FF1AF8" w:rsidRDefault="00FF1AF8" w:rsidP="00FF1AF8">
      <w:pPr>
        <w:spacing w:after="200"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 xml:space="preserve">(3) Maximální roční výše stabilizačního příplatku činí dvacetičtyřnásobek průměrné hrubé měsíční nominální mzdy na přepočtené počty zaměstnanců </w:t>
      </w:r>
      <w:r w:rsidR="007D1745">
        <w:rPr>
          <w:rFonts w:eastAsia="Calibri"/>
        </w:rPr>
        <w:t>v národním hospodářství dosažené</w:t>
      </w:r>
      <w:r w:rsidRPr="00FF1AF8">
        <w:rPr>
          <w:rFonts w:eastAsia="Calibri"/>
        </w:rPr>
        <w:t xml:space="preserve"> podle zveřejněných údajů Českého statistického úřadu.</w:t>
      </w:r>
    </w:p>
    <w:p w:rsidR="00FF1AF8" w:rsidRPr="00FF1AF8" w:rsidRDefault="00FF1AF8" w:rsidP="00FF1AF8">
      <w:pPr>
        <w:spacing w:after="200"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>(4) Stabilizační příplatek nelze přiznat příslušníkovi v kalendářním měsíci, v němž po více než poloviny doby služby nevykonával službu z důvodu</w:t>
      </w:r>
    </w:p>
    <w:p w:rsidR="00FF1AF8" w:rsidRPr="00FF1AF8" w:rsidRDefault="00FF1AF8" w:rsidP="00FF1AF8">
      <w:pPr>
        <w:spacing w:after="200"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 xml:space="preserve">a) zproštění výkonu služby, </w:t>
      </w:r>
    </w:p>
    <w:p w:rsidR="00FF1AF8" w:rsidRPr="00FF1AF8" w:rsidRDefault="00FF1AF8" w:rsidP="00FF1AF8">
      <w:pPr>
        <w:spacing w:after="200"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>b) zařazení do zálohy pro studující, zálohy pro přechodně nezařazené nebo zálohy neplacené,</w:t>
      </w:r>
    </w:p>
    <w:p w:rsidR="00FF1AF8" w:rsidRPr="00FF1AF8" w:rsidRDefault="00FF1AF8" w:rsidP="00FF1AF8">
      <w:pPr>
        <w:spacing w:after="200"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>c) neschopnosti k výkonu služby s výjimkou neschopnosti z důvodu služebního úrazu nebo nemoci z povolání, dlouhodobého ošetřování, anebo důležitých osobních překážek ve službě,</w:t>
      </w:r>
    </w:p>
    <w:p w:rsidR="00FF1AF8" w:rsidRPr="00FF1AF8" w:rsidRDefault="00FF1AF8" w:rsidP="00FF1AF8">
      <w:pPr>
        <w:spacing w:after="200"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>(5) Stabilizační příplatek nelze přiznat také příslušníkovi, pokud v kalendářním měsíci měl neomluvenou nepřítomnost ve službě.</w:t>
      </w:r>
    </w:p>
    <w:p w:rsidR="00FF1AF8" w:rsidRPr="00FF1AF8" w:rsidRDefault="00FF1AF8" w:rsidP="00FF1AF8">
      <w:pPr>
        <w:spacing w:after="200"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lastRenderedPageBreak/>
        <w:t>(6) Stabilizační příplatek není pro účely určování výměry odchodného podle § 156 nebo výměry výsluhového příspěvku podle § 158 složkou služebního příjmu.“</w:t>
      </w:r>
      <w:r>
        <w:rPr>
          <w:rFonts w:eastAsia="Calibri"/>
        </w:rPr>
        <w:t>.</w:t>
      </w:r>
    </w:p>
    <w:p w:rsidR="00FF1AF8" w:rsidRPr="00FF1AF8" w:rsidRDefault="00FF1AF8" w:rsidP="00FF1AF8">
      <w:pPr>
        <w:spacing w:after="200" w:line="276" w:lineRule="auto"/>
        <w:rPr>
          <w:rFonts w:eastAsia="Calibri"/>
        </w:rPr>
      </w:pPr>
      <w:r w:rsidRPr="00FF1AF8">
        <w:rPr>
          <w:rFonts w:eastAsia="Calibri"/>
          <w:b/>
        </w:rPr>
        <w:t>4</w:t>
      </w:r>
      <w:r w:rsidRPr="00FF1AF8">
        <w:rPr>
          <w:rFonts w:eastAsia="Calibri"/>
        </w:rPr>
        <w:t>. V § 171 se na konci písmene i) slovo „a“ nahrazuje čárkou.</w:t>
      </w:r>
    </w:p>
    <w:p w:rsidR="00FF1AF8" w:rsidRPr="00FF1AF8" w:rsidRDefault="00FF1AF8" w:rsidP="00FF1AF8">
      <w:pPr>
        <w:spacing w:after="200" w:line="276" w:lineRule="auto"/>
        <w:rPr>
          <w:rFonts w:eastAsia="Calibri"/>
        </w:rPr>
      </w:pPr>
      <w:r w:rsidRPr="00FF1AF8">
        <w:rPr>
          <w:rFonts w:eastAsia="Calibri"/>
          <w:b/>
        </w:rPr>
        <w:t>5</w:t>
      </w:r>
      <w:r w:rsidRPr="00FF1AF8">
        <w:rPr>
          <w:rFonts w:eastAsia="Calibri"/>
        </w:rPr>
        <w:t>.</w:t>
      </w:r>
      <w:r w:rsidRPr="00FF1AF8">
        <w:t xml:space="preserve"> </w:t>
      </w:r>
      <w:r w:rsidRPr="00FF1AF8">
        <w:rPr>
          <w:rFonts w:eastAsia="Calibri"/>
        </w:rPr>
        <w:t>V § 171 se na konci písmene j) tečka nahrazuje slovem „a“ a doplňuje se písmeno k), které zní:</w:t>
      </w:r>
    </w:p>
    <w:p w:rsidR="00FF1AF8" w:rsidRPr="00FF1AF8" w:rsidRDefault="00FF1AF8" w:rsidP="00FF1AF8">
      <w:pPr>
        <w:ind w:firstLine="425"/>
        <w:rPr>
          <w:rFonts w:eastAsia="Calibri"/>
        </w:rPr>
      </w:pPr>
      <w:r w:rsidRPr="00FF1AF8">
        <w:rPr>
          <w:rFonts w:eastAsia="Calibri"/>
        </w:rPr>
        <w:t>„k) přiznání stabilizačního příplatku.“.</w:t>
      </w:r>
    </w:p>
    <w:p w:rsidR="00FF1AF8" w:rsidRPr="00FF1AF8" w:rsidRDefault="00FF1AF8" w:rsidP="00FF1AF8">
      <w:pPr>
        <w:spacing w:line="276" w:lineRule="auto"/>
        <w:rPr>
          <w:rFonts w:eastAsia="Calibri"/>
        </w:rPr>
      </w:pPr>
    </w:p>
    <w:p w:rsidR="00FF1AF8" w:rsidRPr="00FF1AF8" w:rsidRDefault="00FF1AF8" w:rsidP="00FF1AF8">
      <w:pPr>
        <w:spacing w:line="276" w:lineRule="auto"/>
        <w:rPr>
          <w:rFonts w:eastAsia="Calibri"/>
        </w:rPr>
      </w:pPr>
      <w:r w:rsidRPr="00FF1AF8">
        <w:rPr>
          <w:rFonts w:eastAsia="Calibri"/>
          <w:b/>
        </w:rPr>
        <w:t>6</w:t>
      </w:r>
      <w:r w:rsidRPr="00FF1AF8">
        <w:rPr>
          <w:rFonts w:eastAsia="Calibri"/>
        </w:rPr>
        <w:t>. Za § 203 se vkládá nový § 204, který včet</w:t>
      </w:r>
      <w:r w:rsidR="00BC135E">
        <w:rPr>
          <w:rFonts w:eastAsia="Calibri"/>
        </w:rPr>
        <w:t>ně nadpisu</w:t>
      </w:r>
      <w:r>
        <w:rPr>
          <w:rFonts w:eastAsia="Calibri"/>
        </w:rPr>
        <w:t xml:space="preserve"> a poznámek pod čarou</w:t>
      </w:r>
      <w:r w:rsidRPr="00FF1AF8">
        <w:rPr>
          <w:rFonts w:eastAsia="Calibri"/>
        </w:rPr>
        <w:t xml:space="preserve"> č. 93 a 94 zní:</w:t>
      </w:r>
    </w:p>
    <w:p w:rsidR="00FF1AF8" w:rsidRPr="00FF1AF8" w:rsidRDefault="00FF1AF8" w:rsidP="00FF1AF8">
      <w:pPr>
        <w:spacing w:line="276" w:lineRule="auto"/>
        <w:jc w:val="center"/>
        <w:rPr>
          <w:rFonts w:eastAsia="Calibri"/>
        </w:rPr>
      </w:pPr>
      <w:r w:rsidRPr="00FF1AF8">
        <w:rPr>
          <w:rFonts w:eastAsia="Calibri"/>
        </w:rPr>
        <w:t>„§ 204</w:t>
      </w:r>
    </w:p>
    <w:p w:rsidR="00FF1AF8" w:rsidRPr="00FF1AF8" w:rsidRDefault="00FF1AF8" w:rsidP="00FF1AF8">
      <w:pPr>
        <w:spacing w:line="276" w:lineRule="auto"/>
        <w:jc w:val="center"/>
        <w:rPr>
          <w:rFonts w:eastAsia="Calibri"/>
          <w:b/>
        </w:rPr>
      </w:pPr>
      <w:r w:rsidRPr="00FF1AF8">
        <w:rPr>
          <w:rFonts w:eastAsia="Calibri"/>
          <w:b/>
        </w:rPr>
        <w:t>Příslušník ve výslužbě</w:t>
      </w:r>
    </w:p>
    <w:p w:rsidR="00FF1AF8" w:rsidRPr="00FF1AF8" w:rsidRDefault="00FF1AF8" w:rsidP="00FF1AF8">
      <w:pPr>
        <w:spacing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 xml:space="preserve">(1) Příslušníkem ve výslužbě je bývalý příslušník, který ke dni skončení služebního poměru splnil podmínky nároku na výsluhový příspěvek. </w:t>
      </w:r>
    </w:p>
    <w:p w:rsidR="00FF1AF8" w:rsidRPr="00FF1AF8" w:rsidRDefault="00FF1AF8" w:rsidP="00FF1AF8">
      <w:pPr>
        <w:spacing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>(2) Příslušník ve výslužbě, jenž je oprávněn při slavnostních příležitostech nosit služební stejnokroj podle zvláštního právního předpisu</w:t>
      </w:r>
      <w:r w:rsidRPr="00FF1AF8">
        <w:rPr>
          <w:rFonts w:eastAsia="Calibri"/>
          <w:vertAlign w:val="superscript"/>
        </w:rPr>
        <w:t>93</w:t>
      </w:r>
      <w:r w:rsidR="007D1745">
        <w:rPr>
          <w:rFonts w:eastAsia="Calibri"/>
          <w:vertAlign w:val="superscript"/>
        </w:rPr>
        <w:t>)</w:t>
      </w:r>
      <w:r w:rsidRPr="00FF1AF8">
        <w:rPr>
          <w:rFonts w:eastAsia="Calibri"/>
        </w:rPr>
        <w:t>, může užívat nejvyšší dosažené hodnostní označení nebo hodnost podle § 8, an</w:t>
      </w:r>
      <w:r w:rsidR="007D1745">
        <w:rPr>
          <w:rFonts w:eastAsia="Calibri"/>
        </w:rPr>
        <w:t>ebo hodnost dosaženou přede dnem 1. ledna</w:t>
      </w:r>
      <w:r w:rsidRPr="00FF1AF8">
        <w:rPr>
          <w:rFonts w:eastAsia="Calibri"/>
        </w:rPr>
        <w:t xml:space="preserve"> 2007.</w:t>
      </w:r>
    </w:p>
    <w:p w:rsidR="00FF1AF8" w:rsidRPr="00FF1AF8" w:rsidRDefault="00FF1AF8" w:rsidP="00FF1AF8">
      <w:pPr>
        <w:spacing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>(3) Příslušníka ve výslužbě, který při výkonu služby dosahoval vynikajících výsledků lze v souvislosti se skončením služebního poměru jmenovat do vyššího hodnostního označení nebo vyšší hodnosti; to platí i pro příslušníka, jehož služební poměr skončil úmrtím následkem služebního úrazu. Do generálské hodnosti, za podmínek uvedených v předchozí větě, jmenuje příslušníka ve výslužbě prezident republiky na návrh vlády.</w:t>
      </w:r>
    </w:p>
    <w:p w:rsidR="00FF1AF8" w:rsidRPr="00FF1AF8" w:rsidRDefault="00FF1AF8" w:rsidP="00FF1AF8">
      <w:pPr>
        <w:spacing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>(4) Jmenovat do vyššího hodnostního označení nebo vyšší hodnosti nelze příslušníka, který byl propuštěn ze služebního poměru z důvodů uvedených v § 42 písm. a</w:t>
      </w:r>
      <w:r w:rsidR="007D1745">
        <w:rPr>
          <w:rFonts w:eastAsia="Calibri"/>
        </w:rPr>
        <w:t>) až g) a i) až k)</w:t>
      </w:r>
      <w:r w:rsidRPr="00FF1AF8">
        <w:rPr>
          <w:rFonts w:eastAsia="Calibri"/>
        </w:rPr>
        <w:t xml:space="preserve">. </w:t>
      </w:r>
    </w:p>
    <w:p w:rsidR="00FF1AF8" w:rsidRPr="00FF1AF8" w:rsidRDefault="00FF1AF8" w:rsidP="00FF1AF8">
      <w:pPr>
        <w:spacing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>(5) Jmenovat do vyššího hodnostního označení nebo vyšší hodnosti nelze příslušníka, který nesplňuje podmínky bezúhonnosti podle § 14.</w:t>
      </w:r>
    </w:p>
    <w:p w:rsidR="00FF1AF8" w:rsidRPr="00FF1AF8" w:rsidRDefault="00FF1AF8" w:rsidP="00FF1AF8">
      <w:pPr>
        <w:spacing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>(6) Ředitel bezpečnostního sboru může povolit užívání symbolů bezpečnostního sboru při slavnostních příležitostech.</w:t>
      </w:r>
    </w:p>
    <w:p w:rsidR="00FF1AF8" w:rsidRPr="00FF1AF8" w:rsidRDefault="00FF1AF8" w:rsidP="00FF1AF8">
      <w:pPr>
        <w:spacing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>(7) Bezpečnostní sbor může příslušníkovi ve výslužbě umožnit poskytování zdravotní péče zajišťované poskytovatelem pracovně lékařských služeb</w:t>
      </w:r>
      <w:r w:rsidRPr="00FF1AF8">
        <w:rPr>
          <w:rFonts w:eastAsia="Calibri"/>
          <w:vertAlign w:val="superscript"/>
        </w:rPr>
        <w:t>13</w:t>
      </w:r>
      <w:r w:rsidR="007D1745">
        <w:rPr>
          <w:rFonts w:eastAsia="Calibri"/>
          <w:vertAlign w:val="superscript"/>
        </w:rPr>
        <w:t>)</w:t>
      </w:r>
      <w:r w:rsidRPr="00FF1AF8">
        <w:rPr>
          <w:rFonts w:eastAsia="Calibri"/>
        </w:rPr>
        <w:t>.</w:t>
      </w:r>
    </w:p>
    <w:p w:rsidR="00FF1AF8" w:rsidRPr="00FF1AF8" w:rsidRDefault="00FF1AF8" w:rsidP="00FF1AF8">
      <w:pPr>
        <w:spacing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>(8) Bezpečnostní sbor je oprávněn v přiměřeném rozsahu vytvářet podmínky pro uspokojování kulturních, rekreačních a tělovýchovných potřeb příslušníků ve výslužbě a pro jejich zájmovou činnost.</w:t>
      </w:r>
    </w:p>
    <w:p w:rsidR="00FF1AF8" w:rsidRPr="00FF1AF8" w:rsidRDefault="00FF1AF8" w:rsidP="00FF1AF8">
      <w:pPr>
        <w:spacing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>(9) Ustanovení odstavců 6 a 7 se vztahuje i na bývalého příslušníka, který je válečným veteránem</w:t>
      </w:r>
      <w:r w:rsidRPr="00FF1AF8">
        <w:rPr>
          <w:rFonts w:eastAsia="Calibri"/>
          <w:vertAlign w:val="superscript"/>
        </w:rPr>
        <w:t>94</w:t>
      </w:r>
      <w:r w:rsidR="007D1745">
        <w:rPr>
          <w:rFonts w:eastAsia="Calibri"/>
          <w:vertAlign w:val="superscript"/>
        </w:rPr>
        <w:t>)</w:t>
      </w:r>
      <w:r w:rsidRPr="00FF1AF8">
        <w:rPr>
          <w:rFonts w:eastAsia="Calibri"/>
        </w:rPr>
        <w:t>.</w:t>
      </w:r>
    </w:p>
    <w:p w:rsidR="00FF1AF8" w:rsidRPr="00FF1AF8" w:rsidRDefault="00FF1AF8" w:rsidP="00FF1AF8">
      <w:pPr>
        <w:spacing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 xml:space="preserve">(10) Při přijetí příslušníka ve výslužbě do služebního poměru se ke jmenování do vyššího hodnostního označení nebo vyšší hodnosti podle odstavce 3 nepřihlíží. </w:t>
      </w:r>
    </w:p>
    <w:p w:rsidR="00FF1AF8" w:rsidRPr="00FF1AF8" w:rsidRDefault="00FF1AF8" w:rsidP="00FF1AF8">
      <w:pPr>
        <w:spacing w:line="276" w:lineRule="auto"/>
        <w:ind w:firstLine="708"/>
        <w:jc w:val="both"/>
        <w:rPr>
          <w:rFonts w:eastAsia="Calibri"/>
        </w:rPr>
      </w:pPr>
      <w:r w:rsidRPr="00FF1AF8">
        <w:rPr>
          <w:rFonts w:eastAsia="Calibri"/>
        </w:rPr>
        <w:t>(11) Jmenování příslušníka ve výslužbě do vyššího hodnostního označení nebo vyšší hodnosti nemá vliv na přiznaný nárok na odchodné podle § 155 a výsluhový příspěvek podle §</w:t>
      </w:r>
      <w:r>
        <w:rPr>
          <w:rFonts w:eastAsia="Calibri"/>
        </w:rPr>
        <w:t> </w:t>
      </w:r>
      <w:r w:rsidRPr="00FF1AF8">
        <w:rPr>
          <w:rFonts w:eastAsia="Calibri"/>
        </w:rPr>
        <w:t>157.</w:t>
      </w:r>
    </w:p>
    <w:p w:rsidR="00FF1AF8" w:rsidRPr="00FF1AF8" w:rsidRDefault="00FA7EB5" w:rsidP="00FF1AF8">
      <w:pPr>
        <w:rPr>
          <w:rFonts w:eastAsia="Calibri"/>
          <w:sz w:val="20"/>
        </w:rPr>
      </w:pPr>
      <w:r>
        <w:rPr>
          <w:rFonts w:eastAsia="Calibri"/>
          <w:sz w:val="20"/>
        </w:rPr>
        <w:t>___________________</w:t>
      </w:r>
    </w:p>
    <w:p w:rsidR="00FF1AF8" w:rsidRPr="00FF1AF8" w:rsidRDefault="00FF1AF8" w:rsidP="00FF1AF8">
      <w:pPr>
        <w:rPr>
          <w:rFonts w:eastAsia="Calibri"/>
          <w:sz w:val="20"/>
        </w:rPr>
      </w:pPr>
      <w:r w:rsidRPr="00FF1AF8">
        <w:rPr>
          <w:rFonts w:eastAsia="Calibri"/>
          <w:sz w:val="20"/>
          <w:vertAlign w:val="superscript"/>
        </w:rPr>
        <w:t xml:space="preserve">93) </w:t>
      </w:r>
      <w:r w:rsidRPr="00FF1AF8">
        <w:rPr>
          <w:rFonts w:eastAsia="Calibri"/>
          <w:sz w:val="20"/>
        </w:rPr>
        <w:t>Například § 108 odst. 2 zákona č. 273/2008 Sb., o Policii České republiky, ve znění pozdějších předpisů.</w:t>
      </w:r>
    </w:p>
    <w:p w:rsidR="00FF1AF8" w:rsidRPr="00FF1AF8" w:rsidRDefault="00FF1AF8" w:rsidP="00FF1AF8">
      <w:pPr>
        <w:rPr>
          <w:rFonts w:eastAsia="Calibri"/>
          <w:sz w:val="20"/>
        </w:rPr>
      </w:pPr>
      <w:r w:rsidRPr="00FF1AF8">
        <w:rPr>
          <w:rFonts w:eastAsia="Calibri"/>
          <w:sz w:val="20"/>
        </w:rPr>
        <w:t>§ 15 zákona č. 320/2015 Sb., o Hasičském záchranném sboru České republiky,</w:t>
      </w:r>
      <w:r w:rsidRPr="00FF1AF8">
        <w:rPr>
          <w:rFonts w:eastAsia="Calibri"/>
          <w:sz w:val="22"/>
          <w:szCs w:val="22"/>
        </w:rPr>
        <w:t xml:space="preserve"> </w:t>
      </w:r>
      <w:r w:rsidRPr="00FF1AF8">
        <w:rPr>
          <w:rFonts w:eastAsia="Calibri"/>
          <w:sz w:val="20"/>
        </w:rPr>
        <w:t xml:space="preserve">ve znění pozdějších předpisů. </w:t>
      </w:r>
    </w:p>
    <w:p w:rsidR="00FF1AF8" w:rsidRPr="00FF1AF8" w:rsidRDefault="00FF1AF8" w:rsidP="00FF1AF8">
      <w:pPr>
        <w:rPr>
          <w:rFonts w:eastAsia="Calibri"/>
          <w:sz w:val="20"/>
        </w:rPr>
      </w:pPr>
      <w:r w:rsidRPr="00FF1AF8">
        <w:rPr>
          <w:rFonts w:eastAsia="Calibri"/>
          <w:sz w:val="20"/>
          <w:vertAlign w:val="superscript"/>
        </w:rPr>
        <w:t xml:space="preserve">94) </w:t>
      </w:r>
      <w:r w:rsidRPr="00FF1AF8">
        <w:rPr>
          <w:rFonts w:eastAsia="Calibri"/>
          <w:sz w:val="20"/>
        </w:rPr>
        <w:t>§ 3 zákona č. 170/2002 Sb., o válečných veteránech, ve znění pozdějších předpisů.</w:t>
      </w:r>
      <w:r>
        <w:rPr>
          <w:rFonts w:eastAsia="Calibri"/>
          <w:sz w:val="20"/>
        </w:rPr>
        <w:t>“.</w:t>
      </w:r>
    </w:p>
    <w:p w:rsidR="00FF1AF8" w:rsidRDefault="00FF1AF8" w:rsidP="00A46349">
      <w:pPr>
        <w:pStyle w:val="l4"/>
        <w:jc w:val="both"/>
      </w:pPr>
    </w:p>
    <w:p w:rsidR="00FF1AF8" w:rsidRDefault="00FF1AF8" w:rsidP="00A46349">
      <w:pPr>
        <w:pStyle w:val="l4"/>
        <w:jc w:val="both"/>
      </w:pPr>
    </w:p>
    <w:p w:rsidR="00A46349" w:rsidRDefault="00A4634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46349" w:rsidRDefault="00A4634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6190E" w:rsidRDefault="00332F71" w:rsidP="00F421DD">
      <w:pPr>
        <w:pStyle w:val="Bezmezer"/>
        <w:jc w:val="center"/>
      </w:pPr>
      <w:r>
        <w:t>V Praze dne 18</w:t>
      </w:r>
      <w:r w:rsidR="00294AD6">
        <w:t>. dubna 2019</w:t>
      </w:r>
    </w:p>
    <w:p w:rsidR="00E6190E" w:rsidRDefault="00E6190E" w:rsidP="003A6CC1"/>
    <w:p w:rsidR="00294AD6" w:rsidRDefault="00294AD6" w:rsidP="00F421DD">
      <w:pPr>
        <w:pStyle w:val="Bezmezer"/>
        <w:jc w:val="both"/>
      </w:pPr>
    </w:p>
    <w:p w:rsidR="006E04E3" w:rsidRDefault="00A46349" w:rsidP="00F421DD">
      <w:pPr>
        <w:pStyle w:val="Bezmezer"/>
        <w:jc w:val="center"/>
      </w:pPr>
      <w:r>
        <w:t>JUDr</w:t>
      </w:r>
      <w:r w:rsidR="006E04E3">
        <w:t>.</w:t>
      </w:r>
      <w:r>
        <w:t xml:space="preserve"> et PhDr. Zdeněk Ondráček</w:t>
      </w:r>
      <w:r w:rsidR="00BC1A14">
        <w:t>, Ph.D.</w:t>
      </w:r>
    </w:p>
    <w:p w:rsidR="006E04E3" w:rsidRDefault="00294AD6" w:rsidP="00F421DD">
      <w:pPr>
        <w:pStyle w:val="Bezmezer"/>
        <w:spacing w:before="60"/>
        <w:jc w:val="center"/>
      </w:pPr>
      <w:r>
        <w:t>zpravodaj garančního</w:t>
      </w:r>
      <w:r w:rsidR="006E04E3">
        <w:t xml:space="preserve"> výboru</w:t>
      </w:r>
      <w:r>
        <w:t xml:space="preserve"> pro bezpečnost</w:t>
      </w:r>
    </w:p>
    <w:p w:rsidR="006E04E3" w:rsidRDefault="006E04E3" w:rsidP="00F421DD">
      <w:pPr>
        <w:pStyle w:val="Bezmezer"/>
        <w:jc w:val="center"/>
      </w:pPr>
    </w:p>
    <w:p w:rsidR="006E04E3" w:rsidRDefault="006E04E3" w:rsidP="003A6CC1">
      <w:pPr>
        <w:pStyle w:val="Bezmezer"/>
      </w:pPr>
    </w:p>
    <w:p w:rsidR="00B505A1" w:rsidRDefault="00B505A1" w:rsidP="00F421DD">
      <w:pPr>
        <w:pStyle w:val="Bezmezer"/>
        <w:spacing w:before="60"/>
        <w:jc w:val="center"/>
      </w:pPr>
      <w:r>
        <w:t xml:space="preserve">v z.  </w:t>
      </w:r>
    </w:p>
    <w:p w:rsidR="00B505A1" w:rsidRDefault="00B505A1" w:rsidP="00F421DD">
      <w:pPr>
        <w:pStyle w:val="Bezmezer"/>
        <w:spacing w:before="60"/>
        <w:jc w:val="center"/>
      </w:pPr>
      <w:r>
        <w:t>Radek Koten</w:t>
      </w:r>
      <w:r w:rsidR="00EA4B14">
        <w:t>, v. r.</w:t>
      </w:r>
      <w:bookmarkStart w:id="0" w:name="_GoBack"/>
      <w:bookmarkEnd w:id="0"/>
    </w:p>
    <w:p w:rsidR="006E04E3" w:rsidRDefault="00B505A1" w:rsidP="00F421DD">
      <w:pPr>
        <w:pStyle w:val="Bezmezer"/>
        <w:spacing w:before="60"/>
        <w:jc w:val="center"/>
      </w:pPr>
      <w:r>
        <w:t xml:space="preserve">předseda </w:t>
      </w:r>
      <w:r>
        <w:t>garančního výboru pro bezpečnost</w:t>
      </w:r>
    </w:p>
    <w:sectPr w:rsidR="006E04E3" w:rsidSect="0081568C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68C" w:rsidRDefault="0081568C" w:rsidP="0081568C">
      <w:pPr>
        <w:spacing w:after="0" w:line="240" w:lineRule="auto"/>
      </w:pPr>
      <w:r>
        <w:separator/>
      </w:r>
    </w:p>
  </w:endnote>
  <w:end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68C" w:rsidRDefault="0081568C" w:rsidP="0081568C">
      <w:pPr>
        <w:spacing w:after="0" w:line="240" w:lineRule="auto"/>
      </w:pPr>
      <w:r>
        <w:separator/>
      </w:r>
    </w:p>
  </w:footnote>
  <w:foot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68C" w:rsidRDefault="0081568C">
    <w:pPr>
      <w:pStyle w:val="Zhlav"/>
      <w:jc w:val="center"/>
    </w:pPr>
    <w:r>
      <w:t xml:space="preserve">- </w:t>
    </w:r>
    <w:sdt>
      <w:sdtPr>
        <w:id w:val="-6642174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A4B14">
          <w:rPr>
            <w:noProof/>
          </w:rPr>
          <w:t>4</w:t>
        </w:r>
        <w:r>
          <w:fldChar w:fldCharType="end"/>
        </w:r>
        <w:r>
          <w:t xml:space="preserve"> -</w:t>
        </w:r>
      </w:sdtContent>
    </w:sdt>
  </w:p>
  <w:p w:rsidR="0081568C" w:rsidRDefault="008156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EA"/>
    <w:multiLevelType w:val="hybridMultilevel"/>
    <w:tmpl w:val="F8D6B8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65A"/>
    <w:multiLevelType w:val="multilevel"/>
    <w:tmpl w:val="D7185D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6389E"/>
    <w:multiLevelType w:val="hybridMultilevel"/>
    <w:tmpl w:val="88103DEC"/>
    <w:lvl w:ilvl="0" w:tplc="135C1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8679E"/>
    <w:multiLevelType w:val="multilevel"/>
    <w:tmpl w:val="B080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3FB67807"/>
    <w:multiLevelType w:val="multilevel"/>
    <w:tmpl w:val="4B6CB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CD71EA"/>
    <w:multiLevelType w:val="multilevel"/>
    <w:tmpl w:val="C7D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A7390E"/>
    <w:multiLevelType w:val="multilevel"/>
    <w:tmpl w:val="10922A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167AB3"/>
    <w:multiLevelType w:val="multilevel"/>
    <w:tmpl w:val="E0B07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58F14B57"/>
    <w:multiLevelType w:val="multilevel"/>
    <w:tmpl w:val="3CEC8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8213F8"/>
    <w:multiLevelType w:val="hybridMultilevel"/>
    <w:tmpl w:val="913409F4"/>
    <w:lvl w:ilvl="0" w:tplc="81CE4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17C18"/>
    <w:multiLevelType w:val="hybridMultilevel"/>
    <w:tmpl w:val="49D87C68"/>
    <w:lvl w:ilvl="0" w:tplc="7200F4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360589"/>
    <w:multiLevelType w:val="hybridMultilevel"/>
    <w:tmpl w:val="73A4E548"/>
    <w:lvl w:ilvl="0" w:tplc="BB8C8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4B1A23"/>
    <w:multiLevelType w:val="multilevel"/>
    <w:tmpl w:val="06CE56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70705BC4"/>
    <w:multiLevelType w:val="multilevel"/>
    <w:tmpl w:val="4E8A87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71B86F7D"/>
    <w:multiLevelType w:val="hybridMultilevel"/>
    <w:tmpl w:val="7BA04E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CE5019"/>
    <w:multiLevelType w:val="hybridMultilevel"/>
    <w:tmpl w:val="45A2D2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8"/>
  </w:num>
  <w:num w:numId="4">
    <w:abstractNumId w:val="2"/>
  </w:num>
  <w:num w:numId="5">
    <w:abstractNumId w:val="13"/>
  </w:num>
  <w:num w:numId="6">
    <w:abstractNumId w:val="11"/>
  </w:num>
  <w:num w:numId="7">
    <w:abstractNumId w:val="7"/>
  </w:num>
  <w:num w:numId="8">
    <w:abstractNumId w:val="12"/>
  </w:num>
  <w:num w:numId="9">
    <w:abstractNumId w:val="4"/>
  </w:num>
  <w:num w:numId="10">
    <w:abstractNumId w:val="1"/>
  </w:num>
  <w:num w:numId="11">
    <w:abstractNumId w:val="9"/>
  </w:num>
  <w:num w:numId="12">
    <w:abstractNumId w:val="10"/>
  </w:num>
  <w:num w:numId="13">
    <w:abstractNumId w:val="16"/>
  </w:num>
  <w:num w:numId="14">
    <w:abstractNumId w:val="1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3"/>
  </w:num>
  <w:num w:numId="18">
    <w:abstractNumId w:val="15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3"/>
    <w:rsid w:val="0008213D"/>
    <w:rsid w:val="000D4F05"/>
    <w:rsid w:val="00225155"/>
    <w:rsid w:val="00290DB8"/>
    <w:rsid w:val="00294AD6"/>
    <w:rsid w:val="00332F71"/>
    <w:rsid w:val="00350D1F"/>
    <w:rsid w:val="00370F0C"/>
    <w:rsid w:val="003A6CC1"/>
    <w:rsid w:val="0042636F"/>
    <w:rsid w:val="004C2B8A"/>
    <w:rsid w:val="004F45AA"/>
    <w:rsid w:val="00541676"/>
    <w:rsid w:val="00547445"/>
    <w:rsid w:val="00566900"/>
    <w:rsid w:val="0065623C"/>
    <w:rsid w:val="006E04E3"/>
    <w:rsid w:val="007D1745"/>
    <w:rsid w:val="007E401F"/>
    <w:rsid w:val="0081568C"/>
    <w:rsid w:val="008447FB"/>
    <w:rsid w:val="00A46349"/>
    <w:rsid w:val="00B505A1"/>
    <w:rsid w:val="00B543CD"/>
    <w:rsid w:val="00B702F7"/>
    <w:rsid w:val="00BC135E"/>
    <w:rsid w:val="00BC1A14"/>
    <w:rsid w:val="00BC6A7F"/>
    <w:rsid w:val="00BC72FA"/>
    <w:rsid w:val="00C26A41"/>
    <w:rsid w:val="00C74AE2"/>
    <w:rsid w:val="00E24469"/>
    <w:rsid w:val="00E462CB"/>
    <w:rsid w:val="00E55B62"/>
    <w:rsid w:val="00E6190E"/>
    <w:rsid w:val="00EA4B14"/>
    <w:rsid w:val="00F043C4"/>
    <w:rsid w:val="00F421DD"/>
    <w:rsid w:val="00FA7EB5"/>
    <w:rsid w:val="00FF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4DAB1-F385-4135-AAFE-D0F6C1CF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04E3"/>
    <w:pPr>
      <w:spacing w:after="0" w:line="240" w:lineRule="auto"/>
    </w:pPr>
  </w:style>
  <w:style w:type="paragraph" w:customStyle="1" w:styleId="PS-slovanseznam">
    <w:name w:val="PS-číslovaný seznam"/>
    <w:basedOn w:val="Normln"/>
    <w:link w:val="PS-slovanseznamChar"/>
    <w:qFormat/>
    <w:rsid w:val="006E04E3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eastAsia="Calibri"/>
      <w:szCs w:val="22"/>
    </w:rPr>
  </w:style>
  <w:style w:type="character" w:customStyle="1" w:styleId="PS-slovanseznamChar">
    <w:name w:val="PS-číslovaný seznam Char"/>
    <w:basedOn w:val="Standardnpsmoodstavce"/>
    <w:link w:val="PS-slovanseznam"/>
    <w:rsid w:val="006E04E3"/>
    <w:rPr>
      <w:rFonts w:eastAsia="Calibri"/>
      <w:szCs w:val="22"/>
    </w:rPr>
  </w:style>
  <w:style w:type="character" w:customStyle="1" w:styleId="s1">
    <w:name w:val="s1"/>
    <w:basedOn w:val="Standardnpsmoodstavce"/>
    <w:rsid w:val="00E24469"/>
  </w:style>
  <w:style w:type="paragraph" w:styleId="Odstavecseseznamem">
    <w:name w:val="List Paragraph"/>
    <w:basedOn w:val="Normln"/>
    <w:uiPriority w:val="34"/>
    <w:qFormat/>
    <w:rsid w:val="00E24469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Zkladntext2">
    <w:name w:val="Body Text 2"/>
    <w:basedOn w:val="Normln"/>
    <w:link w:val="Zkladntext2Char"/>
    <w:rsid w:val="00350D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50D1F"/>
    <w:rPr>
      <w:rFonts w:eastAsia="Times New Roman"/>
      <w:lang w:eastAsia="cs-CZ"/>
    </w:rPr>
  </w:style>
  <w:style w:type="paragraph" w:customStyle="1" w:styleId="Paragraf">
    <w:name w:val="Paragraf"/>
    <w:basedOn w:val="Normln"/>
    <w:rsid w:val="00350D1F"/>
    <w:pPr>
      <w:spacing w:before="240" w:after="0" w:line="240" w:lineRule="auto"/>
      <w:jc w:val="center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350D1F"/>
    <w:pPr>
      <w:tabs>
        <w:tab w:val="left" w:pos="851"/>
      </w:tabs>
      <w:spacing w:before="240" w:after="0" w:line="240" w:lineRule="auto"/>
      <w:jc w:val="both"/>
    </w:pPr>
    <w:rPr>
      <w:rFonts w:eastAsia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68C"/>
  </w:style>
  <w:style w:type="paragraph" w:styleId="Zpat">
    <w:name w:val="footer"/>
    <w:basedOn w:val="Normln"/>
    <w:link w:val="Zpat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68C"/>
  </w:style>
  <w:style w:type="paragraph" w:styleId="Normlnweb">
    <w:name w:val="Normal (Web)"/>
    <w:basedOn w:val="Normln"/>
    <w:uiPriority w:val="99"/>
    <w:semiHidden/>
    <w:unhideWhenUsed/>
    <w:rsid w:val="0008213D"/>
    <w:pPr>
      <w:spacing w:before="100" w:beforeAutospacing="1" w:after="142" w:line="288" w:lineRule="auto"/>
    </w:pPr>
    <w:rPr>
      <w:rFonts w:eastAsia="Times New Roman"/>
      <w:lang w:eastAsia="cs-CZ"/>
    </w:rPr>
  </w:style>
  <w:style w:type="paragraph" w:customStyle="1" w:styleId="Novelizanbod">
    <w:name w:val="Novelizační bod"/>
    <w:basedOn w:val="Normln"/>
    <w:next w:val="Normln"/>
    <w:rsid w:val="00294AD6"/>
    <w:pPr>
      <w:keepNext/>
      <w:keepLines/>
      <w:numPr>
        <w:numId w:val="15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36F"/>
    <w:rPr>
      <w:rFonts w:ascii="Segoe UI" w:hAnsi="Segoe UI" w:cs="Segoe UI"/>
      <w:sz w:val="18"/>
      <w:szCs w:val="18"/>
    </w:rPr>
  </w:style>
  <w:style w:type="paragraph" w:customStyle="1" w:styleId="l4">
    <w:name w:val="l4"/>
    <w:basedOn w:val="Normln"/>
    <w:rsid w:val="00A46349"/>
    <w:pPr>
      <w:spacing w:before="100" w:beforeAutospacing="1" w:after="100" w:afterAutospacing="1" w:line="240" w:lineRule="auto"/>
    </w:pPr>
    <w:rPr>
      <w:rFonts w:eastAsia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927C4-A093-4A95-B705-05D3AC25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1174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Musil Marek</dc:creator>
  <cp:keywords/>
  <dc:description/>
  <cp:lastModifiedBy>Musil Marek</cp:lastModifiedBy>
  <cp:revision>15</cp:revision>
  <cp:lastPrinted>2019-04-18T07:02:00Z</cp:lastPrinted>
  <dcterms:created xsi:type="dcterms:W3CDTF">2019-04-16T15:47:00Z</dcterms:created>
  <dcterms:modified xsi:type="dcterms:W3CDTF">2019-04-18T07:13:00Z</dcterms:modified>
</cp:coreProperties>
</file>